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0.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4466C" w14:textId="77777777" w:rsidR="0044249A" w:rsidRDefault="0044249A" w:rsidP="00BD48A9">
      <w:pPr>
        <w:jc w:val="center"/>
        <w:rPr>
          <w:b/>
        </w:rPr>
      </w:pPr>
    </w:p>
    <w:p w14:paraId="7D32C87D" w14:textId="65578474" w:rsidR="00BD48A9" w:rsidRPr="00311A32" w:rsidRDefault="00DD3D5A" w:rsidP="005B6AD6">
      <w:pPr>
        <w:spacing w:line="480" w:lineRule="auto"/>
        <w:jc w:val="center"/>
      </w:pPr>
      <w:r>
        <w:rPr>
          <w:b/>
        </w:rPr>
        <w:t>D</w:t>
      </w:r>
      <w:r w:rsidR="00C9522E">
        <w:rPr>
          <w:b/>
        </w:rPr>
        <w:t>o</w:t>
      </w:r>
      <w:r>
        <w:rPr>
          <w:b/>
        </w:rPr>
        <w:t>es</w:t>
      </w:r>
      <w:r w:rsidR="005B6AD6">
        <w:rPr>
          <w:b/>
        </w:rPr>
        <w:t xml:space="preserve"> death from</w:t>
      </w:r>
      <w:r w:rsidR="00D15136" w:rsidRPr="00D15136">
        <w:rPr>
          <w:b/>
        </w:rPr>
        <w:t xml:space="preserve"> </w:t>
      </w:r>
      <w:r w:rsidR="000F68C2">
        <w:rPr>
          <w:b/>
        </w:rPr>
        <w:t>COVID-19</w:t>
      </w:r>
      <w:r w:rsidR="00D15136" w:rsidRPr="00D15136">
        <w:rPr>
          <w:b/>
        </w:rPr>
        <w:t xml:space="preserve"> </w:t>
      </w:r>
      <w:r>
        <w:rPr>
          <w:b/>
        </w:rPr>
        <w:t xml:space="preserve">arise from </w:t>
      </w:r>
      <w:r w:rsidR="005B6AD6">
        <w:rPr>
          <w:b/>
        </w:rPr>
        <w:t>a multistep process?</w:t>
      </w:r>
    </w:p>
    <w:p w14:paraId="3C8C9A92" w14:textId="6B095221" w:rsidR="00926191" w:rsidRPr="004614FC" w:rsidRDefault="00926191" w:rsidP="00926191">
      <w:pPr>
        <w:tabs>
          <w:tab w:val="left" w:pos="1941"/>
          <w:tab w:val="center" w:pos="4513"/>
        </w:tabs>
        <w:spacing w:after="120"/>
        <w:jc w:val="center"/>
      </w:pPr>
      <w:r w:rsidRPr="004614FC">
        <w:t>Neil Pearce</w:t>
      </w:r>
      <w:r w:rsidRPr="004614FC">
        <w:rPr>
          <w:vertAlign w:val="superscript"/>
        </w:rPr>
        <w:t>1</w:t>
      </w:r>
      <w:r w:rsidRPr="004614FC">
        <w:t xml:space="preserve">, </w:t>
      </w:r>
      <w:proofErr w:type="spellStart"/>
      <w:r w:rsidRPr="004614FC">
        <w:t>Giovenale</w:t>
      </w:r>
      <w:proofErr w:type="spellEnd"/>
      <w:r w:rsidRPr="004614FC">
        <w:t xml:space="preserve"> Moirano</w:t>
      </w:r>
      <w:r w:rsidRPr="004614FC">
        <w:rPr>
          <w:vertAlign w:val="superscript"/>
        </w:rPr>
        <w:t>2</w:t>
      </w:r>
      <w:r w:rsidRPr="004614FC">
        <w:t>, Milena Maule</w:t>
      </w:r>
      <w:r w:rsidRPr="004614FC">
        <w:rPr>
          <w:vertAlign w:val="superscript"/>
        </w:rPr>
        <w:t>2</w:t>
      </w:r>
      <w:r w:rsidRPr="004614FC">
        <w:t xml:space="preserve">, </w:t>
      </w:r>
      <w:proofErr w:type="spellStart"/>
      <w:r w:rsidRPr="004614FC">
        <w:t>Manolis</w:t>
      </w:r>
      <w:proofErr w:type="spellEnd"/>
      <w:r w:rsidRPr="004614FC">
        <w:t xml:space="preserve"> Kogevinas</w:t>
      </w:r>
      <w:r w:rsidRPr="004614FC">
        <w:rPr>
          <w:vertAlign w:val="superscript"/>
        </w:rPr>
        <w:t>3</w:t>
      </w:r>
      <w:r w:rsidR="009C1A0F">
        <w:rPr>
          <w:vertAlign w:val="superscript"/>
        </w:rPr>
        <w:t>,4</w:t>
      </w:r>
      <w:r w:rsidRPr="004614FC">
        <w:t>, Xavier Rodo</w:t>
      </w:r>
      <w:r w:rsidRPr="004614FC">
        <w:rPr>
          <w:vertAlign w:val="superscript"/>
        </w:rPr>
        <w:t>3</w:t>
      </w:r>
      <w:r w:rsidR="00DE5871">
        <w:rPr>
          <w:vertAlign w:val="superscript"/>
        </w:rPr>
        <w:t>,5</w:t>
      </w:r>
      <w:r w:rsidRPr="004614FC">
        <w:t>, Deborah A Lawlor</w:t>
      </w:r>
      <w:r w:rsidR="00DE5871">
        <w:rPr>
          <w:vertAlign w:val="superscript"/>
        </w:rPr>
        <w:t>6,7</w:t>
      </w:r>
      <w:r w:rsidRPr="004614FC">
        <w:t>, Jan Vandenbroucke</w:t>
      </w:r>
      <w:r w:rsidRPr="004614FC">
        <w:rPr>
          <w:vertAlign w:val="superscript"/>
        </w:rPr>
        <w:t>1,</w:t>
      </w:r>
      <w:r w:rsidR="00DE5871">
        <w:rPr>
          <w:vertAlign w:val="superscript"/>
        </w:rPr>
        <w:t>8,9</w:t>
      </w:r>
      <w:r w:rsidRPr="004614FC">
        <w:t>, Christina Vandenbroucke-Grauls</w:t>
      </w:r>
      <w:r w:rsidR="00DE5871">
        <w:rPr>
          <w:vertAlign w:val="superscript"/>
        </w:rPr>
        <w:t>10</w:t>
      </w:r>
      <w:r w:rsidRPr="004614FC">
        <w:t>, Fernando P Polack</w:t>
      </w:r>
      <w:r w:rsidR="00DE5871">
        <w:rPr>
          <w:vertAlign w:val="superscript"/>
        </w:rPr>
        <w:t>11,12</w:t>
      </w:r>
      <w:r w:rsidRPr="004614FC">
        <w:t>, Adnan Custovic</w:t>
      </w:r>
      <w:r w:rsidRPr="004614FC">
        <w:rPr>
          <w:vertAlign w:val="superscript"/>
        </w:rPr>
        <w:t>1</w:t>
      </w:r>
      <w:r w:rsidR="00DE5871">
        <w:rPr>
          <w:vertAlign w:val="superscript"/>
        </w:rPr>
        <w:t>3</w:t>
      </w:r>
    </w:p>
    <w:p w14:paraId="7912B0B2" w14:textId="77777777" w:rsidR="00926191" w:rsidRDefault="00926191" w:rsidP="00926191">
      <w:pPr>
        <w:spacing w:after="120"/>
      </w:pPr>
    </w:p>
    <w:p w14:paraId="5D119ED0" w14:textId="77777777" w:rsidR="00926191" w:rsidRDefault="00926191" w:rsidP="00926191">
      <w:pPr>
        <w:spacing w:after="120"/>
      </w:pPr>
      <w:r>
        <w:t>(1) London School of Hygiene and Tropical Medicine, London, UK</w:t>
      </w:r>
    </w:p>
    <w:p w14:paraId="08067F09" w14:textId="77777777" w:rsidR="00926191" w:rsidRDefault="00926191" w:rsidP="00926191">
      <w:pPr>
        <w:spacing w:after="120"/>
        <w:rPr>
          <w:lang w:val="en-NZ"/>
        </w:rPr>
      </w:pPr>
      <w:r>
        <w:t xml:space="preserve">(2) </w:t>
      </w:r>
      <w:r>
        <w:rPr>
          <w:lang w:val="en-NZ"/>
        </w:rPr>
        <w:t>Unit of Cancer Epidemiology, Department of Medical Sciences, University of Turin</w:t>
      </w:r>
    </w:p>
    <w:p w14:paraId="7C443E34" w14:textId="333A336B" w:rsidR="00926191" w:rsidRDefault="00926191" w:rsidP="00926191">
      <w:pPr>
        <w:spacing w:after="120"/>
        <w:rPr>
          <w:lang w:val="en-NZ"/>
        </w:rPr>
      </w:pPr>
      <w:r>
        <w:rPr>
          <w:lang w:val="en-NZ"/>
        </w:rPr>
        <w:t xml:space="preserve">(3) </w:t>
      </w:r>
      <w:proofErr w:type="spellStart"/>
      <w:r>
        <w:rPr>
          <w:lang w:val="en-NZ"/>
        </w:rPr>
        <w:t>ISGlobal</w:t>
      </w:r>
      <w:proofErr w:type="spellEnd"/>
      <w:r>
        <w:rPr>
          <w:lang w:val="en-NZ"/>
        </w:rPr>
        <w:t>, Barcelona, Spain</w:t>
      </w:r>
    </w:p>
    <w:p w14:paraId="5AD36A29" w14:textId="5FA0AF3A" w:rsidR="009C1A0F" w:rsidRDefault="009C1A0F" w:rsidP="00926191">
      <w:pPr>
        <w:spacing w:after="120"/>
        <w:rPr>
          <w:lang w:val="en-NZ"/>
        </w:rPr>
      </w:pPr>
      <w:r>
        <w:rPr>
          <w:lang w:val="en-NZ"/>
        </w:rPr>
        <w:t>(4) IMIM (hospital del Mar Medical Research Institute), Barcelona, Spain</w:t>
      </w:r>
    </w:p>
    <w:p w14:paraId="326F2BFF" w14:textId="755C99E5" w:rsidR="00DE5871" w:rsidRDefault="00DE5871" w:rsidP="00926191">
      <w:pPr>
        <w:spacing w:after="120"/>
        <w:rPr>
          <w:lang w:val="en-NZ"/>
        </w:rPr>
      </w:pPr>
      <w:r>
        <w:rPr>
          <w:lang w:val="en-NZ"/>
        </w:rPr>
        <w:t>(5) ICREA, Barcelona, Spain</w:t>
      </w:r>
    </w:p>
    <w:p w14:paraId="61134B19" w14:textId="5C560736" w:rsidR="00926191" w:rsidRDefault="00926191" w:rsidP="00926191">
      <w:pPr>
        <w:pStyle w:val="CommentText"/>
        <w:spacing w:after="120"/>
        <w:rPr>
          <w:rFonts w:ascii="Times New Roman" w:hAnsi="Times New Roman" w:cs="Times New Roman"/>
        </w:rPr>
      </w:pPr>
      <w:r>
        <w:rPr>
          <w:rFonts w:ascii="Times New Roman" w:hAnsi="Times New Roman" w:cs="Times New Roman"/>
          <w:lang w:val="en-NZ"/>
        </w:rPr>
        <w:t>(</w:t>
      </w:r>
      <w:r w:rsidR="00DE5871">
        <w:rPr>
          <w:rFonts w:ascii="Times New Roman" w:hAnsi="Times New Roman" w:cs="Times New Roman"/>
          <w:lang w:val="en-NZ"/>
        </w:rPr>
        <w:t>6</w:t>
      </w:r>
      <w:r>
        <w:rPr>
          <w:rFonts w:ascii="Times New Roman" w:hAnsi="Times New Roman" w:cs="Times New Roman"/>
          <w:lang w:val="en-NZ"/>
        </w:rPr>
        <w:t xml:space="preserve">) </w:t>
      </w:r>
      <w:r>
        <w:rPr>
          <w:rFonts w:ascii="Times New Roman" w:hAnsi="Times New Roman" w:cs="Times New Roman"/>
        </w:rPr>
        <w:t>MRC Integrative Epidemiology Unit at the University of Bristol, Bristol, UK</w:t>
      </w:r>
    </w:p>
    <w:p w14:paraId="3C34E1D0" w14:textId="4DC571AB" w:rsidR="00926191" w:rsidRDefault="00926191" w:rsidP="00926191">
      <w:pPr>
        <w:pStyle w:val="CommentText"/>
        <w:spacing w:after="120"/>
        <w:rPr>
          <w:rFonts w:ascii="Times New Roman" w:hAnsi="Times New Roman" w:cs="Times New Roman"/>
        </w:rPr>
      </w:pPr>
      <w:r>
        <w:rPr>
          <w:rFonts w:ascii="Times New Roman" w:hAnsi="Times New Roman" w:cs="Times New Roman"/>
        </w:rPr>
        <w:t>(</w:t>
      </w:r>
      <w:r w:rsidR="00DE5871">
        <w:rPr>
          <w:rFonts w:ascii="Times New Roman" w:hAnsi="Times New Roman" w:cs="Times New Roman"/>
        </w:rPr>
        <w:t>7</w:t>
      </w:r>
      <w:r>
        <w:rPr>
          <w:rFonts w:ascii="Times New Roman" w:hAnsi="Times New Roman" w:cs="Times New Roman"/>
        </w:rPr>
        <w:t>) Population Health, Bristol Medical School, University of Bristol, Bristol, UK</w:t>
      </w:r>
    </w:p>
    <w:p w14:paraId="53C7B956" w14:textId="53BC4435" w:rsidR="00926191" w:rsidRDefault="00926191" w:rsidP="00926191">
      <w:pPr>
        <w:spacing w:after="120"/>
      </w:pPr>
      <w:r>
        <w:t>(</w:t>
      </w:r>
      <w:r w:rsidR="00DE5871">
        <w:t>8</w:t>
      </w:r>
      <w:r>
        <w:t>) Leiden University Medical Center, The Netherlands</w:t>
      </w:r>
    </w:p>
    <w:p w14:paraId="301DEABD" w14:textId="02DC3557" w:rsidR="00926191" w:rsidRDefault="00926191" w:rsidP="00926191">
      <w:pPr>
        <w:spacing w:after="120"/>
      </w:pPr>
      <w:r>
        <w:t>(</w:t>
      </w:r>
      <w:r w:rsidR="00DE5871">
        <w:t>9</w:t>
      </w:r>
      <w:r>
        <w:t>) Aarhus University Denmark</w:t>
      </w:r>
    </w:p>
    <w:p w14:paraId="06C32DFA" w14:textId="191C4AEE" w:rsidR="00926191" w:rsidRDefault="00926191" w:rsidP="00926191">
      <w:pPr>
        <w:spacing w:after="120"/>
        <w:rPr>
          <w:rFonts w:eastAsia="Calibri"/>
        </w:rPr>
      </w:pPr>
      <w:r>
        <w:t>(</w:t>
      </w:r>
      <w:r w:rsidR="00DE5871">
        <w:t>10</w:t>
      </w:r>
      <w:r>
        <w:t xml:space="preserve">) </w:t>
      </w:r>
      <w:r>
        <w:rPr>
          <w:rFonts w:eastAsia="Calibri"/>
        </w:rPr>
        <w:t>Department of Medical Microbiology and Infection Prevention, Amsterdam UMC, The Netherlands</w:t>
      </w:r>
    </w:p>
    <w:p w14:paraId="08C79715" w14:textId="7C488AC0" w:rsidR="00926191" w:rsidRDefault="00926191" w:rsidP="00926191">
      <w:pPr>
        <w:spacing w:after="120"/>
      </w:pPr>
      <w:r>
        <w:t>(</w:t>
      </w:r>
      <w:r w:rsidR="009C1A0F">
        <w:t>1</w:t>
      </w:r>
      <w:r w:rsidR="00DE5871">
        <w:t>1</w:t>
      </w:r>
      <w:r>
        <w:t xml:space="preserve">) </w:t>
      </w:r>
      <w:proofErr w:type="spellStart"/>
      <w:r>
        <w:t>Fundacion</w:t>
      </w:r>
      <w:proofErr w:type="spellEnd"/>
      <w:r>
        <w:t xml:space="preserve"> INFANT, Buenos Aires, Argentina</w:t>
      </w:r>
    </w:p>
    <w:p w14:paraId="6BFBAA23" w14:textId="4286EF03" w:rsidR="00926191" w:rsidRDefault="00926191" w:rsidP="00926191">
      <w:pPr>
        <w:spacing w:after="120"/>
      </w:pPr>
      <w:r>
        <w:t>(1</w:t>
      </w:r>
      <w:r w:rsidR="00DE5871">
        <w:t>2</w:t>
      </w:r>
      <w:r>
        <w:t>) Department of Pediatrics, Vanderbilt University, Nashville, TN</w:t>
      </w:r>
    </w:p>
    <w:p w14:paraId="30BAF2AF" w14:textId="1444588A" w:rsidR="00926191" w:rsidRDefault="00926191" w:rsidP="00926191">
      <w:pPr>
        <w:spacing w:after="120"/>
      </w:pPr>
      <w:r>
        <w:t>(1</w:t>
      </w:r>
      <w:r w:rsidR="00DE5871">
        <w:t>3</w:t>
      </w:r>
      <w:r>
        <w:t xml:space="preserve">) </w:t>
      </w:r>
      <w:r>
        <w:rPr>
          <w:bCs/>
          <w:color w:val="000000"/>
          <w:bdr w:val="none" w:sz="0" w:space="0" w:color="auto" w:frame="1"/>
        </w:rPr>
        <w:t xml:space="preserve">National Heart &amp; Lung Institute, </w:t>
      </w:r>
      <w:r>
        <w:t>Imperial College London, United Kingdom</w:t>
      </w:r>
    </w:p>
    <w:p w14:paraId="70145935" w14:textId="3C68E5D1" w:rsidR="00B76B19" w:rsidRDefault="00926191" w:rsidP="00540180">
      <w:pPr>
        <w:spacing w:after="120"/>
      </w:pPr>
      <w:r w:rsidRPr="004614FC" w:rsidDel="00926191">
        <w:rPr>
          <w:lang w:val="en-GB"/>
        </w:rPr>
        <w:t xml:space="preserve"> </w:t>
      </w:r>
    </w:p>
    <w:p w14:paraId="769131E4" w14:textId="662259CF" w:rsidR="00B76B19" w:rsidRPr="00E855F9" w:rsidRDefault="00B76B19" w:rsidP="00E855F9">
      <w:pPr>
        <w:spacing w:after="120"/>
        <w:jc w:val="center"/>
        <w:rPr>
          <w:b/>
          <w:bCs/>
        </w:rPr>
      </w:pPr>
      <w:r w:rsidRPr="00E855F9">
        <w:rPr>
          <w:b/>
          <w:bCs/>
        </w:rPr>
        <w:t>Supplementary Appendix</w:t>
      </w:r>
    </w:p>
    <w:p w14:paraId="6BD7DF55" w14:textId="539FBA89" w:rsidR="00315F4E" w:rsidRDefault="00315F4E" w:rsidP="00315F4E"/>
    <w:p w14:paraId="31C400F2" w14:textId="77777777" w:rsidR="00315F4E" w:rsidRPr="00311A32" w:rsidRDefault="00315F4E" w:rsidP="00315F4E"/>
    <w:p w14:paraId="4A8E65EE" w14:textId="7A346B2B" w:rsidR="00A62531" w:rsidRDefault="00A62531" w:rsidP="0065507B">
      <w:pPr>
        <w:spacing w:after="160" w:line="259" w:lineRule="auto"/>
        <w:jc w:val="both"/>
      </w:pPr>
    </w:p>
    <w:p w14:paraId="29C590AB" w14:textId="77777777" w:rsidR="001634AA" w:rsidRDefault="001634AA" w:rsidP="0065507B">
      <w:pPr>
        <w:spacing w:after="160" w:line="259" w:lineRule="auto"/>
        <w:jc w:val="both"/>
      </w:pPr>
    </w:p>
    <w:p w14:paraId="1376291C" w14:textId="77777777" w:rsidR="00B129CC" w:rsidRDefault="00B129CC">
      <w:pPr>
        <w:spacing w:after="160" w:line="259" w:lineRule="auto"/>
      </w:pPr>
      <w:r>
        <w:br w:type="page"/>
      </w:r>
    </w:p>
    <w:p w14:paraId="11414784" w14:textId="758169DB" w:rsidR="004D2925" w:rsidRPr="005972A8" w:rsidRDefault="004D2925" w:rsidP="004614FC">
      <w:pPr>
        <w:spacing w:after="120"/>
        <w:rPr>
          <w:b/>
        </w:rPr>
      </w:pPr>
      <w:r>
        <w:rPr>
          <w:b/>
        </w:rPr>
        <w:lastRenderedPageBreak/>
        <w:t>C</w:t>
      </w:r>
      <w:r w:rsidRPr="005972A8">
        <w:rPr>
          <w:b/>
        </w:rPr>
        <w:t xml:space="preserve">ountry-specific findings </w:t>
      </w:r>
    </w:p>
    <w:p w14:paraId="12A3E4A1" w14:textId="77777777" w:rsidR="00B35399" w:rsidRDefault="00B35399" w:rsidP="004D2925">
      <w:pPr>
        <w:spacing w:after="160" w:line="259" w:lineRule="auto"/>
        <w:rPr>
          <w:b/>
        </w:rPr>
      </w:pPr>
    </w:p>
    <w:p w14:paraId="10614875" w14:textId="1D8501D4" w:rsidR="004D2925" w:rsidRPr="009931E6" w:rsidRDefault="004D2925" w:rsidP="004D2925">
      <w:pPr>
        <w:spacing w:after="160" w:line="259" w:lineRule="auto"/>
        <w:rPr>
          <w:b/>
        </w:rPr>
      </w:pPr>
      <w:r>
        <w:rPr>
          <w:b/>
        </w:rPr>
        <w:t xml:space="preserve">Figure S1. </w:t>
      </w:r>
      <w:r w:rsidRPr="009931E6">
        <w:rPr>
          <w:b/>
        </w:rPr>
        <w:t>China</w:t>
      </w:r>
    </w:p>
    <w:p w14:paraId="7F255823" w14:textId="77777777" w:rsidR="004D2925" w:rsidRPr="009931E6" w:rsidRDefault="004D2925" w:rsidP="004D2925">
      <w:pPr>
        <w:spacing w:after="160" w:line="259" w:lineRule="auto"/>
        <w:rPr>
          <w:i/>
        </w:rPr>
      </w:pPr>
      <w:r w:rsidRPr="009931E6">
        <w:rPr>
          <w:i/>
        </w:rPr>
        <w:t>Total (males and females combined) for CFR</w:t>
      </w:r>
    </w:p>
    <w:p w14:paraId="56B33A4A" w14:textId="77777777" w:rsidR="004D2925" w:rsidRDefault="004D2925" w:rsidP="004D2925">
      <w:pPr>
        <w:spacing w:after="160" w:line="259" w:lineRule="auto"/>
      </w:pPr>
      <w:r>
        <w:rPr>
          <w:noProof/>
        </w:rPr>
        <w:drawing>
          <wp:inline distT="0" distB="0" distL="0" distR="0" wp14:anchorId="1573C220" wp14:editId="14EB07CA">
            <wp:extent cx="4488180" cy="2339340"/>
            <wp:effectExtent l="0" t="0" r="7620" b="3810"/>
            <wp:docPr id="1" name="Chart 1">
              <a:extLst xmlns:a="http://schemas.openxmlformats.org/drawingml/2006/main">
                <a:ext uri="{FF2B5EF4-FFF2-40B4-BE49-F238E27FC236}">
                  <a16:creationId xmlns:a16="http://schemas.microsoft.com/office/drawing/2014/main" id="{1C3868B5-F846-4110-B0FA-859B94C03B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7F2827F" w14:textId="77777777" w:rsidR="00B35399" w:rsidRDefault="00B35399" w:rsidP="004D2925">
      <w:pPr>
        <w:spacing w:after="160" w:line="259" w:lineRule="auto"/>
        <w:rPr>
          <w:b/>
        </w:rPr>
      </w:pPr>
    </w:p>
    <w:p w14:paraId="34D00139" w14:textId="56B990BD" w:rsidR="004D2925" w:rsidRPr="00CF19A0" w:rsidRDefault="004D2925" w:rsidP="004D2925">
      <w:pPr>
        <w:spacing w:after="160" w:line="259" w:lineRule="auto"/>
        <w:rPr>
          <w:b/>
        </w:rPr>
      </w:pPr>
      <w:r>
        <w:rPr>
          <w:b/>
        </w:rPr>
        <w:t xml:space="preserve">Figure S2. South </w:t>
      </w:r>
      <w:r w:rsidRPr="00CF19A0">
        <w:rPr>
          <w:b/>
        </w:rPr>
        <w:t>Korea</w:t>
      </w:r>
    </w:p>
    <w:p w14:paraId="2ACBC778" w14:textId="77777777" w:rsidR="004D2925" w:rsidRPr="009931E6" w:rsidRDefault="004D2925" w:rsidP="004D2925">
      <w:pPr>
        <w:spacing w:after="160" w:line="259" w:lineRule="auto"/>
        <w:rPr>
          <w:i/>
        </w:rPr>
      </w:pPr>
      <w:r w:rsidRPr="009931E6">
        <w:rPr>
          <w:i/>
        </w:rPr>
        <w:t>Total (males and females combined) for CFR</w:t>
      </w:r>
    </w:p>
    <w:p w14:paraId="66AFFF50" w14:textId="77777777" w:rsidR="004D2925" w:rsidRPr="009931E6" w:rsidRDefault="004D2925" w:rsidP="004D2925">
      <w:pPr>
        <w:spacing w:after="160" w:line="259" w:lineRule="auto"/>
        <w:rPr>
          <w:i/>
        </w:rPr>
      </w:pPr>
      <w:r>
        <w:rPr>
          <w:noProof/>
        </w:rPr>
        <w:drawing>
          <wp:inline distT="0" distB="0" distL="0" distR="0" wp14:anchorId="179692C6" wp14:editId="068966DD">
            <wp:extent cx="4572000" cy="2636520"/>
            <wp:effectExtent l="0" t="0" r="0" b="11430"/>
            <wp:docPr id="2" name="Chart 2">
              <a:extLst xmlns:a="http://schemas.openxmlformats.org/drawingml/2006/main">
                <a:ext uri="{FF2B5EF4-FFF2-40B4-BE49-F238E27FC236}">
                  <a16:creationId xmlns:a16="http://schemas.microsoft.com/office/drawing/2014/main" id="{CB1CE6AC-6096-452D-8D8D-BFB7524D3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E28D29" w14:textId="77777777" w:rsidR="004D2925" w:rsidRDefault="004D2925" w:rsidP="004D2925">
      <w:pPr>
        <w:spacing w:after="160" w:line="259" w:lineRule="auto"/>
      </w:pPr>
    </w:p>
    <w:p w14:paraId="764E235A" w14:textId="77777777" w:rsidR="004D2925" w:rsidRDefault="004D2925" w:rsidP="004D2925">
      <w:pPr>
        <w:spacing w:after="160" w:line="259" w:lineRule="auto"/>
      </w:pPr>
    </w:p>
    <w:p w14:paraId="2EAF1C26" w14:textId="77777777" w:rsidR="004D2925" w:rsidRDefault="004D2925" w:rsidP="004D2925">
      <w:pPr>
        <w:spacing w:after="160" w:line="259" w:lineRule="auto"/>
      </w:pPr>
      <w:r>
        <w:br w:type="page"/>
      </w:r>
    </w:p>
    <w:p w14:paraId="0ED79960" w14:textId="274CD960" w:rsidR="004D2925" w:rsidRPr="009931E6" w:rsidRDefault="004D2925" w:rsidP="004D2925">
      <w:pPr>
        <w:spacing w:after="160" w:line="259" w:lineRule="auto"/>
        <w:rPr>
          <w:b/>
        </w:rPr>
      </w:pPr>
      <w:r>
        <w:rPr>
          <w:b/>
        </w:rPr>
        <w:t xml:space="preserve">Figure S3. </w:t>
      </w:r>
      <w:r w:rsidRPr="009931E6">
        <w:rPr>
          <w:b/>
        </w:rPr>
        <w:t>Italy</w:t>
      </w:r>
    </w:p>
    <w:p w14:paraId="0023BADD" w14:textId="77777777" w:rsidR="004D2925" w:rsidRPr="009931E6" w:rsidRDefault="004D2925" w:rsidP="004D2925">
      <w:pPr>
        <w:spacing w:after="160" w:line="259" w:lineRule="auto"/>
        <w:rPr>
          <w:i/>
        </w:rPr>
      </w:pPr>
      <w:r w:rsidRPr="009931E6">
        <w:rPr>
          <w:i/>
        </w:rPr>
        <w:t>Total (males and females combined) for CFR</w:t>
      </w:r>
    </w:p>
    <w:p w14:paraId="75C47298" w14:textId="77777777" w:rsidR="004D2925" w:rsidRDefault="004D2925" w:rsidP="004D2925">
      <w:pPr>
        <w:spacing w:after="160" w:line="259" w:lineRule="auto"/>
      </w:pPr>
      <w:r>
        <w:rPr>
          <w:noProof/>
        </w:rPr>
        <w:drawing>
          <wp:inline distT="0" distB="0" distL="0" distR="0" wp14:anchorId="603BD0D9" wp14:editId="71C8073F">
            <wp:extent cx="3909060" cy="2362200"/>
            <wp:effectExtent l="0" t="0" r="15240" b="0"/>
            <wp:docPr id="11" name="Chart 11">
              <a:extLst xmlns:a="http://schemas.openxmlformats.org/drawingml/2006/main">
                <a:ext uri="{FF2B5EF4-FFF2-40B4-BE49-F238E27FC236}">
                  <a16:creationId xmlns:a16="http://schemas.microsoft.com/office/drawing/2014/main" id="{A58D36DF-6B9D-411D-B332-85768AD9A3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C6D27E9" w14:textId="77777777" w:rsidR="004D2925" w:rsidRDefault="004D2925" w:rsidP="004D2925">
      <w:pPr>
        <w:spacing w:after="160" w:line="259" w:lineRule="auto"/>
      </w:pPr>
    </w:p>
    <w:p w14:paraId="52A0CCB7" w14:textId="6A0A3BCE" w:rsidR="004D2925" w:rsidRPr="00FF7258" w:rsidRDefault="004D2925" w:rsidP="004D2925">
      <w:pPr>
        <w:spacing w:after="160" w:line="259" w:lineRule="auto"/>
      </w:pPr>
      <w:r>
        <w:rPr>
          <w:b/>
        </w:rPr>
        <w:t>Figure S4. Spain</w:t>
      </w:r>
    </w:p>
    <w:p w14:paraId="7DDA75B9" w14:textId="77777777" w:rsidR="004D2925" w:rsidRPr="009931E6" w:rsidRDefault="004D2925" w:rsidP="004D2925">
      <w:pPr>
        <w:spacing w:after="160" w:line="259" w:lineRule="auto"/>
        <w:rPr>
          <w:i/>
        </w:rPr>
      </w:pPr>
      <w:r w:rsidRPr="009931E6">
        <w:rPr>
          <w:i/>
        </w:rPr>
        <w:t>Total (males and females combined) for CFR</w:t>
      </w:r>
    </w:p>
    <w:p w14:paraId="40E333F7" w14:textId="77777777" w:rsidR="004D2925" w:rsidRDefault="004D2925" w:rsidP="004D2925">
      <w:pPr>
        <w:spacing w:after="160" w:line="259" w:lineRule="auto"/>
      </w:pPr>
    </w:p>
    <w:p w14:paraId="674D6B03" w14:textId="77777777" w:rsidR="004D2925" w:rsidRDefault="004D2925" w:rsidP="004D2925">
      <w:pPr>
        <w:spacing w:after="160" w:line="259" w:lineRule="auto"/>
      </w:pPr>
      <w:r>
        <w:rPr>
          <w:noProof/>
        </w:rPr>
        <w:drawing>
          <wp:inline distT="0" distB="0" distL="0" distR="0" wp14:anchorId="21CAE3BD" wp14:editId="7F8F9A34">
            <wp:extent cx="4572000" cy="2750820"/>
            <wp:effectExtent l="0" t="0" r="0" b="11430"/>
            <wp:docPr id="4" name="Chart 4">
              <a:extLst xmlns:a="http://schemas.openxmlformats.org/drawingml/2006/main">
                <a:ext uri="{FF2B5EF4-FFF2-40B4-BE49-F238E27FC236}">
                  <a16:creationId xmlns:a16="http://schemas.microsoft.com/office/drawing/2014/main" id="{9A182EC1-E98A-4126-A231-09AD8D101F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0F3B97" w14:textId="77777777" w:rsidR="004D2925" w:rsidRDefault="004D2925" w:rsidP="004D2925">
      <w:pPr>
        <w:spacing w:after="160" w:line="259" w:lineRule="auto"/>
      </w:pPr>
      <w:r>
        <w:br w:type="page"/>
      </w:r>
    </w:p>
    <w:p w14:paraId="036DE01C" w14:textId="6C9BB956" w:rsidR="004D2925" w:rsidRPr="00FF7258" w:rsidRDefault="004D2925" w:rsidP="004D2925">
      <w:pPr>
        <w:spacing w:after="160" w:line="259" w:lineRule="auto"/>
      </w:pPr>
      <w:r>
        <w:rPr>
          <w:b/>
        </w:rPr>
        <w:t>Figure S5. Japan</w:t>
      </w:r>
    </w:p>
    <w:p w14:paraId="293B33E4" w14:textId="77777777" w:rsidR="004D2925" w:rsidRPr="009931E6" w:rsidRDefault="004D2925" w:rsidP="004D2925">
      <w:pPr>
        <w:spacing w:after="160" w:line="259" w:lineRule="auto"/>
        <w:rPr>
          <w:i/>
        </w:rPr>
      </w:pPr>
      <w:r w:rsidRPr="009931E6">
        <w:rPr>
          <w:i/>
        </w:rPr>
        <w:t>Total (males and females combined) for CFR</w:t>
      </w:r>
    </w:p>
    <w:p w14:paraId="5B7648E7" w14:textId="12AFE9C1" w:rsidR="008614A4" w:rsidRPr="0037312C" w:rsidRDefault="004D2925" w:rsidP="00C304F4">
      <w:pPr>
        <w:spacing w:after="160" w:line="259" w:lineRule="auto"/>
      </w:pPr>
      <w:r>
        <w:rPr>
          <w:noProof/>
        </w:rPr>
        <w:drawing>
          <wp:inline distT="0" distB="0" distL="0" distR="0" wp14:anchorId="431BC735" wp14:editId="1BB62216">
            <wp:extent cx="4572000" cy="2636520"/>
            <wp:effectExtent l="0" t="0" r="0" b="11430"/>
            <wp:docPr id="7" name="Chart 7">
              <a:extLst xmlns:a="http://schemas.openxmlformats.org/drawingml/2006/main">
                <a:ext uri="{FF2B5EF4-FFF2-40B4-BE49-F238E27FC236}">
                  <a16:creationId xmlns:a16="http://schemas.microsoft.com/office/drawing/2014/main" id="{293D71A6-3538-435A-8D3C-D3352056F9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7EE806" w14:textId="77777777" w:rsidR="00A215AB" w:rsidRDefault="00A215AB" w:rsidP="00A215AB">
      <w:pPr>
        <w:spacing w:after="160" w:line="259" w:lineRule="auto"/>
        <w:rPr>
          <w:b/>
        </w:rPr>
      </w:pPr>
    </w:p>
    <w:p w14:paraId="174492AC" w14:textId="520B7471" w:rsidR="00A215AB" w:rsidRPr="00FF7258" w:rsidRDefault="00A215AB" w:rsidP="00A215AB">
      <w:pPr>
        <w:spacing w:after="160" w:line="259" w:lineRule="auto"/>
      </w:pPr>
      <w:r>
        <w:rPr>
          <w:b/>
        </w:rPr>
        <w:t>Figure S6. China</w:t>
      </w:r>
    </w:p>
    <w:p w14:paraId="2B8C4E25" w14:textId="00BD44F3" w:rsidR="00A215AB" w:rsidRPr="00E94D3B" w:rsidRDefault="00A215AB" w:rsidP="00E94D3B">
      <w:pPr>
        <w:spacing w:after="160" w:line="259" w:lineRule="auto"/>
        <w:rPr>
          <w:i/>
        </w:rPr>
      </w:pPr>
      <w:r w:rsidRPr="009931E6">
        <w:rPr>
          <w:i/>
        </w:rPr>
        <w:t>Total (males and females combined) for CFR</w:t>
      </w:r>
      <w:r>
        <w:rPr>
          <w:i/>
        </w:rPr>
        <w:t xml:space="preserve"> (using adjusted data)</w:t>
      </w:r>
    </w:p>
    <w:p w14:paraId="2369D781" w14:textId="01F44325" w:rsidR="00A215AB" w:rsidRDefault="00A215AB" w:rsidP="00097957">
      <w:pPr>
        <w:spacing w:after="160" w:line="360" w:lineRule="auto"/>
        <w:rPr>
          <w:b/>
        </w:rPr>
      </w:pPr>
      <w:r>
        <w:rPr>
          <w:noProof/>
        </w:rPr>
        <w:drawing>
          <wp:inline distT="0" distB="0" distL="0" distR="0" wp14:anchorId="12C0A6DB" wp14:editId="03CDCCD2">
            <wp:extent cx="4572000" cy="2743200"/>
            <wp:effectExtent l="0" t="0" r="0" b="0"/>
            <wp:docPr id="3" name="Chart 3">
              <a:extLst xmlns:a="http://schemas.openxmlformats.org/drawingml/2006/main">
                <a:ext uri="{FF2B5EF4-FFF2-40B4-BE49-F238E27FC236}">
                  <a16:creationId xmlns:a16="http://schemas.microsoft.com/office/drawing/2014/main" id="{9D37A628-0556-4A3A-BADC-556A2FBAB7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ED25B1F" w14:textId="77777777" w:rsidR="00E94D3B" w:rsidRDefault="00E94D3B">
      <w:pPr>
        <w:spacing w:after="160" w:line="259" w:lineRule="auto"/>
        <w:rPr>
          <w:b/>
        </w:rPr>
      </w:pPr>
      <w:r>
        <w:rPr>
          <w:b/>
        </w:rPr>
        <w:br w:type="page"/>
      </w:r>
    </w:p>
    <w:p w14:paraId="7881B83B" w14:textId="0C68E2D2" w:rsidR="00A215AB" w:rsidRPr="00FF7258" w:rsidRDefault="00A215AB" w:rsidP="00A215AB">
      <w:pPr>
        <w:spacing w:after="160" w:line="259" w:lineRule="auto"/>
      </w:pPr>
      <w:r>
        <w:rPr>
          <w:b/>
        </w:rPr>
        <w:t>Figure S7. China</w:t>
      </w:r>
    </w:p>
    <w:p w14:paraId="2385B3D5" w14:textId="0B2EC034" w:rsidR="00A215AB" w:rsidRPr="009931E6" w:rsidRDefault="00A215AB" w:rsidP="00A215AB">
      <w:pPr>
        <w:spacing w:after="160" w:line="259" w:lineRule="auto"/>
        <w:rPr>
          <w:i/>
        </w:rPr>
      </w:pPr>
      <w:r w:rsidRPr="009931E6">
        <w:rPr>
          <w:i/>
        </w:rPr>
        <w:t xml:space="preserve">Total (males and females combined) for </w:t>
      </w:r>
      <w:r>
        <w:rPr>
          <w:i/>
        </w:rPr>
        <w:t>I</w:t>
      </w:r>
      <w:r w:rsidRPr="009931E6">
        <w:rPr>
          <w:i/>
        </w:rPr>
        <w:t>FR</w:t>
      </w:r>
      <w:r>
        <w:rPr>
          <w:i/>
        </w:rPr>
        <w:t xml:space="preserve"> (using adjusted data)</w:t>
      </w:r>
    </w:p>
    <w:p w14:paraId="457DD49A" w14:textId="6CAEFB7B" w:rsidR="00A215AB" w:rsidRDefault="00A215AB" w:rsidP="00097957">
      <w:pPr>
        <w:spacing w:after="160" w:line="360" w:lineRule="auto"/>
        <w:rPr>
          <w:b/>
        </w:rPr>
      </w:pPr>
      <w:r>
        <w:rPr>
          <w:noProof/>
        </w:rPr>
        <w:drawing>
          <wp:inline distT="0" distB="0" distL="0" distR="0" wp14:anchorId="0FF296EC" wp14:editId="68948B50">
            <wp:extent cx="4572000" cy="2743200"/>
            <wp:effectExtent l="0" t="0" r="0" b="0"/>
            <wp:docPr id="6" name="Chart 6">
              <a:extLst xmlns:a="http://schemas.openxmlformats.org/drawingml/2006/main">
                <a:ext uri="{FF2B5EF4-FFF2-40B4-BE49-F238E27FC236}">
                  <a16:creationId xmlns:a16="http://schemas.microsoft.com/office/drawing/2014/main" id="{EAC1FB6D-A032-4216-A30D-BC8353F897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3059F6" w14:textId="77777777" w:rsidR="00A215AB" w:rsidRDefault="00A215AB" w:rsidP="00097957">
      <w:pPr>
        <w:spacing w:after="160" w:line="360" w:lineRule="auto"/>
        <w:rPr>
          <w:b/>
        </w:rPr>
      </w:pPr>
    </w:p>
    <w:p w14:paraId="073D19C0" w14:textId="25B16304" w:rsidR="00C304F4" w:rsidRDefault="004D2925" w:rsidP="00097957">
      <w:pPr>
        <w:spacing w:after="160" w:line="360" w:lineRule="auto"/>
        <w:rPr>
          <w:b/>
        </w:rPr>
      </w:pPr>
      <w:r>
        <w:rPr>
          <w:b/>
        </w:rPr>
        <w:t>A</w:t>
      </w:r>
      <w:r w:rsidR="00C304F4">
        <w:rPr>
          <w:b/>
        </w:rPr>
        <w:t>nalyses for other respiratory diseases</w:t>
      </w:r>
    </w:p>
    <w:p w14:paraId="70649B06" w14:textId="7319C103" w:rsidR="004C6F58" w:rsidRDefault="004C6F58" w:rsidP="00097957">
      <w:pPr>
        <w:spacing w:after="160" w:line="360" w:lineRule="auto"/>
        <w:rPr>
          <w:rFonts w:eastAsia="Times New Roman"/>
          <w:color w:val="000000"/>
          <w:lang w:val="en-GB" w:eastAsia="en-GB"/>
        </w:rPr>
      </w:pPr>
      <w:r>
        <w:rPr>
          <w:rFonts w:eastAsia="Times New Roman"/>
          <w:color w:val="000000"/>
          <w:lang w:val="en-GB" w:eastAsia="en-GB"/>
        </w:rPr>
        <w:t>As a comparison, we also obtained similar data for three other respiratory disease</w:t>
      </w:r>
      <w:r w:rsidR="00AB5C32">
        <w:rPr>
          <w:rFonts w:eastAsia="Times New Roman"/>
          <w:color w:val="000000"/>
          <w:lang w:val="en-GB" w:eastAsia="en-GB"/>
        </w:rPr>
        <w:t xml:space="preserve">s: </w:t>
      </w:r>
      <w:r>
        <w:rPr>
          <w:rFonts w:eastAsia="Times New Roman"/>
          <w:color w:val="000000"/>
          <w:lang w:val="en-GB" w:eastAsia="en-GB"/>
        </w:rPr>
        <w:t>(seasonal influenza, pandemic influenza and SARS</w:t>
      </w:r>
      <w:r w:rsidR="00097957">
        <w:rPr>
          <w:rFonts w:eastAsia="Times New Roman"/>
          <w:color w:val="000000"/>
          <w:lang w:val="en-GB" w:eastAsia="en-GB"/>
        </w:rPr>
        <w:t>)</w:t>
      </w:r>
      <w:r>
        <w:rPr>
          <w:rFonts w:eastAsia="Times New Roman"/>
          <w:color w:val="000000"/>
          <w:lang w:val="en-GB" w:eastAsia="en-GB"/>
        </w:rPr>
        <w:t>.</w:t>
      </w:r>
    </w:p>
    <w:p w14:paraId="05042C02" w14:textId="77777777" w:rsidR="004D2925" w:rsidRDefault="00D84423" w:rsidP="00097957">
      <w:pPr>
        <w:spacing w:after="160" w:line="360" w:lineRule="auto"/>
      </w:pPr>
      <w:r>
        <w:rPr>
          <w:u w:val="single"/>
        </w:rPr>
        <w:t xml:space="preserve">Seasonal </w:t>
      </w:r>
      <w:r w:rsidR="004C6F58" w:rsidRPr="004C6F58">
        <w:rPr>
          <w:u w:val="single"/>
        </w:rPr>
        <w:t>Influenza</w:t>
      </w:r>
      <w:r w:rsidR="004C6F58" w:rsidRPr="004C6F58">
        <w:t xml:space="preserve"> </w:t>
      </w:r>
    </w:p>
    <w:p w14:paraId="61F4767B" w14:textId="56FE8884" w:rsidR="008614A4" w:rsidRPr="00097957" w:rsidRDefault="000F1AB7" w:rsidP="00097957">
      <w:pPr>
        <w:spacing w:after="160" w:line="360" w:lineRule="auto"/>
        <w:rPr>
          <w:lang w:val="en-GB"/>
        </w:rPr>
      </w:pPr>
      <w:r>
        <w:rPr>
          <w:rFonts w:eastAsia="Times New Roman"/>
          <w:color w:val="000000"/>
          <w:lang w:val="en-GB" w:eastAsia="en-GB"/>
        </w:rPr>
        <w:t>In an overview of s</w:t>
      </w:r>
      <w:r w:rsidR="00D84423">
        <w:rPr>
          <w:rFonts w:eastAsia="Times New Roman"/>
          <w:color w:val="000000"/>
          <w:lang w:val="en-GB" w:eastAsia="en-GB"/>
        </w:rPr>
        <w:t xml:space="preserve">easonal influenza </w:t>
      </w:r>
      <w:r>
        <w:rPr>
          <w:rFonts w:eastAsia="Times New Roman"/>
          <w:color w:val="000000"/>
          <w:lang w:val="en-GB" w:eastAsia="en-GB"/>
        </w:rPr>
        <w:t>for 2017-18</w:t>
      </w:r>
      <w:r w:rsidR="00A30290">
        <w:rPr>
          <w:rFonts w:eastAsia="Times New Roman"/>
          <w:color w:val="000000"/>
          <w:lang w:val="en-GB" w:eastAsia="en-GB"/>
        </w:rPr>
        <w:t xml:space="preserve"> in the US</w:t>
      </w:r>
      <w:r>
        <w:rPr>
          <w:rFonts w:eastAsia="Times New Roman"/>
          <w:color w:val="000000"/>
          <w:lang w:val="en-GB" w:eastAsia="en-GB"/>
        </w:rPr>
        <w:t xml:space="preserve">, </w:t>
      </w:r>
      <w:r w:rsidR="00097957">
        <w:rPr>
          <w:rFonts w:eastAsia="Times New Roman"/>
          <w:color w:val="000000"/>
          <w:lang w:val="en-GB" w:eastAsia="en-GB"/>
        </w:rPr>
        <w:t>obtained from the CDC website</w:t>
      </w:r>
      <w:r w:rsidR="00097957">
        <w:rPr>
          <w:rFonts w:eastAsia="Times New Roman"/>
          <w:color w:val="000000"/>
          <w:lang w:val="en-GB" w:eastAsia="en-GB"/>
        </w:rPr>
        <w:fldChar w:fldCharType="begin"/>
      </w:r>
      <w:r w:rsidR="00097957">
        <w:rPr>
          <w:rFonts w:eastAsia="Times New Roman"/>
          <w:color w:val="000000"/>
          <w:lang w:val="en-GB" w:eastAsia="en-GB"/>
        </w:rPr>
        <w:instrText xml:space="preserve"> ADDIN EN.CITE &lt;EndNote&gt;&lt;Cite&gt;&lt;Author&gt;CDC&lt;/Author&gt;&lt;Year&gt;2020&lt;/Year&gt;&lt;RecNum&gt;220&lt;/RecNum&gt;&lt;DisplayText&gt;(1)&lt;/DisplayText&gt;&lt;record&gt;&lt;rec-number&gt;220&lt;/rec-number&gt;&lt;foreign-keys&gt;&lt;key app="EN" db-id="adafapdxcwxpdbefd24ppzpja9z0srfdwt00" timestamp="1590999034"&gt;220&lt;/key&gt;&lt;/foreign-keys&gt;&lt;ref-type name="Web Page"&gt;12&lt;/ref-type&gt;&lt;contributors&gt;&lt;authors&gt;&lt;author&gt;CDC&lt;/author&gt;&lt;/authors&gt;&lt;/contributors&gt;&lt;titles&gt;&lt;title&gt;Estimated Influenza Illnesses, Medical visits, Hospitalizations, and Deaths in the United States — 2017–2018 influenza season&lt;/title&gt;&lt;/titles&gt;&lt;dates&gt;&lt;year&gt;2020&lt;/year&gt;&lt;/dates&gt;&lt;pub-location&gt;Atlanta, GA&lt;/pub-location&gt;&lt;publisher&gt;CDC&lt;/publisher&gt;&lt;urls&gt;&lt;related-urls&gt;&lt;url&gt;https://www.cdc.gov/flu/about/burden/2017-2018.htm&lt;/url&gt;&lt;/related-urls&gt;&lt;/urls&gt;&lt;custom2&gt;31 May 2020&lt;/custom2&gt;&lt;/record&gt;&lt;/Cite&gt;&lt;/EndNote&gt;</w:instrText>
      </w:r>
      <w:r w:rsidR="00097957">
        <w:rPr>
          <w:rFonts w:eastAsia="Times New Roman"/>
          <w:color w:val="000000"/>
          <w:lang w:val="en-GB" w:eastAsia="en-GB"/>
        </w:rPr>
        <w:fldChar w:fldCharType="separate"/>
      </w:r>
      <w:r w:rsidR="00097957">
        <w:rPr>
          <w:rFonts w:eastAsia="Times New Roman"/>
          <w:noProof/>
          <w:color w:val="000000"/>
          <w:lang w:val="en-GB" w:eastAsia="en-GB"/>
        </w:rPr>
        <w:t>(</w:t>
      </w:r>
      <w:hyperlink w:anchor="_ENREF_1" w:tooltip="CDC, 2020 #220" w:history="1">
        <w:r w:rsidR="00097957">
          <w:rPr>
            <w:rFonts w:eastAsia="Times New Roman"/>
            <w:noProof/>
            <w:color w:val="000000"/>
            <w:lang w:val="en-GB" w:eastAsia="en-GB"/>
          </w:rPr>
          <w:t>1</w:t>
        </w:r>
      </w:hyperlink>
      <w:r w:rsidR="00097957">
        <w:rPr>
          <w:rFonts w:eastAsia="Times New Roman"/>
          <w:noProof/>
          <w:color w:val="000000"/>
          <w:lang w:val="en-GB" w:eastAsia="en-GB"/>
        </w:rPr>
        <w:t>)</w:t>
      </w:r>
      <w:r w:rsidR="00097957">
        <w:rPr>
          <w:rFonts w:eastAsia="Times New Roman"/>
          <w:color w:val="000000"/>
          <w:lang w:val="en-GB" w:eastAsia="en-GB"/>
        </w:rPr>
        <w:fldChar w:fldCharType="end"/>
      </w:r>
      <w:r w:rsidR="00097957">
        <w:rPr>
          <w:rFonts w:eastAsia="Times New Roman"/>
          <w:color w:val="000000"/>
          <w:lang w:val="en-GB" w:eastAsia="en-GB"/>
        </w:rPr>
        <w:t>,</w:t>
      </w:r>
      <w:r>
        <w:rPr>
          <w:rFonts w:eastAsia="Times New Roman"/>
          <w:color w:val="000000"/>
          <w:lang w:val="en-GB" w:eastAsia="en-GB"/>
        </w:rPr>
        <w:t xml:space="preserve"> the age distribution of morbidity and mortality are quite divergent.  Illness rates are almost U-shaped, with highest rates amongst the youngest (0-4 years) and middle age</w:t>
      </w:r>
      <w:r w:rsidR="00A81962">
        <w:rPr>
          <w:rFonts w:eastAsia="Times New Roman"/>
          <w:color w:val="000000"/>
          <w:lang w:val="en-GB" w:eastAsia="en-GB"/>
        </w:rPr>
        <w:t xml:space="preserve">d (50-64). Hospitalization is J-shaped with higher hospitalizations amongst the youngest (0-4), </w:t>
      </w:r>
      <w:r w:rsidR="00A30290">
        <w:rPr>
          <w:rFonts w:eastAsia="Times New Roman"/>
          <w:color w:val="000000"/>
          <w:lang w:val="en-GB" w:eastAsia="en-GB"/>
        </w:rPr>
        <w:t xml:space="preserve">lower in </w:t>
      </w:r>
      <w:r w:rsidR="00A81962">
        <w:rPr>
          <w:rFonts w:eastAsia="Times New Roman"/>
          <w:color w:val="000000"/>
          <w:lang w:val="en-GB" w:eastAsia="en-GB"/>
        </w:rPr>
        <w:t>youth and young adults, but again high rates amongs</w:t>
      </w:r>
      <w:r w:rsidR="00A30290">
        <w:rPr>
          <w:rFonts w:eastAsia="Times New Roman"/>
          <w:color w:val="000000"/>
          <w:lang w:val="en-GB" w:eastAsia="en-GB"/>
        </w:rPr>
        <w:t>t</w:t>
      </w:r>
      <w:r w:rsidR="00A81962">
        <w:rPr>
          <w:rFonts w:eastAsia="Times New Roman"/>
          <w:color w:val="000000"/>
          <w:lang w:val="en-GB" w:eastAsia="en-GB"/>
        </w:rPr>
        <w:t xml:space="preserve"> middle aged (50-64) and very highest rates amongst the oldest (65+). Mortality increases with age in a pattern that looks almost exponential, from extremely low amongst the youngest and older children, up to very high rates, about 100 times higher among the oldest persons (65+). Th</w:t>
      </w:r>
      <w:r w:rsidR="00A30290">
        <w:rPr>
          <w:rFonts w:eastAsia="Times New Roman"/>
          <w:color w:val="000000"/>
          <w:lang w:val="en-GB" w:eastAsia="en-GB"/>
        </w:rPr>
        <w:t>ese</w:t>
      </w:r>
      <w:r w:rsidR="00A81962">
        <w:rPr>
          <w:rFonts w:eastAsia="Times New Roman"/>
          <w:color w:val="000000"/>
          <w:lang w:val="en-GB" w:eastAsia="en-GB"/>
        </w:rPr>
        <w:t xml:space="preserve"> pattern</w:t>
      </w:r>
      <w:r w:rsidR="00A30290">
        <w:rPr>
          <w:rFonts w:eastAsia="Times New Roman"/>
          <w:color w:val="000000"/>
          <w:lang w:val="en-GB" w:eastAsia="en-GB"/>
        </w:rPr>
        <w:t>s</w:t>
      </w:r>
      <w:r w:rsidR="00A81962">
        <w:rPr>
          <w:rFonts w:eastAsia="Times New Roman"/>
          <w:color w:val="000000"/>
          <w:lang w:val="en-GB" w:eastAsia="en-GB"/>
        </w:rPr>
        <w:t xml:space="preserve"> </w:t>
      </w:r>
      <w:r w:rsidR="00A30290">
        <w:rPr>
          <w:rFonts w:eastAsia="Times New Roman"/>
          <w:color w:val="000000"/>
          <w:lang w:val="en-GB" w:eastAsia="en-GB"/>
        </w:rPr>
        <w:t>are</w:t>
      </w:r>
      <w:r w:rsidR="00A81962">
        <w:rPr>
          <w:rFonts w:eastAsia="Times New Roman"/>
          <w:color w:val="000000"/>
          <w:lang w:val="en-GB" w:eastAsia="en-GB"/>
        </w:rPr>
        <w:t xml:space="preserve"> different from th</w:t>
      </w:r>
      <w:r w:rsidR="00A30290">
        <w:rPr>
          <w:rFonts w:eastAsia="Times New Roman"/>
          <w:color w:val="000000"/>
          <w:lang w:val="en-GB" w:eastAsia="en-GB"/>
        </w:rPr>
        <w:t>ose</w:t>
      </w:r>
      <w:r w:rsidR="00A81962">
        <w:rPr>
          <w:rFonts w:eastAsia="Times New Roman"/>
          <w:color w:val="000000"/>
          <w:lang w:val="en-GB" w:eastAsia="en-GB"/>
        </w:rPr>
        <w:t xml:space="preserve"> of COVID19, where all three parameters (illness, hospitalization and mortality</w:t>
      </w:r>
      <w:r w:rsidR="00246B00">
        <w:rPr>
          <w:rFonts w:eastAsia="Times New Roman"/>
          <w:color w:val="000000"/>
          <w:lang w:val="en-GB" w:eastAsia="en-GB"/>
        </w:rPr>
        <w:t>) seem to be extremely low in children and increase strongly with increasing age.</w:t>
      </w:r>
      <w:r w:rsidR="00A81962">
        <w:rPr>
          <w:rFonts w:eastAsia="Times New Roman"/>
          <w:color w:val="000000"/>
          <w:lang w:val="en-GB" w:eastAsia="en-GB"/>
        </w:rPr>
        <w:t xml:space="preserve"> </w:t>
      </w:r>
      <w:r w:rsidR="00D84423">
        <w:rPr>
          <w:rFonts w:eastAsia="Times New Roman"/>
          <w:color w:val="000000"/>
          <w:lang w:val="en-GB" w:eastAsia="en-GB"/>
        </w:rPr>
        <w:t xml:space="preserve"> However, because of the relatively low number of deaths in middle-age, most analyses of seasonal influenza mortality </w:t>
      </w:r>
      <w:r w:rsidR="00D84423" w:rsidRPr="00C61C9B">
        <w:rPr>
          <w:rFonts w:eastAsia="Times New Roman"/>
          <w:color w:val="000000"/>
          <w:lang w:val="en-GB" w:eastAsia="en-GB"/>
        </w:rPr>
        <w:t>are only reported using very broad age-groups, which are unsuitable for the multi-step model. Moreover, almost all reports involve population death rates, not CFRs or IFRs (some publications report CFRs for hospitalised patients, but these do not represent all cases in the community).</w:t>
      </w:r>
      <w:r w:rsidR="00C61C9B" w:rsidRPr="00C61C9B">
        <w:rPr>
          <w:rFonts w:eastAsia="Times New Roman"/>
          <w:color w:val="000000"/>
          <w:lang w:val="en-GB" w:eastAsia="en-GB"/>
        </w:rPr>
        <w:t xml:space="preserve"> </w:t>
      </w:r>
      <w:r w:rsidR="00C16400">
        <w:rPr>
          <w:rFonts w:eastAsia="Times New Roman"/>
          <w:color w:val="000000"/>
          <w:lang w:val="en-GB" w:eastAsia="en-GB"/>
        </w:rPr>
        <w:t>Figure S6</w:t>
      </w:r>
      <w:r w:rsidR="00C61C9B" w:rsidRPr="00C61C9B">
        <w:rPr>
          <w:rFonts w:eastAsia="Times New Roman"/>
          <w:color w:val="000000"/>
          <w:lang w:val="en-GB" w:eastAsia="en-GB"/>
        </w:rPr>
        <w:t xml:space="preserve"> shows </w:t>
      </w:r>
      <w:bookmarkStart w:id="0" w:name="_Hlk41387725"/>
      <w:r w:rsidR="00C61C9B" w:rsidRPr="00C61C9B">
        <w:rPr>
          <w:rFonts w:eastAsia="Times New Roman"/>
          <w:color w:val="000000"/>
          <w:lang w:val="en-GB" w:eastAsia="en-GB"/>
        </w:rPr>
        <w:t>data adapted from the publication of Cromer et al</w:t>
      </w:r>
      <w:r w:rsidR="00C61C9B" w:rsidRPr="00C61C9B">
        <w:rPr>
          <w:rFonts w:eastAsia="Times New Roman"/>
          <w:color w:val="000000"/>
          <w:lang w:val="en-GB" w:eastAsia="en-GB"/>
        </w:rPr>
        <w:fldChar w:fldCharType="begin"/>
      </w:r>
      <w:r w:rsidR="00097957">
        <w:rPr>
          <w:rFonts w:eastAsia="Times New Roman"/>
          <w:color w:val="000000"/>
          <w:lang w:val="en-GB" w:eastAsia="en-GB"/>
        </w:rPr>
        <w:instrText xml:space="preserve"> ADDIN EN.CITE &lt;EndNote&gt;&lt;Cite&gt;&lt;Author&gt;Cromer&lt;/Author&gt;&lt;Year&gt;2014&lt;/Year&gt;&lt;RecNum&gt;211&lt;/RecNum&gt;&lt;DisplayText&gt;(2)&lt;/DisplayText&gt;&lt;record&gt;&lt;rec-number&gt;211&lt;/rec-number&gt;&lt;foreign-keys&gt;&lt;key app="EN" db-id="adafapdxcwxpdbefd24ppzpja9z0srfdwt00" timestamp="1590153858"&gt;211&lt;/key&gt;&lt;/foreign-keys&gt;&lt;ref-type name="Journal Article"&gt;17&lt;/ref-type&gt;&lt;contributors&gt;&lt;authors&gt;&lt;author&gt;Cromer, D.&lt;/author&gt;&lt;author&gt;van Hoek, A.J.&lt;/author&gt;&lt;author&gt;Jit, M.&lt;/author&gt;&lt;author&gt;Edmunds, W.J.&lt;/author&gt;&lt;author&gt;Fleming, D.&lt;/author&gt;&lt;author&gt;Miller, E.&lt;/author&gt;&lt;/authors&gt;&lt;/contributors&gt;&lt;titles&gt;&lt;title&gt;The burden of influenza in England by age and clinical risk group: a statistical analysis to inform vaccine policy&lt;/title&gt;&lt;secondary-title&gt;Journal of Infection&lt;/secondary-title&gt;&lt;/titles&gt;&lt;periodical&gt;&lt;full-title&gt;Journal of Infection&lt;/full-title&gt;&lt;/periodical&gt;&lt;pages&gt;363-371&lt;/pages&gt;&lt;volume&gt;68&lt;/volume&gt;&lt;dates&gt;&lt;year&gt;2014&lt;/year&gt;&lt;/dates&gt;&lt;urls&gt;&lt;/urls&gt;&lt;/record&gt;&lt;/Cite&gt;&lt;/EndNote&gt;</w:instrText>
      </w:r>
      <w:r w:rsidR="00C61C9B" w:rsidRPr="00C61C9B">
        <w:rPr>
          <w:rFonts w:eastAsia="Times New Roman"/>
          <w:color w:val="000000"/>
          <w:lang w:val="en-GB" w:eastAsia="en-GB"/>
        </w:rPr>
        <w:fldChar w:fldCharType="separate"/>
      </w:r>
      <w:r w:rsidR="00097957">
        <w:rPr>
          <w:rFonts w:eastAsia="Times New Roman"/>
          <w:noProof/>
          <w:color w:val="000000"/>
          <w:lang w:val="en-GB" w:eastAsia="en-GB"/>
        </w:rPr>
        <w:t>(</w:t>
      </w:r>
      <w:hyperlink w:anchor="_ENREF_2" w:tooltip="Cromer, 2014 #211" w:history="1">
        <w:r w:rsidR="00097957">
          <w:rPr>
            <w:rFonts w:eastAsia="Times New Roman"/>
            <w:noProof/>
            <w:color w:val="000000"/>
            <w:lang w:val="en-GB" w:eastAsia="en-GB"/>
          </w:rPr>
          <w:t>2</w:t>
        </w:r>
      </w:hyperlink>
      <w:r w:rsidR="00097957">
        <w:rPr>
          <w:rFonts w:eastAsia="Times New Roman"/>
          <w:noProof/>
          <w:color w:val="000000"/>
          <w:lang w:val="en-GB" w:eastAsia="en-GB"/>
        </w:rPr>
        <w:t>)</w:t>
      </w:r>
      <w:r w:rsidR="00C61C9B" w:rsidRPr="00C61C9B">
        <w:rPr>
          <w:rFonts w:eastAsia="Times New Roman"/>
          <w:color w:val="000000"/>
          <w:lang w:val="en-GB" w:eastAsia="en-GB"/>
        </w:rPr>
        <w:fldChar w:fldCharType="end"/>
      </w:r>
      <w:r w:rsidR="00C61C9B" w:rsidRPr="00C61C9B">
        <w:rPr>
          <w:rFonts w:eastAsia="Times New Roman"/>
          <w:color w:val="000000"/>
          <w:lang w:val="en-GB" w:eastAsia="en-GB"/>
        </w:rPr>
        <w:t xml:space="preserve"> on </w:t>
      </w:r>
      <w:r w:rsidR="00A30290">
        <w:rPr>
          <w:rFonts w:eastAsia="Times New Roman"/>
          <w:color w:val="000000"/>
          <w:lang w:val="en-GB" w:eastAsia="en-GB"/>
        </w:rPr>
        <w:t xml:space="preserve">seasonal influenza </w:t>
      </w:r>
      <w:r w:rsidR="00C61C9B" w:rsidRPr="00C61C9B">
        <w:rPr>
          <w:rFonts w:eastAsia="Times New Roman"/>
          <w:color w:val="000000"/>
          <w:lang w:val="en-GB" w:eastAsia="en-GB"/>
        </w:rPr>
        <w:t>mortality in hospitalised cases in England during January 2000 to August 2007, i.e.</w:t>
      </w:r>
      <w:r w:rsidR="00C61C9B" w:rsidRPr="00C61C9B">
        <w:rPr>
          <w:lang w:val="en-GB"/>
        </w:rPr>
        <w:t xml:space="preserve"> during non-pandemic years.</w:t>
      </w:r>
      <w:r w:rsidR="00C61C9B">
        <w:rPr>
          <w:lang w:val="en-GB"/>
        </w:rPr>
        <w:t xml:space="preserve"> The data does not clearly show a log-log pattern, and the fitted slope is only 1.4</w:t>
      </w:r>
      <w:r w:rsidR="000D6C0F">
        <w:rPr>
          <w:lang w:val="en-GB"/>
        </w:rPr>
        <w:t>.</w:t>
      </w:r>
      <w:bookmarkEnd w:id="0"/>
    </w:p>
    <w:p w14:paraId="20AF053C" w14:textId="52F820F5" w:rsidR="00C61C9B" w:rsidRPr="00C61C9B" w:rsidRDefault="007B1364">
      <w:pPr>
        <w:spacing w:after="160" w:line="259" w:lineRule="auto"/>
        <w:rPr>
          <w:b/>
        </w:rPr>
      </w:pPr>
      <w:r>
        <w:rPr>
          <w:b/>
        </w:rPr>
        <w:t>F</w:t>
      </w:r>
      <w:r w:rsidR="00C61C9B" w:rsidRPr="00C61C9B">
        <w:rPr>
          <w:b/>
        </w:rPr>
        <w:t xml:space="preserve">igure </w:t>
      </w:r>
      <w:r>
        <w:rPr>
          <w:b/>
        </w:rPr>
        <w:t>S</w:t>
      </w:r>
      <w:r w:rsidR="00E94D3B">
        <w:rPr>
          <w:b/>
        </w:rPr>
        <w:t>8</w:t>
      </w:r>
      <w:r w:rsidR="00C61C9B" w:rsidRPr="00C61C9B">
        <w:rPr>
          <w:b/>
        </w:rPr>
        <w:t xml:space="preserve">: </w:t>
      </w:r>
      <w:proofErr w:type="gramStart"/>
      <w:r w:rsidR="00C61C9B" w:rsidRPr="00C61C9B">
        <w:rPr>
          <w:b/>
        </w:rPr>
        <w:t>Log(</w:t>
      </w:r>
      <w:proofErr w:type="gramEnd"/>
      <w:r w:rsidR="00C61C9B" w:rsidRPr="00C61C9B">
        <w:rPr>
          <w:b/>
        </w:rPr>
        <w:t>CFR) vs log(age) in patients hospitalized for non-pandemic influenza in England during 2000-2007</w:t>
      </w:r>
    </w:p>
    <w:p w14:paraId="49EEE9D3" w14:textId="3AB86D36" w:rsidR="00D84423" w:rsidRDefault="00C61C9B">
      <w:pPr>
        <w:spacing w:after="160" w:line="259" w:lineRule="auto"/>
      </w:pPr>
      <w:r>
        <w:rPr>
          <w:noProof/>
        </w:rPr>
        <w:drawing>
          <wp:inline distT="0" distB="0" distL="0" distR="0" wp14:anchorId="50427F84" wp14:editId="40F0C73A">
            <wp:extent cx="5288280" cy="2588260"/>
            <wp:effectExtent l="0" t="0" r="7620" b="2540"/>
            <wp:docPr id="8" name="Chart 8">
              <a:extLst xmlns:a="http://schemas.openxmlformats.org/drawingml/2006/main">
                <a:ext uri="{FF2B5EF4-FFF2-40B4-BE49-F238E27FC236}">
                  <a16:creationId xmlns:a16="http://schemas.microsoft.com/office/drawing/2014/main" id="{41427855-31AD-B34A-9376-E0105783D3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36E029" w14:textId="77777777" w:rsidR="00C61C9B" w:rsidRDefault="00C61C9B">
      <w:pPr>
        <w:spacing w:after="160" w:line="259" w:lineRule="auto"/>
      </w:pPr>
    </w:p>
    <w:p w14:paraId="09B40D0D" w14:textId="77777777" w:rsidR="004D2925" w:rsidRDefault="00C61C9B" w:rsidP="00097957">
      <w:pPr>
        <w:spacing w:after="160" w:line="360" w:lineRule="auto"/>
      </w:pPr>
      <w:r>
        <w:rPr>
          <w:u w:val="single"/>
        </w:rPr>
        <w:t>Pandemic influenza:</w:t>
      </w:r>
      <w:r>
        <w:t xml:space="preserve"> </w:t>
      </w:r>
    </w:p>
    <w:p w14:paraId="7CCD8A80" w14:textId="75AC3453" w:rsidR="004C6F58" w:rsidRPr="00A215AB" w:rsidRDefault="004D2925" w:rsidP="00097957">
      <w:pPr>
        <w:spacing w:after="160" w:line="360" w:lineRule="auto"/>
        <w:rPr>
          <w:lang w:val="en-GB"/>
        </w:rPr>
      </w:pPr>
      <w:r>
        <w:t>D</w:t>
      </w:r>
      <w:r w:rsidR="00C61C9B" w:rsidRPr="009629DF">
        <w:t xml:space="preserve">ifferent pandemics show different age patterns of mortality, presumably because of different </w:t>
      </w:r>
      <w:proofErr w:type="spellStart"/>
      <w:r w:rsidR="00C61C9B" w:rsidRPr="009629DF">
        <w:t>prevalences</w:t>
      </w:r>
      <w:proofErr w:type="spellEnd"/>
      <w:r w:rsidR="00C61C9B" w:rsidRPr="009629DF">
        <w:t xml:space="preserve"> of cross-immunity (from previous pandemics) at different age-groups. </w:t>
      </w:r>
      <w:bookmarkStart w:id="1" w:name="_Hlk41388116"/>
      <w:r w:rsidR="009629DF" w:rsidRPr="009629DF">
        <w:t xml:space="preserve">Appendix figure 2 shows data adapted from </w:t>
      </w:r>
      <w:proofErr w:type="spellStart"/>
      <w:r w:rsidR="009629DF" w:rsidRPr="009629DF">
        <w:t>Mytton</w:t>
      </w:r>
      <w:proofErr w:type="spellEnd"/>
      <w:r w:rsidR="009629DF" w:rsidRPr="009629DF">
        <w:t xml:space="preserve"> et al</w:t>
      </w:r>
      <w:r w:rsidR="009629DF" w:rsidRPr="009629DF">
        <w:fldChar w:fldCharType="begin"/>
      </w:r>
      <w:r w:rsidR="00097957">
        <w:instrText xml:space="preserve"> ADDIN EN.CITE &lt;EndNote&gt;&lt;Cite&gt;&lt;Author&gt;Mytton&lt;/Author&gt;&lt;Year&gt;2012&lt;/Year&gt;&lt;RecNum&gt;215&lt;/RecNum&gt;&lt;DisplayText&gt;(3)&lt;/DisplayText&gt;&lt;record&gt;&lt;rec-number&gt;215&lt;/rec-number&gt;&lt;foreign-keys&gt;&lt;key app="EN" db-id="adafapdxcwxpdbefd24ppzpja9z0srfdwt00" timestamp="1590159872"&gt;215&lt;/key&gt;&lt;/foreign-keys&gt;&lt;ref-type name="Journal Article"&gt;17&lt;/ref-type&gt;&lt;contributors&gt;&lt;authors&gt;&lt;author&gt;Mytton, O.T.&lt;/author&gt;&lt;author&gt;Rutter, D.&lt;/author&gt;&lt;author&gt;Make, M.&lt;/author&gt;&lt;author&gt;Mak, M.&lt;/author&gt;&lt;author&gt;Stanton, E.A.I.&lt;/author&gt;&lt;author&gt;Sachedina, N.&lt;/author&gt;&lt;author&gt;Donaldson, L.J.&lt;/author&gt;&lt;/authors&gt;&lt;/contributors&gt;&lt;titles&gt;&lt;title&gt;Mortality due to pandemic (H1N1) 2009 influenza in England: a comparison of the first and second waves&lt;/title&gt;&lt;secondary-title&gt;140&lt;/secondary-title&gt;&lt;/titles&gt;&lt;periodical&gt;&lt;full-title&gt;140&lt;/full-title&gt;&lt;/periodical&gt;&lt;pages&gt;1533-1541&lt;/pages&gt;&lt;dates&gt;&lt;year&gt;2012&lt;/year&gt;&lt;/dates&gt;&lt;urls&gt;&lt;/urls&gt;&lt;/record&gt;&lt;/Cite&gt;&lt;/EndNote&gt;</w:instrText>
      </w:r>
      <w:r w:rsidR="009629DF" w:rsidRPr="009629DF">
        <w:fldChar w:fldCharType="separate"/>
      </w:r>
      <w:r w:rsidR="00097957">
        <w:rPr>
          <w:noProof/>
        </w:rPr>
        <w:t>(</w:t>
      </w:r>
      <w:hyperlink w:anchor="_ENREF_3" w:tooltip="Mytton, 2012 #215" w:history="1">
        <w:r w:rsidR="00097957">
          <w:rPr>
            <w:noProof/>
          </w:rPr>
          <w:t>3</w:t>
        </w:r>
      </w:hyperlink>
      <w:r w:rsidR="00097957">
        <w:rPr>
          <w:noProof/>
        </w:rPr>
        <w:t>)</w:t>
      </w:r>
      <w:r w:rsidR="009629DF" w:rsidRPr="009629DF">
        <w:fldChar w:fldCharType="end"/>
      </w:r>
      <w:r w:rsidR="009629DF" w:rsidRPr="009629DF">
        <w:t xml:space="preserve"> on mortality due to pandemic (H1N1) 2009 influenza in England. Mortality shows a J-shaped </w:t>
      </w:r>
      <w:proofErr w:type="gramStart"/>
      <w:r w:rsidR="009629DF" w:rsidRPr="009629DF">
        <w:t xml:space="preserve">pattern </w:t>
      </w:r>
      <w:r w:rsidR="009629DF">
        <w:t xml:space="preserve"> mortality</w:t>
      </w:r>
      <w:proofErr w:type="gramEnd"/>
      <w:r w:rsidR="009629DF">
        <w:t xml:space="preserve"> in the youngest age-group. Once again, </w:t>
      </w:r>
      <w:r w:rsidR="009629DF">
        <w:rPr>
          <w:lang w:val="en-GB"/>
        </w:rPr>
        <w:t>the data does not clearly show a log-log pattern, and the fitted slope is close to zero.</w:t>
      </w:r>
      <w:bookmarkEnd w:id="1"/>
    </w:p>
    <w:p w14:paraId="6A68E6F6" w14:textId="77777777" w:rsidR="00090A10" w:rsidRDefault="00090A10">
      <w:pPr>
        <w:spacing w:after="160" w:line="259" w:lineRule="auto"/>
        <w:rPr>
          <w:b/>
        </w:rPr>
      </w:pPr>
      <w:r>
        <w:rPr>
          <w:b/>
        </w:rPr>
        <w:br w:type="page"/>
      </w:r>
    </w:p>
    <w:p w14:paraId="7C8325EB" w14:textId="2ADFE535" w:rsidR="009629DF" w:rsidRDefault="007B1364" w:rsidP="00A215AB">
      <w:pPr>
        <w:spacing w:after="160"/>
        <w:rPr>
          <w:b/>
        </w:rPr>
      </w:pPr>
      <w:r>
        <w:rPr>
          <w:b/>
        </w:rPr>
        <w:t>F</w:t>
      </w:r>
      <w:r w:rsidR="009629DF" w:rsidRPr="009629DF">
        <w:rPr>
          <w:b/>
        </w:rPr>
        <w:t xml:space="preserve">igure </w:t>
      </w:r>
      <w:r>
        <w:rPr>
          <w:b/>
        </w:rPr>
        <w:t>S</w:t>
      </w:r>
      <w:r w:rsidR="00E94D3B">
        <w:rPr>
          <w:b/>
        </w:rPr>
        <w:t>9</w:t>
      </w:r>
      <w:r w:rsidR="009629DF" w:rsidRPr="009629DF">
        <w:rPr>
          <w:b/>
        </w:rPr>
        <w:t xml:space="preserve">: </w:t>
      </w:r>
      <w:proofErr w:type="gramStart"/>
      <w:r w:rsidR="009629DF" w:rsidRPr="009629DF">
        <w:rPr>
          <w:b/>
        </w:rPr>
        <w:t>Log(</w:t>
      </w:r>
      <w:proofErr w:type="gramEnd"/>
      <w:r w:rsidR="009629DF" w:rsidRPr="009629DF">
        <w:rPr>
          <w:b/>
        </w:rPr>
        <w:t>CFR) vs log(age) in patients hospitalized for pandemic influenza in England during 200</w:t>
      </w:r>
      <w:r w:rsidR="004C7314">
        <w:rPr>
          <w:b/>
        </w:rPr>
        <w:t>9</w:t>
      </w:r>
    </w:p>
    <w:p w14:paraId="33E0ADC6" w14:textId="4D7743CB" w:rsidR="009629DF" w:rsidRDefault="009629DF" w:rsidP="009629DF">
      <w:pPr>
        <w:spacing w:after="160" w:line="259" w:lineRule="auto"/>
        <w:rPr>
          <w:b/>
        </w:rPr>
      </w:pPr>
    </w:p>
    <w:p w14:paraId="7370ABCB" w14:textId="5FF27215" w:rsidR="009629DF" w:rsidRPr="009629DF" w:rsidRDefault="009629DF" w:rsidP="009629DF">
      <w:pPr>
        <w:spacing w:after="160" w:line="259" w:lineRule="auto"/>
        <w:rPr>
          <w:b/>
        </w:rPr>
      </w:pPr>
      <w:r>
        <w:rPr>
          <w:noProof/>
        </w:rPr>
        <w:drawing>
          <wp:inline distT="0" distB="0" distL="0" distR="0" wp14:anchorId="730F699D" wp14:editId="3153B202">
            <wp:extent cx="4572000" cy="2743200"/>
            <wp:effectExtent l="0" t="0" r="0" b="0"/>
            <wp:docPr id="9" name="Chart 9">
              <a:extLst xmlns:a="http://schemas.openxmlformats.org/drawingml/2006/main">
                <a:ext uri="{FF2B5EF4-FFF2-40B4-BE49-F238E27FC236}">
                  <a16:creationId xmlns:a16="http://schemas.microsoft.com/office/drawing/2014/main" id="{BD538A20-CBE9-4DCC-BFA6-E4A5151373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4854D6" w14:textId="77777777" w:rsidR="00B35399" w:rsidRDefault="00B35399">
      <w:pPr>
        <w:spacing w:after="160" w:line="259" w:lineRule="auto"/>
      </w:pPr>
    </w:p>
    <w:p w14:paraId="64AB6736" w14:textId="5D3D4B29" w:rsidR="00B35399" w:rsidRPr="00B659A5" w:rsidRDefault="009629DF" w:rsidP="00097957">
      <w:pPr>
        <w:spacing w:after="160" w:line="360" w:lineRule="auto"/>
      </w:pPr>
      <w:proofErr w:type="spellStart"/>
      <w:r w:rsidRPr="004C6F58">
        <w:t>Chowell</w:t>
      </w:r>
      <w:proofErr w:type="spellEnd"/>
      <w:r w:rsidRPr="004C6F58">
        <w:t xml:space="preserve"> et al </w:t>
      </w:r>
      <w:r>
        <w:fldChar w:fldCharType="begin"/>
      </w:r>
      <w:r w:rsidR="00097957">
        <w:instrText xml:space="preserve"> ADDIN EN.CITE &lt;EndNote&gt;&lt;Cite&gt;&lt;Author&gt;Chowell&lt;/Author&gt;&lt;Year&gt;2009&lt;/Year&gt;&lt;RecNum&gt;154&lt;/RecNum&gt;&lt;DisplayText&gt;(4)&lt;/DisplayText&gt;&lt;record&gt;&lt;rec-number&gt;154&lt;/rec-number&gt;&lt;foreign-keys&gt;&lt;key app="EN" db-id="adafapdxcwxpdbefd24ppzpja9z0srfdwt00" timestamp="1588842932"&gt;154&lt;/key&gt;&lt;/foreign-keys&gt;&lt;ref-type name="Journal Article"&gt;17&lt;/ref-type&gt;&lt;contributors&gt;&lt;authors&gt;&lt;author&gt;Chowell, G.&lt;/author&gt;&lt;author&gt;Bertozzi, S.M.&lt;/author&gt;&lt;author&gt;Colchero, M.A.&lt;/author&gt;&lt;author&gt;Lopez-Gatell, H.&lt;/author&gt;&lt;author&gt;Alpuche-Aranda, C.&lt;/author&gt;&lt;author&gt;Hernandez, M.&lt;/author&gt;&lt;author&gt;Miller, M.A.&lt;/author&gt;&lt;/authors&gt;&lt;/contributors&gt;&lt;titles&gt;&lt;title&gt;Severe respiratory disease concurrent with the circulation of H1N1 influenza&lt;/title&gt;&lt;secondary-title&gt;New England Journal of Medicine&lt;/secondary-title&gt;&lt;/titles&gt;&lt;periodical&gt;&lt;full-title&gt;New England Journal of Medicine&lt;/full-title&gt;&lt;/periodical&gt;&lt;pages&gt;674-697&lt;/pages&gt;&lt;volume&gt;361&lt;/volume&gt;&lt;dates&gt;&lt;year&gt;2009&lt;/year&gt;&lt;/dates&gt;&lt;urls&gt;&lt;/urls&gt;&lt;/record&gt;&lt;/Cite&gt;&lt;/EndNote&gt;</w:instrText>
      </w:r>
      <w:r>
        <w:fldChar w:fldCharType="separate"/>
      </w:r>
      <w:r w:rsidR="00097957">
        <w:rPr>
          <w:noProof/>
        </w:rPr>
        <w:t>(</w:t>
      </w:r>
      <w:hyperlink w:anchor="_ENREF_4" w:tooltip="Chowell, 2009 #154" w:history="1">
        <w:r w:rsidR="00097957">
          <w:rPr>
            <w:noProof/>
          </w:rPr>
          <w:t>4</w:t>
        </w:r>
      </w:hyperlink>
      <w:r w:rsidR="00097957">
        <w:rPr>
          <w:noProof/>
        </w:rPr>
        <w:t>)</w:t>
      </w:r>
      <w:r>
        <w:fldChar w:fldCharType="end"/>
      </w:r>
      <w:r>
        <w:t xml:space="preserve"> </w:t>
      </w:r>
      <w:r w:rsidR="004C7314">
        <w:t>directly contrasted the age-patterns of mortality from pandemic (2009) and non-pandemic (2006-2008) influenza in Mexico. The data are reported as the percentage distribution of deaths across age-groups, rather than as rates. Thus, the multistep model cannot be applied, but the findings are still of interest. They clearly show different age-patterns with non-pandemic influenza deaths following a classic J-shape (high mortality age 0-4 years, then low mortality slowly rising throughout the age-range); pandemic mortality involved a relatively larger number of deaths during middle-age.</w:t>
      </w:r>
    </w:p>
    <w:p w14:paraId="3E75E75D" w14:textId="00EB79C7" w:rsidR="004D2925" w:rsidRDefault="004D2925" w:rsidP="00097957">
      <w:pPr>
        <w:spacing w:after="160" w:line="360" w:lineRule="auto"/>
      </w:pPr>
      <w:r>
        <w:rPr>
          <w:u w:val="single"/>
        </w:rPr>
        <w:t>S</w:t>
      </w:r>
      <w:r w:rsidRPr="004D2925">
        <w:rPr>
          <w:u w:val="single"/>
        </w:rPr>
        <w:t>evere acute respiratory syndrome</w:t>
      </w:r>
      <w:r>
        <w:rPr>
          <w:u w:val="single"/>
        </w:rPr>
        <w:t xml:space="preserve"> (</w:t>
      </w:r>
      <w:r w:rsidR="0089241F">
        <w:rPr>
          <w:u w:val="single"/>
        </w:rPr>
        <w:t>SARS</w:t>
      </w:r>
      <w:r>
        <w:rPr>
          <w:u w:val="single"/>
        </w:rPr>
        <w:t>)</w:t>
      </w:r>
      <w:r w:rsidR="0089241F">
        <w:t xml:space="preserve"> </w:t>
      </w:r>
    </w:p>
    <w:p w14:paraId="4131D41A" w14:textId="508BDFB4" w:rsidR="00B35399" w:rsidRPr="00097957" w:rsidRDefault="0089241F" w:rsidP="00097957">
      <w:pPr>
        <w:spacing w:after="160" w:line="360" w:lineRule="auto"/>
      </w:pPr>
      <w:r>
        <w:t xml:space="preserve">We obtained SARS mortality data from the publication of Chan-Yeung and Rui-Heng </w:t>
      </w:r>
      <w:r>
        <w:fldChar w:fldCharType="begin"/>
      </w:r>
      <w:r w:rsidR="00097957">
        <w:instrText xml:space="preserve"> ADDIN EN.CITE &lt;EndNote&gt;&lt;Cite&gt;&lt;Author&gt;Chan-Yeung&lt;/Author&gt;&lt;Year&gt;2003&lt;/Year&gt;&lt;RecNum&gt;156&lt;/RecNum&gt;&lt;DisplayText&gt;(5)&lt;/DisplayText&gt;&lt;record&gt;&lt;rec-number&gt;156&lt;/rec-number&gt;&lt;foreign-keys&gt;&lt;key app="EN" db-id="adafapdxcwxpdbefd24ppzpja9z0srfdwt00" timestamp="1588858915"&gt;156&lt;/key&gt;&lt;/foreign-keys&gt;&lt;ref-type name="Journal Article"&gt;17&lt;/ref-type&gt;&lt;contributors&gt;&lt;authors&gt;&lt;author&gt;Chan-Yeung, M.&lt;/author&gt;&lt;author&gt;Rui-Heng, R.&lt;/author&gt;&lt;/authors&gt;&lt;/contributors&gt;&lt;titles&gt;&lt;title&gt;SARS: epidemiology&lt;/title&gt;&lt;secondary-title&gt;Respirology&lt;/secondary-title&gt;&lt;/titles&gt;&lt;periodical&gt;&lt;full-title&gt;Respirology&lt;/full-title&gt;&lt;/periodical&gt;&lt;pages&gt;S9-S14&lt;/pages&gt;&lt;volume&gt;8&lt;/volume&gt;&lt;dates&gt;&lt;year&gt;2003&lt;/year&gt;&lt;/dates&gt;&lt;urls&gt;&lt;/urls&gt;&lt;/record&gt;&lt;/Cite&gt;&lt;/EndNote&gt;</w:instrText>
      </w:r>
      <w:r>
        <w:fldChar w:fldCharType="separate"/>
      </w:r>
      <w:r w:rsidR="00097957">
        <w:rPr>
          <w:noProof/>
        </w:rPr>
        <w:t>(</w:t>
      </w:r>
      <w:hyperlink w:anchor="_ENREF_5" w:tooltip="Chan-Yeung, 2003 #156" w:history="1">
        <w:r w:rsidR="00097957">
          <w:rPr>
            <w:noProof/>
          </w:rPr>
          <w:t>5</w:t>
        </w:r>
      </w:hyperlink>
      <w:r w:rsidR="00097957">
        <w:rPr>
          <w:noProof/>
        </w:rPr>
        <w:t>)</w:t>
      </w:r>
      <w:r>
        <w:fldChar w:fldCharType="end"/>
      </w:r>
      <w:r w:rsidR="00191507">
        <w:t xml:space="preserve"> who analyzed data from 298 deaths </w:t>
      </w:r>
      <w:bookmarkStart w:id="2" w:name="_Hlk41387101"/>
      <w:r w:rsidR="00191507">
        <w:t>in Hong Kong up until 1</w:t>
      </w:r>
      <w:r w:rsidR="00191507" w:rsidRPr="00191507">
        <w:rPr>
          <w:vertAlign w:val="superscript"/>
        </w:rPr>
        <w:t>st</w:t>
      </w:r>
      <w:r w:rsidR="00191507">
        <w:t xml:space="preserve"> Jul</w:t>
      </w:r>
      <w:r w:rsidR="00DD5E49">
        <w:t>y</w:t>
      </w:r>
      <w:r w:rsidR="00191507">
        <w:t xml:space="preserve"> 2003</w:t>
      </w:r>
      <w:bookmarkEnd w:id="2"/>
      <w:r w:rsidR="00191507">
        <w:t xml:space="preserve">. The overall CFR was 17%, but this increased approximately exponentially by age. The </w:t>
      </w:r>
      <w:r w:rsidR="004336A2">
        <w:t xml:space="preserve">SARS </w:t>
      </w:r>
      <w:r w:rsidR="00191507">
        <w:t xml:space="preserve">CFR </w:t>
      </w:r>
      <w:r w:rsidR="004336A2">
        <w:t>had an approximately log-log relationship</w:t>
      </w:r>
      <w:r w:rsidR="00191507">
        <w:t xml:space="preserve"> with age</w:t>
      </w:r>
      <w:r w:rsidR="004336A2">
        <w:t xml:space="preserve">, similar to that observed for </w:t>
      </w:r>
      <w:r w:rsidR="000F68C2">
        <w:t>COVID-19</w:t>
      </w:r>
      <w:r w:rsidR="004336A2">
        <w:t>, but with a smaller slope (3.6). The slope on males (3.</w:t>
      </w:r>
      <w:r w:rsidR="006344FD">
        <w:t>4</w:t>
      </w:r>
      <w:r w:rsidR="004336A2">
        <w:t>) was 0.4 lower than the slope in females (3.</w:t>
      </w:r>
      <w:r w:rsidR="006344FD">
        <w:t>8</w:t>
      </w:r>
      <w:r w:rsidR="004336A2">
        <w:t xml:space="preserve">), similar to the pattern observed for </w:t>
      </w:r>
      <w:r w:rsidR="000F68C2">
        <w:t>COVID-19</w:t>
      </w:r>
      <w:r w:rsidR="004336A2">
        <w:t>.</w:t>
      </w:r>
      <w:r w:rsidR="004C7314">
        <w:t xml:space="preserve"> Thus, the pattern for SARS was similar to that for SARS-COV-2, but with a lower slope. This is perhaps not surprising as both are coronaviruses. One can only speculate as to why SARS may have a lower slope, but it should perhaps be noted that SARS is a much more aggressive virus, with higher death rates than SARS-COV-2 at each age-group.</w:t>
      </w:r>
    </w:p>
    <w:p w14:paraId="03CDF7F7" w14:textId="7B7DEEA7" w:rsidR="00B35399" w:rsidRPr="00C61C9B" w:rsidRDefault="00B35399" w:rsidP="00B35399">
      <w:pPr>
        <w:spacing w:after="160" w:line="259" w:lineRule="auto"/>
        <w:rPr>
          <w:b/>
        </w:rPr>
      </w:pPr>
      <w:r>
        <w:rPr>
          <w:b/>
        </w:rPr>
        <w:t>F</w:t>
      </w:r>
      <w:r w:rsidRPr="00C61C9B">
        <w:rPr>
          <w:b/>
        </w:rPr>
        <w:t xml:space="preserve">igure </w:t>
      </w:r>
      <w:r>
        <w:rPr>
          <w:b/>
        </w:rPr>
        <w:t>S</w:t>
      </w:r>
      <w:r w:rsidR="00E94D3B">
        <w:rPr>
          <w:b/>
        </w:rPr>
        <w:t>10</w:t>
      </w:r>
      <w:r>
        <w:rPr>
          <w:b/>
        </w:rPr>
        <w:t>.</w:t>
      </w:r>
      <w:r w:rsidRPr="00C61C9B">
        <w:rPr>
          <w:b/>
        </w:rPr>
        <w:t xml:space="preserve"> </w:t>
      </w:r>
      <w:proofErr w:type="gramStart"/>
      <w:r>
        <w:rPr>
          <w:b/>
        </w:rPr>
        <w:t>Ln(</w:t>
      </w:r>
      <w:proofErr w:type="gramEnd"/>
      <w:r>
        <w:rPr>
          <w:b/>
        </w:rPr>
        <w:t>CFR</w:t>
      </w:r>
      <w:r w:rsidRPr="00EE32FD">
        <w:rPr>
          <w:b/>
        </w:rPr>
        <w:t xml:space="preserve">) versus </w:t>
      </w:r>
      <w:r>
        <w:rPr>
          <w:b/>
        </w:rPr>
        <w:t>ln(</w:t>
      </w:r>
      <w:r w:rsidRPr="00EE32FD">
        <w:rPr>
          <w:b/>
        </w:rPr>
        <w:t xml:space="preserve">age) </w:t>
      </w:r>
      <w:r>
        <w:rPr>
          <w:b/>
        </w:rPr>
        <w:t xml:space="preserve">for </w:t>
      </w:r>
      <w:r w:rsidRPr="00B35399">
        <w:rPr>
          <w:b/>
        </w:rPr>
        <w:t>SARS mortality data</w:t>
      </w:r>
      <w:r>
        <w:rPr>
          <w:b/>
        </w:rPr>
        <w:t xml:space="preserve"> </w:t>
      </w:r>
      <w:r w:rsidRPr="00B35399">
        <w:rPr>
          <w:b/>
        </w:rPr>
        <w:t>in Hong Kong up until 1</w:t>
      </w:r>
      <w:r w:rsidRPr="00B35399">
        <w:rPr>
          <w:b/>
          <w:vertAlign w:val="superscript"/>
        </w:rPr>
        <w:t>st</w:t>
      </w:r>
      <w:r w:rsidRPr="00B35399">
        <w:rPr>
          <w:b/>
        </w:rPr>
        <w:t xml:space="preserve"> July 2003</w:t>
      </w:r>
      <w:r>
        <w:rPr>
          <w:b/>
        </w:rPr>
        <w:t xml:space="preserve"> </w:t>
      </w:r>
    </w:p>
    <w:p w14:paraId="123618AD" w14:textId="77777777" w:rsidR="00B35399" w:rsidRDefault="00B35399">
      <w:pPr>
        <w:spacing w:after="160" w:line="259" w:lineRule="auto"/>
        <w:rPr>
          <w:u w:val="single"/>
        </w:rPr>
      </w:pPr>
    </w:p>
    <w:p w14:paraId="5E333542" w14:textId="77777777" w:rsidR="00AB5C32" w:rsidRDefault="0089241F" w:rsidP="00D715F5">
      <w:pPr>
        <w:spacing w:after="160" w:line="259" w:lineRule="auto"/>
        <w:rPr>
          <w:u w:val="single"/>
        </w:rPr>
      </w:pPr>
      <w:r>
        <w:rPr>
          <w:noProof/>
        </w:rPr>
        <w:drawing>
          <wp:inline distT="0" distB="0" distL="0" distR="0" wp14:anchorId="1560E5B4" wp14:editId="4158ECDA">
            <wp:extent cx="4572000" cy="2743200"/>
            <wp:effectExtent l="0" t="0" r="0" b="0"/>
            <wp:docPr id="5" name="Chart 5">
              <a:extLst xmlns:a="http://schemas.openxmlformats.org/drawingml/2006/main">
                <a:ext uri="{FF2B5EF4-FFF2-40B4-BE49-F238E27FC236}">
                  <a16:creationId xmlns:a16="http://schemas.microsoft.com/office/drawing/2014/main" id="{D8A2F516-4536-46BB-BC23-E166B9A24E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0082DB" w14:textId="77777777" w:rsidR="004862D0" w:rsidRDefault="004862D0" w:rsidP="00AB5C32">
      <w:pPr>
        <w:spacing w:after="160" w:line="259" w:lineRule="auto"/>
        <w:rPr>
          <w:b/>
        </w:rPr>
      </w:pPr>
    </w:p>
    <w:p w14:paraId="7288955C" w14:textId="77777777" w:rsidR="002169F3" w:rsidRDefault="002169F3" w:rsidP="00AB5C32">
      <w:pPr>
        <w:spacing w:after="160" w:line="259" w:lineRule="auto"/>
        <w:rPr>
          <w:b/>
        </w:rPr>
      </w:pPr>
    </w:p>
    <w:p w14:paraId="0D565FEF" w14:textId="4BB825A2" w:rsidR="00191507" w:rsidRDefault="004862D0" w:rsidP="00AB5C32">
      <w:pPr>
        <w:spacing w:after="160" w:line="259" w:lineRule="auto"/>
        <w:rPr>
          <w:b/>
        </w:rPr>
      </w:pPr>
      <w:r w:rsidRPr="003766A6">
        <w:rPr>
          <w:b/>
        </w:rPr>
        <w:t>Comparison with total mortality</w:t>
      </w:r>
    </w:p>
    <w:p w14:paraId="5E9C5958" w14:textId="63BA9653" w:rsidR="004862D0" w:rsidRPr="004862D0" w:rsidRDefault="004862D0" w:rsidP="003766A6">
      <w:pPr>
        <w:spacing w:after="120" w:line="360" w:lineRule="auto"/>
      </w:pPr>
      <w:r w:rsidRPr="003766A6">
        <w:t>We also conducted similar analyses</w:t>
      </w:r>
      <w:r>
        <w:t xml:space="preserve"> of total mortality to compare with our Covid-19 findings. Figure S11 shows the log-log plot of total mortality in the Northwest of Italy for the first six months of 2019, and also for the first six months of 2020 (when it was badly hit by Covid-19). The figure shows that total mortality was slightly higher in 2020 than in 2019, particularly in the older age-groups. However, the graphs </w:t>
      </w:r>
      <w:r w:rsidR="002169F3">
        <w:t xml:space="preserve">are different to some extent from the corresponding graphs for Covid-19 mortality, in that they do not so obviously fit a linear trend, and the slope is </w:t>
      </w:r>
      <w:r w:rsidR="00782F72">
        <w:t xml:space="preserve">large </w:t>
      </w:r>
      <w:r w:rsidR="002169F3">
        <w:t xml:space="preserve">(7.1 in 2019, compared to </w:t>
      </w:r>
      <w:r w:rsidR="00782F72">
        <w:t xml:space="preserve">the CFR of </w:t>
      </w:r>
      <w:r w:rsidR="002169F3">
        <w:t xml:space="preserve">about 5 for </w:t>
      </w:r>
      <w:r w:rsidR="00782F72">
        <w:t xml:space="preserve">diagnosed </w:t>
      </w:r>
      <w:r w:rsidR="002169F3">
        <w:t>Covid-19 mortality). These findings are intriguing in themselves, but in terms of the current paper, we present them to show that Covid-19 mortality and all-cause mortality both increase markedly with age, but that there are some differences in their age-patterns, and in the slope of the log-log trend.</w:t>
      </w:r>
    </w:p>
    <w:p w14:paraId="5A27E290" w14:textId="77777777" w:rsidR="002169F3" w:rsidRDefault="002169F3">
      <w:pPr>
        <w:spacing w:after="160" w:line="259" w:lineRule="auto"/>
        <w:rPr>
          <w:b/>
        </w:rPr>
      </w:pPr>
      <w:r>
        <w:rPr>
          <w:b/>
        </w:rPr>
        <w:br w:type="page"/>
      </w:r>
    </w:p>
    <w:p w14:paraId="1956C9DE" w14:textId="6F3AD0EC" w:rsidR="004862D0" w:rsidRDefault="004862D0" w:rsidP="004862D0">
      <w:pPr>
        <w:spacing w:after="160" w:line="259" w:lineRule="auto"/>
        <w:rPr>
          <w:b/>
        </w:rPr>
      </w:pPr>
      <w:r>
        <w:rPr>
          <w:b/>
        </w:rPr>
        <w:t>F</w:t>
      </w:r>
      <w:r w:rsidRPr="00C61C9B">
        <w:rPr>
          <w:b/>
        </w:rPr>
        <w:t xml:space="preserve">igure </w:t>
      </w:r>
      <w:r>
        <w:rPr>
          <w:b/>
        </w:rPr>
        <w:t>S11.</w:t>
      </w:r>
      <w:r w:rsidRPr="00C61C9B">
        <w:rPr>
          <w:b/>
        </w:rPr>
        <w:t xml:space="preserve"> </w:t>
      </w:r>
      <w:r>
        <w:rPr>
          <w:b/>
        </w:rPr>
        <w:t>Total mortality</w:t>
      </w:r>
      <w:r w:rsidR="00376B3A">
        <w:rPr>
          <w:b/>
        </w:rPr>
        <w:t xml:space="preserve"> (age 35 years and over)</w:t>
      </w:r>
      <w:r>
        <w:rPr>
          <w:b/>
        </w:rPr>
        <w:t xml:space="preserve"> in the first six months of 2019 and 2020 in the Northwest of Italy</w:t>
      </w:r>
    </w:p>
    <w:p w14:paraId="3E6DDE0D" w14:textId="17EC7D5B" w:rsidR="00D123AF" w:rsidRPr="00C61C9B" w:rsidRDefault="00D123AF" w:rsidP="004862D0">
      <w:pPr>
        <w:spacing w:after="160" w:line="259" w:lineRule="auto"/>
        <w:rPr>
          <w:b/>
        </w:rPr>
      </w:pPr>
      <w:r>
        <w:rPr>
          <w:noProof/>
        </w:rPr>
        <w:drawing>
          <wp:inline distT="0" distB="0" distL="0" distR="0" wp14:anchorId="6691BD5C" wp14:editId="001A6032">
            <wp:extent cx="5373944" cy="3819424"/>
            <wp:effectExtent l="0" t="0" r="11430" b="16510"/>
            <wp:docPr id="12" name="Grafico 12">
              <a:extLst xmlns:a="http://schemas.openxmlformats.org/drawingml/2006/main">
                <a:ext uri="{FF2B5EF4-FFF2-40B4-BE49-F238E27FC236}">
                  <a16:creationId xmlns:a16="http://schemas.microsoft.com/office/drawing/2014/main" id="{65F994AB-B52A-824E-81E6-945854B09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9779A3" w14:textId="7A400EF0" w:rsidR="004862D0" w:rsidRDefault="004862D0" w:rsidP="00AB5C32">
      <w:pPr>
        <w:spacing w:after="160" w:line="259" w:lineRule="auto"/>
      </w:pPr>
      <w:bookmarkStart w:id="3" w:name="_GoBack"/>
      <w:bookmarkEnd w:id="3"/>
    </w:p>
    <w:p w14:paraId="556DC418" w14:textId="630E372C" w:rsidR="00D715F5" w:rsidRPr="00B35399" w:rsidRDefault="004D2925" w:rsidP="00D715F5">
      <w:pPr>
        <w:spacing w:after="160" w:line="259" w:lineRule="auto"/>
        <w:rPr>
          <w:b/>
          <w:bCs/>
        </w:rPr>
      </w:pPr>
      <w:r w:rsidRPr="00B35399">
        <w:rPr>
          <w:b/>
          <w:bCs/>
        </w:rPr>
        <w:t>References</w:t>
      </w:r>
    </w:p>
    <w:p w14:paraId="398C8DEB" w14:textId="491259FA" w:rsidR="00097957" w:rsidRPr="00097957" w:rsidRDefault="00B76B19" w:rsidP="00097957">
      <w:pPr>
        <w:pStyle w:val="EndNoteBibliography"/>
        <w:spacing w:after="0"/>
      </w:pPr>
      <w:r>
        <w:fldChar w:fldCharType="begin"/>
      </w:r>
      <w:r>
        <w:instrText xml:space="preserve"> ADDIN EN.REFLIST </w:instrText>
      </w:r>
      <w:r>
        <w:fldChar w:fldCharType="separate"/>
      </w:r>
      <w:bookmarkStart w:id="4" w:name="_ENREF_1"/>
      <w:r w:rsidR="00097957" w:rsidRPr="00097957">
        <w:t>1.</w:t>
      </w:r>
      <w:r w:rsidR="00097957" w:rsidRPr="00097957">
        <w:tab/>
        <w:t xml:space="preserve">CDC. Estimated Influenza Illnesses, Medical visits, Hospitalizations, and Deaths in the United States — 2017–2018 influenza season Atlanta, GA: CDC; 2020 [31 May 2020]. Available from: </w:t>
      </w:r>
      <w:hyperlink r:id="rId19" w:history="1">
        <w:r w:rsidR="00097957" w:rsidRPr="00097957">
          <w:rPr>
            <w:rStyle w:val="Hyperlink"/>
          </w:rPr>
          <w:t>https://www.cdc.gov/flu/about/burden/2017-2018.htm</w:t>
        </w:r>
      </w:hyperlink>
      <w:r w:rsidR="00097957" w:rsidRPr="00097957">
        <w:t>.</w:t>
      </w:r>
      <w:bookmarkEnd w:id="4"/>
    </w:p>
    <w:p w14:paraId="0089272A" w14:textId="77777777" w:rsidR="00097957" w:rsidRPr="00097957" w:rsidRDefault="00097957" w:rsidP="00097957">
      <w:pPr>
        <w:pStyle w:val="EndNoteBibliography"/>
        <w:spacing w:after="0"/>
      </w:pPr>
      <w:bookmarkStart w:id="5" w:name="_ENREF_2"/>
      <w:r w:rsidRPr="00097957">
        <w:t>2.</w:t>
      </w:r>
      <w:r w:rsidRPr="00097957">
        <w:tab/>
        <w:t>Cromer D, van Hoek AJ, Jit M, Edmunds WJ, Fleming D, Miller E. The burden of influenza in England by age and clinical risk group: a statistical analysis to inform vaccine policy. Journal of Infection. 2014;68:363-71.</w:t>
      </w:r>
      <w:bookmarkEnd w:id="5"/>
    </w:p>
    <w:p w14:paraId="65C22B61" w14:textId="77777777" w:rsidR="00097957" w:rsidRPr="00097957" w:rsidRDefault="00097957" w:rsidP="00097957">
      <w:pPr>
        <w:pStyle w:val="EndNoteBibliography"/>
        <w:spacing w:after="0"/>
      </w:pPr>
      <w:bookmarkStart w:id="6" w:name="_ENREF_3"/>
      <w:r w:rsidRPr="00097957">
        <w:t>3.</w:t>
      </w:r>
      <w:r w:rsidRPr="00097957">
        <w:tab/>
        <w:t>Mytton OT, Rutter D, Make M, Mak M, Stanton EAI, Sachedina N, et al. Mortality due to pandemic (H1N1) 2009 influenza in England: a comparison of the first and second waves. 140. 2012:1533-41.</w:t>
      </w:r>
      <w:bookmarkEnd w:id="6"/>
    </w:p>
    <w:p w14:paraId="1C14A741" w14:textId="77777777" w:rsidR="00097957" w:rsidRPr="00097957" w:rsidRDefault="00097957" w:rsidP="00097957">
      <w:pPr>
        <w:pStyle w:val="EndNoteBibliography"/>
        <w:spacing w:after="0"/>
      </w:pPr>
      <w:bookmarkStart w:id="7" w:name="_ENREF_4"/>
      <w:r w:rsidRPr="00097957">
        <w:t>4.</w:t>
      </w:r>
      <w:r w:rsidRPr="00097957">
        <w:tab/>
        <w:t>Chowell G, Bertozzi SM, Colchero MA, Lopez-Gatell H, Alpuche-Aranda C, Hernandez M, et al. Severe respiratory disease concurrent with the circulation of H1N1 influenza. New England Journal of Medicine. 2009;361:674-97.</w:t>
      </w:r>
      <w:bookmarkEnd w:id="7"/>
    </w:p>
    <w:p w14:paraId="2BE9CB3E" w14:textId="77777777" w:rsidR="00097957" w:rsidRPr="00097957" w:rsidRDefault="00097957" w:rsidP="00097957">
      <w:pPr>
        <w:pStyle w:val="EndNoteBibliography"/>
      </w:pPr>
      <w:bookmarkStart w:id="8" w:name="_ENREF_5"/>
      <w:r w:rsidRPr="00097957">
        <w:t>5.</w:t>
      </w:r>
      <w:r w:rsidRPr="00097957">
        <w:tab/>
        <w:t>Chan-Yeung M, Rui-Heng R. SARS: epidemiology. Respirology. 2003;8:S9-S14.</w:t>
      </w:r>
      <w:bookmarkEnd w:id="8"/>
    </w:p>
    <w:p w14:paraId="42EC3DB2" w14:textId="753B43A0" w:rsidR="00B70EC0" w:rsidRPr="000D2065" w:rsidRDefault="00B76B19" w:rsidP="009A30BF">
      <w:pPr>
        <w:spacing w:after="160" w:line="259" w:lineRule="auto"/>
      </w:pPr>
      <w:r>
        <w:fldChar w:fldCharType="end"/>
      </w:r>
    </w:p>
    <w:sectPr w:rsidR="00B70EC0" w:rsidRPr="000D2065" w:rsidSect="00CC1FFF">
      <w:footerReference w:type="default" r:id="rId2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A1C20" w14:textId="77777777" w:rsidR="00811120" w:rsidRDefault="00811120" w:rsidP="001E6D08">
      <w:r>
        <w:separator/>
      </w:r>
    </w:p>
  </w:endnote>
  <w:endnote w:type="continuationSeparator" w:id="0">
    <w:p w14:paraId="1914C68B" w14:textId="77777777" w:rsidR="00811120" w:rsidRDefault="00811120" w:rsidP="001E6D08">
      <w:r>
        <w:continuationSeparator/>
      </w:r>
    </w:p>
  </w:endnote>
  <w:endnote w:type="continuationNotice" w:id="1">
    <w:p w14:paraId="3588195C" w14:textId="77777777" w:rsidR="00811120" w:rsidRDefault="008111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Times">
    <w:altName w:val="Times"/>
    <w:panose1 w:val="02020603050405020304"/>
    <w:charset w:val="00"/>
    <w:family w:val="auto"/>
    <w:pitch w:val="variable"/>
    <w:sig w:usb0="00000003" w:usb1="00000000" w:usb2="00000000" w:usb3="00000000" w:csb0="00000007"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2208139"/>
      <w:docPartObj>
        <w:docPartGallery w:val="Page Numbers (Bottom of Page)"/>
        <w:docPartUnique/>
      </w:docPartObj>
    </w:sdtPr>
    <w:sdtEndPr>
      <w:rPr>
        <w:noProof/>
      </w:rPr>
    </w:sdtEndPr>
    <w:sdtContent>
      <w:p w14:paraId="513A0534" w14:textId="43D57136" w:rsidR="004D2925" w:rsidRDefault="004D29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E68A30" w14:textId="77777777" w:rsidR="004D2925" w:rsidRDefault="004D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56DC7" w14:textId="77777777" w:rsidR="00811120" w:rsidRDefault="00811120" w:rsidP="001E6D08">
      <w:r>
        <w:separator/>
      </w:r>
    </w:p>
  </w:footnote>
  <w:footnote w:type="continuationSeparator" w:id="0">
    <w:p w14:paraId="7278FC00" w14:textId="77777777" w:rsidR="00811120" w:rsidRDefault="00811120" w:rsidP="001E6D08">
      <w:r>
        <w:continuationSeparator/>
      </w:r>
    </w:p>
  </w:footnote>
  <w:footnote w:type="continuationNotice" w:id="1">
    <w:p w14:paraId="104841B6" w14:textId="77777777" w:rsidR="00811120" w:rsidRDefault="008111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63631"/>
    <w:multiLevelType w:val="multilevel"/>
    <w:tmpl w:val="66A0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6F0403"/>
    <w:multiLevelType w:val="hybridMultilevel"/>
    <w:tmpl w:val="65F6E6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A1912"/>
    <w:multiLevelType w:val="hybridMultilevel"/>
    <w:tmpl w:val="E22E83B8"/>
    <w:lvl w:ilvl="0" w:tplc="CEA66E76">
      <w:start w:val="1"/>
      <w:numFmt w:val="bullet"/>
      <w:lvlText w:val="•"/>
      <w:lvlJc w:val="left"/>
      <w:pPr>
        <w:tabs>
          <w:tab w:val="num" w:pos="720"/>
        </w:tabs>
        <w:ind w:left="720" w:hanging="360"/>
      </w:pPr>
      <w:rPr>
        <w:rFonts w:ascii="Times New Roman" w:hAnsi="Times New Roman" w:hint="default"/>
      </w:rPr>
    </w:lvl>
    <w:lvl w:ilvl="1" w:tplc="414666F6" w:tentative="1">
      <w:start w:val="1"/>
      <w:numFmt w:val="bullet"/>
      <w:lvlText w:val="•"/>
      <w:lvlJc w:val="left"/>
      <w:pPr>
        <w:tabs>
          <w:tab w:val="num" w:pos="1440"/>
        </w:tabs>
        <w:ind w:left="1440" w:hanging="360"/>
      </w:pPr>
      <w:rPr>
        <w:rFonts w:ascii="Times New Roman" w:hAnsi="Times New Roman" w:hint="default"/>
      </w:rPr>
    </w:lvl>
    <w:lvl w:ilvl="2" w:tplc="6A500328" w:tentative="1">
      <w:start w:val="1"/>
      <w:numFmt w:val="bullet"/>
      <w:lvlText w:val="•"/>
      <w:lvlJc w:val="left"/>
      <w:pPr>
        <w:tabs>
          <w:tab w:val="num" w:pos="2160"/>
        </w:tabs>
        <w:ind w:left="2160" w:hanging="360"/>
      </w:pPr>
      <w:rPr>
        <w:rFonts w:ascii="Times New Roman" w:hAnsi="Times New Roman" w:hint="default"/>
      </w:rPr>
    </w:lvl>
    <w:lvl w:ilvl="3" w:tplc="594AE0D6" w:tentative="1">
      <w:start w:val="1"/>
      <w:numFmt w:val="bullet"/>
      <w:lvlText w:val="•"/>
      <w:lvlJc w:val="left"/>
      <w:pPr>
        <w:tabs>
          <w:tab w:val="num" w:pos="2880"/>
        </w:tabs>
        <w:ind w:left="2880" w:hanging="360"/>
      </w:pPr>
      <w:rPr>
        <w:rFonts w:ascii="Times New Roman" w:hAnsi="Times New Roman" w:hint="default"/>
      </w:rPr>
    </w:lvl>
    <w:lvl w:ilvl="4" w:tplc="13F284F8" w:tentative="1">
      <w:start w:val="1"/>
      <w:numFmt w:val="bullet"/>
      <w:lvlText w:val="•"/>
      <w:lvlJc w:val="left"/>
      <w:pPr>
        <w:tabs>
          <w:tab w:val="num" w:pos="3600"/>
        </w:tabs>
        <w:ind w:left="3600" w:hanging="360"/>
      </w:pPr>
      <w:rPr>
        <w:rFonts w:ascii="Times New Roman" w:hAnsi="Times New Roman" w:hint="default"/>
      </w:rPr>
    </w:lvl>
    <w:lvl w:ilvl="5" w:tplc="7C122938" w:tentative="1">
      <w:start w:val="1"/>
      <w:numFmt w:val="bullet"/>
      <w:lvlText w:val="•"/>
      <w:lvlJc w:val="left"/>
      <w:pPr>
        <w:tabs>
          <w:tab w:val="num" w:pos="4320"/>
        </w:tabs>
        <w:ind w:left="4320" w:hanging="360"/>
      </w:pPr>
      <w:rPr>
        <w:rFonts w:ascii="Times New Roman" w:hAnsi="Times New Roman" w:hint="default"/>
      </w:rPr>
    </w:lvl>
    <w:lvl w:ilvl="6" w:tplc="AB8CBD10" w:tentative="1">
      <w:start w:val="1"/>
      <w:numFmt w:val="bullet"/>
      <w:lvlText w:val="•"/>
      <w:lvlJc w:val="left"/>
      <w:pPr>
        <w:tabs>
          <w:tab w:val="num" w:pos="5040"/>
        </w:tabs>
        <w:ind w:left="5040" w:hanging="360"/>
      </w:pPr>
      <w:rPr>
        <w:rFonts w:ascii="Times New Roman" w:hAnsi="Times New Roman" w:hint="default"/>
      </w:rPr>
    </w:lvl>
    <w:lvl w:ilvl="7" w:tplc="A7DE8E40" w:tentative="1">
      <w:start w:val="1"/>
      <w:numFmt w:val="bullet"/>
      <w:lvlText w:val="•"/>
      <w:lvlJc w:val="left"/>
      <w:pPr>
        <w:tabs>
          <w:tab w:val="num" w:pos="5760"/>
        </w:tabs>
        <w:ind w:left="5760" w:hanging="360"/>
      </w:pPr>
      <w:rPr>
        <w:rFonts w:ascii="Times New Roman" w:hAnsi="Times New Roman" w:hint="default"/>
      </w:rPr>
    </w:lvl>
    <w:lvl w:ilvl="8" w:tplc="AAB8F20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8523DAD"/>
    <w:multiLevelType w:val="multilevel"/>
    <w:tmpl w:val="ADC4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91651C"/>
    <w:multiLevelType w:val="multilevel"/>
    <w:tmpl w:val="8458A6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41A38DB"/>
    <w:multiLevelType w:val="multilevel"/>
    <w:tmpl w:val="DFEE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981B8F"/>
    <w:multiLevelType w:val="hybridMultilevel"/>
    <w:tmpl w:val="CEB4888C"/>
    <w:lvl w:ilvl="0" w:tplc="02AE3630">
      <w:start w:val="1"/>
      <w:numFmt w:val="bullet"/>
      <w:lvlText w:val="•"/>
      <w:lvlJc w:val="left"/>
      <w:pPr>
        <w:tabs>
          <w:tab w:val="num" w:pos="720"/>
        </w:tabs>
        <w:ind w:left="720" w:hanging="360"/>
      </w:pPr>
      <w:rPr>
        <w:rFonts w:ascii="Times New Roman" w:hAnsi="Times New Roman" w:hint="default"/>
      </w:rPr>
    </w:lvl>
    <w:lvl w:ilvl="1" w:tplc="4C7A6DB2">
      <w:start w:val="50"/>
      <w:numFmt w:val="bullet"/>
      <w:lvlText w:val="–"/>
      <w:lvlJc w:val="left"/>
      <w:pPr>
        <w:tabs>
          <w:tab w:val="num" w:pos="1440"/>
        </w:tabs>
        <w:ind w:left="1440" w:hanging="360"/>
      </w:pPr>
      <w:rPr>
        <w:rFonts w:ascii="Times New Roman" w:hAnsi="Times New Roman" w:hint="default"/>
      </w:rPr>
    </w:lvl>
    <w:lvl w:ilvl="2" w:tplc="D1D6899E" w:tentative="1">
      <w:start w:val="1"/>
      <w:numFmt w:val="bullet"/>
      <w:lvlText w:val="•"/>
      <w:lvlJc w:val="left"/>
      <w:pPr>
        <w:tabs>
          <w:tab w:val="num" w:pos="2160"/>
        </w:tabs>
        <w:ind w:left="2160" w:hanging="360"/>
      </w:pPr>
      <w:rPr>
        <w:rFonts w:ascii="Times New Roman" w:hAnsi="Times New Roman" w:hint="default"/>
      </w:rPr>
    </w:lvl>
    <w:lvl w:ilvl="3" w:tplc="D6BC8D86" w:tentative="1">
      <w:start w:val="1"/>
      <w:numFmt w:val="bullet"/>
      <w:lvlText w:val="•"/>
      <w:lvlJc w:val="left"/>
      <w:pPr>
        <w:tabs>
          <w:tab w:val="num" w:pos="2880"/>
        </w:tabs>
        <w:ind w:left="2880" w:hanging="360"/>
      </w:pPr>
      <w:rPr>
        <w:rFonts w:ascii="Times New Roman" w:hAnsi="Times New Roman" w:hint="default"/>
      </w:rPr>
    </w:lvl>
    <w:lvl w:ilvl="4" w:tplc="F45E76B2" w:tentative="1">
      <w:start w:val="1"/>
      <w:numFmt w:val="bullet"/>
      <w:lvlText w:val="•"/>
      <w:lvlJc w:val="left"/>
      <w:pPr>
        <w:tabs>
          <w:tab w:val="num" w:pos="3600"/>
        </w:tabs>
        <w:ind w:left="3600" w:hanging="360"/>
      </w:pPr>
      <w:rPr>
        <w:rFonts w:ascii="Times New Roman" w:hAnsi="Times New Roman" w:hint="default"/>
      </w:rPr>
    </w:lvl>
    <w:lvl w:ilvl="5" w:tplc="FBD26424" w:tentative="1">
      <w:start w:val="1"/>
      <w:numFmt w:val="bullet"/>
      <w:lvlText w:val="•"/>
      <w:lvlJc w:val="left"/>
      <w:pPr>
        <w:tabs>
          <w:tab w:val="num" w:pos="4320"/>
        </w:tabs>
        <w:ind w:left="4320" w:hanging="360"/>
      </w:pPr>
      <w:rPr>
        <w:rFonts w:ascii="Times New Roman" w:hAnsi="Times New Roman" w:hint="default"/>
      </w:rPr>
    </w:lvl>
    <w:lvl w:ilvl="6" w:tplc="2B3E6634" w:tentative="1">
      <w:start w:val="1"/>
      <w:numFmt w:val="bullet"/>
      <w:lvlText w:val="•"/>
      <w:lvlJc w:val="left"/>
      <w:pPr>
        <w:tabs>
          <w:tab w:val="num" w:pos="5040"/>
        </w:tabs>
        <w:ind w:left="5040" w:hanging="360"/>
      </w:pPr>
      <w:rPr>
        <w:rFonts w:ascii="Times New Roman" w:hAnsi="Times New Roman" w:hint="default"/>
      </w:rPr>
    </w:lvl>
    <w:lvl w:ilvl="7" w:tplc="6150CF9E" w:tentative="1">
      <w:start w:val="1"/>
      <w:numFmt w:val="bullet"/>
      <w:lvlText w:val="•"/>
      <w:lvlJc w:val="left"/>
      <w:pPr>
        <w:tabs>
          <w:tab w:val="num" w:pos="5760"/>
        </w:tabs>
        <w:ind w:left="5760" w:hanging="360"/>
      </w:pPr>
      <w:rPr>
        <w:rFonts w:ascii="Times New Roman" w:hAnsi="Times New Roman" w:hint="default"/>
      </w:rPr>
    </w:lvl>
    <w:lvl w:ilvl="8" w:tplc="5BC4DB7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DC734E1"/>
    <w:multiLevelType w:val="hybridMultilevel"/>
    <w:tmpl w:val="EE54A51E"/>
    <w:lvl w:ilvl="0" w:tplc="5D8632B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6D14E9"/>
    <w:multiLevelType w:val="multilevel"/>
    <w:tmpl w:val="A1BA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2F57E6"/>
    <w:multiLevelType w:val="hybridMultilevel"/>
    <w:tmpl w:val="F3F23022"/>
    <w:lvl w:ilvl="0" w:tplc="1652AB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637725"/>
    <w:multiLevelType w:val="hybridMultilevel"/>
    <w:tmpl w:val="B25C1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407E58"/>
    <w:multiLevelType w:val="multilevel"/>
    <w:tmpl w:val="8458A6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8AF0578"/>
    <w:multiLevelType w:val="hybridMultilevel"/>
    <w:tmpl w:val="09008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B01EB4"/>
    <w:multiLevelType w:val="multilevel"/>
    <w:tmpl w:val="4A32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1"/>
  </w:num>
  <w:num w:numId="5">
    <w:abstractNumId w:val="12"/>
  </w:num>
  <w:num w:numId="6">
    <w:abstractNumId w:val="0"/>
  </w:num>
  <w:num w:numId="7">
    <w:abstractNumId w:val="9"/>
  </w:num>
  <w:num w:numId="8">
    <w:abstractNumId w:val="1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8"/>
  </w:num>
  <w:num w:numId="13">
    <w:abstractNumId w:val="13"/>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SpellingErrors/>
  <w:hideGrammaticalErrors/>
  <w:proofState w:spelling="clean" w:grammar="clean"/>
  <w:defaultTabStop w:val="720"/>
  <w:hyphenationZone w:val="425"/>
  <w:characterSpacingControl w:val="doNotCompress"/>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dafapdxcwxpdbefd24ppzpja9z0srfdwt00&quot;&gt;communicable&lt;record-ids&gt;&lt;item&gt;154&lt;/item&gt;&lt;item&gt;156&lt;/item&gt;&lt;item&gt;211&lt;/item&gt;&lt;item&gt;215&lt;/item&gt;&lt;item&gt;220&lt;/item&gt;&lt;/record-ids&gt;&lt;/item&gt;&lt;/Libraries&gt;"/>
  </w:docVars>
  <w:rsids>
    <w:rsidRoot w:val="00A5523B"/>
    <w:rsid w:val="00003196"/>
    <w:rsid w:val="00004FD6"/>
    <w:rsid w:val="00007C87"/>
    <w:rsid w:val="00011841"/>
    <w:rsid w:val="00012289"/>
    <w:rsid w:val="000128D7"/>
    <w:rsid w:val="00013BB1"/>
    <w:rsid w:val="00014263"/>
    <w:rsid w:val="00015E71"/>
    <w:rsid w:val="00015E87"/>
    <w:rsid w:val="000160A0"/>
    <w:rsid w:val="00016B03"/>
    <w:rsid w:val="00016D7F"/>
    <w:rsid w:val="000172EC"/>
    <w:rsid w:val="00020538"/>
    <w:rsid w:val="00021960"/>
    <w:rsid w:val="00022AF0"/>
    <w:rsid w:val="00023A73"/>
    <w:rsid w:val="000253AC"/>
    <w:rsid w:val="000265B2"/>
    <w:rsid w:val="00026D35"/>
    <w:rsid w:val="000277A4"/>
    <w:rsid w:val="00027D9C"/>
    <w:rsid w:val="00035079"/>
    <w:rsid w:val="00036219"/>
    <w:rsid w:val="000407DF"/>
    <w:rsid w:val="00041A1E"/>
    <w:rsid w:val="00044BCE"/>
    <w:rsid w:val="000455DB"/>
    <w:rsid w:val="00047934"/>
    <w:rsid w:val="00047945"/>
    <w:rsid w:val="00047FD3"/>
    <w:rsid w:val="000506DA"/>
    <w:rsid w:val="00050831"/>
    <w:rsid w:val="0005154E"/>
    <w:rsid w:val="00053D47"/>
    <w:rsid w:val="00056430"/>
    <w:rsid w:val="0005667B"/>
    <w:rsid w:val="000570F8"/>
    <w:rsid w:val="00057795"/>
    <w:rsid w:val="00057898"/>
    <w:rsid w:val="00057937"/>
    <w:rsid w:val="000615C6"/>
    <w:rsid w:val="00062833"/>
    <w:rsid w:val="00063D4E"/>
    <w:rsid w:val="00063E62"/>
    <w:rsid w:val="00066B45"/>
    <w:rsid w:val="00066D6B"/>
    <w:rsid w:val="00066DEC"/>
    <w:rsid w:val="000670D4"/>
    <w:rsid w:val="00067ED0"/>
    <w:rsid w:val="00070840"/>
    <w:rsid w:val="00070B4C"/>
    <w:rsid w:val="00071627"/>
    <w:rsid w:val="000717B9"/>
    <w:rsid w:val="000720E6"/>
    <w:rsid w:val="000724FE"/>
    <w:rsid w:val="00072AB5"/>
    <w:rsid w:val="0007483D"/>
    <w:rsid w:val="00074A8E"/>
    <w:rsid w:val="00075B5E"/>
    <w:rsid w:val="000760B2"/>
    <w:rsid w:val="00083A2E"/>
    <w:rsid w:val="00084158"/>
    <w:rsid w:val="00084567"/>
    <w:rsid w:val="000855E1"/>
    <w:rsid w:val="00090A10"/>
    <w:rsid w:val="00090DFA"/>
    <w:rsid w:val="0009215E"/>
    <w:rsid w:val="00092245"/>
    <w:rsid w:val="00092A84"/>
    <w:rsid w:val="00093AB3"/>
    <w:rsid w:val="00095F4F"/>
    <w:rsid w:val="00096D18"/>
    <w:rsid w:val="0009709E"/>
    <w:rsid w:val="000976F0"/>
    <w:rsid w:val="00097957"/>
    <w:rsid w:val="00097F51"/>
    <w:rsid w:val="000A0B89"/>
    <w:rsid w:val="000A2068"/>
    <w:rsid w:val="000A3B02"/>
    <w:rsid w:val="000A4080"/>
    <w:rsid w:val="000A4A86"/>
    <w:rsid w:val="000A599A"/>
    <w:rsid w:val="000A6434"/>
    <w:rsid w:val="000A78E6"/>
    <w:rsid w:val="000B47B1"/>
    <w:rsid w:val="000B64A8"/>
    <w:rsid w:val="000B6E81"/>
    <w:rsid w:val="000B77D0"/>
    <w:rsid w:val="000B7B5B"/>
    <w:rsid w:val="000B7CAC"/>
    <w:rsid w:val="000B7CE8"/>
    <w:rsid w:val="000C0BBC"/>
    <w:rsid w:val="000C2394"/>
    <w:rsid w:val="000C2447"/>
    <w:rsid w:val="000C244F"/>
    <w:rsid w:val="000C2F10"/>
    <w:rsid w:val="000C4012"/>
    <w:rsid w:val="000C4A47"/>
    <w:rsid w:val="000C4E79"/>
    <w:rsid w:val="000C51ED"/>
    <w:rsid w:val="000C5640"/>
    <w:rsid w:val="000D0718"/>
    <w:rsid w:val="000D0956"/>
    <w:rsid w:val="000D2042"/>
    <w:rsid w:val="000D2065"/>
    <w:rsid w:val="000D2899"/>
    <w:rsid w:val="000D2B70"/>
    <w:rsid w:val="000D2E38"/>
    <w:rsid w:val="000D3EC8"/>
    <w:rsid w:val="000D48A1"/>
    <w:rsid w:val="000D6C0F"/>
    <w:rsid w:val="000D6E3B"/>
    <w:rsid w:val="000E073B"/>
    <w:rsid w:val="000E1104"/>
    <w:rsid w:val="000E146C"/>
    <w:rsid w:val="000E18F1"/>
    <w:rsid w:val="000E2E62"/>
    <w:rsid w:val="000E3472"/>
    <w:rsid w:val="000E3777"/>
    <w:rsid w:val="000E44BD"/>
    <w:rsid w:val="000E454E"/>
    <w:rsid w:val="000E4639"/>
    <w:rsid w:val="000E4E7A"/>
    <w:rsid w:val="000E5D84"/>
    <w:rsid w:val="000E618C"/>
    <w:rsid w:val="000E66FB"/>
    <w:rsid w:val="000F0BB9"/>
    <w:rsid w:val="000F1429"/>
    <w:rsid w:val="000F1AB7"/>
    <w:rsid w:val="000F36E4"/>
    <w:rsid w:val="000F3FD2"/>
    <w:rsid w:val="000F462A"/>
    <w:rsid w:val="000F68C2"/>
    <w:rsid w:val="000F6B0E"/>
    <w:rsid w:val="0010075F"/>
    <w:rsid w:val="0010085D"/>
    <w:rsid w:val="00100BB9"/>
    <w:rsid w:val="00100F85"/>
    <w:rsid w:val="001016E1"/>
    <w:rsid w:val="001042D0"/>
    <w:rsid w:val="00104614"/>
    <w:rsid w:val="001060C3"/>
    <w:rsid w:val="001065B3"/>
    <w:rsid w:val="001103DE"/>
    <w:rsid w:val="00110444"/>
    <w:rsid w:val="00110DA7"/>
    <w:rsid w:val="00111F92"/>
    <w:rsid w:val="001124A4"/>
    <w:rsid w:val="00112CE4"/>
    <w:rsid w:val="00112DB2"/>
    <w:rsid w:val="00113383"/>
    <w:rsid w:val="00114458"/>
    <w:rsid w:val="001165A5"/>
    <w:rsid w:val="001179D3"/>
    <w:rsid w:val="00120B71"/>
    <w:rsid w:val="00120FB8"/>
    <w:rsid w:val="00123F76"/>
    <w:rsid w:val="0012406E"/>
    <w:rsid w:val="0012504B"/>
    <w:rsid w:val="00125690"/>
    <w:rsid w:val="0012609B"/>
    <w:rsid w:val="00126317"/>
    <w:rsid w:val="00130D73"/>
    <w:rsid w:val="00131141"/>
    <w:rsid w:val="001311C0"/>
    <w:rsid w:val="00136361"/>
    <w:rsid w:val="00137EA2"/>
    <w:rsid w:val="00143D6D"/>
    <w:rsid w:val="00145D43"/>
    <w:rsid w:val="001463CB"/>
    <w:rsid w:val="001502EF"/>
    <w:rsid w:val="0015187C"/>
    <w:rsid w:val="0015300A"/>
    <w:rsid w:val="001531C4"/>
    <w:rsid w:val="001543AF"/>
    <w:rsid w:val="00154A17"/>
    <w:rsid w:val="00154FE9"/>
    <w:rsid w:val="0015536A"/>
    <w:rsid w:val="001558BD"/>
    <w:rsid w:val="001564DA"/>
    <w:rsid w:val="00157090"/>
    <w:rsid w:val="001600AB"/>
    <w:rsid w:val="00160233"/>
    <w:rsid w:val="0016053B"/>
    <w:rsid w:val="001610C0"/>
    <w:rsid w:val="001616FF"/>
    <w:rsid w:val="00161FF1"/>
    <w:rsid w:val="001634AA"/>
    <w:rsid w:val="00163A17"/>
    <w:rsid w:val="00163D3C"/>
    <w:rsid w:val="00163E74"/>
    <w:rsid w:val="00164901"/>
    <w:rsid w:val="001657A8"/>
    <w:rsid w:val="001668AE"/>
    <w:rsid w:val="00167440"/>
    <w:rsid w:val="001720F9"/>
    <w:rsid w:val="001726FE"/>
    <w:rsid w:val="001741A4"/>
    <w:rsid w:val="001750A1"/>
    <w:rsid w:val="00176902"/>
    <w:rsid w:val="001771C9"/>
    <w:rsid w:val="00180305"/>
    <w:rsid w:val="00181206"/>
    <w:rsid w:val="00182112"/>
    <w:rsid w:val="00183703"/>
    <w:rsid w:val="0018478A"/>
    <w:rsid w:val="00185CDA"/>
    <w:rsid w:val="001860A4"/>
    <w:rsid w:val="001867EF"/>
    <w:rsid w:val="00186A5B"/>
    <w:rsid w:val="00190C78"/>
    <w:rsid w:val="00190DF4"/>
    <w:rsid w:val="00190E90"/>
    <w:rsid w:val="00191507"/>
    <w:rsid w:val="001916C5"/>
    <w:rsid w:val="001918D2"/>
    <w:rsid w:val="00191941"/>
    <w:rsid w:val="0019293C"/>
    <w:rsid w:val="0019317C"/>
    <w:rsid w:val="0019370D"/>
    <w:rsid w:val="0019471E"/>
    <w:rsid w:val="001966A0"/>
    <w:rsid w:val="001974F1"/>
    <w:rsid w:val="001976DA"/>
    <w:rsid w:val="00197CCB"/>
    <w:rsid w:val="001A04DB"/>
    <w:rsid w:val="001A45AB"/>
    <w:rsid w:val="001A7663"/>
    <w:rsid w:val="001A767A"/>
    <w:rsid w:val="001B101F"/>
    <w:rsid w:val="001B4962"/>
    <w:rsid w:val="001B49E4"/>
    <w:rsid w:val="001B5B1B"/>
    <w:rsid w:val="001B5B27"/>
    <w:rsid w:val="001C09EC"/>
    <w:rsid w:val="001C1C75"/>
    <w:rsid w:val="001C38B7"/>
    <w:rsid w:val="001C39C0"/>
    <w:rsid w:val="001C3B43"/>
    <w:rsid w:val="001C4585"/>
    <w:rsid w:val="001D0EA6"/>
    <w:rsid w:val="001D1738"/>
    <w:rsid w:val="001D1896"/>
    <w:rsid w:val="001D1EDF"/>
    <w:rsid w:val="001D2D0D"/>
    <w:rsid w:val="001D30F8"/>
    <w:rsid w:val="001D3916"/>
    <w:rsid w:val="001D57A4"/>
    <w:rsid w:val="001D60B4"/>
    <w:rsid w:val="001D6F8F"/>
    <w:rsid w:val="001D7049"/>
    <w:rsid w:val="001E126F"/>
    <w:rsid w:val="001E2100"/>
    <w:rsid w:val="001E4487"/>
    <w:rsid w:val="001E45DF"/>
    <w:rsid w:val="001E6177"/>
    <w:rsid w:val="001E6D08"/>
    <w:rsid w:val="001E7AD2"/>
    <w:rsid w:val="001E7CD5"/>
    <w:rsid w:val="001F4650"/>
    <w:rsid w:val="001F7066"/>
    <w:rsid w:val="00201D06"/>
    <w:rsid w:val="0020404F"/>
    <w:rsid w:val="00204520"/>
    <w:rsid w:val="0020642D"/>
    <w:rsid w:val="00207C6F"/>
    <w:rsid w:val="002109D4"/>
    <w:rsid w:val="00211CCE"/>
    <w:rsid w:val="00212D42"/>
    <w:rsid w:val="00214319"/>
    <w:rsid w:val="00216268"/>
    <w:rsid w:val="002169F3"/>
    <w:rsid w:val="00220983"/>
    <w:rsid w:val="00222445"/>
    <w:rsid w:val="0022555C"/>
    <w:rsid w:val="00225A5C"/>
    <w:rsid w:val="00226ECC"/>
    <w:rsid w:val="00230269"/>
    <w:rsid w:val="00230638"/>
    <w:rsid w:val="0023291E"/>
    <w:rsid w:val="00232A85"/>
    <w:rsid w:val="00232DD0"/>
    <w:rsid w:val="00233073"/>
    <w:rsid w:val="002332E5"/>
    <w:rsid w:val="00233BFD"/>
    <w:rsid w:val="00234482"/>
    <w:rsid w:val="00235E10"/>
    <w:rsid w:val="00236F45"/>
    <w:rsid w:val="00240993"/>
    <w:rsid w:val="00240FF8"/>
    <w:rsid w:val="00241B68"/>
    <w:rsid w:val="00242024"/>
    <w:rsid w:val="0024347B"/>
    <w:rsid w:val="002437CA"/>
    <w:rsid w:val="00244085"/>
    <w:rsid w:val="002444A9"/>
    <w:rsid w:val="002451BD"/>
    <w:rsid w:val="002460D6"/>
    <w:rsid w:val="00246B00"/>
    <w:rsid w:val="00251751"/>
    <w:rsid w:val="00251F55"/>
    <w:rsid w:val="00251FC3"/>
    <w:rsid w:val="002529E4"/>
    <w:rsid w:val="00252B7B"/>
    <w:rsid w:val="002556E4"/>
    <w:rsid w:val="00257ED6"/>
    <w:rsid w:val="00260087"/>
    <w:rsid w:val="0026011C"/>
    <w:rsid w:val="00262B74"/>
    <w:rsid w:val="002644FD"/>
    <w:rsid w:val="00264615"/>
    <w:rsid w:val="002646BE"/>
    <w:rsid w:val="00264974"/>
    <w:rsid w:val="00265339"/>
    <w:rsid w:val="00265570"/>
    <w:rsid w:val="00265754"/>
    <w:rsid w:val="00265A26"/>
    <w:rsid w:val="002660A5"/>
    <w:rsid w:val="00266BE7"/>
    <w:rsid w:val="00267E63"/>
    <w:rsid w:val="002730C0"/>
    <w:rsid w:val="00280A00"/>
    <w:rsid w:val="00280E58"/>
    <w:rsid w:val="00281058"/>
    <w:rsid w:val="00281B82"/>
    <w:rsid w:val="002823EF"/>
    <w:rsid w:val="002826DD"/>
    <w:rsid w:val="0029154C"/>
    <w:rsid w:val="00291ABB"/>
    <w:rsid w:val="0029230A"/>
    <w:rsid w:val="002930BF"/>
    <w:rsid w:val="00294161"/>
    <w:rsid w:val="002952AC"/>
    <w:rsid w:val="00295824"/>
    <w:rsid w:val="00296686"/>
    <w:rsid w:val="00297B3B"/>
    <w:rsid w:val="00297B93"/>
    <w:rsid w:val="002A18A1"/>
    <w:rsid w:val="002A43B6"/>
    <w:rsid w:val="002A4674"/>
    <w:rsid w:val="002A48BF"/>
    <w:rsid w:val="002A492B"/>
    <w:rsid w:val="002A5D22"/>
    <w:rsid w:val="002B0C3E"/>
    <w:rsid w:val="002B1024"/>
    <w:rsid w:val="002B1F5C"/>
    <w:rsid w:val="002B2071"/>
    <w:rsid w:val="002B305A"/>
    <w:rsid w:val="002B30FF"/>
    <w:rsid w:val="002B4DC1"/>
    <w:rsid w:val="002B77F1"/>
    <w:rsid w:val="002C1A69"/>
    <w:rsid w:val="002C57B2"/>
    <w:rsid w:val="002C67B1"/>
    <w:rsid w:val="002C689C"/>
    <w:rsid w:val="002C7723"/>
    <w:rsid w:val="002D14D1"/>
    <w:rsid w:val="002D22D3"/>
    <w:rsid w:val="002D23B5"/>
    <w:rsid w:val="002D2573"/>
    <w:rsid w:val="002D59D4"/>
    <w:rsid w:val="002D739E"/>
    <w:rsid w:val="002D7BAA"/>
    <w:rsid w:val="002E0915"/>
    <w:rsid w:val="002E2BED"/>
    <w:rsid w:val="002E347B"/>
    <w:rsid w:val="002E40AA"/>
    <w:rsid w:val="002E5300"/>
    <w:rsid w:val="002E7558"/>
    <w:rsid w:val="002F06CE"/>
    <w:rsid w:val="002F1949"/>
    <w:rsid w:val="002F3723"/>
    <w:rsid w:val="002F3A11"/>
    <w:rsid w:val="002F715D"/>
    <w:rsid w:val="002F76AF"/>
    <w:rsid w:val="0030109C"/>
    <w:rsid w:val="00301E16"/>
    <w:rsid w:val="00304E46"/>
    <w:rsid w:val="00305273"/>
    <w:rsid w:val="00305CA3"/>
    <w:rsid w:val="00306DF1"/>
    <w:rsid w:val="0031044A"/>
    <w:rsid w:val="00311A32"/>
    <w:rsid w:val="00312BC3"/>
    <w:rsid w:val="00313C9B"/>
    <w:rsid w:val="00315492"/>
    <w:rsid w:val="00315F4E"/>
    <w:rsid w:val="00316653"/>
    <w:rsid w:val="00317021"/>
    <w:rsid w:val="00317191"/>
    <w:rsid w:val="00317A75"/>
    <w:rsid w:val="00325160"/>
    <w:rsid w:val="00326427"/>
    <w:rsid w:val="00326651"/>
    <w:rsid w:val="00327AB7"/>
    <w:rsid w:val="00327FC0"/>
    <w:rsid w:val="003300F4"/>
    <w:rsid w:val="003314F2"/>
    <w:rsid w:val="00332A99"/>
    <w:rsid w:val="00333B89"/>
    <w:rsid w:val="00334FB0"/>
    <w:rsid w:val="0033552C"/>
    <w:rsid w:val="0033748A"/>
    <w:rsid w:val="00337D2E"/>
    <w:rsid w:val="00341AFF"/>
    <w:rsid w:val="00342977"/>
    <w:rsid w:val="00344F29"/>
    <w:rsid w:val="0034564A"/>
    <w:rsid w:val="003461AD"/>
    <w:rsid w:val="0035023B"/>
    <w:rsid w:val="00352B87"/>
    <w:rsid w:val="00353601"/>
    <w:rsid w:val="00353C7F"/>
    <w:rsid w:val="00355785"/>
    <w:rsid w:val="00356A0E"/>
    <w:rsid w:val="00357918"/>
    <w:rsid w:val="00357D76"/>
    <w:rsid w:val="0036072D"/>
    <w:rsid w:val="0036095F"/>
    <w:rsid w:val="00361ABB"/>
    <w:rsid w:val="00364011"/>
    <w:rsid w:val="0036468E"/>
    <w:rsid w:val="0036792A"/>
    <w:rsid w:val="0037196E"/>
    <w:rsid w:val="003721A9"/>
    <w:rsid w:val="0037312C"/>
    <w:rsid w:val="00373636"/>
    <w:rsid w:val="00374709"/>
    <w:rsid w:val="00375922"/>
    <w:rsid w:val="003766A6"/>
    <w:rsid w:val="00376B3A"/>
    <w:rsid w:val="00376EF0"/>
    <w:rsid w:val="00381594"/>
    <w:rsid w:val="0038184C"/>
    <w:rsid w:val="00382CFD"/>
    <w:rsid w:val="00385133"/>
    <w:rsid w:val="00385821"/>
    <w:rsid w:val="00386023"/>
    <w:rsid w:val="00386997"/>
    <w:rsid w:val="00386F50"/>
    <w:rsid w:val="0038769A"/>
    <w:rsid w:val="00392082"/>
    <w:rsid w:val="00393617"/>
    <w:rsid w:val="003942E7"/>
    <w:rsid w:val="003947DA"/>
    <w:rsid w:val="0039486C"/>
    <w:rsid w:val="003959D5"/>
    <w:rsid w:val="003976C8"/>
    <w:rsid w:val="003A0063"/>
    <w:rsid w:val="003A065B"/>
    <w:rsid w:val="003A068F"/>
    <w:rsid w:val="003A160C"/>
    <w:rsid w:val="003A1958"/>
    <w:rsid w:val="003A46DB"/>
    <w:rsid w:val="003A5840"/>
    <w:rsid w:val="003A5A08"/>
    <w:rsid w:val="003B3D01"/>
    <w:rsid w:val="003B4276"/>
    <w:rsid w:val="003B5869"/>
    <w:rsid w:val="003C04A7"/>
    <w:rsid w:val="003C0C47"/>
    <w:rsid w:val="003C1015"/>
    <w:rsid w:val="003C1035"/>
    <w:rsid w:val="003C2301"/>
    <w:rsid w:val="003C4204"/>
    <w:rsid w:val="003C5CBC"/>
    <w:rsid w:val="003C6A54"/>
    <w:rsid w:val="003D2E37"/>
    <w:rsid w:val="003E137D"/>
    <w:rsid w:val="003E18E9"/>
    <w:rsid w:val="003E27AE"/>
    <w:rsid w:val="003E3908"/>
    <w:rsid w:val="003E6B21"/>
    <w:rsid w:val="003E6CC5"/>
    <w:rsid w:val="003E7114"/>
    <w:rsid w:val="003E73B3"/>
    <w:rsid w:val="003E75EB"/>
    <w:rsid w:val="003F0EFC"/>
    <w:rsid w:val="003F1C2A"/>
    <w:rsid w:val="003F1FF8"/>
    <w:rsid w:val="003F2E3D"/>
    <w:rsid w:val="003F2F06"/>
    <w:rsid w:val="003F2F48"/>
    <w:rsid w:val="003F4DAE"/>
    <w:rsid w:val="003F5272"/>
    <w:rsid w:val="003F529C"/>
    <w:rsid w:val="003F569C"/>
    <w:rsid w:val="003F5795"/>
    <w:rsid w:val="003F5FE8"/>
    <w:rsid w:val="003F64AA"/>
    <w:rsid w:val="003F725E"/>
    <w:rsid w:val="003F7628"/>
    <w:rsid w:val="0040144A"/>
    <w:rsid w:val="004027C0"/>
    <w:rsid w:val="00402EED"/>
    <w:rsid w:val="004039B8"/>
    <w:rsid w:val="00404489"/>
    <w:rsid w:val="004062AA"/>
    <w:rsid w:val="00406661"/>
    <w:rsid w:val="004072FF"/>
    <w:rsid w:val="004073E5"/>
    <w:rsid w:val="004101C1"/>
    <w:rsid w:val="004102FA"/>
    <w:rsid w:val="00411A99"/>
    <w:rsid w:val="00411AFD"/>
    <w:rsid w:val="00412B8F"/>
    <w:rsid w:val="00415EA1"/>
    <w:rsid w:val="00416380"/>
    <w:rsid w:val="00417BC2"/>
    <w:rsid w:val="00420571"/>
    <w:rsid w:val="00420B22"/>
    <w:rsid w:val="00420EFD"/>
    <w:rsid w:val="00421061"/>
    <w:rsid w:val="0042185F"/>
    <w:rsid w:val="004234FD"/>
    <w:rsid w:val="004267ED"/>
    <w:rsid w:val="00426D7B"/>
    <w:rsid w:val="00426FF7"/>
    <w:rsid w:val="00427760"/>
    <w:rsid w:val="004301E9"/>
    <w:rsid w:val="004304AF"/>
    <w:rsid w:val="00430A63"/>
    <w:rsid w:val="00432D0D"/>
    <w:rsid w:val="004336A2"/>
    <w:rsid w:val="004343CD"/>
    <w:rsid w:val="00434A4E"/>
    <w:rsid w:val="00434FB0"/>
    <w:rsid w:val="004351A9"/>
    <w:rsid w:val="00435492"/>
    <w:rsid w:val="00436D52"/>
    <w:rsid w:val="00440084"/>
    <w:rsid w:val="0044042A"/>
    <w:rsid w:val="004415C6"/>
    <w:rsid w:val="0044249A"/>
    <w:rsid w:val="00443AA8"/>
    <w:rsid w:val="004456FE"/>
    <w:rsid w:val="0044600C"/>
    <w:rsid w:val="00446030"/>
    <w:rsid w:val="004461A3"/>
    <w:rsid w:val="00446507"/>
    <w:rsid w:val="00446E9C"/>
    <w:rsid w:val="0044707E"/>
    <w:rsid w:val="00447C01"/>
    <w:rsid w:val="004514CF"/>
    <w:rsid w:val="0045367E"/>
    <w:rsid w:val="004537B9"/>
    <w:rsid w:val="00456431"/>
    <w:rsid w:val="00460051"/>
    <w:rsid w:val="00460705"/>
    <w:rsid w:val="004611BD"/>
    <w:rsid w:val="004614FC"/>
    <w:rsid w:val="00462B88"/>
    <w:rsid w:val="00462D5C"/>
    <w:rsid w:val="0046389C"/>
    <w:rsid w:val="00466CD6"/>
    <w:rsid w:val="00467253"/>
    <w:rsid w:val="0047121B"/>
    <w:rsid w:val="00475E83"/>
    <w:rsid w:val="00477010"/>
    <w:rsid w:val="00477708"/>
    <w:rsid w:val="00480AB6"/>
    <w:rsid w:val="00482F35"/>
    <w:rsid w:val="00485D64"/>
    <w:rsid w:val="004862D0"/>
    <w:rsid w:val="004866FA"/>
    <w:rsid w:val="0048685D"/>
    <w:rsid w:val="00490C9C"/>
    <w:rsid w:val="00490E1F"/>
    <w:rsid w:val="0049109F"/>
    <w:rsid w:val="0049200D"/>
    <w:rsid w:val="00493260"/>
    <w:rsid w:val="00493BF9"/>
    <w:rsid w:val="00495934"/>
    <w:rsid w:val="004972B1"/>
    <w:rsid w:val="00497FE7"/>
    <w:rsid w:val="004A146F"/>
    <w:rsid w:val="004A1D65"/>
    <w:rsid w:val="004A2282"/>
    <w:rsid w:val="004A59A1"/>
    <w:rsid w:val="004A61F4"/>
    <w:rsid w:val="004A6223"/>
    <w:rsid w:val="004A6804"/>
    <w:rsid w:val="004A74C6"/>
    <w:rsid w:val="004B0E4D"/>
    <w:rsid w:val="004B14CC"/>
    <w:rsid w:val="004B19F4"/>
    <w:rsid w:val="004B1CA9"/>
    <w:rsid w:val="004B1FA5"/>
    <w:rsid w:val="004B2819"/>
    <w:rsid w:val="004B398B"/>
    <w:rsid w:val="004B446D"/>
    <w:rsid w:val="004B4955"/>
    <w:rsid w:val="004B4D31"/>
    <w:rsid w:val="004B5506"/>
    <w:rsid w:val="004B750D"/>
    <w:rsid w:val="004C02CB"/>
    <w:rsid w:val="004C0B1A"/>
    <w:rsid w:val="004C1554"/>
    <w:rsid w:val="004C1B4E"/>
    <w:rsid w:val="004C4D14"/>
    <w:rsid w:val="004C4EBC"/>
    <w:rsid w:val="004C60F3"/>
    <w:rsid w:val="004C683A"/>
    <w:rsid w:val="004C6F28"/>
    <w:rsid w:val="004C6F58"/>
    <w:rsid w:val="004C7314"/>
    <w:rsid w:val="004D150F"/>
    <w:rsid w:val="004D1848"/>
    <w:rsid w:val="004D1AF3"/>
    <w:rsid w:val="004D28DA"/>
    <w:rsid w:val="004D2925"/>
    <w:rsid w:val="004D3C2D"/>
    <w:rsid w:val="004D4F5D"/>
    <w:rsid w:val="004D60B0"/>
    <w:rsid w:val="004D7136"/>
    <w:rsid w:val="004E08C8"/>
    <w:rsid w:val="004E1235"/>
    <w:rsid w:val="004E171C"/>
    <w:rsid w:val="004E26DA"/>
    <w:rsid w:val="004E2729"/>
    <w:rsid w:val="004E34FC"/>
    <w:rsid w:val="004E4F9A"/>
    <w:rsid w:val="004E6515"/>
    <w:rsid w:val="004F07DE"/>
    <w:rsid w:val="004F1AB7"/>
    <w:rsid w:val="004F4D47"/>
    <w:rsid w:val="004F4DA6"/>
    <w:rsid w:val="004F5188"/>
    <w:rsid w:val="004F5449"/>
    <w:rsid w:val="004F6821"/>
    <w:rsid w:val="004F75D3"/>
    <w:rsid w:val="0050001B"/>
    <w:rsid w:val="00501032"/>
    <w:rsid w:val="00501321"/>
    <w:rsid w:val="00503357"/>
    <w:rsid w:val="0050604A"/>
    <w:rsid w:val="00506DB1"/>
    <w:rsid w:val="00506FBC"/>
    <w:rsid w:val="00510210"/>
    <w:rsid w:val="005154C9"/>
    <w:rsid w:val="00516684"/>
    <w:rsid w:val="00522DAD"/>
    <w:rsid w:val="005269B9"/>
    <w:rsid w:val="00526D62"/>
    <w:rsid w:val="0053127A"/>
    <w:rsid w:val="005314B3"/>
    <w:rsid w:val="00532A8F"/>
    <w:rsid w:val="00532CF2"/>
    <w:rsid w:val="00534D37"/>
    <w:rsid w:val="0053714D"/>
    <w:rsid w:val="00537156"/>
    <w:rsid w:val="005376F2"/>
    <w:rsid w:val="00537B49"/>
    <w:rsid w:val="00540180"/>
    <w:rsid w:val="005404C1"/>
    <w:rsid w:val="005404E4"/>
    <w:rsid w:val="00541020"/>
    <w:rsid w:val="005411D1"/>
    <w:rsid w:val="00542764"/>
    <w:rsid w:val="00543667"/>
    <w:rsid w:val="005437A9"/>
    <w:rsid w:val="00543ACA"/>
    <w:rsid w:val="00546724"/>
    <w:rsid w:val="00551654"/>
    <w:rsid w:val="00552904"/>
    <w:rsid w:val="005530FC"/>
    <w:rsid w:val="0055318A"/>
    <w:rsid w:val="00555B42"/>
    <w:rsid w:val="00556FBB"/>
    <w:rsid w:val="00560503"/>
    <w:rsid w:val="00560E27"/>
    <w:rsid w:val="00567693"/>
    <w:rsid w:val="00570AE0"/>
    <w:rsid w:val="00571C0C"/>
    <w:rsid w:val="00572CC3"/>
    <w:rsid w:val="00573DF0"/>
    <w:rsid w:val="00576807"/>
    <w:rsid w:val="00577FC7"/>
    <w:rsid w:val="0058061D"/>
    <w:rsid w:val="00580A19"/>
    <w:rsid w:val="00581BAB"/>
    <w:rsid w:val="00581E54"/>
    <w:rsid w:val="005824B9"/>
    <w:rsid w:val="005912DC"/>
    <w:rsid w:val="00591C05"/>
    <w:rsid w:val="00591D9E"/>
    <w:rsid w:val="00592476"/>
    <w:rsid w:val="0059425C"/>
    <w:rsid w:val="00594FCB"/>
    <w:rsid w:val="005972A8"/>
    <w:rsid w:val="005A0883"/>
    <w:rsid w:val="005A1C8C"/>
    <w:rsid w:val="005A2188"/>
    <w:rsid w:val="005A642C"/>
    <w:rsid w:val="005A647F"/>
    <w:rsid w:val="005B17D2"/>
    <w:rsid w:val="005B1FF2"/>
    <w:rsid w:val="005B3AEB"/>
    <w:rsid w:val="005B3C62"/>
    <w:rsid w:val="005B3F29"/>
    <w:rsid w:val="005B41C0"/>
    <w:rsid w:val="005B515A"/>
    <w:rsid w:val="005B57C0"/>
    <w:rsid w:val="005B5BEF"/>
    <w:rsid w:val="005B687D"/>
    <w:rsid w:val="005B6AD6"/>
    <w:rsid w:val="005B77A2"/>
    <w:rsid w:val="005C2279"/>
    <w:rsid w:val="005C2378"/>
    <w:rsid w:val="005C4252"/>
    <w:rsid w:val="005C7F29"/>
    <w:rsid w:val="005D10CE"/>
    <w:rsid w:val="005D1706"/>
    <w:rsid w:val="005D1EF4"/>
    <w:rsid w:val="005D5229"/>
    <w:rsid w:val="005D7EB9"/>
    <w:rsid w:val="005E06E1"/>
    <w:rsid w:val="005E0CC4"/>
    <w:rsid w:val="005E24DE"/>
    <w:rsid w:val="005F0521"/>
    <w:rsid w:val="005F05D8"/>
    <w:rsid w:val="005F1537"/>
    <w:rsid w:val="005F2B01"/>
    <w:rsid w:val="005F6BD8"/>
    <w:rsid w:val="005F734A"/>
    <w:rsid w:val="005F7E1E"/>
    <w:rsid w:val="00601258"/>
    <w:rsid w:val="0060199F"/>
    <w:rsid w:val="00607454"/>
    <w:rsid w:val="00612C2D"/>
    <w:rsid w:val="00613835"/>
    <w:rsid w:val="006141AA"/>
    <w:rsid w:val="00614DAD"/>
    <w:rsid w:val="006155DF"/>
    <w:rsid w:val="00616D75"/>
    <w:rsid w:val="00617B84"/>
    <w:rsid w:val="00620759"/>
    <w:rsid w:val="0062413A"/>
    <w:rsid w:val="00626556"/>
    <w:rsid w:val="00630A51"/>
    <w:rsid w:val="006311CE"/>
    <w:rsid w:val="006311DC"/>
    <w:rsid w:val="0063206F"/>
    <w:rsid w:val="00633B6B"/>
    <w:rsid w:val="006344FD"/>
    <w:rsid w:val="0063463F"/>
    <w:rsid w:val="00634F97"/>
    <w:rsid w:val="006365EE"/>
    <w:rsid w:val="00640DEC"/>
    <w:rsid w:val="00641303"/>
    <w:rsid w:val="0064587E"/>
    <w:rsid w:val="00647315"/>
    <w:rsid w:val="00651846"/>
    <w:rsid w:val="00652032"/>
    <w:rsid w:val="006520AE"/>
    <w:rsid w:val="00653927"/>
    <w:rsid w:val="00653B2D"/>
    <w:rsid w:val="0065507B"/>
    <w:rsid w:val="006561D7"/>
    <w:rsid w:val="00660BEE"/>
    <w:rsid w:val="00663389"/>
    <w:rsid w:val="006633FC"/>
    <w:rsid w:val="0066557D"/>
    <w:rsid w:val="00666EDA"/>
    <w:rsid w:val="006673A4"/>
    <w:rsid w:val="00667729"/>
    <w:rsid w:val="0067308B"/>
    <w:rsid w:val="006735D3"/>
    <w:rsid w:val="00673D2E"/>
    <w:rsid w:val="006745FF"/>
    <w:rsid w:val="00674B4B"/>
    <w:rsid w:val="006755A1"/>
    <w:rsid w:val="006761F7"/>
    <w:rsid w:val="00676FCC"/>
    <w:rsid w:val="00677345"/>
    <w:rsid w:val="00680D0F"/>
    <w:rsid w:val="006812D4"/>
    <w:rsid w:val="00681679"/>
    <w:rsid w:val="00682AD9"/>
    <w:rsid w:val="006834D3"/>
    <w:rsid w:val="0068353B"/>
    <w:rsid w:val="00683C11"/>
    <w:rsid w:val="00683E5F"/>
    <w:rsid w:val="0068421A"/>
    <w:rsid w:val="00684250"/>
    <w:rsid w:val="0068791E"/>
    <w:rsid w:val="006932E2"/>
    <w:rsid w:val="006934E9"/>
    <w:rsid w:val="00694935"/>
    <w:rsid w:val="006971F7"/>
    <w:rsid w:val="006977FA"/>
    <w:rsid w:val="006A039E"/>
    <w:rsid w:val="006A0991"/>
    <w:rsid w:val="006A13FF"/>
    <w:rsid w:val="006A2239"/>
    <w:rsid w:val="006A688C"/>
    <w:rsid w:val="006B08C7"/>
    <w:rsid w:val="006B0F74"/>
    <w:rsid w:val="006B201E"/>
    <w:rsid w:val="006B2FFE"/>
    <w:rsid w:val="006B42B7"/>
    <w:rsid w:val="006B775D"/>
    <w:rsid w:val="006C0E77"/>
    <w:rsid w:val="006C1507"/>
    <w:rsid w:val="006C34C3"/>
    <w:rsid w:val="006C481C"/>
    <w:rsid w:val="006C4852"/>
    <w:rsid w:val="006C65A9"/>
    <w:rsid w:val="006C6A32"/>
    <w:rsid w:val="006D06A4"/>
    <w:rsid w:val="006D08BD"/>
    <w:rsid w:val="006D2DC3"/>
    <w:rsid w:val="006D3523"/>
    <w:rsid w:val="006D3E33"/>
    <w:rsid w:val="006D44E1"/>
    <w:rsid w:val="006D6411"/>
    <w:rsid w:val="006D6877"/>
    <w:rsid w:val="006D77AE"/>
    <w:rsid w:val="006E1803"/>
    <w:rsid w:val="006E2891"/>
    <w:rsid w:val="006E3FC6"/>
    <w:rsid w:val="006E6DF3"/>
    <w:rsid w:val="006F1326"/>
    <w:rsid w:val="006F199C"/>
    <w:rsid w:val="006F28C6"/>
    <w:rsid w:val="006F3214"/>
    <w:rsid w:val="006F348E"/>
    <w:rsid w:val="006F3CF7"/>
    <w:rsid w:val="006F40B8"/>
    <w:rsid w:val="006F4139"/>
    <w:rsid w:val="006F5B9B"/>
    <w:rsid w:val="006F6319"/>
    <w:rsid w:val="006F6C47"/>
    <w:rsid w:val="0070159A"/>
    <w:rsid w:val="00701ED2"/>
    <w:rsid w:val="007027F9"/>
    <w:rsid w:val="00705FF4"/>
    <w:rsid w:val="00706BAD"/>
    <w:rsid w:val="0071022B"/>
    <w:rsid w:val="00710EE7"/>
    <w:rsid w:val="00711576"/>
    <w:rsid w:val="00714507"/>
    <w:rsid w:val="00715056"/>
    <w:rsid w:val="007156B5"/>
    <w:rsid w:val="00715871"/>
    <w:rsid w:val="00715F16"/>
    <w:rsid w:val="00715F93"/>
    <w:rsid w:val="00717F3D"/>
    <w:rsid w:val="0072141F"/>
    <w:rsid w:val="0072306C"/>
    <w:rsid w:val="00723E7C"/>
    <w:rsid w:val="00726477"/>
    <w:rsid w:val="00726A0E"/>
    <w:rsid w:val="0072766F"/>
    <w:rsid w:val="00727675"/>
    <w:rsid w:val="00727D0A"/>
    <w:rsid w:val="00730534"/>
    <w:rsid w:val="00731220"/>
    <w:rsid w:val="00732CD9"/>
    <w:rsid w:val="00735E72"/>
    <w:rsid w:val="00736E79"/>
    <w:rsid w:val="00737E6B"/>
    <w:rsid w:val="00740933"/>
    <w:rsid w:val="00741060"/>
    <w:rsid w:val="00741C3D"/>
    <w:rsid w:val="00743949"/>
    <w:rsid w:val="00744B08"/>
    <w:rsid w:val="00745727"/>
    <w:rsid w:val="0074661C"/>
    <w:rsid w:val="007475DB"/>
    <w:rsid w:val="0075055D"/>
    <w:rsid w:val="00750F45"/>
    <w:rsid w:val="007520CB"/>
    <w:rsid w:val="0075402C"/>
    <w:rsid w:val="00754FE8"/>
    <w:rsid w:val="007553B7"/>
    <w:rsid w:val="00756331"/>
    <w:rsid w:val="007572E5"/>
    <w:rsid w:val="0075766E"/>
    <w:rsid w:val="0075788C"/>
    <w:rsid w:val="007617E2"/>
    <w:rsid w:val="00761D7B"/>
    <w:rsid w:val="00763B9B"/>
    <w:rsid w:val="00766ECF"/>
    <w:rsid w:val="00767E15"/>
    <w:rsid w:val="0077408F"/>
    <w:rsid w:val="007757F6"/>
    <w:rsid w:val="007765F4"/>
    <w:rsid w:val="00777904"/>
    <w:rsid w:val="00777B03"/>
    <w:rsid w:val="00777EF4"/>
    <w:rsid w:val="0078063F"/>
    <w:rsid w:val="00782F72"/>
    <w:rsid w:val="00783045"/>
    <w:rsid w:val="007832A3"/>
    <w:rsid w:val="00783302"/>
    <w:rsid w:val="00783537"/>
    <w:rsid w:val="007838F9"/>
    <w:rsid w:val="00784693"/>
    <w:rsid w:val="007854F9"/>
    <w:rsid w:val="00785908"/>
    <w:rsid w:val="00787E3C"/>
    <w:rsid w:val="007900D0"/>
    <w:rsid w:val="00792ADA"/>
    <w:rsid w:val="00793AC1"/>
    <w:rsid w:val="00794C96"/>
    <w:rsid w:val="00796E0A"/>
    <w:rsid w:val="00797EA7"/>
    <w:rsid w:val="007A04B2"/>
    <w:rsid w:val="007A15C1"/>
    <w:rsid w:val="007A32A4"/>
    <w:rsid w:val="007A5FA3"/>
    <w:rsid w:val="007A69D1"/>
    <w:rsid w:val="007A6F86"/>
    <w:rsid w:val="007A7091"/>
    <w:rsid w:val="007A75DB"/>
    <w:rsid w:val="007A763F"/>
    <w:rsid w:val="007B1364"/>
    <w:rsid w:val="007B1982"/>
    <w:rsid w:val="007B3AB0"/>
    <w:rsid w:val="007B567A"/>
    <w:rsid w:val="007B5DE8"/>
    <w:rsid w:val="007C0AE2"/>
    <w:rsid w:val="007C3CE7"/>
    <w:rsid w:val="007C4116"/>
    <w:rsid w:val="007C4AC4"/>
    <w:rsid w:val="007C6765"/>
    <w:rsid w:val="007D11C6"/>
    <w:rsid w:val="007D2B57"/>
    <w:rsid w:val="007D3F27"/>
    <w:rsid w:val="007D471F"/>
    <w:rsid w:val="007D51FC"/>
    <w:rsid w:val="007D6943"/>
    <w:rsid w:val="007D6A64"/>
    <w:rsid w:val="007D7017"/>
    <w:rsid w:val="007E0B9C"/>
    <w:rsid w:val="007E2EB4"/>
    <w:rsid w:val="007E564C"/>
    <w:rsid w:val="007E6ABE"/>
    <w:rsid w:val="007E6FAF"/>
    <w:rsid w:val="007E7E48"/>
    <w:rsid w:val="007E7EF3"/>
    <w:rsid w:val="007F070C"/>
    <w:rsid w:val="007F134F"/>
    <w:rsid w:val="007F1617"/>
    <w:rsid w:val="007F241B"/>
    <w:rsid w:val="007F3C4E"/>
    <w:rsid w:val="007F51B6"/>
    <w:rsid w:val="007F71E5"/>
    <w:rsid w:val="007F73CF"/>
    <w:rsid w:val="007F75B7"/>
    <w:rsid w:val="008101E2"/>
    <w:rsid w:val="00811120"/>
    <w:rsid w:val="0081282E"/>
    <w:rsid w:val="00812E50"/>
    <w:rsid w:val="00813204"/>
    <w:rsid w:val="00813240"/>
    <w:rsid w:val="00813D69"/>
    <w:rsid w:val="008144A2"/>
    <w:rsid w:val="00814D1C"/>
    <w:rsid w:val="008174E6"/>
    <w:rsid w:val="00817A60"/>
    <w:rsid w:val="00817DD4"/>
    <w:rsid w:val="00820B67"/>
    <w:rsid w:val="00822285"/>
    <w:rsid w:val="00823C95"/>
    <w:rsid w:val="0082466F"/>
    <w:rsid w:val="00830466"/>
    <w:rsid w:val="00830B38"/>
    <w:rsid w:val="008335B6"/>
    <w:rsid w:val="00833F25"/>
    <w:rsid w:val="00834467"/>
    <w:rsid w:val="00835873"/>
    <w:rsid w:val="00837ADF"/>
    <w:rsid w:val="00840622"/>
    <w:rsid w:val="008438CC"/>
    <w:rsid w:val="00843C38"/>
    <w:rsid w:val="008442A3"/>
    <w:rsid w:val="008447C2"/>
    <w:rsid w:val="0085132B"/>
    <w:rsid w:val="00851C37"/>
    <w:rsid w:val="00853B16"/>
    <w:rsid w:val="00853BC4"/>
    <w:rsid w:val="0085459F"/>
    <w:rsid w:val="00857442"/>
    <w:rsid w:val="008614A4"/>
    <w:rsid w:val="00863AB4"/>
    <w:rsid w:val="00865FA4"/>
    <w:rsid w:val="008700BB"/>
    <w:rsid w:val="00871688"/>
    <w:rsid w:val="00872A6D"/>
    <w:rsid w:val="00873CBF"/>
    <w:rsid w:val="008750F8"/>
    <w:rsid w:val="00875CF0"/>
    <w:rsid w:val="00882571"/>
    <w:rsid w:val="00883682"/>
    <w:rsid w:val="00887D98"/>
    <w:rsid w:val="008906FE"/>
    <w:rsid w:val="00890FE9"/>
    <w:rsid w:val="008920C1"/>
    <w:rsid w:val="0089241F"/>
    <w:rsid w:val="008939CE"/>
    <w:rsid w:val="00893C10"/>
    <w:rsid w:val="00894058"/>
    <w:rsid w:val="0089457F"/>
    <w:rsid w:val="008946B6"/>
    <w:rsid w:val="00894B71"/>
    <w:rsid w:val="00896D1A"/>
    <w:rsid w:val="00896F2A"/>
    <w:rsid w:val="008A3504"/>
    <w:rsid w:val="008A3DC3"/>
    <w:rsid w:val="008A3E5E"/>
    <w:rsid w:val="008A45E0"/>
    <w:rsid w:val="008A5594"/>
    <w:rsid w:val="008A6458"/>
    <w:rsid w:val="008B00DE"/>
    <w:rsid w:val="008B0260"/>
    <w:rsid w:val="008B191A"/>
    <w:rsid w:val="008B2F7C"/>
    <w:rsid w:val="008B3EB5"/>
    <w:rsid w:val="008B44A9"/>
    <w:rsid w:val="008B79ED"/>
    <w:rsid w:val="008C10CD"/>
    <w:rsid w:val="008C1BD0"/>
    <w:rsid w:val="008C2477"/>
    <w:rsid w:val="008C31FB"/>
    <w:rsid w:val="008C46DA"/>
    <w:rsid w:val="008C47AA"/>
    <w:rsid w:val="008C6A77"/>
    <w:rsid w:val="008C7F9C"/>
    <w:rsid w:val="008D038F"/>
    <w:rsid w:val="008D043A"/>
    <w:rsid w:val="008D0692"/>
    <w:rsid w:val="008D0B3C"/>
    <w:rsid w:val="008D10F1"/>
    <w:rsid w:val="008D130F"/>
    <w:rsid w:val="008D4B5E"/>
    <w:rsid w:val="008D5888"/>
    <w:rsid w:val="008D58BD"/>
    <w:rsid w:val="008D6516"/>
    <w:rsid w:val="008D7A8D"/>
    <w:rsid w:val="008D7C0E"/>
    <w:rsid w:val="008E24AA"/>
    <w:rsid w:val="008E338F"/>
    <w:rsid w:val="008E3DC7"/>
    <w:rsid w:val="008E4418"/>
    <w:rsid w:val="008E4480"/>
    <w:rsid w:val="008E4635"/>
    <w:rsid w:val="008E466C"/>
    <w:rsid w:val="008E78D5"/>
    <w:rsid w:val="008E7B4C"/>
    <w:rsid w:val="008F0D0E"/>
    <w:rsid w:val="008F1121"/>
    <w:rsid w:val="008F245C"/>
    <w:rsid w:val="008F2FC3"/>
    <w:rsid w:val="008F35B5"/>
    <w:rsid w:val="008F51A4"/>
    <w:rsid w:val="008F5582"/>
    <w:rsid w:val="008F5643"/>
    <w:rsid w:val="008F58CE"/>
    <w:rsid w:val="008F5C59"/>
    <w:rsid w:val="009002DB"/>
    <w:rsid w:val="0090153E"/>
    <w:rsid w:val="0090185A"/>
    <w:rsid w:val="00903921"/>
    <w:rsid w:val="0091168D"/>
    <w:rsid w:val="00911FE5"/>
    <w:rsid w:val="00912058"/>
    <w:rsid w:val="0091300A"/>
    <w:rsid w:val="00914BAE"/>
    <w:rsid w:val="00914D2E"/>
    <w:rsid w:val="00917626"/>
    <w:rsid w:val="00917BBF"/>
    <w:rsid w:val="00917FBB"/>
    <w:rsid w:val="009212DB"/>
    <w:rsid w:val="00921BB9"/>
    <w:rsid w:val="009242C6"/>
    <w:rsid w:val="009243F9"/>
    <w:rsid w:val="00924487"/>
    <w:rsid w:val="00924AAB"/>
    <w:rsid w:val="009251C3"/>
    <w:rsid w:val="009252FF"/>
    <w:rsid w:val="00925A78"/>
    <w:rsid w:val="00926191"/>
    <w:rsid w:val="00926254"/>
    <w:rsid w:val="00927069"/>
    <w:rsid w:val="009305C4"/>
    <w:rsid w:val="009322EE"/>
    <w:rsid w:val="009327B0"/>
    <w:rsid w:val="00934149"/>
    <w:rsid w:val="009351AC"/>
    <w:rsid w:val="00935887"/>
    <w:rsid w:val="00936845"/>
    <w:rsid w:val="00936A77"/>
    <w:rsid w:val="00942578"/>
    <w:rsid w:val="00942BB2"/>
    <w:rsid w:val="009434A3"/>
    <w:rsid w:val="00945AF5"/>
    <w:rsid w:val="009460AB"/>
    <w:rsid w:val="00946DBD"/>
    <w:rsid w:val="009479A1"/>
    <w:rsid w:val="00950952"/>
    <w:rsid w:val="009522BF"/>
    <w:rsid w:val="009548FE"/>
    <w:rsid w:val="00955EEF"/>
    <w:rsid w:val="0095672C"/>
    <w:rsid w:val="00956976"/>
    <w:rsid w:val="009575A8"/>
    <w:rsid w:val="0096016B"/>
    <w:rsid w:val="0096235E"/>
    <w:rsid w:val="009629DF"/>
    <w:rsid w:val="00963D26"/>
    <w:rsid w:val="009641E4"/>
    <w:rsid w:val="00964438"/>
    <w:rsid w:val="0096577E"/>
    <w:rsid w:val="00966F09"/>
    <w:rsid w:val="0097015F"/>
    <w:rsid w:val="00974C31"/>
    <w:rsid w:val="00975F5E"/>
    <w:rsid w:val="00976123"/>
    <w:rsid w:val="0097721E"/>
    <w:rsid w:val="00983837"/>
    <w:rsid w:val="009843B2"/>
    <w:rsid w:val="00984F2E"/>
    <w:rsid w:val="00985173"/>
    <w:rsid w:val="00985E5C"/>
    <w:rsid w:val="00986D07"/>
    <w:rsid w:val="00986DAE"/>
    <w:rsid w:val="0099012B"/>
    <w:rsid w:val="00990336"/>
    <w:rsid w:val="00990AF2"/>
    <w:rsid w:val="0099192B"/>
    <w:rsid w:val="00992344"/>
    <w:rsid w:val="009931E6"/>
    <w:rsid w:val="009950E3"/>
    <w:rsid w:val="00995A5D"/>
    <w:rsid w:val="00995EC2"/>
    <w:rsid w:val="009A17D5"/>
    <w:rsid w:val="009A1CEA"/>
    <w:rsid w:val="009A209F"/>
    <w:rsid w:val="009A30BF"/>
    <w:rsid w:val="009A5B60"/>
    <w:rsid w:val="009A78C4"/>
    <w:rsid w:val="009A7920"/>
    <w:rsid w:val="009B084B"/>
    <w:rsid w:val="009B3770"/>
    <w:rsid w:val="009B52EF"/>
    <w:rsid w:val="009B54E7"/>
    <w:rsid w:val="009B66EE"/>
    <w:rsid w:val="009B6E19"/>
    <w:rsid w:val="009B7FE0"/>
    <w:rsid w:val="009C03BF"/>
    <w:rsid w:val="009C0DD7"/>
    <w:rsid w:val="009C1A0F"/>
    <w:rsid w:val="009C263C"/>
    <w:rsid w:val="009C2E8A"/>
    <w:rsid w:val="009C2F64"/>
    <w:rsid w:val="009C46BC"/>
    <w:rsid w:val="009C5BEA"/>
    <w:rsid w:val="009C5BED"/>
    <w:rsid w:val="009C5E90"/>
    <w:rsid w:val="009C688B"/>
    <w:rsid w:val="009C7CDC"/>
    <w:rsid w:val="009D21CA"/>
    <w:rsid w:val="009D36E1"/>
    <w:rsid w:val="009D47B4"/>
    <w:rsid w:val="009D5D8D"/>
    <w:rsid w:val="009D61A6"/>
    <w:rsid w:val="009D6524"/>
    <w:rsid w:val="009D7F70"/>
    <w:rsid w:val="009E038B"/>
    <w:rsid w:val="009E0ACF"/>
    <w:rsid w:val="009E1C8F"/>
    <w:rsid w:val="009E2C5E"/>
    <w:rsid w:val="009E40C5"/>
    <w:rsid w:val="009E4345"/>
    <w:rsid w:val="009E50FC"/>
    <w:rsid w:val="009E5359"/>
    <w:rsid w:val="009E64E3"/>
    <w:rsid w:val="009F0026"/>
    <w:rsid w:val="009F01A3"/>
    <w:rsid w:val="009F171E"/>
    <w:rsid w:val="00A0164B"/>
    <w:rsid w:val="00A03CE3"/>
    <w:rsid w:val="00A04AD5"/>
    <w:rsid w:val="00A0628C"/>
    <w:rsid w:val="00A11BEB"/>
    <w:rsid w:val="00A1465D"/>
    <w:rsid w:val="00A162C8"/>
    <w:rsid w:val="00A215AB"/>
    <w:rsid w:val="00A22D53"/>
    <w:rsid w:val="00A24C55"/>
    <w:rsid w:val="00A26630"/>
    <w:rsid w:val="00A30290"/>
    <w:rsid w:val="00A33353"/>
    <w:rsid w:val="00A34677"/>
    <w:rsid w:val="00A347BD"/>
    <w:rsid w:val="00A348D9"/>
    <w:rsid w:val="00A35440"/>
    <w:rsid w:val="00A35869"/>
    <w:rsid w:val="00A36951"/>
    <w:rsid w:val="00A4059F"/>
    <w:rsid w:val="00A4111F"/>
    <w:rsid w:val="00A417E4"/>
    <w:rsid w:val="00A43CA8"/>
    <w:rsid w:val="00A43EF4"/>
    <w:rsid w:val="00A45FBC"/>
    <w:rsid w:val="00A46BD7"/>
    <w:rsid w:val="00A47E66"/>
    <w:rsid w:val="00A527C0"/>
    <w:rsid w:val="00A52B35"/>
    <w:rsid w:val="00A5347E"/>
    <w:rsid w:val="00A5523B"/>
    <w:rsid w:val="00A562A5"/>
    <w:rsid w:val="00A57B2B"/>
    <w:rsid w:val="00A60DC4"/>
    <w:rsid w:val="00A62531"/>
    <w:rsid w:val="00A64EE7"/>
    <w:rsid w:val="00A65F90"/>
    <w:rsid w:val="00A66EF0"/>
    <w:rsid w:val="00A67589"/>
    <w:rsid w:val="00A67600"/>
    <w:rsid w:val="00A70202"/>
    <w:rsid w:val="00A71D57"/>
    <w:rsid w:val="00A72007"/>
    <w:rsid w:val="00A736BC"/>
    <w:rsid w:val="00A80001"/>
    <w:rsid w:val="00A803C1"/>
    <w:rsid w:val="00A804AB"/>
    <w:rsid w:val="00A80E2C"/>
    <w:rsid w:val="00A813B8"/>
    <w:rsid w:val="00A81962"/>
    <w:rsid w:val="00A83E4C"/>
    <w:rsid w:val="00A86041"/>
    <w:rsid w:val="00A91B9F"/>
    <w:rsid w:val="00A93D06"/>
    <w:rsid w:val="00A942A4"/>
    <w:rsid w:val="00A9594F"/>
    <w:rsid w:val="00A9613C"/>
    <w:rsid w:val="00AA33D5"/>
    <w:rsid w:val="00AA548D"/>
    <w:rsid w:val="00AB1188"/>
    <w:rsid w:val="00AB145F"/>
    <w:rsid w:val="00AB5C32"/>
    <w:rsid w:val="00AB68E2"/>
    <w:rsid w:val="00AB7223"/>
    <w:rsid w:val="00AB7641"/>
    <w:rsid w:val="00AC1118"/>
    <w:rsid w:val="00AC3322"/>
    <w:rsid w:val="00AC471D"/>
    <w:rsid w:val="00AC4B3D"/>
    <w:rsid w:val="00AC5070"/>
    <w:rsid w:val="00AC6AFF"/>
    <w:rsid w:val="00AC7F37"/>
    <w:rsid w:val="00AD0499"/>
    <w:rsid w:val="00AD078E"/>
    <w:rsid w:val="00AD18B3"/>
    <w:rsid w:val="00AD2979"/>
    <w:rsid w:val="00AD3630"/>
    <w:rsid w:val="00AD3940"/>
    <w:rsid w:val="00AD3E74"/>
    <w:rsid w:val="00AD3E81"/>
    <w:rsid w:val="00AD412B"/>
    <w:rsid w:val="00AD7994"/>
    <w:rsid w:val="00AE132C"/>
    <w:rsid w:val="00AE2452"/>
    <w:rsid w:val="00AE24E6"/>
    <w:rsid w:val="00AE3A5B"/>
    <w:rsid w:val="00AE49D5"/>
    <w:rsid w:val="00AE51FD"/>
    <w:rsid w:val="00AE5C72"/>
    <w:rsid w:val="00AE769E"/>
    <w:rsid w:val="00AF1F12"/>
    <w:rsid w:val="00AF2F48"/>
    <w:rsid w:val="00AF5BDA"/>
    <w:rsid w:val="00AF6EA8"/>
    <w:rsid w:val="00B01CAB"/>
    <w:rsid w:val="00B041E0"/>
    <w:rsid w:val="00B045A6"/>
    <w:rsid w:val="00B0486C"/>
    <w:rsid w:val="00B04B0D"/>
    <w:rsid w:val="00B0556F"/>
    <w:rsid w:val="00B061B7"/>
    <w:rsid w:val="00B06496"/>
    <w:rsid w:val="00B069C7"/>
    <w:rsid w:val="00B07222"/>
    <w:rsid w:val="00B07DB1"/>
    <w:rsid w:val="00B11258"/>
    <w:rsid w:val="00B120D3"/>
    <w:rsid w:val="00B129CC"/>
    <w:rsid w:val="00B1392A"/>
    <w:rsid w:val="00B141A1"/>
    <w:rsid w:val="00B15E24"/>
    <w:rsid w:val="00B15F8B"/>
    <w:rsid w:val="00B20CEA"/>
    <w:rsid w:val="00B22CE5"/>
    <w:rsid w:val="00B23491"/>
    <w:rsid w:val="00B23D20"/>
    <w:rsid w:val="00B24AD8"/>
    <w:rsid w:val="00B26F35"/>
    <w:rsid w:val="00B31920"/>
    <w:rsid w:val="00B32BC9"/>
    <w:rsid w:val="00B32EDC"/>
    <w:rsid w:val="00B34380"/>
    <w:rsid w:val="00B34451"/>
    <w:rsid w:val="00B34D75"/>
    <w:rsid w:val="00B35399"/>
    <w:rsid w:val="00B36A0F"/>
    <w:rsid w:val="00B36D6A"/>
    <w:rsid w:val="00B37ADE"/>
    <w:rsid w:val="00B42DCB"/>
    <w:rsid w:val="00B45A11"/>
    <w:rsid w:val="00B45D8A"/>
    <w:rsid w:val="00B464C7"/>
    <w:rsid w:val="00B46519"/>
    <w:rsid w:val="00B46797"/>
    <w:rsid w:val="00B46A7C"/>
    <w:rsid w:val="00B46C3D"/>
    <w:rsid w:val="00B50EDB"/>
    <w:rsid w:val="00B51F6C"/>
    <w:rsid w:val="00B525C2"/>
    <w:rsid w:val="00B53AE3"/>
    <w:rsid w:val="00B5483B"/>
    <w:rsid w:val="00B5530F"/>
    <w:rsid w:val="00B57B40"/>
    <w:rsid w:val="00B601D3"/>
    <w:rsid w:val="00B60FDA"/>
    <w:rsid w:val="00B617F2"/>
    <w:rsid w:val="00B61F01"/>
    <w:rsid w:val="00B6488A"/>
    <w:rsid w:val="00B659A5"/>
    <w:rsid w:val="00B6780F"/>
    <w:rsid w:val="00B70436"/>
    <w:rsid w:val="00B70EC0"/>
    <w:rsid w:val="00B7118A"/>
    <w:rsid w:val="00B72FDF"/>
    <w:rsid w:val="00B761A1"/>
    <w:rsid w:val="00B76B19"/>
    <w:rsid w:val="00B80768"/>
    <w:rsid w:val="00B81BAD"/>
    <w:rsid w:val="00B848B7"/>
    <w:rsid w:val="00B85BAC"/>
    <w:rsid w:val="00B863D5"/>
    <w:rsid w:val="00B86D81"/>
    <w:rsid w:val="00B870D6"/>
    <w:rsid w:val="00B87AD8"/>
    <w:rsid w:val="00B87FB0"/>
    <w:rsid w:val="00B903C9"/>
    <w:rsid w:val="00B90E05"/>
    <w:rsid w:val="00B91474"/>
    <w:rsid w:val="00B91498"/>
    <w:rsid w:val="00B92262"/>
    <w:rsid w:val="00B92475"/>
    <w:rsid w:val="00B92DDA"/>
    <w:rsid w:val="00B93A5C"/>
    <w:rsid w:val="00B96060"/>
    <w:rsid w:val="00B968EB"/>
    <w:rsid w:val="00B9794E"/>
    <w:rsid w:val="00BA0847"/>
    <w:rsid w:val="00BA0BCC"/>
    <w:rsid w:val="00BA4478"/>
    <w:rsid w:val="00BA5B00"/>
    <w:rsid w:val="00BA66B6"/>
    <w:rsid w:val="00BA673C"/>
    <w:rsid w:val="00BA78EC"/>
    <w:rsid w:val="00BB02C4"/>
    <w:rsid w:val="00BB0D5B"/>
    <w:rsid w:val="00BB329B"/>
    <w:rsid w:val="00BB37C1"/>
    <w:rsid w:val="00BB43AE"/>
    <w:rsid w:val="00BC00ED"/>
    <w:rsid w:val="00BC218B"/>
    <w:rsid w:val="00BC570B"/>
    <w:rsid w:val="00BC70E4"/>
    <w:rsid w:val="00BD0287"/>
    <w:rsid w:val="00BD02F3"/>
    <w:rsid w:val="00BD1725"/>
    <w:rsid w:val="00BD1977"/>
    <w:rsid w:val="00BD35C5"/>
    <w:rsid w:val="00BD3855"/>
    <w:rsid w:val="00BD3A22"/>
    <w:rsid w:val="00BD48A9"/>
    <w:rsid w:val="00BD49A0"/>
    <w:rsid w:val="00BD7427"/>
    <w:rsid w:val="00BE0193"/>
    <w:rsid w:val="00BE1170"/>
    <w:rsid w:val="00BE126D"/>
    <w:rsid w:val="00BE3CFA"/>
    <w:rsid w:val="00BE4D05"/>
    <w:rsid w:val="00BE52C1"/>
    <w:rsid w:val="00BE600C"/>
    <w:rsid w:val="00BE7493"/>
    <w:rsid w:val="00BF0152"/>
    <w:rsid w:val="00BF31CF"/>
    <w:rsid w:val="00BF35C2"/>
    <w:rsid w:val="00BF3618"/>
    <w:rsid w:val="00BF48A9"/>
    <w:rsid w:val="00BF4F51"/>
    <w:rsid w:val="00BF52DD"/>
    <w:rsid w:val="00BF67A7"/>
    <w:rsid w:val="00C01C6E"/>
    <w:rsid w:val="00C027A2"/>
    <w:rsid w:val="00C038A0"/>
    <w:rsid w:val="00C03A0D"/>
    <w:rsid w:val="00C04157"/>
    <w:rsid w:val="00C0655B"/>
    <w:rsid w:val="00C066F8"/>
    <w:rsid w:val="00C06B5E"/>
    <w:rsid w:val="00C06BFC"/>
    <w:rsid w:val="00C06D69"/>
    <w:rsid w:val="00C06F5C"/>
    <w:rsid w:val="00C076C9"/>
    <w:rsid w:val="00C07F73"/>
    <w:rsid w:val="00C105A7"/>
    <w:rsid w:val="00C111CF"/>
    <w:rsid w:val="00C118C0"/>
    <w:rsid w:val="00C14202"/>
    <w:rsid w:val="00C15C0E"/>
    <w:rsid w:val="00C16400"/>
    <w:rsid w:val="00C16B60"/>
    <w:rsid w:val="00C20092"/>
    <w:rsid w:val="00C20C5C"/>
    <w:rsid w:val="00C224E4"/>
    <w:rsid w:val="00C24100"/>
    <w:rsid w:val="00C25E11"/>
    <w:rsid w:val="00C2637D"/>
    <w:rsid w:val="00C3030F"/>
    <w:rsid w:val="00C30444"/>
    <w:rsid w:val="00C304F4"/>
    <w:rsid w:val="00C341F4"/>
    <w:rsid w:val="00C36ED9"/>
    <w:rsid w:val="00C37340"/>
    <w:rsid w:val="00C43B6D"/>
    <w:rsid w:val="00C45BE9"/>
    <w:rsid w:val="00C46424"/>
    <w:rsid w:val="00C46E22"/>
    <w:rsid w:val="00C50507"/>
    <w:rsid w:val="00C5077C"/>
    <w:rsid w:val="00C534C4"/>
    <w:rsid w:val="00C53DC0"/>
    <w:rsid w:val="00C55937"/>
    <w:rsid w:val="00C56C48"/>
    <w:rsid w:val="00C57327"/>
    <w:rsid w:val="00C610B4"/>
    <w:rsid w:val="00C61C9B"/>
    <w:rsid w:val="00C62C4E"/>
    <w:rsid w:val="00C62FC7"/>
    <w:rsid w:val="00C641A8"/>
    <w:rsid w:val="00C64567"/>
    <w:rsid w:val="00C6544B"/>
    <w:rsid w:val="00C661D0"/>
    <w:rsid w:val="00C71A5B"/>
    <w:rsid w:val="00C73245"/>
    <w:rsid w:val="00C734A7"/>
    <w:rsid w:val="00C74A87"/>
    <w:rsid w:val="00C76730"/>
    <w:rsid w:val="00C82DEC"/>
    <w:rsid w:val="00C83DDA"/>
    <w:rsid w:val="00C84B5B"/>
    <w:rsid w:val="00C867DC"/>
    <w:rsid w:val="00C876B3"/>
    <w:rsid w:val="00C8785D"/>
    <w:rsid w:val="00C90290"/>
    <w:rsid w:val="00C9159D"/>
    <w:rsid w:val="00C93E27"/>
    <w:rsid w:val="00C94B47"/>
    <w:rsid w:val="00C9522E"/>
    <w:rsid w:val="00C96369"/>
    <w:rsid w:val="00C97FAD"/>
    <w:rsid w:val="00CA05D3"/>
    <w:rsid w:val="00CA0C96"/>
    <w:rsid w:val="00CA1302"/>
    <w:rsid w:val="00CA1E8E"/>
    <w:rsid w:val="00CA20E1"/>
    <w:rsid w:val="00CA210E"/>
    <w:rsid w:val="00CA35FC"/>
    <w:rsid w:val="00CA5A86"/>
    <w:rsid w:val="00CA5C67"/>
    <w:rsid w:val="00CB0F3D"/>
    <w:rsid w:val="00CB29A6"/>
    <w:rsid w:val="00CB2F92"/>
    <w:rsid w:val="00CB3967"/>
    <w:rsid w:val="00CB3A30"/>
    <w:rsid w:val="00CB4744"/>
    <w:rsid w:val="00CB6D00"/>
    <w:rsid w:val="00CB766A"/>
    <w:rsid w:val="00CB7760"/>
    <w:rsid w:val="00CC1B4A"/>
    <w:rsid w:val="00CC1FFF"/>
    <w:rsid w:val="00CC3946"/>
    <w:rsid w:val="00CC4D8B"/>
    <w:rsid w:val="00CC524B"/>
    <w:rsid w:val="00CC5A44"/>
    <w:rsid w:val="00CC636E"/>
    <w:rsid w:val="00CC6468"/>
    <w:rsid w:val="00CC6D72"/>
    <w:rsid w:val="00CC7E32"/>
    <w:rsid w:val="00CD1C50"/>
    <w:rsid w:val="00CD2563"/>
    <w:rsid w:val="00CD37A4"/>
    <w:rsid w:val="00CD38DE"/>
    <w:rsid w:val="00CD3C06"/>
    <w:rsid w:val="00CD3D5F"/>
    <w:rsid w:val="00CD5415"/>
    <w:rsid w:val="00CD5893"/>
    <w:rsid w:val="00CD6E75"/>
    <w:rsid w:val="00CD7085"/>
    <w:rsid w:val="00CE0077"/>
    <w:rsid w:val="00CE00D2"/>
    <w:rsid w:val="00CE2BE7"/>
    <w:rsid w:val="00CE567A"/>
    <w:rsid w:val="00CE6D17"/>
    <w:rsid w:val="00CF02C5"/>
    <w:rsid w:val="00CF1829"/>
    <w:rsid w:val="00CF19A0"/>
    <w:rsid w:val="00CF2A98"/>
    <w:rsid w:val="00CF2D30"/>
    <w:rsid w:val="00CF339C"/>
    <w:rsid w:val="00CF37D4"/>
    <w:rsid w:val="00CF40BE"/>
    <w:rsid w:val="00CF47DE"/>
    <w:rsid w:val="00CF4D73"/>
    <w:rsid w:val="00CF5A17"/>
    <w:rsid w:val="00D0002A"/>
    <w:rsid w:val="00D04484"/>
    <w:rsid w:val="00D0473E"/>
    <w:rsid w:val="00D05DE1"/>
    <w:rsid w:val="00D05F30"/>
    <w:rsid w:val="00D07037"/>
    <w:rsid w:val="00D10593"/>
    <w:rsid w:val="00D123AF"/>
    <w:rsid w:val="00D1391F"/>
    <w:rsid w:val="00D13BD5"/>
    <w:rsid w:val="00D13FD2"/>
    <w:rsid w:val="00D15136"/>
    <w:rsid w:val="00D16990"/>
    <w:rsid w:val="00D16F00"/>
    <w:rsid w:val="00D17934"/>
    <w:rsid w:val="00D21434"/>
    <w:rsid w:val="00D21B39"/>
    <w:rsid w:val="00D222A8"/>
    <w:rsid w:val="00D243CF"/>
    <w:rsid w:val="00D2510A"/>
    <w:rsid w:val="00D2582A"/>
    <w:rsid w:val="00D30373"/>
    <w:rsid w:val="00D30523"/>
    <w:rsid w:val="00D30BB1"/>
    <w:rsid w:val="00D30FA8"/>
    <w:rsid w:val="00D32115"/>
    <w:rsid w:val="00D34C6C"/>
    <w:rsid w:val="00D34D09"/>
    <w:rsid w:val="00D37AB6"/>
    <w:rsid w:val="00D41896"/>
    <w:rsid w:val="00D42639"/>
    <w:rsid w:val="00D43B27"/>
    <w:rsid w:val="00D44060"/>
    <w:rsid w:val="00D444E8"/>
    <w:rsid w:val="00D44EC1"/>
    <w:rsid w:val="00D4537F"/>
    <w:rsid w:val="00D47957"/>
    <w:rsid w:val="00D47B6E"/>
    <w:rsid w:val="00D5037E"/>
    <w:rsid w:val="00D5247C"/>
    <w:rsid w:val="00D53FB0"/>
    <w:rsid w:val="00D53FD0"/>
    <w:rsid w:val="00D5631E"/>
    <w:rsid w:val="00D56E29"/>
    <w:rsid w:val="00D56F86"/>
    <w:rsid w:val="00D57B2E"/>
    <w:rsid w:val="00D57D32"/>
    <w:rsid w:val="00D6195F"/>
    <w:rsid w:val="00D63E58"/>
    <w:rsid w:val="00D64146"/>
    <w:rsid w:val="00D66414"/>
    <w:rsid w:val="00D676B3"/>
    <w:rsid w:val="00D709C0"/>
    <w:rsid w:val="00D715F5"/>
    <w:rsid w:val="00D72820"/>
    <w:rsid w:val="00D74B9E"/>
    <w:rsid w:val="00D821F1"/>
    <w:rsid w:val="00D823BE"/>
    <w:rsid w:val="00D84423"/>
    <w:rsid w:val="00D84C4E"/>
    <w:rsid w:val="00D84FF8"/>
    <w:rsid w:val="00D87E15"/>
    <w:rsid w:val="00D90554"/>
    <w:rsid w:val="00D91AC4"/>
    <w:rsid w:val="00D92223"/>
    <w:rsid w:val="00D92A5A"/>
    <w:rsid w:val="00D93F8B"/>
    <w:rsid w:val="00D94909"/>
    <w:rsid w:val="00D951F2"/>
    <w:rsid w:val="00D95680"/>
    <w:rsid w:val="00D97AA3"/>
    <w:rsid w:val="00DA267A"/>
    <w:rsid w:val="00DA41FE"/>
    <w:rsid w:val="00DA4472"/>
    <w:rsid w:val="00DA4942"/>
    <w:rsid w:val="00DA6634"/>
    <w:rsid w:val="00DA6972"/>
    <w:rsid w:val="00DA71B5"/>
    <w:rsid w:val="00DA79C2"/>
    <w:rsid w:val="00DA7C99"/>
    <w:rsid w:val="00DB05AE"/>
    <w:rsid w:val="00DB2483"/>
    <w:rsid w:val="00DB288B"/>
    <w:rsid w:val="00DB5076"/>
    <w:rsid w:val="00DB5329"/>
    <w:rsid w:val="00DB5CA5"/>
    <w:rsid w:val="00DB611A"/>
    <w:rsid w:val="00DB7030"/>
    <w:rsid w:val="00DB7120"/>
    <w:rsid w:val="00DB7695"/>
    <w:rsid w:val="00DB776C"/>
    <w:rsid w:val="00DC0459"/>
    <w:rsid w:val="00DC1364"/>
    <w:rsid w:val="00DC2196"/>
    <w:rsid w:val="00DC2654"/>
    <w:rsid w:val="00DC26A8"/>
    <w:rsid w:val="00DC2F45"/>
    <w:rsid w:val="00DC3D72"/>
    <w:rsid w:val="00DC4E95"/>
    <w:rsid w:val="00DC508B"/>
    <w:rsid w:val="00DD009C"/>
    <w:rsid w:val="00DD034E"/>
    <w:rsid w:val="00DD21B9"/>
    <w:rsid w:val="00DD22CD"/>
    <w:rsid w:val="00DD3CF2"/>
    <w:rsid w:val="00DD3D5A"/>
    <w:rsid w:val="00DD5E49"/>
    <w:rsid w:val="00DE5183"/>
    <w:rsid w:val="00DE57F2"/>
    <w:rsid w:val="00DE5871"/>
    <w:rsid w:val="00DE5EF0"/>
    <w:rsid w:val="00DE60C5"/>
    <w:rsid w:val="00DE70E6"/>
    <w:rsid w:val="00DE7138"/>
    <w:rsid w:val="00DF0A8D"/>
    <w:rsid w:val="00DF0B96"/>
    <w:rsid w:val="00DF0D90"/>
    <w:rsid w:val="00DF473C"/>
    <w:rsid w:val="00DF4870"/>
    <w:rsid w:val="00DF4B15"/>
    <w:rsid w:val="00DF6517"/>
    <w:rsid w:val="00DF7488"/>
    <w:rsid w:val="00E030D5"/>
    <w:rsid w:val="00E03117"/>
    <w:rsid w:val="00E068C6"/>
    <w:rsid w:val="00E06D4B"/>
    <w:rsid w:val="00E10CBE"/>
    <w:rsid w:val="00E12647"/>
    <w:rsid w:val="00E13E66"/>
    <w:rsid w:val="00E144CA"/>
    <w:rsid w:val="00E157AE"/>
    <w:rsid w:val="00E16C72"/>
    <w:rsid w:val="00E17996"/>
    <w:rsid w:val="00E24996"/>
    <w:rsid w:val="00E24CA7"/>
    <w:rsid w:val="00E25515"/>
    <w:rsid w:val="00E26313"/>
    <w:rsid w:val="00E30806"/>
    <w:rsid w:val="00E3087B"/>
    <w:rsid w:val="00E3267B"/>
    <w:rsid w:val="00E32D87"/>
    <w:rsid w:val="00E33411"/>
    <w:rsid w:val="00E342B9"/>
    <w:rsid w:val="00E345A3"/>
    <w:rsid w:val="00E34C38"/>
    <w:rsid w:val="00E34DA0"/>
    <w:rsid w:val="00E36720"/>
    <w:rsid w:val="00E37EC8"/>
    <w:rsid w:val="00E40EBB"/>
    <w:rsid w:val="00E42915"/>
    <w:rsid w:val="00E441E9"/>
    <w:rsid w:val="00E46DAD"/>
    <w:rsid w:val="00E47EDF"/>
    <w:rsid w:val="00E503E5"/>
    <w:rsid w:val="00E52466"/>
    <w:rsid w:val="00E52F67"/>
    <w:rsid w:val="00E5431B"/>
    <w:rsid w:val="00E54598"/>
    <w:rsid w:val="00E549FA"/>
    <w:rsid w:val="00E56C36"/>
    <w:rsid w:val="00E572E1"/>
    <w:rsid w:val="00E641B1"/>
    <w:rsid w:val="00E643E9"/>
    <w:rsid w:val="00E65445"/>
    <w:rsid w:val="00E66281"/>
    <w:rsid w:val="00E662FD"/>
    <w:rsid w:val="00E6699E"/>
    <w:rsid w:val="00E73286"/>
    <w:rsid w:val="00E75081"/>
    <w:rsid w:val="00E77638"/>
    <w:rsid w:val="00E8001B"/>
    <w:rsid w:val="00E812E1"/>
    <w:rsid w:val="00E82071"/>
    <w:rsid w:val="00E85167"/>
    <w:rsid w:val="00E855F9"/>
    <w:rsid w:val="00E85AFA"/>
    <w:rsid w:val="00E85CE4"/>
    <w:rsid w:val="00E86C4D"/>
    <w:rsid w:val="00E873DA"/>
    <w:rsid w:val="00E91A2E"/>
    <w:rsid w:val="00E91EF2"/>
    <w:rsid w:val="00E9244D"/>
    <w:rsid w:val="00E932D8"/>
    <w:rsid w:val="00E94D3B"/>
    <w:rsid w:val="00E96080"/>
    <w:rsid w:val="00E96839"/>
    <w:rsid w:val="00E96986"/>
    <w:rsid w:val="00E96988"/>
    <w:rsid w:val="00E9784A"/>
    <w:rsid w:val="00EA0ACC"/>
    <w:rsid w:val="00EA22F0"/>
    <w:rsid w:val="00EA4D86"/>
    <w:rsid w:val="00EA5DE9"/>
    <w:rsid w:val="00EA6FA6"/>
    <w:rsid w:val="00EA7B85"/>
    <w:rsid w:val="00EB08D7"/>
    <w:rsid w:val="00EB0D2D"/>
    <w:rsid w:val="00EB25EA"/>
    <w:rsid w:val="00EB2B96"/>
    <w:rsid w:val="00EB5989"/>
    <w:rsid w:val="00EB5E7D"/>
    <w:rsid w:val="00EB6D62"/>
    <w:rsid w:val="00EB7398"/>
    <w:rsid w:val="00EB7A69"/>
    <w:rsid w:val="00EC0EE6"/>
    <w:rsid w:val="00EC22C0"/>
    <w:rsid w:val="00EC2330"/>
    <w:rsid w:val="00EC57E4"/>
    <w:rsid w:val="00EC7060"/>
    <w:rsid w:val="00EC7BE9"/>
    <w:rsid w:val="00ED157C"/>
    <w:rsid w:val="00ED2B74"/>
    <w:rsid w:val="00ED2D62"/>
    <w:rsid w:val="00ED46E5"/>
    <w:rsid w:val="00ED59E4"/>
    <w:rsid w:val="00EE1B68"/>
    <w:rsid w:val="00EE32FD"/>
    <w:rsid w:val="00EE6466"/>
    <w:rsid w:val="00EE7A5C"/>
    <w:rsid w:val="00EF278C"/>
    <w:rsid w:val="00EF3872"/>
    <w:rsid w:val="00EF38DD"/>
    <w:rsid w:val="00EF40DB"/>
    <w:rsid w:val="00EF5813"/>
    <w:rsid w:val="00EF6029"/>
    <w:rsid w:val="00F0113F"/>
    <w:rsid w:val="00F022BE"/>
    <w:rsid w:val="00F027D5"/>
    <w:rsid w:val="00F03DE4"/>
    <w:rsid w:val="00F044B0"/>
    <w:rsid w:val="00F065F5"/>
    <w:rsid w:val="00F07800"/>
    <w:rsid w:val="00F104C4"/>
    <w:rsid w:val="00F10D17"/>
    <w:rsid w:val="00F134E4"/>
    <w:rsid w:val="00F14EC5"/>
    <w:rsid w:val="00F20114"/>
    <w:rsid w:val="00F224C2"/>
    <w:rsid w:val="00F23FE5"/>
    <w:rsid w:val="00F2535C"/>
    <w:rsid w:val="00F2729E"/>
    <w:rsid w:val="00F2757C"/>
    <w:rsid w:val="00F27957"/>
    <w:rsid w:val="00F31A56"/>
    <w:rsid w:val="00F328A5"/>
    <w:rsid w:val="00F34DDA"/>
    <w:rsid w:val="00F351CC"/>
    <w:rsid w:val="00F367EC"/>
    <w:rsid w:val="00F377EB"/>
    <w:rsid w:val="00F37873"/>
    <w:rsid w:val="00F4075B"/>
    <w:rsid w:val="00F40AEA"/>
    <w:rsid w:val="00F419E1"/>
    <w:rsid w:val="00F4262A"/>
    <w:rsid w:val="00F42916"/>
    <w:rsid w:val="00F42FDA"/>
    <w:rsid w:val="00F45768"/>
    <w:rsid w:val="00F476DC"/>
    <w:rsid w:val="00F47849"/>
    <w:rsid w:val="00F47978"/>
    <w:rsid w:val="00F47C00"/>
    <w:rsid w:val="00F514A9"/>
    <w:rsid w:val="00F51560"/>
    <w:rsid w:val="00F52497"/>
    <w:rsid w:val="00F5294C"/>
    <w:rsid w:val="00F52CAE"/>
    <w:rsid w:val="00F532C4"/>
    <w:rsid w:val="00F54E58"/>
    <w:rsid w:val="00F54FD6"/>
    <w:rsid w:val="00F551B9"/>
    <w:rsid w:val="00F55485"/>
    <w:rsid w:val="00F557A7"/>
    <w:rsid w:val="00F557E7"/>
    <w:rsid w:val="00F559DC"/>
    <w:rsid w:val="00F61058"/>
    <w:rsid w:val="00F635BB"/>
    <w:rsid w:val="00F63CC7"/>
    <w:rsid w:val="00F64BCA"/>
    <w:rsid w:val="00F64E90"/>
    <w:rsid w:val="00F66C92"/>
    <w:rsid w:val="00F670BF"/>
    <w:rsid w:val="00F67851"/>
    <w:rsid w:val="00F707E2"/>
    <w:rsid w:val="00F72A4D"/>
    <w:rsid w:val="00F75805"/>
    <w:rsid w:val="00F77087"/>
    <w:rsid w:val="00F776DE"/>
    <w:rsid w:val="00F77AE5"/>
    <w:rsid w:val="00F8212F"/>
    <w:rsid w:val="00F83A28"/>
    <w:rsid w:val="00F85409"/>
    <w:rsid w:val="00F864F4"/>
    <w:rsid w:val="00F87CAE"/>
    <w:rsid w:val="00F92DE0"/>
    <w:rsid w:val="00F93118"/>
    <w:rsid w:val="00F95827"/>
    <w:rsid w:val="00F95BE6"/>
    <w:rsid w:val="00FA0F79"/>
    <w:rsid w:val="00FA33D2"/>
    <w:rsid w:val="00FA35B6"/>
    <w:rsid w:val="00FA3B9A"/>
    <w:rsid w:val="00FA4A9B"/>
    <w:rsid w:val="00FA6D9F"/>
    <w:rsid w:val="00FB5241"/>
    <w:rsid w:val="00FB704F"/>
    <w:rsid w:val="00FB7616"/>
    <w:rsid w:val="00FC2454"/>
    <w:rsid w:val="00FC61D3"/>
    <w:rsid w:val="00FC759D"/>
    <w:rsid w:val="00FD0560"/>
    <w:rsid w:val="00FD05F7"/>
    <w:rsid w:val="00FD0769"/>
    <w:rsid w:val="00FD1BA3"/>
    <w:rsid w:val="00FD1BB9"/>
    <w:rsid w:val="00FD328C"/>
    <w:rsid w:val="00FD4F7B"/>
    <w:rsid w:val="00FD6601"/>
    <w:rsid w:val="00FE0640"/>
    <w:rsid w:val="00FE0B16"/>
    <w:rsid w:val="00FE1114"/>
    <w:rsid w:val="00FE1903"/>
    <w:rsid w:val="00FE46B8"/>
    <w:rsid w:val="00FE4800"/>
    <w:rsid w:val="00FE5236"/>
    <w:rsid w:val="00FE6612"/>
    <w:rsid w:val="00FE7E53"/>
    <w:rsid w:val="00FF052D"/>
    <w:rsid w:val="00FF1EA7"/>
    <w:rsid w:val="00FF2B62"/>
    <w:rsid w:val="00FF3876"/>
    <w:rsid w:val="00FF4907"/>
    <w:rsid w:val="00FF592D"/>
    <w:rsid w:val="00FF5D23"/>
    <w:rsid w:val="00FF61EE"/>
    <w:rsid w:val="00FF7258"/>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4DE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C57E4"/>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6D08"/>
    <w:pPr>
      <w:tabs>
        <w:tab w:val="center" w:pos="4513"/>
        <w:tab w:val="right" w:pos="9026"/>
      </w:tabs>
    </w:pPr>
    <w:rPr>
      <w:rFonts w:asciiTheme="minorHAnsi" w:hAnsiTheme="minorHAnsi" w:cstheme="minorBidi"/>
      <w:sz w:val="22"/>
      <w:szCs w:val="22"/>
      <w:lang w:val="en-GB"/>
    </w:rPr>
  </w:style>
  <w:style w:type="character" w:customStyle="1" w:styleId="HeaderChar">
    <w:name w:val="Header Char"/>
    <w:basedOn w:val="DefaultParagraphFont"/>
    <w:link w:val="Header"/>
    <w:uiPriority w:val="99"/>
    <w:rsid w:val="001E6D08"/>
  </w:style>
  <w:style w:type="paragraph" w:styleId="Footer">
    <w:name w:val="footer"/>
    <w:basedOn w:val="Normal"/>
    <w:link w:val="FooterChar"/>
    <w:uiPriority w:val="99"/>
    <w:unhideWhenUsed/>
    <w:rsid w:val="001E6D08"/>
    <w:pPr>
      <w:tabs>
        <w:tab w:val="center" w:pos="4513"/>
        <w:tab w:val="right" w:pos="9026"/>
      </w:tabs>
    </w:pPr>
    <w:rPr>
      <w:rFonts w:asciiTheme="minorHAnsi" w:hAnsiTheme="minorHAnsi" w:cstheme="minorBidi"/>
      <w:sz w:val="22"/>
      <w:szCs w:val="22"/>
      <w:lang w:val="en-GB"/>
    </w:rPr>
  </w:style>
  <w:style w:type="character" w:customStyle="1" w:styleId="FooterChar">
    <w:name w:val="Footer Char"/>
    <w:basedOn w:val="DefaultParagraphFont"/>
    <w:link w:val="Footer"/>
    <w:uiPriority w:val="99"/>
    <w:rsid w:val="001E6D08"/>
  </w:style>
  <w:style w:type="paragraph" w:styleId="FootnoteText">
    <w:name w:val="footnote text"/>
    <w:basedOn w:val="Normal"/>
    <w:link w:val="FootnoteTextChar"/>
    <w:uiPriority w:val="99"/>
    <w:unhideWhenUsed/>
    <w:rsid w:val="00F47978"/>
    <w:pPr>
      <w:suppressAutoHyphens/>
    </w:pPr>
    <w:rPr>
      <w:rFonts w:eastAsia="Times New Roman"/>
      <w:kern w:val="1"/>
      <w:sz w:val="20"/>
      <w:szCs w:val="20"/>
      <w:lang w:eastAsia="ar-SA"/>
    </w:rPr>
  </w:style>
  <w:style w:type="character" w:customStyle="1" w:styleId="FootnoteTextChar">
    <w:name w:val="Footnote Text Char"/>
    <w:basedOn w:val="DefaultParagraphFont"/>
    <w:link w:val="FootnoteText"/>
    <w:uiPriority w:val="99"/>
    <w:rsid w:val="00F47978"/>
    <w:rPr>
      <w:rFonts w:ascii="Times New Roman" w:eastAsia="Times New Roman" w:hAnsi="Times New Roman" w:cs="Times New Roman"/>
      <w:kern w:val="1"/>
      <w:sz w:val="20"/>
      <w:szCs w:val="20"/>
      <w:lang w:val="en-US" w:eastAsia="ar-SA"/>
    </w:rPr>
  </w:style>
  <w:style w:type="character" w:styleId="FootnoteReference">
    <w:name w:val="footnote reference"/>
    <w:uiPriority w:val="99"/>
    <w:unhideWhenUsed/>
    <w:rsid w:val="00F47978"/>
    <w:rPr>
      <w:vertAlign w:val="superscript"/>
    </w:rPr>
  </w:style>
  <w:style w:type="paragraph" w:styleId="BalloonText">
    <w:name w:val="Balloon Text"/>
    <w:basedOn w:val="Normal"/>
    <w:link w:val="BalloonTextChar"/>
    <w:uiPriority w:val="99"/>
    <w:semiHidden/>
    <w:unhideWhenUsed/>
    <w:rsid w:val="00B15E24"/>
    <w:rPr>
      <w:rFonts w:ascii="Lucida Grande" w:hAnsi="Lucida Grande" w:cs="Lucida Grande"/>
      <w:sz w:val="18"/>
      <w:szCs w:val="18"/>
      <w:lang w:val="en-GB"/>
    </w:rPr>
  </w:style>
  <w:style w:type="character" w:customStyle="1" w:styleId="BalloonTextChar">
    <w:name w:val="Balloon Text Char"/>
    <w:basedOn w:val="DefaultParagraphFont"/>
    <w:link w:val="BalloonText"/>
    <w:uiPriority w:val="99"/>
    <w:semiHidden/>
    <w:rsid w:val="00B15E24"/>
    <w:rPr>
      <w:rFonts w:ascii="Lucida Grande" w:hAnsi="Lucida Grande" w:cs="Lucida Grande"/>
      <w:sz w:val="18"/>
      <w:szCs w:val="18"/>
    </w:rPr>
  </w:style>
  <w:style w:type="character" w:styleId="CommentReference">
    <w:name w:val="annotation reference"/>
    <w:basedOn w:val="DefaultParagraphFont"/>
    <w:uiPriority w:val="99"/>
    <w:semiHidden/>
    <w:unhideWhenUsed/>
    <w:rsid w:val="00B15E24"/>
    <w:rPr>
      <w:sz w:val="18"/>
      <w:szCs w:val="18"/>
    </w:rPr>
  </w:style>
  <w:style w:type="paragraph" w:styleId="CommentText">
    <w:name w:val="annotation text"/>
    <w:basedOn w:val="Normal"/>
    <w:link w:val="CommentTextChar"/>
    <w:uiPriority w:val="99"/>
    <w:unhideWhenUsed/>
    <w:rsid w:val="00B15E24"/>
    <w:pPr>
      <w:spacing w:after="160"/>
    </w:pPr>
    <w:rPr>
      <w:rFonts w:asciiTheme="minorHAnsi" w:hAnsiTheme="minorHAnsi" w:cstheme="minorBidi"/>
      <w:lang w:val="en-GB"/>
    </w:rPr>
  </w:style>
  <w:style w:type="character" w:customStyle="1" w:styleId="CommentTextChar">
    <w:name w:val="Comment Text Char"/>
    <w:basedOn w:val="DefaultParagraphFont"/>
    <w:link w:val="CommentText"/>
    <w:uiPriority w:val="99"/>
    <w:rsid w:val="00B15E24"/>
    <w:rPr>
      <w:sz w:val="24"/>
      <w:szCs w:val="24"/>
    </w:rPr>
  </w:style>
  <w:style w:type="paragraph" w:styleId="CommentSubject">
    <w:name w:val="annotation subject"/>
    <w:basedOn w:val="CommentText"/>
    <w:next w:val="CommentText"/>
    <w:link w:val="CommentSubjectChar"/>
    <w:uiPriority w:val="99"/>
    <w:semiHidden/>
    <w:unhideWhenUsed/>
    <w:rsid w:val="00B15E24"/>
    <w:rPr>
      <w:b/>
      <w:bCs/>
      <w:sz w:val="20"/>
      <w:szCs w:val="20"/>
    </w:rPr>
  </w:style>
  <w:style w:type="character" w:customStyle="1" w:styleId="CommentSubjectChar">
    <w:name w:val="Comment Subject Char"/>
    <w:basedOn w:val="CommentTextChar"/>
    <w:link w:val="CommentSubject"/>
    <w:uiPriority w:val="99"/>
    <w:semiHidden/>
    <w:rsid w:val="00B15E24"/>
    <w:rPr>
      <w:b/>
      <w:bCs/>
      <w:sz w:val="20"/>
      <w:szCs w:val="20"/>
    </w:rPr>
  </w:style>
  <w:style w:type="paragraph" w:customStyle="1" w:styleId="font8">
    <w:name w:val="font_8"/>
    <w:basedOn w:val="Normal"/>
    <w:rsid w:val="00B0486C"/>
    <w:pPr>
      <w:spacing w:before="100" w:beforeAutospacing="1" w:after="100" w:afterAutospacing="1"/>
    </w:pPr>
    <w:rPr>
      <w:rFonts w:ascii="Times" w:hAnsi="Times" w:cstheme="minorBidi"/>
      <w:sz w:val="20"/>
      <w:szCs w:val="20"/>
    </w:rPr>
  </w:style>
  <w:style w:type="character" w:customStyle="1" w:styleId="color15">
    <w:name w:val="color_15"/>
    <w:basedOn w:val="DefaultParagraphFont"/>
    <w:rsid w:val="00B0486C"/>
  </w:style>
  <w:style w:type="paragraph" w:customStyle="1" w:styleId="EndNoteBibliographyTitle">
    <w:name w:val="EndNote Bibliography Title"/>
    <w:basedOn w:val="Normal"/>
    <w:link w:val="EndNoteBibliographyTitleChar"/>
    <w:rsid w:val="00A35869"/>
    <w:pPr>
      <w:spacing w:line="259" w:lineRule="auto"/>
      <w:jc w:val="center"/>
    </w:pPr>
    <w:rPr>
      <w:rFonts w:ascii="Calibri" w:hAnsi="Calibri" w:cs="Calibri"/>
      <w:noProof/>
      <w:sz w:val="22"/>
      <w:szCs w:val="22"/>
    </w:rPr>
  </w:style>
  <w:style w:type="character" w:customStyle="1" w:styleId="EndNoteBibliographyTitleChar">
    <w:name w:val="EndNote Bibliography Title Char"/>
    <w:basedOn w:val="DefaultParagraphFont"/>
    <w:link w:val="EndNoteBibliographyTitle"/>
    <w:rsid w:val="00A35869"/>
    <w:rPr>
      <w:rFonts w:ascii="Calibri" w:hAnsi="Calibri" w:cs="Calibri"/>
      <w:noProof/>
      <w:lang w:val="en-US"/>
    </w:rPr>
  </w:style>
  <w:style w:type="paragraph" w:customStyle="1" w:styleId="EndNoteBibliography">
    <w:name w:val="EndNote Bibliography"/>
    <w:basedOn w:val="Normal"/>
    <w:link w:val="EndNoteBibliographyChar"/>
    <w:rsid w:val="00A35869"/>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A35869"/>
    <w:rPr>
      <w:rFonts w:ascii="Calibri" w:hAnsi="Calibri" w:cs="Calibri"/>
      <w:noProof/>
      <w:lang w:val="en-US"/>
    </w:rPr>
  </w:style>
  <w:style w:type="character" w:styleId="Hyperlink">
    <w:name w:val="Hyperlink"/>
    <w:basedOn w:val="DefaultParagraphFont"/>
    <w:uiPriority w:val="99"/>
    <w:unhideWhenUsed/>
    <w:rsid w:val="00A35869"/>
    <w:rPr>
      <w:color w:val="0563C1" w:themeColor="hyperlink"/>
      <w:u w:val="single"/>
    </w:rPr>
  </w:style>
  <w:style w:type="paragraph" w:styleId="PlainText">
    <w:name w:val="Plain Text"/>
    <w:basedOn w:val="Normal"/>
    <w:link w:val="PlainTextChar"/>
    <w:unhideWhenUsed/>
    <w:rsid w:val="005D1EF4"/>
    <w:rPr>
      <w:rFonts w:ascii="Consolas" w:hAnsi="Consolas" w:cs="Consolas"/>
      <w:sz w:val="21"/>
      <w:szCs w:val="21"/>
      <w:lang w:val="en-GB"/>
    </w:rPr>
  </w:style>
  <w:style w:type="character" w:customStyle="1" w:styleId="PlainTextChar">
    <w:name w:val="Plain Text Char"/>
    <w:basedOn w:val="DefaultParagraphFont"/>
    <w:link w:val="PlainText"/>
    <w:rsid w:val="005D1EF4"/>
    <w:rPr>
      <w:rFonts w:ascii="Consolas" w:hAnsi="Consolas" w:cs="Consolas"/>
      <w:sz w:val="21"/>
      <w:szCs w:val="21"/>
    </w:rPr>
  </w:style>
  <w:style w:type="paragraph" w:styleId="Revision">
    <w:name w:val="Revision"/>
    <w:hidden/>
    <w:uiPriority w:val="99"/>
    <w:semiHidden/>
    <w:rsid w:val="00232DD0"/>
    <w:pPr>
      <w:spacing w:after="0" w:line="240" w:lineRule="auto"/>
    </w:pPr>
  </w:style>
  <w:style w:type="table" w:styleId="TableGrid">
    <w:name w:val="Table Grid"/>
    <w:basedOn w:val="TableNormal"/>
    <w:uiPriority w:val="39"/>
    <w:rsid w:val="00BD4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semiHidden/>
    <w:rsid w:val="004972B1"/>
    <w:rPr>
      <w:kern w:val="1"/>
      <w:lang w:val="en-US" w:eastAsia="ar-SA"/>
    </w:rPr>
  </w:style>
  <w:style w:type="paragraph" w:styleId="ListParagraph">
    <w:name w:val="List Paragraph"/>
    <w:basedOn w:val="Normal"/>
    <w:uiPriority w:val="34"/>
    <w:qFormat/>
    <w:rsid w:val="009C7CDC"/>
    <w:pPr>
      <w:ind w:left="720"/>
      <w:contextualSpacing/>
    </w:pPr>
    <w:rPr>
      <w:rFonts w:eastAsia="Times New Roman"/>
      <w:lang w:val="en-GB" w:eastAsia="en-GB"/>
    </w:rPr>
  </w:style>
  <w:style w:type="character" w:styleId="Emphasis">
    <w:name w:val="Emphasis"/>
    <w:basedOn w:val="DefaultParagraphFont"/>
    <w:uiPriority w:val="20"/>
    <w:qFormat/>
    <w:rsid w:val="00B04B0D"/>
    <w:rPr>
      <w:i/>
      <w:iCs/>
    </w:rPr>
  </w:style>
  <w:style w:type="paragraph" w:styleId="Quote">
    <w:name w:val="Quote"/>
    <w:basedOn w:val="Normal"/>
    <w:next w:val="Normal"/>
    <w:link w:val="QuoteChar"/>
    <w:uiPriority w:val="29"/>
    <w:qFormat/>
    <w:rsid w:val="009F01A3"/>
    <w:pPr>
      <w:spacing w:after="200"/>
    </w:pPr>
    <w:rPr>
      <w:rFonts w:asciiTheme="minorHAnsi" w:eastAsiaTheme="minorEastAsia" w:hAnsiTheme="minorHAnsi" w:cstheme="minorBidi"/>
      <w:i/>
      <w:iCs/>
      <w:color w:val="000000" w:themeColor="text1"/>
      <w:lang w:eastAsia="ja-JP"/>
    </w:rPr>
  </w:style>
  <w:style w:type="character" w:customStyle="1" w:styleId="QuoteChar">
    <w:name w:val="Quote Char"/>
    <w:basedOn w:val="DefaultParagraphFont"/>
    <w:link w:val="Quote"/>
    <w:uiPriority w:val="29"/>
    <w:rsid w:val="009F01A3"/>
    <w:rPr>
      <w:rFonts w:eastAsiaTheme="minorEastAsia"/>
      <w:i/>
      <w:iCs/>
      <w:color w:val="000000" w:themeColor="text1"/>
      <w:sz w:val="24"/>
      <w:szCs w:val="24"/>
      <w:lang w:val="en-US" w:eastAsia="ja-JP"/>
    </w:rPr>
  </w:style>
  <w:style w:type="character" w:customStyle="1" w:styleId="UnresolvedMention1">
    <w:name w:val="Unresolved Mention1"/>
    <w:basedOn w:val="DefaultParagraphFont"/>
    <w:uiPriority w:val="99"/>
    <w:semiHidden/>
    <w:unhideWhenUsed/>
    <w:rsid w:val="00265570"/>
    <w:rPr>
      <w:color w:val="605E5C"/>
      <w:shd w:val="clear" w:color="auto" w:fill="E1DFDD"/>
    </w:rPr>
  </w:style>
  <w:style w:type="paragraph" w:customStyle="1" w:styleId="mts">
    <w:name w:val="mts"/>
    <w:basedOn w:val="Normal"/>
    <w:rsid w:val="00AC5070"/>
    <w:pPr>
      <w:spacing w:before="100" w:beforeAutospacing="1" w:after="100" w:afterAutospacing="1"/>
    </w:pPr>
    <w:rPr>
      <w:rFonts w:eastAsia="Times New Roman"/>
      <w:lang w:val="en-GB" w:eastAsia="en-GB"/>
    </w:rPr>
  </w:style>
  <w:style w:type="character" w:styleId="Strong">
    <w:name w:val="Strong"/>
    <w:uiPriority w:val="22"/>
    <w:qFormat/>
    <w:rsid w:val="00705FF4"/>
    <w:rPr>
      <w:b/>
      <w:bCs/>
    </w:rPr>
  </w:style>
  <w:style w:type="character" w:styleId="FollowedHyperlink">
    <w:name w:val="FollowedHyperlink"/>
    <w:basedOn w:val="DefaultParagraphFont"/>
    <w:uiPriority w:val="99"/>
    <w:semiHidden/>
    <w:unhideWhenUsed/>
    <w:rsid w:val="00914BAE"/>
    <w:rPr>
      <w:color w:val="954F72" w:themeColor="followedHyperlink"/>
      <w:u w:val="single"/>
    </w:rPr>
  </w:style>
  <w:style w:type="paragraph" w:styleId="NormalWeb">
    <w:name w:val="Normal (Web)"/>
    <w:basedOn w:val="Normal"/>
    <w:link w:val="NormalWebChar"/>
    <w:uiPriority w:val="99"/>
    <w:unhideWhenUsed/>
    <w:rsid w:val="00311A32"/>
    <w:pPr>
      <w:spacing w:before="100" w:beforeAutospacing="1" w:after="100" w:afterAutospacing="1"/>
    </w:pPr>
    <w:rPr>
      <w:rFonts w:eastAsia="Times New Roman"/>
    </w:rPr>
  </w:style>
  <w:style w:type="character" w:customStyle="1" w:styleId="NormalWebChar">
    <w:name w:val="Normal (Web) Char"/>
    <w:basedOn w:val="DefaultParagraphFont"/>
    <w:link w:val="NormalWeb"/>
    <w:uiPriority w:val="99"/>
    <w:rsid w:val="00311A32"/>
    <w:rPr>
      <w:rFonts w:ascii="Times New Roman" w:eastAsia="Times New Roman" w:hAnsi="Times New Roman" w:cs="Times New Roman"/>
      <w:sz w:val="24"/>
      <w:szCs w:val="24"/>
      <w:lang w:val="en-US"/>
    </w:rPr>
  </w:style>
  <w:style w:type="character" w:customStyle="1" w:styleId="UnresolvedMention2">
    <w:name w:val="Unresolved Mention2"/>
    <w:basedOn w:val="DefaultParagraphFont"/>
    <w:uiPriority w:val="99"/>
    <w:semiHidden/>
    <w:unhideWhenUsed/>
    <w:rsid w:val="000E44BD"/>
    <w:rPr>
      <w:color w:val="605E5C"/>
      <w:shd w:val="clear" w:color="auto" w:fill="E1DFDD"/>
    </w:rPr>
  </w:style>
  <w:style w:type="paragraph" w:customStyle="1" w:styleId="Title1">
    <w:name w:val="Title1"/>
    <w:basedOn w:val="Normal"/>
    <w:rsid w:val="002952AC"/>
    <w:pPr>
      <w:spacing w:before="100" w:beforeAutospacing="1" w:after="100" w:afterAutospacing="1"/>
    </w:pPr>
    <w:rPr>
      <w:rFonts w:eastAsia="Times New Roman"/>
      <w:lang w:val="nl-NL" w:eastAsia="nl-NL"/>
    </w:rPr>
  </w:style>
  <w:style w:type="paragraph" w:styleId="EndnoteText">
    <w:name w:val="endnote text"/>
    <w:basedOn w:val="Normal"/>
    <w:link w:val="EndnoteTextChar"/>
    <w:uiPriority w:val="99"/>
    <w:semiHidden/>
    <w:unhideWhenUsed/>
    <w:rsid w:val="00CA5C67"/>
    <w:rPr>
      <w:sz w:val="20"/>
      <w:szCs w:val="20"/>
    </w:rPr>
  </w:style>
  <w:style w:type="character" w:customStyle="1" w:styleId="EndnoteTextChar">
    <w:name w:val="Endnote Text Char"/>
    <w:basedOn w:val="DefaultParagraphFont"/>
    <w:link w:val="EndnoteText"/>
    <w:uiPriority w:val="99"/>
    <w:semiHidden/>
    <w:rsid w:val="00CA5C67"/>
    <w:rPr>
      <w:rFonts w:ascii="Times New Roman" w:hAnsi="Times New Roman" w:cs="Times New Roman"/>
      <w:sz w:val="20"/>
      <w:szCs w:val="20"/>
      <w:lang w:val="en-US"/>
    </w:rPr>
  </w:style>
  <w:style w:type="character" w:styleId="EndnoteReference">
    <w:name w:val="endnote reference"/>
    <w:basedOn w:val="DefaultParagraphFont"/>
    <w:uiPriority w:val="99"/>
    <w:semiHidden/>
    <w:unhideWhenUsed/>
    <w:rsid w:val="00CA5C67"/>
    <w:rPr>
      <w:vertAlign w:val="superscript"/>
    </w:rPr>
  </w:style>
  <w:style w:type="character" w:customStyle="1" w:styleId="UnresolvedMention3">
    <w:name w:val="Unresolved Mention3"/>
    <w:basedOn w:val="DefaultParagraphFont"/>
    <w:uiPriority w:val="99"/>
    <w:semiHidden/>
    <w:unhideWhenUsed/>
    <w:rsid w:val="009A7920"/>
    <w:rPr>
      <w:color w:val="605E5C"/>
      <w:shd w:val="clear" w:color="auto" w:fill="E1DFDD"/>
    </w:rPr>
  </w:style>
  <w:style w:type="character" w:customStyle="1" w:styleId="UnresolvedMention4">
    <w:name w:val="Unresolved Mention4"/>
    <w:basedOn w:val="DefaultParagraphFont"/>
    <w:uiPriority w:val="99"/>
    <w:rsid w:val="007F1617"/>
    <w:rPr>
      <w:color w:val="605E5C"/>
      <w:shd w:val="clear" w:color="auto" w:fill="E1DFDD"/>
    </w:rPr>
  </w:style>
  <w:style w:type="character" w:customStyle="1" w:styleId="UnresolvedMention5">
    <w:name w:val="Unresolved Mention5"/>
    <w:basedOn w:val="DefaultParagraphFont"/>
    <w:uiPriority w:val="99"/>
    <w:rsid w:val="000C2394"/>
    <w:rPr>
      <w:color w:val="605E5C"/>
      <w:shd w:val="clear" w:color="auto" w:fill="E1DFDD"/>
    </w:rPr>
  </w:style>
  <w:style w:type="character" w:styleId="UnresolvedMention">
    <w:name w:val="Unresolved Mention"/>
    <w:basedOn w:val="DefaultParagraphFont"/>
    <w:uiPriority w:val="99"/>
    <w:rsid w:val="00D74B9E"/>
    <w:rPr>
      <w:color w:val="605E5C"/>
      <w:shd w:val="clear" w:color="auto" w:fill="E1DFDD"/>
    </w:rPr>
  </w:style>
  <w:style w:type="paragraph" w:customStyle="1" w:styleId="xmsonormal">
    <w:name w:val="x_msonormal"/>
    <w:basedOn w:val="Normal"/>
    <w:rsid w:val="001634AA"/>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299">
      <w:bodyDiv w:val="1"/>
      <w:marLeft w:val="0"/>
      <w:marRight w:val="0"/>
      <w:marTop w:val="0"/>
      <w:marBottom w:val="0"/>
      <w:divBdr>
        <w:top w:val="none" w:sz="0" w:space="0" w:color="auto"/>
        <w:left w:val="none" w:sz="0" w:space="0" w:color="auto"/>
        <w:bottom w:val="none" w:sz="0" w:space="0" w:color="auto"/>
        <w:right w:val="none" w:sz="0" w:space="0" w:color="auto"/>
      </w:divBdr>
    </w:div>
    <w:div w:id="26414491">
      <w:bodyDiv w:val="1"/>
      <w:marLeft w:val="0"/>
      <w:marRight w:val="0"/>
      <w:marTop w:val="0"/>
      <w:marBottom w:val="0"/>
      <w:divBdr>
        <w:top w:val="none" w:sz="0" w:space="0" w:color="auto"/>
        <w:left w:val="none" w:sz="0" w:space="0" w:color="auto"/>
        <w:bottom w:val="none" w:sz="0" w:space="0" w:color="auto"/>
        <w:right w:val="none" w:sz="0" w:space="0" w:color="auto"/>
      </w:divBdr>
      <w:divsChild>
        <w:div w:id="1635797137">
          <w:marLeft w:val="0"/>
          <w:marRight w:val="0"/>
          <w:marTop w:val="0"/>
          <w:marBottom w:val="0"/>
          <w:divBdr>
            <w:top w:val="none" w:sz="0" w:space="0" w:color="auto"/>
            <w:left w:val="none" w:sz="0" w:space="0" w:color="auto"/>
            <w:bottom w:val="none" w:sz="0" w:space="0" w:color="auto"/>
            <w:right w:val="none" w:sz="0" w:space="0" w:color="auto"/>
          </w:divBdr>
        </w:div>
      </w:divsChild>
    </w:div>
    <w:div w:id="35551250">
      <w:bodyDiv w:val="1"/>
      <w:marLeft w:val="0"/>
      <w:marRight w:val="0"/>
      <w:marTop w:val="0"/>
      <w:marBottom w:val="0"/>
      <w:divBdr>
        <w:top w:val="none" w:sz="0" w:space="0" w:color="auto"/>
        <w:left w:val="none" w:sz="0" w:space="0" w:color="auto"/>
        <w:bottom w:val="none" w:sz="0" w:space="0" w:color="auto"/>
        <w:right w:val="none" w:sz="0" w:space="0" w:color="auto"/>
      </w:divBdr>
    </w:div>
    <w:div w:id="48381005">
      <w:bodyDiv w:val="1"/>
      <w:marLeft w:val="0"/>
      <w:marRight w:val="0"/>
      <w:marTop w:val="0"/>
      <w:marBottom w:val="0"/>
      <w:divBdr>
        <w:top w:val="none" w:sz="0" w:space="0" w:color="auto"/>
        <w:left w:val="none" w:sz="0" w:space="0" w:color="auto"/>
        <w:bottom w:val="none" w:sz="0" w:space="0" w:color="auto"/>
        <w:right w:val="none" w:sz="0" w:space="0" w:color="auto"/>
      </w:divBdr>
      <w:divsChild>
        <w:div w:id="926695016">
          <w:marLeft w:val="0"/>
          <w:marRight w:val="0"/>
          <w:marTop w:val="0"/>
          <w:marBottom w:val="0"/>
          <w:divBdr>
            <w:top w:val="none" w:sz="0" w:space="0" w:color="auto"/>
            <w:left w:val="none" w:sz="0" w:space="0" w:color="auto"/>
            <w:bottom w:val="none" w:sz="0" w:space="0" w:color="auto"/>
            <w:right w:val="none" w:sz="0" w:space="0" w:color="auto"/>
          </w:divBdr>
        </w:div>
        <w:div w:id="891423550">
          <w:marLeft w:val="0"/>
          <w:marRight w:val="0"/>
          <w:marTop w:val="0"/>
          <w:marBottom w:val="0"/>
          <w:divBdr>
            <w:top w:val="none" w:sz="0" w:space="0" w:color="auto"/>
            <w:left w:val="none" w:sz="0" w:space="0" w:color="auto"/>
            <w:bottom w:val="none" w:sz="0" w:space="0" w:color="auto"/>
            <w:right w:val="none" w:sz="0" w:space="0" w:color="auto"/>
          </w:divBdr>
        </w:div>
        <w:div w:id="1136021018">
          <w:marLeft w:val="0"/>
          <w:marRight w:val="0"/>
          <w:marTop w:val="0"/>
          <w:marBottom w:val="0"/>
          <w:divBdr>
            <w:top w:val="none" w:sz="0" w:space="0" w:color="auto"/>
            <w:left w:val="none" w:sz="0" w:space="0" w:color="auto"/>
            <w:bottom w:val="none" w:sz="0" w:space="0" w:color="auto"/>
            <w:right w:val="none" w:sz="0" w:space="0" w:color="auto"/>
          </w:divBdr>
        </w:div>
        <w:div w:id="1402604510">
          <w:marLeft w:val="0"/>
          <w:marRight w:val="0"/>
          <w:marTop w:val="0"/>
          <w:marBottom w:val="0"/>
          <w:divBdr>
            <w:top w:val="none" w:sz="0" w:space="0" w:color="auto"/>
            <w:left w:val="none" w:sz="0" w:space="0" w:color="auto"/>
            <w:bottom w:val="none" w:sz="0" w:space="0" w:color="auto"/>
            <w:right w:val="none" w:sz="0" w:space="0" w:color="auto"/>
          </w:divBdr>
        </w:div>
        <w:div w:id="1203714057">
          <w:marLeft w:val="0"/>
          <w:marRight w:val="0"/>
          <w:marTop w:val="0"/>
          <w:marBottom w:val="0"/>
          <w:divBdr>
            <w:top w:val="none" w:sz="0" w:space="0" w:color="auto"/>
            <w:left w:val="none" w:sz="0" w:space="0" w:color="auto"/>
            <w:bottom w:val="none" w:sz="0" w:space="0" w:color="auto"/>
            <w:right w:val="none" w:sz="0" w:space="0" w:color="auto"/>
          </w:divBdr>
        </w:div>
        <w:div w:id="1463765650">
          <w:marLeft w:val="0"/>
          <w:marRight w:val="0"/>
          <w:marTop w:val="0"/>
          <w:marBottom w:val="0"/>
          <w:divBdr>
            <w:top w:val="none" w:sz="0" w:space="0" w:color="auto"/>
            <w:left w:val="none" w:sz="0" w:space="0" w:color="auto"/>
            <w:bottom w:val="none" w:sz="0" w:space="0" w:color="auto"/>
            <w:right w:val="none" w:sz="0" w:space="0" w:color="auto"/>
          </w:divBdr>
        </w:div>
        <w:div w:id="1675569929">
          <w:marLeft w:val="0"/>
          <w:marRight w:val="0"/>
          <w:marTop w:val="0"/>
          <w:marBottom w:val="0"/>
          <w:divBdr>
            <w:top w:val="none" w:sz="0" w:space="0" w:color="auto"/>
            <w:left w:val="none" w:sz="0" w:space="0" w:color="auto"/>
            <w:bottom w:val="none" w:sz="0" w:space="0" w:color="auto"/>
            <w:right w:val="none" w:sz="0" w:space="0" w:color="auto"/>
          </w:divBdr>
        </w:div>
      </w:divsChild>
    </w:div>
    <w:div w:id="166796977">
      <w:bodyDiv w:val="1"/>
      <w:marLeft w:val="0"/>
      <w:marRight w:val="0"/>
      <w:marTop w:val="0"/>
      <w:marBottom w:val="0"/>
      <w:divBdr>
        <w:top w:val="none" w:sz="0" w:space="0" w:color="auto"/>
        <w:left w:val="none" w:sz="0" w:space="0" w:color="auto"/>
        <w:bottom w:val="none" w:sz="0" w:space="0" w:color="auto"/>
        <w:right w:val="none" w:sz="0" w:space="0" w:color="auto"/>
      </w:divBdr>
      <w:divsChild>
        <w:div w:id="767890744">
          <w:marLeft w:val="0"/>
          <w:marRight w:val="0"/>
          <w:marTop w:val="0"/>
          <w:marBottom w:val="0"/>
          <w:divBdr>
            <w:top w:val="none" w:sz="0" w:space="0" w:color="auto"/>
            <w:left w:val="none" w:sz="0" w:space="0" w:color="auto"/>
            <w:bottom w:val="none" w:sz="0" w:space="0" w:color="auto"/>
            <w:right w:val="none" w:sz="0" w:space="0" w:color="auto"/>
          </w:divBdr>
        </w:div>
        <w:div w:id="57632996">
          <w:marLeft w:val="0"/>
          <w:marRight w:val="0"/>
          <w:marTop w:val="0"/>
          <w:marBottom w:val="0"/>
          <w:divBdr>
            <w:top w:val="none" w:sz="0" w:space="0" w:color="auto"/>
            <w:left w:val="none" w:sz="0" w:space="0" w:color="auto"/>
            <w:bottom w:val="none" w:sz="0" w:space="0" w:color="auto"/>
            <w:right w:val="none" w:sz="0" w:space="0" w:color="auto"/>
          </w:divBdr>
          <w:divsChild>
            <w:div w:id="80756299">
              <w:marLeft w:val="0"/>
              <w:marRight w:val="0"/>
              <w:marTop w:val="0"/>
              <w:marBottom w:val="0"/>
              <w:divBdr>
                <w:top w:val="none" w:sz="0" w:space="0" w:color="auto"/>
                <w:left w:val="none" w:sz="0" w:space="0" w:color="auto"/>
                <w:bottom w:val="none" w:sz="0" w:space="0" w:color="auto"/>
                <w:right w:val="none" w:sz="0" w:space="0" w:color="auto"/>
              </w:divBdr>
            </w:div>
            <w:div w:id="1244603341">
              <w:marLeft w:val="0"/>
              <w:marRight w:val="0"/>
              <w:marTop w:val="0"/>
              <w:marBottom w:val="0"/>
              <w:divBdr>
                <w:top w:val="none" w:sz="0" w:space="0" w:color="auto"/>
                <w:left w:val="none" w:sz="0" w:space="0" w:color="auto"/>
                <w:bottom w:val="none" w:sz="0" w:space="0" w:color="auto"/>
                <w:right w:val="none" w:sz="0" w:space="0" w:color="auto"/>
              </w:divBdr>
              <w:divsChild>
                <w:div w:id="1549956950">
                  <w:marLeft w:val="0"/>
                  <w:marRight w:val="0"/>
                  <w:marTop w:val="0"/>
                  <w:marBottom w:val="0"/>
                  <w:divBdr>
                    <w:top w:val="none" w:sz="0" w:space="0" w:color="auto"/>
                    <w:left w:val="none" w:sz="0" w:space="0" w:color="auto"/>
                    <w:bottom w:val="none" w:sz="0" w:space="0" w:color="auto"/>
                    <w:right w:val="none" w:sz="0" w:space="0" w:color="auto"/>
                  </w:divBdr>
                </w:div>
              </w:divsChild>
            </w:div>
            <w:div w:id="1538202266">
              <w:marLeft w:val="0"/>
              <w:marRight w:val="0"/>
              <w:marTop w:val="0"/>
              <w:marBottom w:val="0"/>
              <w:divBdr>
                <w:top w:val="none" w:sz="0" w:space="0" w:color="auto"/>
                <w:left w:val="none" w:sz="0" w:space="0" w:color="auto"/>
                <w:bottom w:val="none" w:sz="0" w:space="0" w:color="auto"/>
                <w:right w:val="none" w:sz="0" w:space="0" w:color="auto"/>
              </w:divBdr>
              <w:divsChild>
                <w:div w:id="2100052432">
                  <w:marLeft w:val="0"/>
                  <w:marRight w:val="0"/>
                  <w:marTop w:val="0"/>
                  <w:marBottom w:val="0"/>
                  <w:divBdr>
                    <w:top w:val="none" w:sz="0" w:space="0" w:color="auto"/>
                    <w:left w:val="none" w:sz="0" w:space="0" w:color="auto"/>
                    <w:bottom w:val="none" w:sz="0" w:space="0" w:color="auto"/>
                    <w:right w:val="none" w:sz="0" w:space="0" w:color="auto"/>
                  </w:divBdr>
                  <w:divsChild>
                    <w:div w:id="121385129">
                      <w:marLeft w:val="0"/>
                      <w:marRight w:val="0"/>
                      <w:marTop w:val="0"/>
                      <w:marBottom w:val="0"/>
                      <w:divBdr>
                        <w:top w:val="none" w:sz="0" w:space="0" w:color="auto"/>
                        <w:left w:val="none" w:sz="0" w:space="0" w:color="auto"/>
                        <w:bottom w:val="none" w:sz="0" w:space="0" w:color="auto"/>
                        <w:right w:val="none" w:sz="0" w:space="0" w:color="auto"/>
                      </w:divBdr>
                    </w:div>
                    <w:div w:id="1712875593">
                      <w:marLeft w:val="0"/>
                      <w:marRight w:val="0"/>
                      <w:marTop w:val="0"/>
                      <w:marBottom w:val="0"/>
                      <w:divBdr>
                        <w:top w:val="none" w:sz="0" w:space="0" w:color="auto"/>
                        <w:left w:val="none" w:sz="0" w:space="0" w:color="auto"/>
                        <w:bottom w:val="none" w:sz="0" w:space="0" w:color="auto"/>
                        <w:right w:val="none" w:sz="0" w:space="0" w:color="auto"/>
                      </w:divBdr>
                    </w:div>
                    <w:div w:id="1406027961">
                      <w:marLeft w:val="0"/>
                      <w:marRight w:val="0"/>
                      <w:marTop w:val="0"/>
                      <w:marBottom w:val="0"/>
                      <w:divBdr>
                        <w:top w:val="none" w:sz="0" w:space="0" w:color="auto"/>
                        <w:left w:val="none" w:sz="0" w:space="0" w:color="auto"/>
                        <w:bottom w:val="none" w:sz="0" w:space="0" w:color="auto"/>
                        <w:right w:val="none" w:sz="0" w:space="0" w:color="auto"/>
                      </w:divBdr>
                    </w:div>
                    <w:div w:id="1850363870">
                      <w:marLeft w:val="0"/>
                      <w:marRight w:val="0"/>
                      <w:marTop w:val="0"/>
                      <w:marBottom w:val="0"/>
                      <w:divBdr>
                        <w:top w:val="none" w:sz="0" w:space="0" w:color="auto"/>
                        <w:left w:val="none" w:sz="0" w:space="0" w:color="auto"/>
                        <w:bottom w:val="none" w:sz="0" w:space="0" w:color="auto"/>
                        <w:right w:val="none" w:sz="0" w:space="0" w:color="auto"/>
                      </w:divBdr>
                    </w:div>
                    <w:div w:id="378362492">
                      <w:marLeft w:val="0"/>
                      <w:marRight w:val="0"/>
                      <w:marTop w:val="0"/>
                      <w:marBottom w:val="0"/>
                      <w:divBdr>
                        <w:top w:val="none" w:sz="0" w:space="0" w:color="auto"/>
                        <w:left w:val="none" w:sz="0" w:space="0" w:color="auto"/>
                        <w:bottom w:val="none" w:sz="0" w:space="0" w:color="auto"/>
                        <w:right w:val="none" w:sz="0" w:space="0" w:color="auto"/>
                      </w:divBdr>
                    </w:div>
                    <w:div w:id="1698698427">
                      <w:marLeft w:val="0"/>
                      <w:marRight w:val="0"/>
                      <w:marTop w:val="0"/>
                      <w:marBottom w:val="0"/>
                      <w:divBdr>
                        <w:top w:val="none" w:sz="0" w:space="0" w:color="auto"/>
                        <w:left w:val="none" w:sz="0" w:space="0" w:color="auto"/>
                        <w:bottom w:val="none" w:sz="0" w:space="0" w:color="auto"/>
                        <w:right w:val="none" w:sz="0" w:space="0" w:color="auto"/>
                      </w:divBdr>
                    </w:div>
                    <w:div w:id="1701123105">
                      <w:marLeft w:val="0"/>
                      <w:marRight w:val="0"/>
                      <w:marTop w:val="0"/>
                      <w:marBottom w:val="0"/>
                      <w:divBdr>
                        <w:top w:val="none" w:sz="0" w:space="0" w:color="auto"/>
                        <w:left w:val="none" w:sz="0" w:space="0" w:color="auto"/>
                        <w:bottom w:val="none" w:sz="0" w:space="0" w:color="auto"/>
                        <w:right w:val="none" w:sz="0" w:space="0" w:color="auto"/>
                      </w:divBdr>
                    </w:div>
                    <w:div w:id="1328244927">
                      <w:marLeft w:val="0"/>
                      <w:marRight w:val="0"/>
                      <w:marTop w:val="0"/>
                      <w:marBottom w:val="0"/>
                      <w:divBdr>
                        <w:top w:val="none" w:sz="0" w:space="0" w:color="auto"/>
                        <w:left w:val="none" w:sz="0" w:space="0" w:color="auto"/>
                        <w:bottom w:val="none" w:sz="0" w:space="0" w:color="auto"/>
                        <w:right w:val="none" w:sz="0" w:space="0" w:color="auto"/>
                      </w:divBdr>
                    </w:div>
                    <w:div w:id="373385742">
                      <w:marLeft w:val="0"/>
                      <w:marRight w:val="0"/>
                      <w:marTop w:val="0"/>
                      <w:marBottom w:val="0"/>
                      <w:divBdr>
                        <w:top w:val="none" w:sz="0" w:space="0" w:color="auto"/>
                        <w:left w:val="none" w:sz="0" w:space="0" w:color="auto"/>
                        <w:bottom w:val="none" w:sz="0" w:space="0" w:color="auto"/>
                        <w:right w:val="none" w:sz="0" w:space="0" w:color="auto"/>
                      </w:divBdr>
                    </w:div>
                    <w:div w:id="1240408338">
                      <w:marLeft w:val="0"/>
                      <w:marRight w:val="0"/>
                      <w:marTop w:val="0"/>
                      <w:marBottom w:val="0"/>
                      <w:divBdr>
                        <w:top w:val="none" w:sz="0" w:space="0" w:color="auto"/>
                        <w:left w:val="none" w:sz="0" w:space="0" w:color="auto"/>
                        <w:bottom w:val="none" w:sz="0" w:space="0" w:color="auto"/>
                        <w:right w:val="none" w:sz="0" w:space="0" w:color="auto"/>
                      </w:divBdr>
                    </w:div>
                    <w:div w:id="994144708">
                      <w:marLeft w:val="0"/>
                      <w:marRight w:val="0"/>
                      <w:marTop w:val="0"/>
                      <w:marBottom w:val="0"/>
                      <w:divBdr>
                        <w:top w:val="none" w:sz="0" w:space="0" w:color="auto"/>
                        <w:left w:val="none" w:sz="0" w:space="0" w:color="auto"/>
                        <w:bottom w:val="none" w:sz="0" w:space="0" w:color="auto"/>
                        <w:right w:val="none" w:sz="0" w:space="0" w:color="auto"/>
                      </w:divBdr>
                    </w:div>
                    <w:div w:id="267348773">
                      <w:marLeft w:val="0"/>
                      <w:marRight w:val="0"/>
                      <w:marTop w:val="0"/>
                      <w:marBottom w:val="0"/>
                      <w:divBdr>
                        <w:top w:val="none" w:sz="0" w:space="0" w:color="auto"/>
                        <w:left w:val="none" w:sz="0" w:space="0" w:color="auto"/>
                        <w:bottom w:val="none" w:sz="0" w:space="0" w:color="auto"/>
                        <w:right w:val="none" w:sz="0" w:space="0" w:color="auto"/>
                      </w:divBdr>
                    </w:div>
                    <w:div w:id="27461922">
                      <w:marLeft w:val="0"/>
                      <w:marRight w:val="0"/>
                      <w:marTop w:val="0"/>
                      <w:marBottom w:val="0"/>
                      <w:divBdr>
                        <w:top w:val="none" w:sz="0" w:space="0" w:color="auto"/>
                        <w:left w:val="none" w:sz="0" w:space="0" w:color="auto"/>
                        <w:bottom w:val="none" w:sz="0" w:space="0" w:color="auto"/>
                        <w:right w:val="none" w:sz="0" w:space="0" w:color="auto"/>
                      </w:divBdr>
                    </w:div>
                    <w:div w:id="1815441778">
                      <w:marLeft w:val="0"/>
                      <w:marRight w:val="0"/>
                      <w:marTop w:val="0"/>
                      <w:marBottom w:val="0"/>
                      <w:divBdr>
                        <w:top w:val="none" w:sz="0" w:space="0" w:color="auto"/>
                        <w:left w:val="none" w:sz="0" w:space="0" w:color="auto"/>
                        <w:bottom w:val="none" w:sz="0" w:space="0" w:color="auto"/>
                        <w:right w:val="none" w:sz="0" w:space="0" w:color="auto"/>
                      </w:divBdr>
                    </w:div>
                    <w:div w:id="1024281191">
                      <w:marLeft w:val="0"/>
                      <w:marRight w:val="0"/>
                      <w:marTop w:val="0"/>
                      <w:marBottom w:val="0"/>
                      <w:divBdr>
                        <w:top w:val="none" w:sz="0" w:space="0" w:color="auto"/>
                        <w:left w:val="none" w:sz="0" w:space="0" w:color="auto"/>
                        <w:bottom w:val="none" w:sz="0" w:space="0" w:color="auto"/>
                        <w:right w:val="none" w:sz="0" w:space="0" w:color="auto"/>
                      </w:divBdr>
                    </w:div>
                  </w:divsChild>
                </w:div>
                <w:div w:id="1229071135">
                  <w:marLeft w:val="0"/>
                  <w:marRight w:val="0"/>
                  <w:marTop w:val="0"/>
                  <w:marBottom w:val="0"/>
                  <w:divBdr>
                    <w:top w:val="none" w:sz="0" w:space="0" w:color="auto"/>
                    <w:left w:val="none" w:sz="0" w:space="0" w:color="auto"/>
                    <w:bottom w:val="none" w:sz="0" w:space="0" w:color="auto"/>
                    <w:right w:val="none" w:sz="0" w:space="0" w:color="auto"/>
                  </w:divBdr>
                  <w:divsChild>
                    <w:div w:id="1949316162">
                      <w:marLeft w:val="0"/>
                      <w:marRight w:val="0"/>
                      <w:marTop w:val="0"/>
                      <w:marBottom w:val="0"/>
                      <w:divBdr>
                        <w:top w:val="none" w:sz="0" w:space="0" w:color="auto"/>
                        <w:left w:val="none" w:sz="0" w:space="0" w:color="auto"/>
                        <w:bottom w:val="none" w:sz="0" w:space="0" w:color="auto"/>
                        <w:right w:val="none" w:sz="0" w:space="0" w:color="auto"/>
                      </w:divBdr>
                    </w:div>
                    <w:div w:id="1456561284">
                      <w:marLeft w:val="0"/>
                      <w:marRight w:val="0"/>
                      <w:marTop w:val="0"/>
                      <w:marBottom w:val="0"/>
                      <w:divBdr>
                        <w:top w:val="none" w:sz="0" w:space="0" w:color="auto"/>
                        <w:left w:val="none" w:sz="0" w:space="0" w:color="auto"/>
                        <w:bottom w:val="none" w:sz="0" w:space="0" w:color="auto"/>
                        <w:right w:val="none" w:sz="0" w:space="0" w:color="auto"/>
                      </w:divBdr>
                      <w:divsChild>
                        <w:div w:id="1446267691">
                          <w:marLeft w:val="0"/>
                          <w:marRight w:val="0"/>
                          <w:marTop w:val="0"/>
                          <w:marBottom w:val="0"/>
                          <w:divBdr>
                            <w:top w:val="none" w:sz="0" w:space="0" w:color="auto"/>
                            <w:left w:val="none" w:sz="0" w:space="0" w:color="auto"/>
                            <w:bottom w:val="none" w:sz="0" w:space="0" w:color="auto"/>
                            <w:right w:val="none" w:sz="0" w:space="0" w:color="auto"/>
                          </w:divBdr>
                        </w:div>
                      </w:divsChild>
                    </w:div>
                    <w:div w:id="1282296659">
                      <w:marLeft w:val="0"/>
                      <w:marRight w:val="0"/>
                      <w:marTop w:val="0"/>
                      <w:marBottom w:val="0"/>
                      <w:divBdr>
                        <w:top w:val="none" w:sz="0" w:space="0" w:color="auto"/>
                        <w:left w:val="none" w:sz="0" w:space="0" w:color="auto"/>
                        <w:bottom w:val="none" w:sz="0" w:space="0" w:color="auto"/>
                        <w:right w:val="none" w:sz="0" w:space="0" w:color="auto"/>
                      </w:divBdr>
                      <w:divsChild>
                        <w:div w:id="1241406484">
                          <w:marLeft w:val="0"/>
                          <w:marRight w:val="0"/>
                          <w:marTop w:val="0"/>
                          <w:marBottom w:val="0"/>
                          <w:divBdr>
                            <w:top w:val="none" w:sz="0" w:space="0" w:color="auto"/>
                            <w:left w:val="none" w:sz="0" w:space="0" w:color="auto"/>
                            <w:bottom w:val="none" w:sz="0" w:space="0" w:color="auto"/>
                            <w:right w:val="none" w:sz="0" w:space="0" w:color="auto"/>
                          </w:divBdr>
                        </w:div>
                        <w:div w:id="876357840">
                          <w:marLeft w:val="0"/>
                          <w:marRight w:val="0"/>
                          <w:marTop w:val="0"/>
                          <w:marBottom w:val="0"/>
                          <w:divBdr>
                            <w:top w:val="none" w:sz="0" w:space="0" w:color="auto"/>
                            <w:left w:val="none" w:sz="0" w:space="0" w:color="auto"/>
                            <w:bottom w:val="none" w:sz="0" w:space="0" w:color="auto"/>
                            <w:right w:val="none" w:sz="0" w:space="0" w:color="auto"/>
                          </w:divBdr>
                          <w:divsChild>
                            <w:div w:id="489715079">
                              <w:marLeft w:val="0"/>
                              <w:marRight w:val="0"/>
                              <w:marTop w:val="0"/>
                              <w:marBottom w:val="0"/>
                              <w:divBdr>
                                <w:top w:val="none" w:sz="0" w:space="0" w:color="auto"/>
                                <w:left w:val="none" w:sz="0" w:space="0" w:color="auto"/>
                                <w:bottom w:val="none" w:sz="0" w:space="0" w:color="auto"/>
                                <w:right w:val="none" w:sz="0" w:space="0" w:color="auto"/>
                              </w:divBdr>
                            </w:div>
                            <w:div w:id="744183536">
                              <w:marLeft w:val="0"/>
                              <w:marRight w:val="0"/>
                              <w:marTop w:val="0"/>
                              <w:marBottom w:val="0"/>
                              <w:divBdr>
                                <w:top w:val="none" w:sz="0" w:space="0" w:color="auto"/>
                                <w:left w:val="none" w:sz="0" w:space="0" w:color="auto"/>
                                <w:bottom w:val="none" w:sz="0" w:space="0" w:color="auto"/>
                                <w:right w:val="none" w:sz="0" w:space="0" w:color="auto"/>
                              </w:divBdr>
                              <w:divsChild>
                                <w:div w:id="1923684128">
                                  <w:marLeft w:val="0"/>
                                  <w:marRight w:val="0"/>
                                  <w:marTop w:val="0"/>
                                  <w:marBottom w:val="0"/>
                                  <w:divBdr>
                                    <w:top w:val="none" w:sz="0" w:space="0" w:color="auto"/>
                                    <w:left w:val="none" w:sz="0" w:space="0" w:color="auto"/>
                                    <w:bottom w:val="none" w:sz="0" w:space="0" w:color="auto"/>
                                    <w:right w:val="none" w:sz="0" w:space="0" w:color="auto"/>
                                  </w:divBdr>
                                </w:div>
                              </w:divsChild>
                            </w:div>
                            <w:div w:id="1007712633">
                              <w:marLeft w:val="0"/>
                              <w:marRight w:val="0"/>
                              <w:marTop w:val="0"/>
                              <w:marBottom w:val="0"/>
                              <w:divBdr>
                                <w:top w:val="none" w:sz="0" w:space="0" w:color="auto"/>
                                <w:left w:val="none" w:sz="0" w:space="0" w:color="auto"/>
                                <w:bottom w:val="none" w:sz="0" w:space="0" w:color="auto"/>
                                <w:right w:val="none" w:sz="0" w:space="0" w:color="auto"/>
                              </w:divBdr>
                              <w:divsChild>
                                <w:div w:id="1646933224">
                                  <w:marLeft w:val="0"/>
                                  <w:marRight w:val="0"/>
                                  <w:marTop w:val="0"/>
                                  <w:marBottom w:val="0"/>
                                  <w:divBdr>
                                    <w:top w:val="none" w:sz="0" w:space="0" w:color="auto"/>
                                    <w:left w:val="none" w:sz="0" w:space="0" w:color="auto"/>
                                    <w:bottom w:val="none" w:sz="0" w:space="0" w:color="auto"/>
                                    <w:right w:val="none" w:sz="0" w:space="0" w:color="auto"/>
                                  </w:divBdr>
                                  <w:divsChild>
                                    <w:div w:id="366612497">
                                      <w:marLeft w:val="0"/>
                                      <w:marRight w:val="0"/>
                                      <w:marTop w:val="0"/>
                                      <w:marBottom w:val="0"/>
                                      <w:divBdr>
                                        <w:top w:val="none" w:sz="0" w:space="0" w:color="auto"/>
                                        <w:left w:val="none" w:sz="0" w:space="0" w:color="auto"/>
                                        <w:bottom w:val="none" w:sz="0" w:space="0" w:color="auto"/>
                                        <w:right w:val="none" w:sz="0" w:space="0" w:color="auto"/>
                                      </w:divBdr>
                                      <w:divsChild>
                                        <w:div w:id="1216351734">
                                          <w:marLeft w:val="0"/>
                                          <w:marRight w:val="0"/>
                                          <w:marTop w:val="0"/>
                                          <w:marBottom w:val="0"/>
                                          <w:divBdr>
                                            <w:top w:val="single" w:sz="8" w:space="3" w:color="E1E1E1"/>
                                            <w:left w:val="none" w:sz="0" w:space="0" w:color="auto"/>
                                            <w:bottom w:val="none" w:sz="0" w:space="0" w:color="auto"/>
                                            <w:right w:val="none" w:sz="0" w:space="0" w:color="auto"/>
                                          </w:divBdr>
                                        </w:div>
                                      </w:divsChild>
                                    </w:div>
                                    <w:div w:id="1759062626">
                                      <w:marLeft w:val="0"/>
                                      <w:marRight w:val="0"/>
                                      <w:marTop w:val="0"/>
                                      <w:marBottom w:val="0"/>
                                      <w:divBdr>
                                        <w:top w:val="none" w:sz="0" w:space="0" w:color="auto"/>
                                        <w:left w:val="none" w:sz="0" w:space="0" w:color="auto"/>
                                        <w:bottom w:val="none" w:sz="0" w:space="0" w:color="auto"/>
                                        <w:right w:val="none" w:sz="0" w:space="0" w:color="auto"/>
                                      </w:divBdr>
                                    </w:div>
                                    <w:div w:id="379402947">
                                      <w:marLeft w:val="0"/>
                                      <w:marRight w:val="0"/>
                                      <w:marTop w:val="0"/>
                                      <w:marBottom w:val="0"/>
                                      <w:divBdr>
                                        <w:top w:val="none" w:sz="0" w:space="0" w:color="auto"/>
                                        <w:left w:val="none" w:sz="0" w:space="0" w:color="auto"/>
                                        <w:bottom w:val="none" w:sz="0" w:space="0" w:color="auto"/>
                                        <w:right w:val="none" w:sz="0" w:space="0" w:color="auto"/>
                                      </w:divBdr>
                                    </w:div>
                                    <w:div w:id="1789619004">
                                      <w:marLeft w:val="0"/>
                                      <w:marRight w:val="0"/>
                                      <w:marTop w:val="0"/>
                                      <w:marBottom w:val="0"/>
                                      <w:divBdr>
                                        <w:top w:val="none" w:sz="0" w:space="0" w:color="auto"/>
                                        <w:left w:val="none" w:sz="0" w:space="0" w:color="auto"/>
                                        <w:bottom w:val="none" w:sz="0" w:space="0" w:color="auto"/>
                                        <w:right w:val="none" w:sz="0" w:space="0" w:color="auto"/>
                                      </w:divBdr>
                                    </w:div>
                                    <w:div w:id="119494982">
                                      <w:marLeft w:val="0"/>
                                      <w:marRight w:val="0"/>
                                      <w:marTop w:val="0"/>
                                      <w:marBottom w:val="0"/>
                                      <w:divBdr>
                                        <w:top w:val="none" w:sz="0" w:space="0" w:color="auto"/>
                                        <w:left w:val="none" w:sz="0" w:space="0" w:color="auto"/>
                                        <w:bottom w:val="none" w:sz="0" w:space="0" w:color="auto"/>
                                        <w:right w:val="none" w:sz="0" w:space="0" w:color="auto"/>
                                      </w:divBdr>
                                    </w:div>
                                    <w:div w:id="1735929538">
                                      <w:marLeft w:val="0"/>
                                      <w:marRight w:val="0"/>
                                      <w:marTop w:val="0"/>
                                      <w:marBottom w:val="0"/>
                                      <w:divBdr>
                                        <w:top w:val="none" w:sz="0" w:space="0" w:color="auto"/>
                                        <w:left w:val="none" w:sz="0" w:space="0" w:color="auto"/>
                                        <w:bottom w:val="none" w:sz="0" w:space="0" w:color="auto"/>
                                        <w:right w:val="none" w:sz="0" w:space="0" w:color="auto"/>
                                      </w:divBdr>
                                    </w:div>
                                    <w:div w:id="1357652703">
                                      <w:marLeft w:val="0"/>
                                      <w:marRight w:val="0"/>
                                      <w:marTop w:val="0"/>
                                      <w:marBottom w:val="0"/>
                                      <w:divBdr>
                                        <w:top w:val="none" w:sz="0" w:space="0" w:color="auto"/>
                                        <w:left w:val="none" w:sz="0" w:space="0" w:color="auto"/>
                                        <w:bottom w:val="none" w:sz="0" w:space="0" w:color="auto"/>
                                        <w:right w:val="none" w:sz="0" w:space="0" w:color="auto"/>
                                      </w:divBdr>
                                    </w:div>
                                    <w:div w:id="1437795355">
                                      <w:marLeft w:val="0"/>
                                      <w:marRight w:val="0"/>
                                      <w:marTop w:val="0"/>
                                      <w:marBottom w:val="0"/>
                                      <w:divBdr>
                                        <w:top w:val="none" w:sz="0" w:space="0" w:color="auto"/>
                                        <w:left w:val="none" w:sz="0" w:space="0" w:color="auto"/>
                                        <w:bottom w:val="none" w:sz="0" w:space="0" w:color="auto"/>
                                        <w:right w:val="none" w:sz="0" w:space="0" w:color="auto"/>
                                      </w:divBdr>
                                    </w:div>
                                    <w:div w:id="752363282">
                                      <w:marLeft w:val="0"/>
                                      <w:marRight w:val="0"/>
                                      <w:marTop w:val="0"/>
                                      <w:marBottom w:val="0"/>
                                      <w:divBdr>
                                        <w:top w:val="none" w:sz="0" w:space="0" w:color="auto"/>
                                        <w:left w:val="none" w:sz="0" w:space="0" w:color="auto"/>
                                        <w:bottom w:val="none" w:sz="0" w:space="0" w:color="auto"/>
                                        <w:right w:val="none" w:sz="0" w:space="0" w:color="auto"/>
                                      </w:divBdr>
                                      <w:divsChild>
                                        <w:div w:id="1536237204">
                                          <w:marLeft w:val="0"/>
                                          <w:marRight w:val="0"/>
                                          <w:marTop w:val="0"/>
                                          <w:marBottom w:val="0"/>
                                          <w:divBdr>
                                            <w:top w:val="none" w:sz="0" w:space="0" w:color="auto"/>
                                            <w:left w:val="none" w:sz="0" w:space="0" w:color="auto"/>
                                            <w:bottom w:val="none" w:sz="0" w:space="0" w:color="auto"/>
                                            <w:right w:val="none" w:sz="0" w:space="0" w:color="auto"/>
                                          </w:divBdr>
                                        </w:div>
                                        <w:div w:id="84482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555238">
      <w:bodyDiv w:val="1"/>
      <w:marLeft w:val="0"/>
      <w:marRight w:val="0"/>
      <w:marTop w:val="0"/>
      <w:marBottom w:val="0"/>
      <w:divBdr>
        <w:top w:val="none" w:sz="0" w:space="0" w:color="auto"/>
        <w:left w:val="none" w:sz="0" w:space="0" w:color="auto"/>
        <w:bottom w:val="none" w:sz="0" w:space="0" w:color="auto"/>
        <w:right w:val="none" w:sz="0" w:space="0" w:color="auto"/>
      </w:divBdr>
      <w:divsChild>
        <w:div w:id="1856579971">
          <w:marLeft w:val="0"/>
          <w:marRight w:val="0"/>
          <w:marTop w:val="0"/>
          <w:marBottom w:val="0"/>
          <w:divBdr>
            <w:top w:val="none" w:sz="0" w:space="0" w:color="auto"/>
            <w:left w:val="none" w:sz="0" w:space="0" w:color="auto"/>
            <w:bottom w:val="none" w:sz="0" w:space="0" w:color="auto"/>
            <w:right w:val="none" w:sz="0" w:space="0" w:color="auto"/>
          </w:divBdr>
        </w:div>
      </w:divsChild>
    </w:div>
    <w:div w:id="354158655">
      <w:bodyDiv w:val="1"/>
      <w:marLeft w:val="0"/>
      <w:marRight w:val="0"/>
      <w:marTop w:val="0"/>
      <w:marBottom w:val="0"/>
      <w:divBdr>
        <w:top w:val="none" w:sz="0" w:space="0" w:color="auto"/>
        <w:left w:val="none" w:sz="0" w:space="0" w:color="auto"/>
        <w:bottom w:val="none" w:sz="0" w:space="0" w:color="auto"/>
        <w:right w:val="none" w:sz="0" w:space="0" w:color="auto"/>
      </w:divBdr>
    </w:div>
    <w:div w:id="365446165">
      <w:bodyDiv w:val="1"/>
      <w:marLeft w:val="0"/>
      <w:marRight w:val="0"/>
      <w:marTop w:val="0"/>
      <w:marBottom w:val="0"/>
      <w:divBdr>
        <w:top w:val="none" w:sz="0" w:space="0" w:color="auto"/>
        <w:left w:val="none" w:sz="0" w:space="0" w:color="auto"/>
        <w:bottom w:val="none" w:sz="0" w:space="0" w:color="auto"/>
        <w:right w:val="none" w:sz="0" w:space="0" w:color="auto"/>
      </w:divBdr>
    </w:div>
    <w:div w:id="591358169">
      <w:bodyDiv w:val="1"/>
      <w:marLeft w:val="0"/>
      <w:marRight w:val="0"/>
      <w:marTop w:val="0"/>
      <w:marBottom w:val="0"/>
      <w:divBdr>
        <w:top w:val="none" w:sz="0" w:space="0" w:color="auto"/>
        <w:left w:val="none" w:sz="0" w:space="0" w:color="auto"/>
        <w:bottom w:val="none" w:sz="0" w:space="0" w:color="auto"/>
        <w:right w:val="none" w:sz="0" w:space="0" w:color="auto"/>
      </w:divBdr>
    </w:div>
    <w:div w:id="594021494">
      <w:bodyDiv w:val="1"/>
      <w:marLeft w:val="0"/>
      <w:marRight w:val="0"/>
      <w:marTop w:val="0"/>
      <w:marBottom w:val="0"/>
      <w:divBdr>
        <w:top w:val="none" w:sz="0" w:space="0" w:color="auto"/>
        <w:left w:val="none" w:sz="0" w:space="0" w:color="auto"/>
        <w:bottom w:val="none" w:sz="0" w:space="0" w:color="auto"/>
        <w:right w:val="none" w:sz="0" w:space="0" w:color="auto"/>
      </w:divBdr>
    </w:div>
    <w:div w:id="718477232">
      <w:bodyDiv w:val="1"/>
      <w:marLeft w:val="0"/>
      <w:marRight w:val="0"/>
      <w:marTop w:val="0"/>
      <w:marBottom w:val="0"/>
      <w:divBdr>
        <w:top w:val="none" w:sz="0" w:space="0" w:color="auto"/>
        <w:left w:val="none" w:sz="0" w:space="0" w:color="auto"/>
        <w:bottom w:val="none" w:sz="0" w:space="0" w:color="auto"/>
        <w:right w:val="none" w:sz="0" w:space="0" w:color="auto"/>
      </w:divBdr>
    </w:div>
    <w:div w:id="1065375149">
      <w:bodyDiv w:val="1"/>
      <w:marLeft w:val="0"/>
      <w:marRight w:val="0"/>
      <w:marTop w:val="0"/>
      <w:marBottom w:val="0"/>
      <w:divBdr>
        <w:top w:val="none" w:sz="0" w:space="0" w:color="auto"/>
        <w:left w:val="none" w:sz="0" w:space="0" w:color="auto"/>
        <w:bottom w:val="none" w:sz="0" w:space="0" w:color="auto"/>
        <w:right w:val="none" w:sz="0" w:space="0" w:color="auto"/>
      </w:divBdr>
    </w:div>
    <w:div w:id="1341203766">
      <w:bodyDiv w:val="1"/>
      <w:marLeft w:val="0"/>
      <w:marRight w:val="0"/>
      <w:marTop w:val="0"/>
      <w:marBottom w:val="0"/>
      <w:divBdr>
        <w:top w:val="none" w:sz="0" w:space="0" w:color="auto"/>
        <w:left w:val="none" w:sz="0" w:space="0" w:color="auto"/>
        <w:bottom w:val="none" w:sz="0" w:space="0" w:color="auto"/>
        <w:right w:val="none" w:sz="0" w:space="0" w:color="auto"/>
      </w:divBdr>
      <w:divsChild>
        <w:div w:id="1362509319">
          <w:marLeft w:val="0"/>
          <w:marRight w:val="0"/>
          <w:marTop w:val="0"/>
          <w:marBottom w:val="0"/>
          <w:divBdr>
            <w:top w:val="none" w:sz="0" w:space="0" w:color="auto"/>
            <w:left w:val="none" w:sz="0" w:space="0" w:color="auto"/>
            <w:bottom w:val="none" w:sz="0" w:space="0" w:color="auto"/>
            <w:right w:val="none" w:sz="0" w:space="0" w:color="auto"/>
          </w:divBdr>
          <w:divsChild>
            <w:div w:id="967508547">
              <w:marLeft w:val="0"/>
              <w:marRight w:val="0"/>
              <w:marTop w:val="0"/>
              <w:marBottom w:val="0"/>
              <w:divBdr>
                <w:top w:val="none" w:sz="0" w:space="0" w:color="auto"/>
                <w:left w:val="none" w:sz="0" w:space="0" w:color="auto"/>
                <w:bottom w:val="none" w:sz="0" w:space="0" w:color="auto"/>
                <w:right w:val="none" w:sz="0" w:space="0" w:color="auto"/>
              </w:divBdr>
            </w:div>
          </w:divsChild>
        </w:div>
        <w:div w:id="996571717">
          <w:marLeft w:val="0"/>
          <w:marRight w:val="0"/>
          <w:marTop w:val="0"/>
          <w:marBottom w:val="0"/>
          <w:divBdr>
            <w:top w:val="none" w:sz="0" w:space="0" w:color="auto"/>
            <w:left w:val="none" w:sz="0" w:space="0" w:color="auto"/>
            <w:bottom w:val="none" w:sz="0" w:space="0" w:color="auto"/>
            <w:right w:val="none" w:sz="0" w:space="0" w:color="auto"/>
          </w:divBdr>
        </w:div>
      </w:divsChild>
    </w:div>
    <w:div w:id="1382286952">
      <w:bodyDiv w:val="1"/>
      <w:marLeft w:val="0"/>
      <w:marRight w:val="0"/>
      <w:marTop w:val="0"/>
      <w:marBottom w:val="0"/>
      <w:divBdr>
        <w:top w:val="none" w:sz="0" w:space="0" w:color="auto"/>
        <w:left w:val="none" w:sz="0" w:space="0" w:color="auto"/>
        <w:bottom w:val="none" w:sz="0" w:space="0" w:color="auto"/>
        <w:right w:val="none" w:sz="0" w:space="0" w:color="auto"/>
      </w:divBdr>
    </w:div>
    <w:div w:id="1411274808">
      <w:bodyDiv w:val="1"/>
      <w:marLeft w:val="0"/>
      <w:marRight w:val="0"/>
      <w:marTop w:val="0"/>
      <w:marBottom w:val="0"/>
      <w:divBdr>
        <w:top w:val="none" w:sz="0" w:space="0" w:color="auto"/>
        <w:left w:val="none" w:sz="0" w:space="0" w:color="auto"/>
        <w:bottom w:val="none" w:sz="0" w:space="0" w:color="auto"/>
        <w:right w:val="none" w:sz="0" w:space="0" w:color="auto"/>
      </w:divBdr>
    </w:div>
    <w:div w:id="1467702155">
      <w:bodyDiv w:val="1"/>
      <w:marLeft w:val="0"/>
      <w:marRight w:val="0"/>
      <w:marTop w:val="0"/>
      <w:marBottom w:val="0"/>
      <w:divBdr>
        <w:top w:val="none" w:sz="0" w:space="0" w:color="auto"/>
        <w:left w:val="none" w:sz="0" w:space="0" w:color="auto"/>
        <w:bottom w:val="none" w:sz="0" w:space="0" w:color="auto"/>
        <w:right w:val="none" w:sz="0" w:space="0" w:color="auto"/>
      </w:divBdr>
    </w:div>
    <w:div w:id="1472095349">
      <w:bodyDiv w:val="1"/>
      <w:marLeft w:val="0"/>
      <w:marRight w:val="0"/>
      <w:marTop w:val="0"/>
      <w:marBottom w:val="0"/>
      <w:divBdr>
        <w:top w:val="none" w:sz="0" w:space="0" w:color="auto"/>
        <w:left w:val="none" w:sz="0" w:space="0" w:color="auto"/>
        <w:bottom w:val="none" w:sz="0" w:space="0" w:color="auto"/>
        <w:right w:val="none" w:sz="0" w:space="0" w:color="auto"/>
      </w:divBdr>
      <w:divsChild>
        <w:div w:id="347409017">
          <w:marLeft w:val="0"/>
          <w:marRight w:val="0"/>
          <w:marTop w:val="0"/>
          <w:marBottom w:val="0"/>
          <w:divBdr>
            <w:top w:val="none" w:sz="0" w:space="0" w:color="auto"/>
            <w:left w:val="none" w:sz="0" w:space="0" w:color="auto"/>
            <w:bottom w:val="none" w:sz="0" w:space="0" w:color="auto"/>
            <w:right w:val="none" w:sz="0" w:space="0" w:color="auto"/>
          </w:divBdr>
        </w:div>
      </w:divsChild>
    </w:div>
    <w:div w:id="1537962889">
      <w:bodyDiv w:val="1"/>
      <w:marLeft w:val="0"/>
      <w:marRight w:val="0"/>
      <w:marTop w:val="0"/>
      <w:marBottom w:val="0"/>
      <w:divBdr>
        <w:top w:val="none" w:sz="0" w:space="0" w:color="auto"/>
        <w:left w:val="none" w:sz="0" w:space="0" w:color="auto"/>
        <w:bottom w:val="none" w:sz="0" w:space="0" w:color="auto"/>
        <w:right w:val="none" w:sz="0" w:space="0" w:color="auto"/>
      </w:divBdr>
      <w:divsChild>
        <w:div w:id="1258632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888007">
              <w:marLeft w:val="0"/>
              <w:marRight w:val="0"/>
              <w:marTop w:val="0"/>
              <w:marBottom w:val="0"/>
              <w:divBdr>
                <w:top w:val="none" w:sz="0" w:space="0" w:color="auto"/>
                <w:left w:val="none" w:sz="0" w:space="0" w:color="auto"/>
                <w:bottom w:val="none" w:sz="0" w:space="0" w:color="auto"/>
                <w:right w:val="none" w:sz="0" w:space="0" w:color="auto"/>
              </w:divBdr>
              <w:divsChild>
                <w:div w:id="955213472">
                  <w:marLeft w:val="0"/>
                  <w:marRight w:val="0"/>
                  <w:marTop w:val="0"/>
                  <w:marBottom w:val="0"/>
                  <w:divBdr>
                    <w:top w:val="none" w:sz="0" w:space="0" w:color="auto"/>
                    <w:left w:val="none" w:sz="0" w:space="0" w:color="auto"/>
                    <w:bottom w:val="none" w:sz="0" w:space="0" w:color="auto"/>
                    <w:right w:val="none" w:sz="0" w:space="0" w:color="auto"/>
                  </w:divBdr>
                  <w:divsChild>
                    <w:div w:id="30652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031036">
      <w:bodyDiv w:val="1"/>
      <w:marLeft w:val="0"/>
      <w:marRight w:val="0"/>
      <w:marTop w:val="0"/>
      <w:marBottom w:val="0"/>
      <w:divBdr>
        <w:top w:val="none" w:sz="0" w:space="0" w:color="auto"/>
        <w:left w:val="none" w:sz="0" w:space="0" w:color="auto"/>
        <w:bottom w:val="none" w:sz="0" w:space="0" w:color="auto"/>
        <w:right w:val="none" w:sz="0" w:space="0" w:color="auto"/>
      </w:divBdr>
    </w:div>
    <w:div w:id="1628319960">
      <w:bodyDiv w:val="1"/>
      <w:marLeft w:val="0"/>
      <w:marRight w:val="0"/>
      <w:marTop w:val="0"/>
      <w:marBottom w:val="0"/>
      <w:divBdr>
        <w:top w:val="none" w:sz="0" w:space="0" w:color="auto"/>
        <w:left w:val="none" w:sz="0" w:space="0" w:color="auto"/>
        <w:bottom w:val="none" w:sz="0" w:space="0" w:color="auto"/>
        <w:right w:val="none" w:sz="0" w:space="0" w:color="auto"/>
      </w:divBdr>
    </w:div>
    <w:div w:id="1752117124">
      <w:bodyDiv w:val="1"/>
      <w:marLeft w:val="0"/>
      <w:marRight w:val="0"/>
      <w:marTop w:val="0"/>
      <w:marBottom w:val="0"/>
      <w:divBdr>
        <w:top w:val="none" w:sz="0" w:space="0" w:color="auto"/>
        <w:left w:val="none" w:sz="0" w:space="0" w:color="auto"/>
        <w:bottom w:val="none" w:sz="0" w:space="0" w:color="auto"/>
        <w:right w:val="none" w:sz="0" w:space="0" w:color="auto"/>
      </w:divBdr>
    </w:div>
    <w:div w:id="1760591563">
      <w:bodyDiv w:val="1"/>
      <w:marLeft w:val="0"/>
      <w:marRight w:val="0"/>
      <w:marTop w:val="0"/>
      <w:marBottom w:val="0"/>
      <w:divBdr>
        <w:top w:val="none" w:sz="0" w:space="0" w:color="auto"/>
        <w:left w:val="none" w:sz="0" w:space="0" w:color="auto"/>
        <w:bottom w:val="none" w:sz="0" w:space="0" w:color="auto"/>
        <w:right w:val="none" w:sz="0" w:space="0" w:color="auto"/>
      </w:divBdr>
    </w:div>
    <w:div w:id="1766992676">
      <w:bodyDiv w:val="1"/>
      <w:marLeft w:val="0"/>
      <w:marRight w:val="0"/>
      <w:marTop w:val="0"/>
      <w:marBottom w:val="0"/>
      <w:divBdr>
        <w:top w:val="none" w:sz="0" w:space="0" w:color="auto"/>
        <w:left w:val="none" w:sz="0" w:space="0" w:color="auto"/>
        <w:bottom w:val="none" w:sz="0" w:space="0" w:color="auto"/>
        <w:right w:val="none" w:sz="0" w:space="0" w:color="auto"/>
      </w:divBdr>
    </w:div>
    <w:div w:id="1819111292">
      <w:bodyDiv w:val="1"/>
      <w:marLeft w:val="0"/>
      <w:marRight w:val="0"/>
      <w:marTop w:val="0"/>
      <w:marBottom w:val="0"/>
      <w:divBdr>
        <w:top w:val="none" w:sz="0" w:space="0" w:color="auto"/>
        <w:left w:val="none" w:sz="0" w:space="0" w:color="auto"/>
        <w:bottom w:val="none" w:sz="0" w:space="0" w:color="auto"/>
        <w:right w:val="none" w:sz="0" w:space="0" w:color="auto"/>
      </w:divBdr>
      <w:divsChild>
        <w:div w:id="636569861">
          <w:marLeft w:val="605"/>
          <w:marRight w:val="0"/>
          <w:marTop w:val="106"/>
          <w:marBottom w:val="0"/>
          <w:divBdr>
            <w:top w:val="none" w:sz="0" w:space="0" w:color="auto"/>
            <w:left w:val="none" w:sz="0" w:space="0" w:color="auto"/>
            <w:bottom w:val="none" w:sz="0" w:space="0" w:color="auto"/>
            <w:right w:val="none" w:sz="0" w:space="0" w:color="auto"/>
          </w:divBdr>
        </w:div>
      </w:divsChild>
    </w:div>
    <w:div w:id="1981423130">
      <w:bodyDiv w:val="1"/>
      <w:marLeft w:val="0"/>
      <w:marRight w:val="0"/>
      <w:marTop w:val="0"/>
      <w:marBottom w:val="0"/>
      <w:divBdr>
        <w:top w:val="none" w:sz="0" w:space="0" w:color="auto"/>
        <w:left w:val="none" w:sz="0" w:space="0" w:color="auto"/>
        <w:bottom w:val="none" w:sz="0" w:space="0" w:color="auto"/>
        <w:right w:val="none" w:sz="0" w:space="0" w:color="auto"/>
      </w:divBdr>
    </w:div>
    <w:div w:id="2004621496">
      <w:bodyDiv w:val="1"/>
      <w:marLeft w:val="0"/>
      <w:marRight w:val="0"/>
      <w:marTop w:val="0"/>
      <w:marBottom w:val="0"/>
      <w:divBdr>
        <w:top w:val="none" w:sz="0" w:space="0" w:color="auto"/>
        <w:left w:val="none" w:sz="0" w:space="0" w:color="auto"/>
        <w:bottom w:val="none" w:sz="0" w:space="0" w:color="auto"/>
        <w:right w:val="none" w:sz="0" w:space="0" w:color="auto"/>
      </w:divBdr>
    </w:div>
    <w:div w:id="2032606306">
      <w:bodyDiv w:val="1"/>
      <w:marLeft w:val="0"/>
      <w:marRight w:val="0"/>
      <w:marTop w:val="0"/>
      <w:marBottom w:val="0"/>
      <w:divBdr>
        <w:top w:val="none" w:sz="0" w:space="0" w:color="auto"/>
        <w:left w:val="none" w:sz="0" w:space="0" w:color="auto"/>
        <w:bottom w:val="none" w:sz="0" w:space="0" w:color="auto"/>
        <w:right w:val="none" w:sz="0" w:space="0" w:color="auto"/>
      </w:divBdr>
    </w:div>
    <w:div w:id="2095278964">
      <w:bodyDiv w:val="1"/>
      <w:marLeft w:val="0"/>
      <w:marRight w:val="0"/>
      <w:marTop w:val="0"/>
      <w:marBottom w:val="0"/>
      <w:divBdr>
        <w:top w:val="none" w:sz="0" w:space="0" w:color="auto"/>
        <w:left w:val="none" w:sz="0" w:space="0" w:color="auto"/>
        <w:bottom w:val="none" w:sz="0" w:space="0" w:color="auto"/>
        <w:right w:val="none" w:sz="0" w:space="0" w:color="auto"/>
      </w:divBdr>
      <w:divsChild>
        <w:div w:id="1665432639">
          <w:marLeft w:val="605"/>
          <w:marRight w:val="0"/>
          <w:marTop w:val="115"/>
          <w:marBottom w:val="0"/>
          <w:divBdr>
            <w:top w:val="none" w:sz="0" w:space="0" w:color="auto"/>
            <w:left w:val="none" w:sz="0" w:space="0" w:color="auto"/>
            <w:bottom w:val="none" w:sz="0" w:space="0" w:color="auto"/>
            <w:right w:val="none" w:sz="0" w:space="0" w:color="auto"/>
          </w:divBdr>
        </w:div>
        <w:div w:id="680938062">
          <w:marLeft w:val="1354"/>
          <w:marRight w:val="0"/>
          <w:marTop w:val="96"/>
          <w:marBottom w:val="0"/>
          <w:divBdr>
            <w:top w:val="none" w:sz="0" w:space="0" w:color="auto"/>
            <w:left w:val="none" w:sz="0" w:space="0" w:color="auto"/>
            <w:bottom w:val="none" w:sz="0" w:space="0" w:color="auto"/>
            <w:right w:val="none" w:sz="0" w:space="0" w:color="auto"/>
          </w:divBdr>
        </w:div>
        <w:div w:id="482309335">
          <w:marLeft w:val="1354"/>
          <w:marRight w:val="0"/>
          <w:marTop w:val="96"/>
          <w:marBottom w:val="0"/>
          <w:divBdr>
            <w:top w:val="none" w:sz="0" w:space="0" w:color="auto"/>
            <w:left w:val="none" w:sz="0" w:space="0" w:color="auto"/>
            <w:bottom w:val="none" w:sz="0" w:space="0" w:color="auto"/>
            <w:right w:val="none" w:sz="0" w:space="0" w:color="auto"/>
          </w:divBdr>
        </w:div>
        <w:div w:id="1381780464">
          <w:marLeft w:val="605"/>
          <w:marRight w:val="0"/>
          <w:marTop w:val="115"/>
          <w:marBottom w:val="0"/>
          <w:divBdr>
            <w:top w:val="none" w:sz="0" w:space="0" w:color="auto"/>
            <w:left w:val="none" w:sz="0" w:space="0" w:color="auto"/>
            <w:bottom w:val="none" w:sz="0" w:space="0" w:color="auto"/>
            <w:right w:val="none" w:sz="0" w:space="0" w:color="auto"/>
          </w:divBdr>
        </w:div>
        <w:div w:id="1944919558">
          <w:marLeft w:val="1354"/>
          <w:marRight w:val="0"/>
          <w:marTop w:val="96"/>
          <w:marBottom w:val="0"/>
          <w:divBdr>
            <w:top w:val="none" w:sz="0" w:space="0" w:color="auto"/>
            <w:left w:val="none" w:sz="0" w:space="0" w:color="auto"/>
            <w:bottom w:val="none" w:sz="0" w:space="0" w:color="auto"/>
            <w:right w:val="none" w:sz="0" w:space="0" w:color="auto"/>
          </w:divBdr>
        </w:div>
        <w:div w:id="804472473">
          <w:marLeft w:val="1354"/>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yperlink" Target="https://www.cdc.gov/flu/about/burden/2017-2018.htm"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msunpea\Dropbox\h\communicable\covid-19\multistep\data\figures%20china%20data.xls"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msunpea\Dropbox\h\communicable\covid-19\multistep\data\other\Respiratory%20Infections%20data.xlsx" TargetMode="External"/><Relationship Id="rId2" Type="http://schemas.microsoft.com/office/2011/relationships/chartColorStyle" Target="colors3.xml"/><Relationship Id="rId1" Type="http://schemas.microsoft.com/office/2011/relationships/chartStyle" Target="style3.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emsunpea\Dropbox\h\communicable\covid-19\multistep\data\figures%20korea%20dat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msunpea\Dropbox\h\communicable\covid-19\multistep\data\italy%20data%20figure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msunpea\Dropbox\h\communicable\covid-19\multistep\data\figures%20spanish%20data.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msunpea\Dropbox\h\communicable\covid-19\multistep\data\figures%20japan%20data.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msunpea\Dropbox\h\communicable\covid-19\multistep\data\figures%20china%20data.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msunpea\Dropbox\h\communicable\covid-19\multistep\data\figures%20china%20data.xls"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emsunpea\Dropbox\h\communicable\covid-19\multistep\data\other\cromer%20data%20adapted.xlsx" TargetMode="External"/><Relationship Id="rId2" Type="http://schemas.microsoft.com/office/2011/relationships/chartColorStyle" Target="colors1.xml"/><Relationship Id="rId1" Type="http://schemas.microsoft.com/office/2011/relationships/chartStyle" Target="style1.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emsunpea\Dropbox\h\communicable\covid-19\multistep\data\other\mytton%20data%20adapte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761592300962384E-2"/>
          <c:y val="0.16708333333333336"/>
          <c:w val="0.8730857392825897"/>
          <c:h val="0.77736111111111106"/>
        </c:manualLayout>
      </c:layout>
      <c:scatterChart>
        <c:scatterStyle val="lineMarker"/>
        <c:varyColors val="0"/>
        <c:ser>
          <c:idx val="0"/>
          <c:order val="0"/>
          <c:tx>
            <c:strRef>
              <c:f>'Epidemiology calculations AAC'!$D$1</c:f>
              <c:strCache>
                <c:ptCount val="1"/>
                <c:pt idx="0">
                  <c:v>ln(CFR)</c:v>
                </c:pt>
              </c:strCache>
            </c:strRef>
          </c:tx>
          <c:spPr>
            <a:ln w="28575">
              <a:noFill/>
            </a:ln>
          </c:spPr>
          <c:marker>
            <c:symbol val="circle"/>
            <c:size val="5"/>
            <c:spPr>
              <a:solidFill>
                <a:schemeClr val="accent1"/>
              </a:solidFill>
              <a:ln w="9525">
                <a:solidFill>
                  <a:schemeClr val="accent1"/>
                </a:solidFill>
              </a:ln>
              <a:effectLst/>
            </c:spPr>
          </c:marker>
          <c:trendline>
            <c:spPr>
              <a:ln w="25400" cap="rnd">
                <a:solidFill>
                  <a:schemeClr val="accent1"/>
                </a:solidFill>
                <a:prstDash val="solid"/>
              </a:ln>
              <a:effectLst/>
            </c:spPr>
            <c:trendlineType val="linear"/>
            <c:dispRSqr val="0"/>
            <c:dispEq val="1"/>
            <c:trendlineLbl>
              <c:layout>
                <c:manualLayout>
                  <c:x val="-0.10733289588801399"/>
                  <c:y val="7.3657407407407408E-2"/>
                </c:manualLayout>
              </c:layout>
              <c:tx>
                <c:rich>
                  <a:bodyPr/>
                  <a:lstStyle/>
                  <a:p>
                    <a:pPr>
                      <a:defRPr sz="1200" b="0" i="0" u="none" strike="noStrike" baseline="0">
                        <a:solidFill>
                          <a:srgbClr val="333333"/>
                        </a:solidFill>
                        <a:latin typeface="Calibri"/>
                        <a:ea typeface="Calibri"/>
                        <a:cs typeface="Calibri"/>
                      </a:defRPr>
                    </a:pPr>
                    <a:r>
                      <a:rPr lang="en-GB" b="1"/>
                      <a:t>y = 4.88x - 19.09</a:t>
                    </a:r>
                  </a:p>
                </c:rich>
              </c:tx>
              <c:numFmt formatCode="General" sourceLinked="0"/>
              <c:spPr>
                <a:noFill/>
                <a:ln w="25400">
                  <a:noFill/>
                </a:ln>
              </c:spPr>
            </c:trendlineLbl>
          </c:trendline>
          <c:xVal>
            <c:numRef>
              <c:f>'Epidemiology calculations AAC'!$C$5:$C$10</c:f>
              <c:numCache>
                <c:formatCode>General</c:formatCode>
                <c:ptCount val="6"/>
                <c:pt idx="0">
                  <c:v>3.5553480614894135</c:v>
                </c:pt>
                <c:pt idx="1">
                  <c:v>3.8066624897703196</c:v>
                </c:pt>
                <c:pt idx="2">
                  <c:v>4.0073331852324712</c:v>
                </c:pt>
                <c:pt idx="3">
                  <c:v>4.1743872698956368</c:v>
                </c:pt>
                <c:pt idx="4">
                  <c:v>4.3174881135363101</c:v>
                </c:pt>
                <c:pt idx="5">
                  <c:v>4.4426512564903167</c:v>
                </c:pt>
              </c:numCache>
            </c:numRef>
          </c:xVal>
          <c:yVal>
            <c:numRef>
              <c:f>'Epidemiology calculations AAC'!$D$5:$D$10</c:f>
              <c:numCache>
                <c:formatCode>General</c:formatCode>
                <c:ptCount val="6"/>
                <c:pt idx="0">
                  <c:v>-1.439695137847006</c:v>
                </c:pt>
                <c:pt idx="1">
                  <c:v>-0.81418550893700137</c:v>
                </c:pt>
                <c:pt idx="2">
                  <c:v>0.26236426446749106</c:v>
                </c:pt>
                <c:pt idx="3">
                  <c:v>1.2809338454620642</c:v>
                </c:pt>
                <c:pt idx="4">
                  <c:v>2.0744289998562917</c:v>
                </c:pt>
                <c:pt idx="5">
                  <c:v>2.6946271807700692</c:v>
                </c:pt>
              </c:numCache>
            </c:numRef>
          </c:yVal>
          <c:smooth val="0"/>
          <c:extLst>
            <c:ext xmlns:c16="http://schemas.microsoft.com/office/drawing/2014/chart" uri="{C3380CC4-5D6E-409C-BE32-E72D297353CC}">
              <c16:uniqueId val="{00000001-E59E-4266-A789-636AAF5E7B90}"/>
            </c:ext>
          </c:extLst>
        </c:ser>
        <c:dLbls>
          <c:showLegendKey val="0"/>
          <c:showVal val="0"/>
          <c:showCatName val="0"/>
          <c:showSerName val="0"/>
          <c:showPercent val="0"/>
          <c:showBubbleSize val="0"/>
        </c:dLbls>
        <c:axId val="270142687"/>
        <c:axId val="1"/>
      </c:scatterChart>
      <c:valAx>
        <c:axId val="270142687"/>
        <c:scaling>
          <c:orientation val="minMax"/>
          <c:min val="3.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270142687"/>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SARS!$E$4</c:f>
              <c:strCache>
                <c:ptCount val="1"/>
                <c:pt idx="0">
                  <c:v>ln(CFR)</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25400" cap="rnd">
                <a:solidFill>
                  <a:schemeClr val="accent1"/>
                </a:solidFill>
                <a:prstDash val="solid"/>
              </a:ln>
              <a:effectLst/>
            </c:spPr>
            <c:trendlineType val="linear"/>
            <c:dispRSqr val="0"/>
            <c:dispEq val="1"/>
            <c:trendlineLbl>
              <c:layout>
                <c:manualLayout>
                  <c:x val="-0.10045078740157486"/>
                  <c:y val="1.2822615923009624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1200" b="1" baseline="0"/>
                      <a:t>y = 3.59x - 11.43</a:t>
                    </a:r>
                    <a:endParaRPr lang="en-GB" sz="1200" b="1"/>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SARS!$D$7:$D$12</c:f>
              <c:numCache>
                <c:formatCode>General</c:formatCode>
                <c:ptCount val="6"/>
                <c:pt idx="0">
                  <c:v>3.4011973816621555</c:v>
                </c:pt>
                <c:pt idx="1">
                  <c:v>3.6888794541139363</c:v>
                </c:pt>
                <c:pt idx="2">
                  <c:v>3.912023005428146</c:v>
                </c:pt>
                <c:pt idx="3">
                  <c:v>4.0943445622221004</c:v>
                </c:pt>
                <c:pt idx="4">
                  <c:v>4.2484952420493594</c:v>
                </c:pt>
                <c:pt idx="5">
                  <c:v>4.4127982933406349</c:v>
                </c:pt>
              </c:numCache>
            </c:numRef>
          </c:xVal>
          <c:yVal>
            <c:numRef>
              <c:f>SARS!$E$7:$E$12</c:f>
              <c:numCache>
                <c:formatCode>General</c:formatCode>
                <c:ptCount val="6"/>
                <c:pt idx="0">
                  <c:v>0.47000362924573563</c:v>
                </c:pt>
                <c:pt idx="1">
                  <c:v>2.3025850929940459</c:v>
                </c:pt>
                <c:pt idx="2">
                  <c:v>2.5649493574615367</c:v>
                </c:pt>
                <c:pt idx="3">
                  <c:v>3.2308043957334744</c:v>
                </c:pt>
                <c:pt idx="4">
                  <c:v>3.9608131695975781</c:v>
                </c:pt>
                <c:pt idx="5">
                  <c:v>4.242764567340374</c:v>
                </c:pt>
              </c:numCache>
            </c:numRef>
          </c:yVal>
          <c:smooth val="0"/>
          <c:extLst>
            <c:ext xmlns:c16="http://schemas.microsoft.com/office/drawing/2014/chart" uri="{C3380CC4-5D6E-409C-BE32-E72D297353CC}">
              <c16:uniqueId val="{00000001-3D9F-4EE6-83D6-EC4F141DB927}"/>
            </c:ext>
          </c:extLst>
        </c:ser>
        <c:dLbls>
          <c:showLegendKey val="0"/>
          <c:showVal val="0"/>
          <c:showCatName val="0"/>
          <c:showSerName val="0"/>
          <c:showPercent val="0"/>
          <c:showBubbleSize val="0"/>
        </c:dLbls>
        <c:axId val="2107026736"/>
        <c:axId val="2103839040"/>
      </c:scatterChart>
      <c:valAx>
        <c:axId val="2107026736"/>
        <c:scaling>
          <c:orientation val="minMax"/>
          <c:min val="3.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3839040"/>
        <c:crosses val="autoZero"/>
        <c:crossBetween val="midCat"/>
      </c:valAx>
      <c:valAx>
        <c:axId val="210383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0267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'Ln(mort)vsln(age)'!$N$1</c:f>
              <c:strCache>
                <c:ptCount val="1"/>
                <c:pt idx="0">
                  <c:v>ln(mort19)</c:v>
                </c:pt>
              </c:strCache>
            </c:strRef>
          </c:tx>
          <c:spPr>
            <a:ln w="19050" cap="rnd">
              <a:noFill/>
              <a:round/>
            </a:ln>
            <a:effectLst/>
          </c:spPr>
          <c:marker>
            <c:symbol val="square"/>
            <c:size val="4"/>
            <c:spPr>
              <a:solidFill>
                <a:schemeClr val="tx1"/>
              </a:solidFill>
              <a:ln w="9525">
                <a:solidFill>
                  <a:schemeClr val="accent1"/>
                </a:solidFill>
              </a:ln>
              <a:effectLst/>
            </c:spPr>
          </c:marker>
          <c:trendline>
            <c:spPr>
              <a:ln w="19050" cap="rnd">
                <a:solidFill>
                  <a:schemeClr val="tx1"/>
                </a:solidFill>
                <a:prstDash val="solid"/>
              </a:ln>
              <a:effectLst/>
            </c:spPr>
            <c:trendlineType val="linear"/>
            <c:dispRSqr val="0"/>
            <c:dispEq val="1"/>
            <c:trendlineLbl>
              <c:layout>
                <c:manualLayout>
                  <c:x val="-5.8417058309502293E-2"/>
                  <c:y val="0.46913487478740251"/>
                </c:manualLayout>
              </c:layout>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sz="2000" baseline="0">
                        <a:solidFill>
                          <a:schemeClr val="tx1"/>
                        </a:solidFill>
                      </a:rPr>
                      <a:t>y = 6.99x - 34.29</a:t>
                    </a:r>
                    <a:endParaRPr lang="en-US" sz="2000">
                      <a:solidFill>
                        <a:schemeClr val="tx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rendlineLbl>
          </c:trendline>
          <c:xVal>
            <c:numRef>
              <c:f>'Ln(mort)vsln(age)'!$L$10:$L$23</c:f>
              <c:numCache>
                <c:formatCode>General</c:formatCode>
                <c:ptCount val="14"/>
                <c:pt idx="0">
                  <c:v>3.6243409329763652</c:v>
                </c:pt>
                <c:pt idx="1">
                  <c:v>3.7495040759303713</c:v>
                </c:pt>
                <c:pt idx="2">
                  <c:v>3.8607297110405954</c:v>
                </c:pt>
                <c:pt idx="3">
                  <c:v>3.9608131695975781</c:v>
                </c:pt>
                <c:pt idx="4">
                  <c:v>4.0517849478033048</c:v>
                </c:pt>
                <c:pt idx="5">
                  <c:v>4.1351665567423561</c:v>
                </c:pt>
                <c:pt idx="6">
                  <c:v>4.2121275978784842</c:v>
                </c:pt>
                <c:pt idx="7">
                  <c:v>4.2835865618606288</c:v>
                </c:pt>
                <c:pt idx="8">
                  <c:v>4.3502779363593014</c:v>
                </c:pt>
                <c:pt idx="9">
                  <c:v>4.4127982933406349</c:v>
                </c:pt>
                <c:pt idx="10">
                  <c:v>4.4716387933635691</c:v>
                </c:pt>
                <c:pt idx="11">
                  <c:v>4.5272086445183799</c:v>
                </c:pt>
                <c:pt idx="12">
                  <c:v>4.5798523780038014</c:v>
                </c:pt>
                <c:pt idx="13">
                  <c:v>4.6298627985784631</c:v>
                </c:pt>
              </c:numCache>
            </c:numRef>
          </c:xVal>
          <c:yVal>
            <c:numRef>
              <c:f>'Ln(mort)vsln(age)'!$N$10:$N$23</c:f>
              <c:numCache>
                <c:formatCode>General</c:formatCode>
                <c:ptCount val="14"/>
                <c:pt idx="0">
                  <c:v>-8.3854980339574805</c:v>
                </c:pt>
                <c:pt idx="1">
                  <c:v>-7.7828199971888612</c:v>
                </c:pt>
                <c:pt idx="2">
                  <c:v>-7.3076574587366103</c:v>
                </c:pt>
                <c:pt idx="3">
                  <c:v>-6.8027202398939863</c:v>
                </c:pt>
                <c:pt idx="4">
                  <c:v>-6.2927864977012957</c:v>
                </c:pt>
                <c:pt idx="5">
                  <c:v>-5.785908775799725</c:v>
                </c:pt>
                <c:pt idx="6">
                  <c:v>-5.3332055854576721</c:v>
                </c:pt>
                <c:pt idx="7">
                  <c:v>-4.8263341756789977</c:v>
                </c:pt>
                <c:pt idx="8">
                  <c:v>-4.2772815989282158</c:v>
                </c:pt>
                <c:pt idx="9">
                  <c:v>-3.6522973368323175</c:v>
                </c:pt>
                <c:pt idx="10">
                  <c:v>-2.9680308647235343</c:v>
                </c:pt>
                <c:pt idx="11">
                  <c:v>-2.3380710842002728</c:v>
                </c:pt>
                <c:pt idx="12">
                  <c:v>-1.8068206308349857</c:v>
                </c:pt>
                <c:pt idx="13">
                  <c:v>-1.3426799165364123</c:v>
                </c:pt>
              </c:numCache>
            </c:numRef>
          </c:yVal>
          <c:smooth val="0"/>
          <c:extLst>
            <c:ext xmlns:c16="http://schemas.microsoft.com/office/drawing/2014/chart" uri="{C3380CC4-5D6E-409C-BE32-E72D297353CC}">
              <c16:uniqueId val="{00000001-023F-4384-B0FC-BED16BE8A6ED}"/>
            </c:ext>
          </c:extLst>
        </c:ser>
        <c:ser>
          <c:idx val="1"/>
          <c:order val="1"/>
          <c:tx>
            <c:strRef>
              <c:f>'Ln(mort)vsln(age)'!$O$1</c:f>
              <c:strCache>
                <c:ptCount val="1"/>
                <c:pt idx="0">
                  <c:v>ln(mort20)</c:v>
                </c:pt>
              </c:strCache>
            </c:strRef>
          </c:tx>
          <c:spPr>
            <a:ln w="19050" cap="rnd">
              <a:noFill/>
              <a:round/>
            </a:ln>
            <a:effectLst/>
          </c:spPr>
          <c:marker>
            <c:symbol val="triangle"/>
            <c:size val="5"/>
            <c:spPr>
              <a:solidFill>
                <a:schemeClr val="tx1"/>
              </a:solidFill>
              <a:ln w="9525">
                <a:solidFill>
                  <a:schemeClr val="tx1"/>
                </a:solidFill>
              </a:ln>
              <a:effectLst/>
            </c:spPr>
          </c:marker>
          <c:trendline>
            <c:spPr>
              <a:ln w="19050" cap="rnd">
                <a:solidFill>
                  <a:schemeClr val="tx1"/>
                </a:solidFill>
                <a:prstDash val="dash"/>
              </a:ln>
              <a:effectLst/>
            </c:spPr>
            <c:trendlineType val="linear"/>
            <c:dispRSqr val="0"/>
            <c:dispEq val="1"/>
            <c:trendlineLbl>
              <c:layout>
                <c:manualLayout>
                  <c:x val="-0.18877420382497473"/>
                  <c:y val="8.2135421466692365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2000" baseline="0">
                        <a:solidFill>
                          <a:schemeClr val="tx1"/>
                        </a:solidFill>
                      </a:rPr>
                      <a:t>y = 7.04x - 34.49</a:t>
                    </a:r>
                    <a:endParaRPr lang="en-US" sz="2000">
                      <a:solidFill>
                        <a:schemeClr val="tx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'Ln(mort)vsln(age)'!$L$10:$L$23</c:f>
              <c:numCache>
                <c:formatCode>General</c:formatCode>
                <c:ptCount val="14"/>
                <c:pt idx="0">
                  <c:v>3.6243409329763652</c:v>
                </c:pt>
                <c:pt idx="1">
                  <c:v>3.7495040759303713</c:v>
                </c:pt>
                <c:pt idx="2">
                  <c:v>3.8607297110405954</c:v>
                </c:pt>
                <c:pt idx="3">
                  <c:v>3.9608131695975781</c:v>
                </c:pt>
                <c:pt idx="4">
                  <c:v>4.0517849478033048</c:v>
                </c:pt>
                <c:pt idx="5">
                  <c:v>4.1351665567423561</c:v>
                </c:pt>
                <c:pt idx="6">
                  <c:v>4.2121275978784842</c:v>
                </c:pt>
                <c:pt idx="7">
                  <c:v>4.2835865618606288</c:v>
                </c:pt>
                <c:pt idx="8">
                  <c:v>4.3502779363593014</c:v>
                </c:pt>
                <c:pt idx="9">
                  <c:v>4.4127982933406349</c:v>
                </c:pt>
                <c:pt idx="10">
                  <c:v>4.4716387933635691</c:v>
                </c:pt>
                <c:pt idx="11">
                  <c:v>4.5272086445183799</c:v>
                </c:pt>
                <c:pt idx="12">
                  <c:v>4.5798523780038014</c:v>
                </c:pt>
                <c:pt idx="13">
                  <c:v>4.6298627985784631</c:v>
                </c:pt>
              </c:numCache>
            </c:numRef>
          </c:xVal>
          <c:yVal>
            <c:numRef>
              <c:f>'Ln(mort)vsln(age)'!$O$10:$O$23</c:f>
              <c:numCache>
                <c:formatCode>General</c:formatCode>
                <c:ptCount val="14"/>
                <c:pt idx="0">
                  <c:v>-8.2478030125924278</c:v>
                </c:pt>
                <c:pt idx="1">
                  <c:v>-7.7874273398600176</c:v>
                </c:pt>
                <c:pt idx="2">
                  <c:v>-7.1867073005337971</c:v>
                </c:pt>
                <c:pt idx="3">
                  <c:v>-6.676189285241187</c:v>
                </c:pt>
                <c:pt idx="4">
                  <c:v>-6.1328641702269069</c:v>
                </c:pt>
                <c:pt idx="5">
                  <c:v>-5.5538412799892658</c:v>
                </c:pt>
                <c:pt idx="6">
                  <c:v>-5.062510811862138</c:v>
                </c:pt>
                <c:pt idx="7">
                  <c:v>-4.5086945900393305</c:v>
                </c:pt>
                <c:pt idx="8">
                  <c:v>-3.9482096425838482</c:v>
                </c:pt>
                <c:pt idx="9">
                  <c:v>-3.3512211006753727</c:v>
                </c:pt>
                <c:pt idx="10">
                  <c:v>-2.6949078301005751</c:v>
                </c:pt>
                <c:pt idx="11">
                  <c:v>-2.0759588651657199</c:v>
                </c:pt>
                <c:pt idx="12">
                  <c:v>-1.5987252705363846</c:v>
                </c:pt>
                <c:pt idx="13">
                  <c:v>-1.1522707961549545</c:v>
                </c:pt>
              </c:numCache>
            </c:numRef>
          </c:yVal>
          <c:smooth val="0"/>
          <c:extLst>
            <c:ext xmlns:c16="http://schemas.microsoft.com/office/drawing/2014/chart" uri="{C3380CC4-5D6E-409C-BE32-E72D297353CC}">
              <c16:uniqueId val="{00000003-023F-4384-B0FC-BED16BE8A6ED}"/>
            </c:ext>
          </c:extLst>
        </c:ser>
        <c:dLbls>
          <c:showLegendKey val="0"/>
          <c:showVal val="0"/>
          <c:showCatName val="0"/>
          <c:showSerName val="0"/>
          <c:showPercent val="0"/>
          <c:showBubbleSize val="0"/>
        </c:dLbls>
        <c:axId val="610149231"/>
        <c:axId val="672114495"/>
      </c:scatterChart>
      <c:valAx>
        <c:axId val="610149231"/>
        <c:scaling>
          <c:orientation val="minMax"/>
          <c:min val="3.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500" b="0" i="0" u="none" strike="noStrike" kern="1200" baseline="0">
                    <a:solidFill>
                      <a:schemeClr val="tx1">
                        <a:lumMod val="65000"/>
                        <a:lumOff val="35000"/>
                      </a:schemeClr>
                    </a:solidFill>
                    <a:latin typeface="+mn-lt"/>
                    <a:ea typeface="+mn-ea"/>
                    <a:cs typeface="+mn-cs"/>
                  </a:defRPr>
                </a:pPr>
                <a:r>
                  <a:rPr lang="it-IT" sz="1500"/>
                  <a:t>ln(age)</a:t>
                </a:r>
              </a:p>
            </c:rich>
          </c:tx>
          <c:overlay val="0"/>
          <c:spPr>
            <a:noFill/>
            <a:ln>
              <a:noFill/>
            </a:ln>
            <a:effectLst/>
          </c:spPr>
          <c:txPr>
            <a:bodyPr rot="0" spcFirstLastPara="1" vertOverflow="ellipsis" vert="horz" wrap="square" anchor="ctr" anchorCtr="1"/>
            <a:lstStyle/>
            <a:p>
              <a:pPr>
                <a:defRPr sz="15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2114495"/>
        <c:crosses val="autoZero"/>
        <c:crossBetween val="midCat"/>
      </c:valAx>
      <c:valAx>
        <c:axId val="6721144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500" b="0" i="0" u="none" strike="noStrike" kern="1200" baseline="0">
                    <a:solidFill>
                      <a:schemeClr val="tx1">
                        <a:lumMod val="65000"/>
                        <a:lumOff val="35000"/>
                      </a:schemeClr>
                    </a:solidFill>
                    <a:latin typeface="+mn-lt"/>
                    <a:ea typeface="+mn-ea"/>
                    <a:cs typeface="+mn-cs"/>
                  </a:defRPr>
                </a:pPr>
                <a:r>
                  <a:rPr lang="it-IT" sz="1500"/>
                  <a:t>ln(mortality)</a:t>
                </a:r>
              </a:p>
              <a:p>
                <a:pPr>
                  <a:defRPr sz="1500"/>
                </a:pPr>
                <a:endParaRPr lang="it-IT" sz="1500"/>
              </a:p>
            </c:rich>
          </c:tx>
          <c:overlay val="0"/>
          <c:spPr>
            <a:noFill/>
            <a:ln>
              <a:noFill/>
            </a:ln>
            <a:effectLst/>
          </c:spPr>
          <c:txPr>
            <a:bodyPr rot="-5400000" spcFirstLastPara="1" vertOverflow="ellipsis" vert="horz" wrap="square" anchor="ctr" anchorCtr="1"/>
            <a:lstStyle/>
            <a:p>
              <a:pPr>
                <a:defRPr sz="15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14923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761592300962384E-2"/>
          <c:y val="0.16708333333333336"/>
          <c:w val="0.8730857392825897"/>
          <c:h val="0.77736111111111106"/>
        </c:manualLayout>
      </c:layout>
      <c:scatterChart>
        <c:scatterStyle val="lineMarker"/>
        <c:varyColors val="0"/>
        <c:ser>
          <c:idx val="0"/>
          <c:order val="0"/>
          <c:tx>
            <c:strRef>
              <c:f>'[figures korea data.xls]Epidemiology calculations AAC'!$D$1</c:f>
              <c:strCache>
                <c:ptCount val="1"/>
                <c:pt idx="0">
                  <c:v>ln(CFR)</c:v>
                </c:pt>
              </c:strCache>
            </c:strRef>
          </c:tx>
          <c:spPr>
            <a:ln w="28575">
              <a:noFill/>
            </a:ln>
          </c:spPr>
          <c:marker>
            <c:symbol val="circle"/>
            <c:size val="5"/>
            <c:spPr>
              <a:solidFill>
                <a:schemeClr val="accent1"/>
              </a:solidFill>
              <a:ln w="9525">
                <a:solidFill>
                  <a:schemeClr val="accent1"/>
                </a:solidFill>
              </a:ln>
              <a:effectLst/>
            </c:spPr>
          </c:marker>
          <c:trendline>
            <c:spPr>
              <a:ln w="25400" cap="rnd">
                <a:solidFill>
                  <a:schemeClr val="accent1"/>
                </a:solidFill>
                <a:prstDash val="solid"/>
              </a:ln>
              <a:effectLst/>
            </c:spPr>
            <c:trendlineType val="linear"/>
            <c:dispRSqr val="0"/>
            <c:dispEq val="0"/>
          </c:trendline>
          <c:trendline>
            <c:trendlineType val="linear"/>
            <c:dispRSqr val="0"/>
            <c:dispEq val="1"/>
            <c:trendlineLbl>
              <c:layout>
                <c:manualLayout>
                  <c:x val="-0.19001749781277341"/>
                  <c:y val="6.6279793060549513E-2"/>
                </c:manualLayout>
              </c:layout>
              <c:tx>
                <c:rich>
                  <a:bodyPr/>
                  <a:lstStyle/>
                  <a:p>
                    <a:pPr>
                      <a:defRPr/>
                    </a:pPr>
                    <a:r>
                      <a:rPr lang="en-US" sz="1200" b="1" baseline="0"/>
                      <a:t>y = 5.66x - 23.10</a:t>
                    </a:r>
                    <a:endParaRPr lang="en-US" sz="1200" b="1"/>
                  </a:p>
                </c:rich>
              </c:tx>
              <c:numFmt formatCode="General" sourceLinked="0"/>
            </c:trendlineLbl>
          </c:trendline>
          <c:xVal>
            <c:numRef>
              <c:f>'[figures korea data.xls]Epidemiology calculations AAC'!$C$5:$C$10</c:f>
              <c:numCache>
                <c:formatCode>General</c:formatCode>
                <c:ptCount val="6"/>
                <c:pt idx="0">
                  <c:v>3.5553480614894135</c:v>
                </c:pt>
                <c:pt idx="1">
                  <c:v>3.8066624897703196</c:v>
                </c:pt>
                <c:pt idx="2">
                  <c:v>4.0073331852324712</c:v>
                </c:pt>
                <c:pt idx="3">
                  <c:v>4.1743872698956368</c:v>
                </c:pt>
                <c:pt idx="4">
                  <c:v>4.3174881135363101</c:v>
                </c:pt>
                <c:pt idx="5">
                  <c:v>4.4426512564903167</c:v>
                </c:pt>
              </c:numCache>
            </c:numRef>
          </c:xVal>
          <c:yVal>
            <c:numRef>
              <c:f>'[figures korea data.xls]Epidemiology calculations AAC'!$D$5:$D$10</c:f>
              <c:numCache>
                <c:formatCode>General</c:formatCode>
                <c:ptCount val="6"/>
                <c:pt idx="0">
                  <c:v>-2.120263536200091</c:v>
                </c:pt>
                <c:pt idx="1">
                  <c:v>-2.4079456086518722</c:v>
                </c:pt>
                <c:pt idx="2">
                  <c:v>-0.9942522733438669</c:v>
                </c:pt>
                <c:pt idx="3">
                  <c:v>0.43825493093115531</c:v>
                </c:pt>
                <c:pt idx="4">
                  <c:v>1.6826883741736931</c:v>
                </c:pt>
                <c:pt idx="5">
                  <c:v>2.3243465847755584</c:v>
                </c:pt>
              </c:numCache>
            </c:numRef>
          </c:yVal>
          <c:smooth val="0"/>
          <c:extLst>
            <c:ext xmlns:c16="http://schemas.microsoft.com/office/drawing/2014/chart" uri="{C3380CC4-5D6E-409C-BE32-E72D297353CC}">
              <c16:uniqueId val="{00000002-6B1D-488B-A3D8-E1BC835E4EFA}"/>
            </c:ext>
          </c:extLst>
        </c:ser>
        <c:dLbls>
          <c:showLegendKey val="0"/>
          <c:showVal val="0"/>
          <c:showCatName val="0"/>
          <c:showSerName val="0"/>
          <c:showPercent val="0"/>
          <c:showBubbleSize val="0"/>
        </c:dLbls>
        <c:axId val="1391374944"/>
        <c:axId val="1"/>
      </c:scatterChart>
      <c:valAx>
        <c:axId val="1391374944"/>
        <c:scaling>
          <c:orientation val="minMax"/>
          <c:min val="3.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391374944"/>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206036745406835E-2"/>
          <c:y val="0.16708326971593926"/>
          <c:w val="0.8730857392825897"/>
          <c:h val="0.77736111111111106"/>
        </c:manualLayout>
      </c:layout>
      <c:scatterChart>
        <c:scatterStyle val="lineMarker"/>
        <c:varyColors val="0"/>
        <c:ser>
          <c:idx val="0"/>
          <c:order val="0"/>
          <c:tx>
            <c:strRef>
              <c:f>'Epidemiology calculations AAC'!$D$2</c:f>
              <c:strCache>
                <c:ptCount val="1"/>
                <c:pt idx="0">
                  <c:v>ln(CFR)</c:v>
                </c:pt>
              </c:strCache>
            </c:strRef>
          </c:tx>
          <c:spPr>
            <a:ln w="28575">
              <a:noFill/>
            </a:ln>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trendlineType val="linear"/>
            <c:dispRSqr val="0"/>
            <c:dispEq val="0"/>
          </c:trendline>
          <c:trendline>
            <c:trendlineType val="linear"/>
            <c:dispRSqr val="0"/>
            <c:dispEq val="0"/>
          </c:trendline>
          <c:trendline>
            <c:spPr>
              <a:ln w="25400">
                <a:solidFill>
                  <a:schemeClr val="tx2">
                    <a:lumMod val="60000"/>
                    <a:lumOff val="40000"/>
                  </a:schemeClr>
                </a:solidFill>
              </a:ln>
            </c:spPr>
            <c:trendlineType val="linear"/>
            <c:dispRSqr val="0"/>
            <c:dispEq val="1"/>
            <c:trendlineLbl>
              <c:layout>
                <c:manualLayout>
                  <c:x val="-0.20706714785651795"/>
                  <c:y val="0.10129743131139074"/>
                </c:manualLayout>
              </c:layout>
              <c:tx>
                <c:rich>
                  <a:bodyPr/>
                  <a:lstStyle/>
                  <a:p>
                    <a:pPr>
                      <a:defRPr/>
                    </a:pPr>
                    <a:r>
                      <a:rPr lang="en-US" sz="1200" b="1" baseline="0"/>
                      <a:t>y = 4.93x - 18.62</a:t>
                    </a:r>
                    <a:endParaRPr lang="en-US" sz="1200" b="1"/>
                  </a:p>
                </c:rich>
              </c:tx>
              <c:numFmt formatCode="General" sourceLinked="0"/>
              <c:spPr>
                <a:ln>
                  <a:noFill/>
                </a:ln>
              </c:spPr>
            </c:trendlineLbl>
          </c:trendline>
          <c:xVal>
            <c:numRef>
              <c:f>'Epidemiology calculations AAC'!$C$6:$C$12</c:f>
              <c:numCache>
                <c:formatCode>General</c:formatCode>
                <c:ptCount val="7"/>
                <c:pt idx="0">
                  <c:v>3.5553480614894135</c:v>
                </c:pt>
                <c:pt idx="1">
                  <c:v>3.8066624897703196</c:v>
                </c:pt>
                <c:pt idx="2">
                  <c:v>4.0073331852324712</c:v>
                </c:pt>
                <c:pt idx="3">
                  <c:v>4.1743872698956368</c:v>
                </c:pt>
                <c:pt idx="4">
                  <c:v>4.3174881135363101</c:v>
                </c:pt>
                <c:pt idx="5">
                  <c:v>4.4426512564903167</c:v>
                </c:pt>
                <c:pt idx="6">
                  <c:v>4.5538768916005408</c:v>
                </c:pt>
              </c:numCache>
            </c:numRef>
          </c:xVal>
          <c:yVal>
            <c:numRef>
              <c:f>'Epidemiology calculations AAC'!$D$6:$D$12</c:f>
              <c:numCache>
                <c:formatCode>General</c:formatCode>
                <c:ptCount val="7"/>
                <c:pt idx="0">
                  <c:v>-1.0720971830123547</c:v>
                </c:pt>
                <c:pt idx="1">
                  <c:v>-0.142152828873571</c:v>
                </c:pt>
                <c:pt idx="2">
                  <c:v>0.92900347255408899</c:v>
                </c:pt>
                <c:pt idx="3">
                  <c:v>2.2513793681148484</c:v>
                </c:pt>
                <c:pt idx="4">
                  <c:v>3.1830509801592148</c:v>
                </c:pt>
                <c:pt idx="5">
                  <c:v>3.4084354090081765</c:v>
                </c:pt>
                <c:pt idx="6">
                  <c:v>3.2195889100102186</c:v>
                </c:pt>
              </c:numCache>
            </c:numRef>
          </c:yVal>
          <c:smooth val="0"/>
          <c:extLst>
            <c:ext xmlns:c16="http://schemas.microsoft.com/office/drawing/2014/chart" uri="{C3380CC4-5D6E-409C-BE32-E72D297353CC}">
              <c16:uniqueId val="{00000005-3DDB-4D29-AFF8-B8C72C396139}"/>
            </c:ext>
          </c:extLst>
        </c:ser>
        <c:dLbls>
          <c:showLegendKey val="0"/>
          <c:showVal val="0"/>
          <c:showCatName val="0"/>
          <c:showSerName val="0"/>
          <c:showPercent val="0"/>
          <c:showBubbleSize val="0"/>
        </c:dLbls>
        <c:axId val="677517120"/>
        <c:axId val="1"/>
      </c:scatterChart>
      <c:valAx>
        <c:axId val="677517120"/>
        <c:scaling>
          <c:orientation val="minMax"/>
          <c:max val="4.5999999999999996"/>
          <c:min val="3.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7517120"/>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761592300962384E-2"/>
          <c:y val="0.16708333333333336"/>
          <c:w val="0.8730857392825897"/>
          <c:h val="0.77736111111111106"/>
        </c:manualLayout>
      </c:layout>
      <c:scatterChart>
        <c:scatterStyle val="lineMarker"/>
        <c:varyColors val="0"/>
        <c:ser>
          <c:idx val="0"/>
          <c:order val="0"/>
          <c:tx>
            <c:strRef>
              <c:f>'Epidemiology calculations AAC'!$D$2</c:f>
              <c:strCache>
                <c:ptCount val="1"/>
                <c:pt idx="0">
                  <c:v>ln(CFR)</c:v>
                </c:pt>
              </c:strCache>
            </c:strRef>
          </c:tx>
          <c:spPr>
            <a:ln w="28575">
              <a:noFill/>
            </a:ln>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trendline>
            <c:spPr>
              <a:ln w="25400">
                <a:solidFill>
                  <a:schemeClr val="tx2">
                    <a:lumMod val="60000"/>
                    <a:lumOff val="40000"/>
                  </a:schemeClr>
                </a:solidFill>
              </a:ln>
            </c:spPr>
            <c:trendlineType val="linear"/>
            <c:dispRSqr val="0"/>
            <c:dispEq val="0"/>
          </c:trendline>
          <c:trendline>
            <c:trendlineType val="linear"/>
            <c:dispRSqr val="0"/>
            <c:dispEq val="1"/>
            <c:trendlineLbl>
              <c:layout>
                <c:manualLayout>
                  <c:x val="-0.22371981627296594"/>
                  <c:y val="0.13736158672686694"/>
                </c:manualLayout>
              </c:layout>
              <c:tx>
                <c:rich>
                  <a:bodyPr/>
                  <a:lstStyle/>
                  <a:p>
                    <a:pPr>
                      <a:defRPr/>
                    </a:pPr>
                    <a:r>
                      <a:rPr lang="en-US" sz="1100" b="1" baseline="0"/>
                      <a:t>y = 4.94x - 19.10</a:t>
                    </a:r>
                    <a:endParaRPr lang="en-US" sz="1100" b="1"/>
                  </a:p>
                </c:rich>
              </c:tx>
              <c:numFmt formatCode="General" sourceLinked="0"/>
            </c:trendlineLbl>
          </c:trendline>
          <c:xVal>
            <c:numRef>
              <c:f>'Epidemiology calculations AAC'!$C$6:$C$12</c:f>
              <c:numCache>
                <c:formatCode>General</c:formatCode>
                <c:ptCount val="7"/>
                <c:pt idx="0">
                  <c:v>3.5553480614894135</c:v>
                </c:pt>
                <c:pt idx="1">
                  <c:v>3.8066624897703196</c:v>
                </c:pt>
                <c:pt idx="2">
                  <c:v>4.0073331852324712</c:v>
                </c:pt>
                <c:pt idx="3">
                  <c:v>4.1743872698956368</c:v>
                </c:pt>
                <c:pt idx="4">
                  <c:v>4.3174881135363101</c:v>
                </c:pt>
                <c:pt idx="5">
                  <c:v>4.4426512564903167</c:v>
                </c:pt>
                <c:pt idx="6">
                  <c:v>4.5538768916005408</c:v>
                </c:pt>
              </c:numCache>
            </c:numRef>
          </c:xVal>
          <c:yVal>
            <c:numRef>
              <c:f>'Epidemiology calculations AAC'!$D$6:$D$12</c:f>
              <c:numCache>
                <c:formatCode>General</c:formatCode>
                <c:ptCount val="7"/>
                <c:pt idx="0">
                  <c:v>-1.2791244493506817</c:v>
                </c:pt>
                <c:pt idx="1">
                  <c:v>-0.55847796957913098</c:v>
                </c:pt>
                <c:pt idx="2">
                  <c:v>0.35611396033279052</c:v>
                </c:pt>
                <c:pt idx="3">
                  <c:v>1.5959598297044502</c:v>
                </c:pt>
                <c:pt idx="4">
                  <c:v>2.6586742228657374</c:v>
                </c:pt>
                <c:pt idx="5">
                  <c:v>3.0451285665043151</c:v>
                </c:pt>
                <c:pt idx="6">
                  <c:v>3.1039822555808954</c:v>
                </c:pt>
              </c:numCache>
            </c:numRef>
          </c:yVal>
          <c:smooth val="0"/>
          <c:extLst>
            <c:ext xmlns:c16="http://schemas.microsoft.com/office/drawing/2014/chart" uri="{C3380CC4-5D6E-409C-BE32-E72D297353CC}">
              <c16:uniqueId val="{00000007-8E4B-428C-B039-729A55680261}"/>
            </c:ext>
          </c:extLst>
        </c:ser>
        <c:dLbls>
          <c:showLegendKey val="0"/>
          <c:showVal val="0"/>
          <c:showCatName val="0"/>
          <c:showSerName val="0"/>
          <c:showPercent val="0"/>
          <c:showBubbleSize val="0"/>
        </c:dLbls>
        <c:axId val="1179339568"/>
        <c:axId val="1"/>
      </c:scatterChart>
      <c:valAx>
        <c:axId val="1179339568"/>
        <c:scaling>
          <c:orientation val="minMax"/>
          <c:max val="4.5999999999999996"/>
          <c:min val="3.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339568"/>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761592300962384E-2"/>
          <c:y val="0.16708333333333336"/>
          <c:w val="0.8730857392825897"/>
          <c:h val="0.77736111111111106"/>
        </c:manualLayout>
      </c:layout>
      <c:scatterChart>
        <c:scatterStyle val="lineMarker"/>
        <c:varyColors val="0"/>
        <c:ser>
          <c:idx val="0"/>
          <c:order val="0"/>
          <c:tx>
            <c:strRef>
              <c:f>'[figures japan data.xls]Epidemiology calculations AAC'!$D$1</c:f>
              <c:strCache>
                <c:ptCount val="1"/>
                <c:pt idx="0">
                  <c:v>ln(CFR)</c:v>
                </c:pt>
              </c:strCache>
            </c:strRef>
          </c:tx>
          <c:spPr>
            <a:ln w="28575">
              <a:noFill/>
            </a:ln>
          </c:spPr>
          <c:marker>
            <c:symbol val="circle"/>
            <c:size val="5"/>
            <c:spPr>
              <a:solidFill>
                <a:schemeClr val="accent1"/>
              </a:solidFill>
              <a:ln w="9525">
                <a:solidFill>
                  <a:schemeClr val="accent1"/>
                </a:solidFill>
              </a:ln>
              <a:effectLst/>
            </c:spPr>
          </c:marker>
          <c:trendline>
            <c:spPr>
              <a:ln w="25400"/>
            </c:spPr>
            <c:trendlineType val="linear"/>
            <c:dispRSqr val="0"/>
            <c:dispEq val="1"/>
            <c:trendlineLbl>
              <c:layout>
                <c:manualLayout>
                  <c:x val="-0.17057305336832895"/>
                  <c:y val="4.0185926903645718E-2"/>
                </c:manualLayout>
              </c:layout>
              <c:tx>
                <c:rich>
                  <a:bodyPr/>
                  <a:lstStyle/>
                  <a:p>
                    <a:pPr>
                      <a:defRPr/>
                    </a:pPr>
                    <a:r>
                      <a:rPr lang="en-US" sz="1100" b="1" baseline="0"/>
                      <a:t>y = 5.77x - 27.74</a:t>
                    </a:r>
                    <a:endParaRPr lang="en-US" sz="1100" b="1"/>
                  </a:p>
                </c:rich>
              </c:tx>
              <c:numFmt formatCode="General" sourceLinked="0"/>
            </c:trendlineLbl>
          </c:trendline>
          <c:xVal>
            <c:numRef>
              <c:f>'[figures japan data.xls]Epidemiology calculations AAC'!$C$5:$C$10</c:f>
              <c:numCache>
                <c:formatCode>General</c:formatCode>
                <c:ptCount val="6"/>
                <c:pt idx="0">
                  <c:v>3.5553480614894135</c:v>
                </c:pt>
                <c:pt idx="1">
                  <c:v>3.8066624897703196</c:v>
                </c:pt>
                <c:pt idx="2">
                  <c:v>4.0073331852324712</c:v>
                </c:pt>
                <c:pt idx="3">
                  <c:v>4.1743872698956368</c:v>
                </c:pt>
                <c:pt idx="4">
                  <c:v>4.3174881135363101</c:v>
                </c:pt>
                <c:pt idx="5">
                  <c:v>4.4426512564903167</c:v>
                </c:pt>
              </c:numCache>
            </c:numRef>
          </c:xVal>
          <c:yVal>
            <c:numRef>
              <c:f>'[figures japan data.xls]Epidemiology calculations AAC'!$D$5:$D$10</c:f>
              <c:numCache>
                <c:formatCode>General</c:formatCode>
                <c:ptCount val="6"/>
                <c:pt idx="0">
                  <c:v>-7.0286445962575907</c:v>
                </c:pt>
                <c:pt idx="1">
                  <c:v>-5.7166164326362869</c:v>
                </c:pt>
                <c:pt idx="2">
                  <c:v>-5.0696900568775707</c:v>
                </c:pt>
                <c:pt idx="3">
                  <c:v>-3.7216692769369271</c:v>
                </c:pt>
                <c:pt idx="4">
                  <c:v>-2.7013612129514133</c:v>
                </c:pt>
                <c:pt idx="5">
                  <c:v>-1.9327779839718551</c:v>
                </c:pt>
              </c:numCache>
            </c:numRef>
          </c:yVal>
          <c:smooth val="0"/>
          <c:extLst>
            <c:ext xmlns:c16="http://schemas.microsoft.com/office/drawing/2014/chart" uri="{C3380CC4-5D6E-409C-BE32-E72D297353CC}">
              <c16:uniqueId val="{00000001-BA85-4298-8D1F-918340A3FB30}"/>
            </c:ext>
          </c:extLst>
        </c:ser>
        <c:ser>
          <c:idx val="1"/>
          <c:order val="1"/>
          <c:spPr>
            <a:ln w="28575">
              <a:noFill/>
            </a:ln>
          </c:spPr>
          <c:marker>
            <c:symbol val="none"/>
          </c:marker>
          <c:xVal>
            <c:numRef>
              <c:f>'[figures japan data.xls]Epidemiology calculations AAC'!$C$5:$C$10</c:f>
              <c:numCache>
                <c:formatCode>General</c:formatCode>
                <c:ptCount val="6"/>
                <c:pt idx="0">
                  <c:v>3.5553480614894135</c:v>
                </c:pt>
                <c:pt idx="1">
                  <c:v>3.8066624897703196</c:v>
                </c:pt>
                <c:pt idx="2">
                  <c:v>4.0073331852324712</c:v>
                </c:pt>
                <c:pt idx="3">
                  <c:v>4.1743872698956368</c:v>
                </c:pt>
                <c:pt idx="4">
                  <c:v>4.3174881135363101</c:v>
                </c:pt>
                <c:pt idx="5">
                  <c:v>4.4426512564903167</c:v>
                </c:pt>
              </c:numCache>
            </c:numRef>
          </c:xVal>
          <c:yVal>
            <c:numRef>
              <c:f>'C:\Users\emsunpea\Dropbox\h\communicable\covid-19\multistep\data\sources\[japan Covid-19CASES20200521.xlsx]Sheet1'!$E$4:$E$12</c:f>
              <c:numCache>
                <c:formatCode>General</c:formatCode>
                <c:ptCount val="9"/>
                <c:pt idx="0">
                  <c:v>0</c:v>
                </c:pt>
                <c:pt idx="1">
                  <c:v>0</c:v>
                </c:pt>
                <c:pt idx="2">
                  <c:v>0</c:v>
                </c:pt>
                <c:pt idx="3">
                  <c:v>8.8613203367301726E-4</c:v>
                </c:pt>
                <c:pt idx="4">
                  <c:v>3.2908268202385851E-3</c:v>
                </c:pt>
                <c:pt idx="5">
                  <c:v>6.2843676355066776E-3</c:v>
                </c:pt>
                <c:pt idx="6">
                  <c:v>2.4193548387096774E-2</c:v>
                </c:pt>
                <c:pt idx="7">
                  <c:v>6.7114093959731544E-2</c:v>
                </c:pt>
                <c:pt idx="8">
                  <c:v>0.14474553866490417</c:v>
                </c:pt>
              </c:numCache>
            </c:numRef>
          </c:yVal>
          <c:smooth val="0"/>
          <c:extLst>
            <c:ext xmlns:c16="http://schemas.microsoft.com/office/drawing/2014/chart" uri="{C3380CC4-5D6E-409C-BE32-E72D297353CC}">
              <c16:uniqueId val="{00000002-BA85-4298-8D1F-918340A3FB30}"/>
            </c:ext>
          </c:extLst>
        </c:ser>
        <c:dLbls>
          <c:showLegendKey val="0"/>
          <c:showVal val="0"/>
          <c:showCatName val="0"/>
          <c:showSerName val="0"/>
          <c:showPercent val="0"/>
          <c:showBubbleSize val="0"/>
        </c:dLbls>
        <c:axId val="712973071"/>
        <c:axId val="1"/>
      </c:scatterChart>
      <c:valAx>
        <c:axId val="712973071"/>
        <c:scaling>
          <c:orientation val="minMax"/>
          <c:min val="3.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712973071"/>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'Epidemiology calculations AAC'!$D$15</c:f>
              <c:strCache>
                <c:ptCount val="1"/>
                <c:pt idx="0">
                  <c:v>ln(CFR)</c:v>
                </c:pt>
              </c:strCache>
            </c:strRef>
          </c:tx>
          <c:spPr>
            <a:ln w="28575">
              <a:noFill/>
            </a:ln>
          </c:spPr>
          <c:marker>
            <c:symbol val="circle"/>
            <c:size val="5"/>
            <c:spPr>
              <a:solidFill>
                <a:schemeClr val="accent1"/>
              </a:solidFill>
              <a:ln w="9525">
                <a:solidFill>
                  <a:schemeClr val="accent1"/>
                </a:solidFill>
              </a:ln>
              <a:effectLst/>
            </c:spPr>
          </c:marker>
          <c:trendline>
            <c:spPr>
              <a:ln w="25400" cap="rnd">
                <a:solidFill>
                  <a:schemeClr val="accent1"/>
                </a:solidFill>
                <a:prstDash val="solid"/>
              </a:ln>
              <a:effectLst/>
            </c:spPr>
            <c:trendlineType val="linear"/>
            <c:dispRSqr val="0"/>
            <c:dispEq val="1"/>
            <c:trendlineLbl>
              <c:layout>
                <c:manualLayout>
                  <c:x val="-0.18398075240594924"/>
                  <c:y val="0.12921296296296297"/>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1" baseline="0">
                        <a:solidFill>
                          <a:schemeClr val="tx1"/>
                        </a:solidFill>
                      </a:rPr>
                      <a:t>y = 5.49x - 21.72</a:t>
                    </a:r>
                    <a:endParaRPr lang="en-US" sz="1200" b="1">
                      <a:solidFill>
                        <a:schemeClr val="tx1"/>
                      </a:solidFill>
                    </a:endParaRPr>
                  </a:p>
                </c:rich>
              </c:tx>
              <c:numFmt formatCode="General" sourceLinked="0"/>
              <c:spPr>
                <a:noFill/>
                <a:ln w="25400">
                  <a:noFill/>
                </a:ln>
              </c:spPr>
            </c:trendlineLbl>
          </c:trendline>
          <c:xVal>
            <c:numRef>
              <c:f>'Epidemiology calculations AAC'!$C$19:$C$24</c:f>
              <c:numCache>
                <c:formatCode>General</c:formatCode>
                <c:ptCount val="6"/>
                <c:pt idx="0">
                  <c:v>3.5553480614894135</c:v>
                </c:pt>
                <c:pt idx="1">
                  <c:v>3.8066624897703196</c:v>
                </c:pt>
                <c:pt idx="2">
                  <c:v>4.0073331852324712</c:v>
                </c:pt>
                <c:pt idx="3">
                  <c:v>4.1743872698956368</c:v>
                </c:pt>
                <c:pt idx="4">
                  <c:v>4.3174881135363101</c:v>
                </c:pt>
                <c:pt idx="5">
                  <c:v>4.4426512564903167</c:v>
                </c:pt>
              </c:numCache>
            </c:numRef>
          </c:xVal>
          <c:yVal>
            <c:numRef>
              <c:f>'Epidemiology calculations AAC'!$D$19:$D$24</c:f>
              <c:numCache>
                <c:formatCode>General</c:formatCode>
                <c:ptCount val="6"/>
                <c:pt idx="0">
                  <c:v>-1.9241486572738007</c:v>
                </c:pt>
                <c:pt idx="1">
                  <c:v>-1.2207799226423173</c:v>
                </c:pt>
                <c:pt idx="2">
                  <c:v>0.22314355131420976</c:v>
                </c:pt>
                <c:pt idx="3">
                  <c:v>1.3837912309017721</c:v>
                </c:pt>
                <c:pt idx="4">
                  <c:v>2.1529243184396392</c:v>
                </c:pt>
                <c:pt idx="5">
                  <c:v>2.5952547069568657</c:v>
                </c:pt>
              </c:numCache>
            </c:numRef>
          </c:yVal>
          <c:smooth val="0"/>
          <c:extLst>
            <c:ext xmlns:c16="http://schemas.microsoft.com/office/drawing/2014/chart" uri="{C3380CC4-5D6E-409C-BE32-E72D297353CC}">
              <c16:uniqueId val="{00000001-8920-4DA4-A66D-5086AAFEE233}"/>
            </c:ext>
          </c:extLst>
        </c:ser>
        <c:dLbls>
          <c:showLegendKey val="0"/>
          <c:showVal val="0"/>
          <c:showCatName val="0"/>
          <c:showSerName val="0"/>
          <c:showPercent val="0"/>
          <c:showBubbleSize val="0"/>
        </c:dLbls>
        <c:axId val="645358975"/>
        <c:axId val="1"/>
      </c:scatterChart>
      <c:valAx>
        <c:axId val="645358975"/>
        <c:scaling>
          <c:orientation val="minMax"/>
          <c:min val="3.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358975"/>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'[figures china data.xls]Epidemiology calculations AAC'!$D$37</c:f>
              <c:strCache>
                <c:ptCount val="1"/>
                <c:pt idx="0">
                  <c:v>ln(IFR)</c:v>
                </c:pt>
              </c:strCache>
            </c:strRef>
          </c:tx>
          <c:spPr>
            <a:ln w="28575">
              <a:noFill/>
            </a:ln>
          </c:spPr>
          <c:marker>
            <c:symbol val="circle"/>
            <c:size val="5"/>
            <c:spPr>
              <a:solidFill>
                <a:schemeClr val="accent1"/>
              </a:solidFill>
              <a:ln w="9525">
                <a:solidFill>
                  <a:schemeClr val="accent1"/>
                </a:solidFill>
              </a:ln>
              <a:effectLst/>
            </c:spPr>
          </c:marker>
          <c:trendline>
            <c:trendlineType val="linear"/>
            <c:dispRSqr val="0"/>
            <c:dispEq val="0"/>
          </c:trendline>
          <c:trendline>
            <c:trendlineType val="linear"/>
            <c:dispRSqr val="0"/>
            <c:dispEq val="0"/>
          </c:trendline>
          <c:trendline>
            <c:spPr>
              <a:ln w="25400">
                <a:solidFill>
                  <a:schemeClr val="tx2">
                    <a:lumMod val="60000"/>
                    <a:lumOff val="40000"/>
                  </a:schemeClr>
                </a:solidFill>
              </a:ln>
            </c:spPr>
            <c:trendlineType val="linear"/>
            <c:dispRSqr val="0"/>
            <c:dispEq val="1"/>
            <c:trendlineLbl>
              <c:layout>
                <c:manualLayout>
                  <c:x val="-0.14455030621172354"/>
                  <c:y val="0.11091790609507145"/>
                </c:manualLayout>
              </c:layout>
              <c:tx>
                <c:rich>
                  <a:bodyPr/>
                  <a:lstStyle/>
                  <a:p>
                    <a:pPr>
                      <a:defRPr/>
                    </a:pPr>
                    <a:r>
                      <a:rPr lang="en-US" sz="1200" b="1" baseline="0"/>
                      <a:t>y = 5.43x - 22.08</a:t>
                    </a:r>
                    <a:endParaRPr lang="en-US" sz="1200" b="1"/>
                  </a:p>
                </c:rich>
              </c:tx>
              <c:numFmt formatCode="General" sourceLinked="0"/>
            </c:trendlineLbl>
          </c:trendline>
          <c:xVal>
            <c:numRef>
              <c:f>'[figures china data.xls]Epidemiology calculations AAC'!$C$41:$C$46</c:f>
              <c:numCache>
                <c:formatCode>General</c:formatCode>
                <c:ptCount val="6"/>
                <c:pt idx="0">
                  <c:v>3.5553480614894135</c:v>
                </c:pt>
                <c:pt idx="1">
                  <c:v>3.8066624897703196</c:v>
                </c:pt>
                <c:pt idx="2">
                  <c:v>4.0073331852324712</c:v>
                </c:pt>
                <c:pt idx="3">
                  <c:v>4.1743872698956368</c:v>
                </c:pt>
                <c:pt idx="4">
                  <c:v>4.3174881135363101</c:v>
                </c:pt>
                <c:pt idx="5">
                  <c:v>4.4426512564903167</c:v>
                </c:pt>
              </c:numCache>
            </c:numRef>
          </c:xVal>
          <c:yVal>
            <c:numRef>
              <c:f>'[figures china data.xls]Epidemiology calculations AAC'!$D$41:$D$46</c:f>
              <c:numCache>
                <c:formatCode>General</c:formatCode>
                <c:ptCount val="6"/>
                <c:pt idx="0">
                  <c:v>-2.4721878773802257</c:v>
                </c:pt>
                <c:pt idx="1">
                  <c:v>-1.8263509139976741</c:v>
                </c:pt>
                <c:pt idx="2">
                  <c:v>-0.51919387343650736</c:v>
                </c:pt>
                <c:pt idx="3">
                  <c:v>0.65752000291679413</c:v>
                </c:pt>
                <c:pt idx="4">
                  <c:v>1.4539530095937054</c:v>
                </c:pt>
                <c:pt idx="5">
                  <c:v>2.0541237336955462</c:v>
                </c:pt>
              </c:numCache>
            </c:numRef>
          </c:yVal>
          <c:smooth val="0"/>
          <c:extLst>
            <c:ext xmlns:c16="http://schemas.microsoft.com/office/drawing/2014/chart" uri="{C3380CC4-5D6E-409C-BE32-E72D297353CC}">
              <c16:uniqueId val="{00000003-5B18-49DC-90AC-A017818AC9FE}"/>
            </c:ext>
          </c:extLst>
        </c:ser>
        <c:dLbls>
          <c:showLegendKey val="0"/>
          <c:showVal val="0"/>
          <c:showCatName val="0"/>
          <c:showSerName val="0"/>
          <c:showPercent val="0"/>
          <c:showBubbleSize val="0"/>
        </c:dLbls>
        <c:axId val="642838639"/>
        <c:axId val="1"/>
      </c:scatterChart>
      <c:valAx>
        <c:axId val="642838639"/>
        <c:scaling>
          <c:orientation val="minMax"/>
          <c:min val="3.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642838639"/>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982300157685766E-2"/>
          <c:y val="2.6950538199408097E-2"/>
          <c:w val="0.88439604296038332"/>
          <c:h val="0.89205103042198231"/>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25400" cap="rnd">
                <a:solidFill>
                  <a:schemeClr val="tx1"/>
                </a:solidFill>
                <a:prstDash val="solid"/>
              </a:ln>
              <a:effectLst/>
            </c:spPr>
            <c:trendlineType val="linear"/>
            <c:dispRSqr val="0"/>
            <c:dispEq val="1"/>
            <c:trendlineLbl>
              <c:layout>
                <c:manualLayout>
                  <c:x val="-0.19346579965175587"/>
                  <c:y val="4.2280914591269814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100" b="1" baseline="0"/>
                      <a:t>y = 1.37x - 8.82</a:t>
                    </a:r>
                    <a:endParaRPr lang="en-US" sz="1100" b="1"/>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Flu!$B$16:$B$20</c:f>
              <c:numCache>
                <c:formatCode>General</c:formatCode>
                <c:ptCount val="5"/>
                <c:pt idx="0">
                  <c:v>0.69314718055994529</c:v>
                </c:pt>
                <c:pt idx="1">
                  <c:v>2.3025850929940459</c:v>
                </c:pt>
                <c:pt idx="2">
                  <c:v>3.4011973816621555</c:v>
                </c:pt>
                <c:pt idx="3">
                  <c:v>4.0073331852324712</c:v>
                </c:pt>
                <c:pt idx="4">
                  <c:v>4.3820266346738812</c:v>
                </c:pt>
              </c:numCache>
            </c:numRef>
          </c:xVal>
          <c:yVal>
            <c:numRef>
              <c:f>Flu!$C$16:$C$20</c:f>
              <c:numCache>
                <c:formatCode>General</c:formatCode>
                <c:ptCount val="5"/>
                <c:pt idx="0">
                  <c:v>-7.0589301067792549</c:v>
                </c:pt>
                <c:pt idx="1">
                  <c:v>-6.7581325837087984</c:v>
                </c:pt>
                <c:pt idx="2">
                  <c:v>-5.0057207779086248</c:v>
                </c:pt>
                <c:pt idx="3">
                  <c:v>-3.1705973813448125</c:v>
                </c:pt>
                <c:pt idx="4">
                  <c:v>-1.9066409204741164</c:v>
                </c:pt>
              </c:numCache>
            </c:numRef>
          </c:yVal>
          <c:smooth val="0"/>
          <c:extLst>
            <c:ext xmlns:c16="http://schemas.microsoft.com/office/drawing/2014/chart" uri="{C3380CC4-5D6E-409C-BE32-E72D297353CC}">
              <c16:uniqueId val="{00000001-720A-45C3-A4D7-832878017500}"/>
            </c:ext>
          </c:extLst>
        </c:ser>
        <c:dLbls>
          <c:showLegendKey val="0"/>
          <c:showVal val="0"/>
          <c:showCatName val="0"/>
          <c:showSerName val="0"/>
          <c:showPercent val="0"/>
          <c:showBubbleSize val="0"/>
        </c:dLbls>
        <c:axId val="1938704928"/>
        <c:axId val="1872264880"/>
      </c:scatterChart>
      <c:valAx>
        <c:axId val="1938704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2264880"/>
        <c:crosses val="autoZero"/>
        <c:crossBetween val="midCat"/>
      </c:valAx>
      <c:valAx>
        <c:axId val="1872264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870492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826334208223973E-2"/>
          <c:y val="5.5555555555555552E-2"/>
          <c:w val="0.9223958880139983"/>
          <c:h val="0.8416746864975212"/>
        </c:manualLayout>
      </c:layout>
      <c:scatterChart>
        <c:scatterStyle val="lineMarker"/>
        <c:varyColors val="0"/>
        <c:ser>
          <c:idx val="0"/>
          <c:order val="0"/>
          <c:tx>
            <c:strRef>
              <c:f>'[mytton data adapted.xlsx]Flu'!$C$21</c:f>
              <c:strCache>
                <c:ptCount val="1"/>
                <c:pt idx="0">
                  <c:v>combined</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25400" cap="rnd">
                <a:solidFill>
                  <a:schemeClr val="tx1"/>
                </a:solidFill>
                <a:prstDash val="solid"/>
              </a:ln>
              <a:effectLst/>
            </c:spPr>
            <c:trendlineType val="linear"/>
            <c:dispRSqr val="0"/>
            <c:dispEq val="1"/>
            <c:trendlineLbl>
              <c:layout>
                <c:manualLayout>
                  <c:x val="-0.20084470691163608"/>
                  <c:y val="-1.5438903470399534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100" b="1" baseline="0"/>
                      <a:t>y = 0.25x + 4.24</a:t>
                    </a:r>
                    <a:endParaRPr lang="en-US" sz="1100" b="1"/>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'[mytton data adapted.xlsx]Flu'!$B$22:$B$28</c:f>
              <c:numCache>
                <c:formatCode>General</c:formatCode>
                <c:ptCount val="7"/>
                <c:pt idx="0">
                  <c:v>-0.69314718055994529</c:v>
                </c:pt>
                <c:pt idx="1">
                  <c:v>1.0986122886681098</c:v>
                </c:pt>
                <c:pt idx="2">
                  <c:v>2.3025850929940459</c:v>
                </c:pt>
                <c:pt idx="3">
                  <c:v>2.9957322735539909</c:v>
                </c:pt>
                <c:pt idx="4">
                  <c:v>3.5553480614894135</c:v>
                </c:pt>
                <c:pt idx="5">
                  <c:v>4.0073331852324712</c:v>
                </c:pt>
                <c:pt idx="6">
                  <c:v>4.3820266346738812</c:v>
                </c:pt>
              </c:numCache>
            </c:numRef>
          </c:xVal>
          <c:yVal>
            <c:numRef>
              <c:f>'[mytton data adapted.xlsx]Flu'!$C$22:$C$28</c:f>
              <c:numCache>
                <c:formatCode>General</c:formatCode>
                <c:ptCount val="7"/>
                <c:pt idx="0">
                  <c:v>5.521460917862246</c:v>
                </c:pt>
                <c:pt idx="1">
                  <c:v>4.0430512678345503</c:v>
                </c:pt>
                <c:pt idx="2">
                  <c:v>3.2188758248682006</c:v>
                </c:pt>
                <c:pt idx="3">
                  <c:v>3.4657359027997265</c:v>
                </c:pt>
                <c:pt idx="4">
                  <c:v>4.4067192472642533</c:v>
                </c:pt>
                <c:pt idx="5">
                  <c:v>5.6347896031692493</c:v>
                </c:pt>
                <c:pt idx="6">
                  <c:v>7.7406644019172415</c:v>
                </c:pt>
              </c:numCache>
            </c:numRef>
          </c:yVal>
          <c:smooth val="0"/>
          <c:extLst>
            <c:ext xmlns:c16="http://schemas.microsoft.com/office/drawing/2014/chart" uri="{C3380CC4-5D6E-409C-BE32-E72D297353CC}">
              <c16:uniqueId val="{00000001-3FA0-4770-BFDD-63D7BD6EB358}"/>
            </c:ext>
          </c:extLst>
        </c:ser>
        <c:dLbls>
          <c:showLegendKey val="0"/>
          <c:showVal val="0"/>
          <c:showCatName val="0"/>
          <c:showSerName val="0"/>
          <c:showPercent val="0"/>
          <c:showBubbleSize val="0"/>
        </c:dLbls>
        <c:axId val="941792336"/>
        <c:axId val="1084236016"/>
      </c:scatterChart>
      <c:valAx>
        <c:axId val="941792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4236016"/>
        <c:crosses val="autoZero"/>
        <c:crossBetween val="midCat"/>
      </c:valAx>
      <c:valAx>
        <c:axId val="1084236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17923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016FD-ED15-481E-9C85-11F7B2532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1851</Words>
  <Characters>10557</Characters>
  <Application>Microsoft Office Word</Application>
  <DocSecurity>0</DocSecurity>
  <Lines>87</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12384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2020-01-28T08:10:00Z</cp:lastPrinted>
  <dcterms:created xsi:type="dcterms:W3CDTF">2020-11-10T14:44:00Z</dcterms:created>
  <dcterms:modified xsi:type="dcterms:W3CDTF">2020-11-10T14:44:00Z</dcterms:modified>
</cp:coreProperties>
</file>