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FC9D5" w14:textId="7D4B34BF" w:rsidR="006303A0" w:rsidRPr="00566230" w:rsidRDefault="00AB174A" w:rsidP="006303A0">
      <w:pPr>
        <w:spacing w:line="480" w:lineRule="auto"/>
        <w:jc w:val="center"/>
        <w:rPr>
          <w:rFonts w:ascii="Times New Roman" w:hAnsi="Times New Roman" w:cs="Times New Roman"/>
          <w:sz w:val="28"/>
          <w:szCs w:val="24"/>
        </w:rPr>
      </w:pPr>
      <w:r w:rsidRPr="00566230">
        <w:rPr>
          <w:rFonts w:ascii="Times New Roman" w:hAnsi="Times New Roman" w:cs="Times New Roman"/>
          <w:sz w:val="28"/>
          <w:szCs w:val="24"/>
        </w:rPr>
        <w:t xml:space="preserve">Prevalence of spontaneous Type I ECG pattern, syncope and other risk markers in sudden cardiac </w:t>
      </w:r>
      <w:r w:rsidR="006D6BA1" w:rsidRPr="00566230">
        <w:rPr>
          <w:rFonts w:ascii="Times New Roman" w:hAnsi="Times New Roman" w:cs="Times New Roman"/>
          <w:sz w:val="28"/>
          <w:szCs w:val="24"/>
        </w:rPr>
        <w:t>arrest</w:t>
      </w:r>
      <w:r w:rsidRPr="00566230">
        <w:rPr>
          <w:rFonts w:ascii="Times New Roman" w:hAnsi="Times New Roman" w:cs="Times New Roman"/>
          <w:sz w:val="28"/>
          <w:szCs w:val="24"/>
        </w:rPr>
        <w:t xml:space="preserve"> survivors with </w:t>
      </w:r>
      <w:proofErr w:type="spellStart"/>
      <w:r w:rsidRPr="00566230">
        <w:rPr>
          <w:rFonts w:ascii="Times New Roman" w:hAnsi="Times New Roman" w:cs="Times New Roman"/>
          <w:sz w:val="28"/>
          <w:szCs w:val="24"/>
        </w:rPr>
        <w:t>Brugada</w:t>
      </w:r>
      <w:proofErr w:type="spellEnd"/>
      <w:r w:rsidRPr="00566230">
        <w:rPr>
          <w:rFonts w:ascii="Times New Roman" w:hAnsi="Times New Roman" w:cs="Times New Roman"/>
          <w:sz w:val="28"/>
          <w:szCs w:val="24"/>
        </w:rPr>
        <w:t xml:space="preserve"> Syndrome</w:t>
      </w:r>
      <w:r w:rsidR="006303A0" w:rsidRPr="00566230">
        <w:rPr>
          <w:rFonts w:ascii="Times New Roman" w:hAnsi="Times New Roman" w:cs="Times New Roman"/>
          <w:sz w:val="28"/>
          <w:szCs w:val="24"/>
        </w:rPr>
        <w:t xml:space="preserve"> </w:t>
      </w:r>
    </w:p>
    <w:p w14:paraId="40AE9E63" w14:textId="77777777" w:rsidR="006303A0" w:rsidRPr="00566230" w:rsidRDefault="006303A0" w:rsidP="006303A0">
      <w:pPr>
        <w:spacing w:after="0" w:line="480" w:lineRule="auto"/>
        <w:jc w:val="center"/>
        <w:rPr>
          <w:rFonts w:ascii="Times New Roman" w:hAnsi="Times New Roman" w:cs="Times New Roman"/>
          <w:szCs w:val="24"/>
        </w:rPr>
      </w:pPr>
    </w:p>
    <w:p w14:paraId="05FF03AD" w14:textId="36280846" w:rsidR="00AB174A" w:rsidRPr="00566230" w:rsidRDefault="006303A0" w:rsidP="006303A0">
      <w:pPr>
        <w:spacing w:after="0" w:line="480" w:lineRule="auto"/>
        <w:jc w:val="center"/>
        <w:rPr>
          <w:rFonts w:ascii="Times New Roman" w:hAnsi="Times New Roman" w:cs="Times New Roman"/>
          <w:szCs w:val="24"/>
        </w:rPr>
      </w:pPr>
      <w:r w:rsidRPr="00566230">
        <w:rPr>
          <w:rFonts w:ascii="Times New Roman" w:hAnsi="Times New Roman" w:cs="Times New Roman"/>
          <w:szCs w:val="24"/>
        </w:rPr>
        <w:t>Kevin MW Leong MRCP</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Fu </w:t>
      </w:r>
      <w:proofErr w:type="spellStart"/>
      <w:r w:rsidRPr="00566230">
        <w:rPr>
          <w:rFonts w:ascii="Times New Roman" w:hAnsi="Times New Roman" w:cs="Times New Roman"/>
          <w:szCs w:val="24"/>
        </w:rPr>
        <w:t>Siong</w:t>
      </w:r>
      <w:proofErr w:type="spellEnd"/>
      <w:r w:rsidRPr="00566230">
        <w:rPr>
          <w:rFonts w:ascii="Times New Roman" w:hAnsi="Times New Roman" w:cs="Times New Roman"/>
          <w:szCs w:val="24"/>
        </w:rPr>
        <w:t xml:space="preserve"> Ng MRCP PhD</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w:t>
      </w:r>
      <w:r w:rsidR="00AB174A" w:rsidRPr="00566230">
        <w:rPr>
          <w:rFonts w:ascii="Times New Roman" w:hAnsi="Times New Roman" w:cs="Times New Roman"/>
          <w:szCs w:val="24"/>
        </w:rPr>
        <w:t>Sian Jones RN</w:t>
      </w:r>
      <w:r w:rsidR="00AB174A" w:rsidRPr="00566230">
        <w:rPr>
          <w:rFonts w:ascii="Times New Roman" w:hAnsi="Times New Roman" w:cs="Times New Roman"/>
          <w:szCs w:val="24"/>
          <w:vertAlign w:val="superscript"/>
        </w:rPr>
        <w:t>2</w:t>
      </w:r>
      <w:r w:rsidR="00AB174A" w:rsidRPr="00566230">
        <w:rPr>
          <w:rFonts w:ascii="Times New Roman" w:hAnsi="Times New Roman" w:cs="Times New Roman"/>
          <w:szCs w:val="24"/>
        </w:rPr>
        <w:t xml:space="preserve">; </w:t>
      </w:r>
      <w:r w:rsidR="00FA1561" w:rsidRPr="00566230">
        <w:rPr>
          <w:rFonts w:ascii="Times New Roman" w:hAnsi="Times New Roman" w:cs="Times New Roman"/>
          <w:szCs w:val="24"/>
        </w:rPr>
        <w:t>Ji-Jian Chow MRCP</w:t>
      </w:r>
      <w:r w:rsidR="00FA1561" w:rsidRPr="00566230">
        <w:rPr>
          <w:rFonts w:ascii="Times New Roman" w:hAnsi="Times New Roman" w:cs="Times New Roman"/>
          <w:szCs w:val="24"/>
          <w:vertAlign w:val="superscript"/>
        </w:rPr>
        <w:t>1,2</w:t>
      </w:r>
      <w:r w:rsidR="00FA1561" w:rsidRPr="00566230">
        <w:rPr>
          <w:rFonts w:ascii="Times New Roman" w:hAnsi="Times New Roman" w:cs="Times New Roman"/>
          <w:szCs w:val="24"/>
        </w:rPr>
        <w:t xml:space="preserve">, </w:t>
      </w:r>
      <w:r w:rsidRPr="00566230">
        <w:rPr>
          <w:rFonts w:ascii="Times New Roman" w:hAnsi="Times New Roman" w:cs="Times New Roman"/>
          <w:szCs w:val="24"/>
        </w:rPr>
        <w:t>Norman Qureshi MRCP PhD</w:t>
      </w:r>
      <w:r w:rsidRPr="00566230">
        <w:rPr>
          <w:rFonts w:ascii="Times New Roman" w:hAnsi="Times New Roman" w:cs="Times New Roman"/>
          <w:szCs w:val="24"/>
          <w:vertAlign w:val="superscript"/>
        </w:rPr>
        <w:t>2</w:t>
      </w:r>
      <w:r w:rsidRPr="00566230">
        <w:rPr>
          <w:rFonts w:ascii="Times New Roman" w:hAnsi="Times New Roman" w:cs="Times New Roman"/>
          <w:szCs w:val="24"/>
        </w:rPr>
        <w:t>; Michael Koa-Wing MRCP PhD</w:t>
      </w:r>
      <w:r w:rsidRPr="00566230">
        <w:rPr>
          <w:rFonts w:ascii="Times New Roman" w:hAnsi="Times New Roman" w:cs="Times New Roman"/>
          <w:szCs w:val="24"/>
          <w:vertAlign w:val="superscript"/>
        </w:rPr>
        <w:t>2</w:t>
      </w:r>
      <w:r w:rsidRPr="00566230">
        <w:rPr>
          <w:rFonts w:ascii="Times New Roman" w:hAnsi="Times New Roman" w:cs="Times New Roman"/>
          <w:szCs w:val="24"/>
        </w:rPr>
        <w:t>; Nicholas WF Linton MRCP PhD</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Zachary I </w:t>
      </w:r>
      <w:proofErr w:type="spellStart"/>
      <w:r w:rsidRPr="00566230">
        <w:rPr>
          <w:rFonts w:ascii="Times New Roman" w:hAnsi="Times New Roman" w:cs="Times New Roman"/>
          <w:szCs w:val="24"/>
        </w:rPr>
        <w:t>Whinnett</w:t>
      </w:r>
      <w:proofErr w:type="spellEnd"/>
      <w:r w:rsidRPr="00566230">
        <w:rPr>
          <w:rFonts w:ascii="Times New Roman" w:hAnsi="Times New Roman" w:cs="Times New Roman"/>
          <w:szCs w:val="24"/>
        </w:rPr>
        <w:t xml:space="preserve"> MRCP PhD</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David C </w:t>
      </w:r>
      <w:proofErr w:type="spellStart"/>
      <w:r w:rsidRPr="00566230">
        <w:rPr>
          <w:rFonts w:ascii="Times New Roman" w:hAnsi="Times New Roman" w:cs="Times New Roman"/>
          <w:szCs w:val="24"/>
        </w:rPr>
        <w:t>Lefroy</w:t>
      </w:r>
      <w:proofErr w:type="spellEnd"/>
      <w:r w:rsidRPr="00566230">
        <w:rPr>
          <w:rFonts w:ascii="Times New Roman" w:hAnsi="Times New Roman" w:cs="Times New Roman"/>
          <w:szCs w:val="24"/>
        </w:rPr>
        <w:t xml:space="preserve"> MRCP MD</w:t>
      </w:r>
      <w:r w:rsidRPr="00566230">
        <w:rPr>
          <w:rFonts w:ascii="Times New Roman" w:hAnsi="Times New Roman" w:cs="Times New Roman"/>
          <w:szCs w:val="24"/>
          <w:vertAlign w:val="superscript"/>
        </w:rPr>
        <w:t>2</w:t>
      </w:r>
      <w:r w:rsidRPr="00566230">
        <w:rPr>
          <w:rFonts w:ascii="Times New Roman" w:hAnsi="Times New Roman" w:cs="Times New Roman"/>
          <w:szCs w:val="24"/>
        </w:rPr>
        <w:t>; D Wyn Davies MRCP MD</w:t>
      </w:r>
      <w:r w:rsidRPr="00566230">
        <w:rPr>
          <w:rFonts w:ascii="Times New Roman" w:hAnsi="Times New Roman" w:cs="Times New Roman"/>
          <w:szCs w:val="24"/>
          <w:vertAlign w:val="superscript"/>
        </w:rPr>
        <w:t>2</w:t>
      </w:r>
      <w:r w:rsidRPr="00566230">
        <w:rPr>
          <w:rFonts w:ascii="Times New Roman" w:hAnsi="Times New Roman" w:cs="Times New Roman"/>
          <w:szCs w:val="24"/>
        </w:rPr>
        <w:t xml:space="preserve">; </w:t>
      </w:r>
      <w:proofErr w:type="spellStart"/>
      <w:r w:rsidRPr="00566230">
        <w:rPr>
          <w:rFonts w:ascii="Times New Roman" w:hAnsi="Times New Roman" w:cs="Times New Roman"/>
          <w:szCs w:val="24"/>
        </w:rPr>
        <w:t>Phang</w:t>
      </w:r>
      <w:proofErr w:type="spellEnd"/>
      <w:r w:rsidRPr="00566230">
        <w:rPr>
          <w:rFonts w:ascii="Times New Roman" w:hAnsi="Times New Roman" w:cs="Times New Roman"/>
          <w:szCs w:val="24"/>
        </w:rPr>
        <w:t xml:space="preserve"> Boon Lim MRCP PhD</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Nicholas S Peters MRCP MD </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w:t>
      </w:r>
      <w:proofErr w:type="spellStart"/>
      <w:r w:rsidRPr="00566230">
        <w:rPr>
          <w:rFonts w:ascii="Times New Roman" w:hAnsi="Times New Roman" w:cs="Times New Roman"/>
          <w:szCs w:val="24"/>
        </w:rPr>
        <w:t>Prapa</w:t>
      </w:r>
      <w:proofErr w:type="spellEnd"/>
      <w:r w:rsidRPr="00566230">
        <w:rPr>
          <w:rFonts w:ascii="Times New Roman" w:hAnsi="Times New Roman" w:cs="Times New Roman"/>
          <w:szCs w:val="24"/>
        </w:rPr>
        <w:t xml:space="preserve"> Kanagaratnam MRCP PhD </w:t>
      </w:r>
      <w:r w:rsidRPr="00566230">
        <w:rPr>
          <w:rFonts w:ascii="Times New Roman" w:hAnsi="Times New Roman" w:cs="Times New Roman"/>
          <w:szCs w:val="24"/>
          <w:vertAlign w:val="superscript"/>
        </w:rPr>
        <w:t>1,2</w:t>
      </w:r>
      <w:r w:rsidRPr="00566230">
        <w:rPr>
          <w:rFonts w:ascii="Times New Roman" w:hAnsi="Times New Roman" w:cs="Times New Roman"/>
          <w:szCs w:val="24"/>
        </w:rPr>
        <w:t xml:space="preserve">; </w:t>
      </w:r>
    </w:p>
    <w:p w14:paraId="233CB0CF" w14:textId="77777777" w:rsidR="006303A0" w:rsidRPr="00566230" w:rsidRDefault="006303A0" w:rsidP="006303A0">
      <w:pPr>
        <w:spacing w:after="0" w:line="480" w:lineRule="auto"/>
        <w:jc w:val="center"/>
        <w:rPr>
          <w:rFonts w:ascii="Times New Roman" w:hAnsi="Times New Roman" w:cs="Times New Roman"/>
          <w:szCs w:val="24"/>
        </w:rPr>
      </w:pPr>
      <w:r w:rsidRPr="00566230">
        <w:rPr>
          <w:rFonts w:ascii="Times New Roman" w:hAnsi="Times New Roman" w:cs="Times New Roman"/>
          <w:szCs w:val="24"/>
        </w:rPr>
        <w:t xml:space="preserve">Amanda M </w:t>
      </w:r>
      <w:proofErr w:type="spellStart"/>
      <w:r w:rsidRPr="00566230">
        <w:rPr>
          <w:rFonts w:ascii="Times New Roman" w:hAnsi="Times New Roman" w:cs="Times New Roman"/>
          <w:szCs w:val="24"/>
        </w:rPr>
        <w:t>Varnava</w:t>
      </w:r>
      <w:proofErr w:type="spellEnd"/>
      <w:r w:rsidRPr="00566230">
        <w:rPr>
          <w:rFonts w:ascii="Times New Roman" w:hAnsi="Times New Roman" w:cs="Times New Roman"/>
          <w:szCs w:val="24"/>
        </w:rPr>
        <w:t xml:space="preserve"> MRCP MD </w:t>
      </w:r>
      <w:r w:rsidRPr="00566230">
        <w:rPr>
          <w:rFonts w:ascii="Times New Roman" w:hAnsi="Times New Roman" w:cs="Times New Roman"/>
          <w:szCs w:val="24"/>
          <w:vertAlign w:val="superscript"/>
        </w:rPr>
        <w:t>2</w:t>
      </w:r>
      <w:r w:rsidRPr="00566230">
        <w:rPr>
          <w:rFonts w:ascii="Times New Roman" w:hAnsi="Times New Roman" w:cs="Times New Roman"/>
          <w:szCs w:val="24"/>
        </w:rPr>
        <w:t xml:space="preserve">                 </w:t>
      </w:r>
    </w:p>
    <w:p w14:paraId="6A57A813" w14:textId="77777777" w:rsidR="006303A0" w:rsidRPr="00566230" w:rsidRDefault="006303A0" w:rsidP="006303A0">
      <w:pPr>
        <w:spacing w:after="0" w:line="480" w:lineRule="auto"/>
        <w:rPr>
          <w:rFonts w:ascii="Times New Roman" w:hAnsi="Times New Roman" w:cs="Times New Roman"/>
          <w:sz w:val="24"/>
          <w:szCs w:val="24"/>
        </w:rPr>
      </w:pPr>
    </w:p>
    <w:p w14:paraId="3FD7C78E" w14:textId="77777777" w:rsidR="006303A0" w:rsidRPr="00566230" w:rsidRDefault="006303A0" w:rsidP="006303A0">
      <w:pPr>
        <w:spacing w:after="0" w:line="480" w:lineRule="auto"/>
        <w:rPr>
          <w:rFonts w:ascii="Times New Roman" w:hAnsi="Times New Roman" w:cs="Times New Roman"/>
          <w:b/>
          <w:sz w:val="24"/>
          <w:szCs w:val="24"/>
        </w:rPr>
      </w:pPr>
      <w:r w:rsidRPr="00566230">
        <w:rPr>
          <w:rFonts w:ascii="Times New Roman" w:hAnsi="Times New Roman" w:cs="Times New Roman"/>
          <w:b/>
          <w:sz w:val="24"/>
          <w:szCs w:val="24"/>
          <w:vertAlign w:val="superscript"/>
        </w:rPr>
        <w:t>1</w:t>
      </w:r>
      <w:r w:rsidRPr="00566230">
        <w:rPr>
          <w:rFonts w:ascii="Times New Roman" w:hAnsi="Times New Roman" w:cs="Times New Roman"/>
          <w:b/>
          <w:sz w:val="24"/>
          <w:szCs w:val="24"/>
        </w:rPr>
        <w:t>National Heart &amp; Lung Institute, Imperial College London, UK</w:t>
      </w:r>
    </w:p>
    <w:p w14:paraId="540F6694" w14:textId="77777777" w:rsidR="006303A0" w:rsidRPr="00566230" w:rsidRDefault="006303A0" w:rsidP="006303A0">
      <w:pPr>
        <w:spacing w:after="0" w:line="480" w:lineRule="auto"/>
        <w:rPr>
          <w:rFonts w:ascii="Times New Roman" w:hAnsi="Times New Roman" w:cs="Times New Roman"/>
          <w:b/>
          <w:sz w:val="24"/>
          <w:szCs w:val="24"/>
        </w:rPr>
      </w:pPr>
      <w:r w:rsidRPr="00566230">
        <w:rPr>
          <w:rFonts w:ascii="Times New Roman" w:hAnsi="Times New Roman" w:cs="Times New Roman"/>
          <w:b/>
          <w:sz w:val="24"/>
          <w:szCs w:val="24"/>
          <w:vertAlign w:val="superscript"/>
        </w:rPr>
        <w:t>2</w:t>
      </w:r>
      <w:r w:rsidRPr="00566230">
        <w:rPr>
          <w:rFonts w:ascii="Times New Roman" w:hAnsi="Times New Roman" w:cs="Times New Roman"/>
          <w:b/>
          <w:sz w:val="24"/>
          <w:szCs w:val="24"/>
        </w:rPr>
        <w:t>Imperial College Healthcare NHS Trust, London, UK</w:t>
      </w:r>
    </w:p>
    <w:p w14:paraId="6DDF2D5B" w14:textId="77777777" w:rsidR="006303A0" w:rsidRPr="00566230" w:rsidRDefault="006303A0" w:rsidP="006303A0">
      <w:pPr>
        <w:spacing w:after="0" w:line="432" w:lineRule="auto"/>
        <w:rPr>
          <w:rFonts w:ascii="Times New Roman" w:hAnsi="Times New Roman" w:cs="Times New Roman"/>
          <w:b/>
          <w:sz w:val="24"/>
          <w:szCs w:val="24"/>
        </w:rPr>
      </w:pPr>
    </w:p>
    <w:p w14:paraId="25DBE3FC" w14:textId="77777777" w:rsidR="006303A0" w:rsidRPr="00566230" w:rsidRDefault="006303A0" w:rsidP="006303A0">
      <w:pPr>
        <w:spacing w:after="0" w:line="432" w:lineRule="auto"/>
        <w:rPr>
          <w:rFonts w:ascii="Times New Roman" w:hAnsi="Times New Roman" w:cs="Times New Roman"/>
          <w:b/>
          <w:sz w:val="24"/>
          <w:szCs w:val="24"/>
        </w:rPr>
      </w:pPr>
      <w:r w:rsidRPr="00566230">
        <w:rPr>
          <w:rFonts w:ascii="Times New Roman" w:hAnsi="Times New Roman" w:cs="Times New Roman"/>
          <w:b/>
          <w:sz w:val="24"/>
          <w:szCs w:val="24"/>
        </w:rPr>
        <w:t>Address for correspondence:</w:t>
      </w:r>
    </w:p>
    <w:p w14:paraId="7FC611FC"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 xml:space="preserve">Dr Amanda </w:t>
      </w:r>
      <w:proofErr w:type="spellStart"/>
      <w:r w:rsidRPr="00566230">
        <w:rPr>
          <w:rFonts w:ascii="Times New Roman" w:hAnsi="Times New Roman" w:cs="Times New Roman"/>
          <w:sz w:val="24"/>
          <w:szCs w:val="24"/>
        </w:rPr>
        <w:t>Varnava</w:t>
      </w:r>
      <w:proofErr w:type="spellEnd"/>
    </w:p>
    <w:p w14:paraId="6CACEFC6"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Consultant Cardiologist</w:t>
      </w:r>
    </w:p>
    <w:p w14:paraId="41776941"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Imperial College Healthcare NHS Trust</w:t>
      </w:r>
    </w:p>
    <w:p w14:paraId="1D0DB2DD"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Hammersmith Hospital</w:t>
      </w:r>
    </w:p>
    <w:p w14:paraId="3193905E"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London, W12 0HS</w:t>
      </w:r>
    </w:p>
    <w:p w14:paraId="051635F3"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Tel: 020 33131000</w:t>
      </w:r>
    </w:p>
    <w:p w14:paraId="40206FE9" w14:textId="77777777" w:rsidR="006303A0" w:rsidRPr="00566230" w:rsidRDefault="006303A0" w:rsidP="006303A0">
      <w:pPr>
        <w:spacing w:after="0" w:line="432" w:lineRule="auto"/>
        <w:rPr>
          <w:rFonts w:ascii="Times New Roman" w:hAnsi="Times New Roman" w:cs="Times New Roman"/>
          <w:sz w:val="24"/>
          <w:szCs w:val="24"/>
        </w:rPr>
      </w:pPr>
      <w:r w:rsidRPr="00566230">
        <w:rPr>
          <w:rFonts w:ascii="Times New Roman" w:hAnsi="Times New Roman" w:cs="Times New Roman"/>
          <w:sz w:val="24"/>
          <w:szCs w:val="24"/>
        </w:rPr>
        <w:t>Email: avarnava@doctors.org.uk</w:t>
      </w:r>
    </w:p>
    <w:p w14:paraId="3772262C" w14:textId="73B6DF3D" w:rsidR="006303A0" w:rsidRPr="00566230" w:rsidRDefault="006303A0" w:rsidP="006303A0">
      <w:pPr>
        <w:spacing w:after="0" w:line="432" w:lineRule="auto"/>
        <w:rPr>
          <w:rFonts w:ascii="Times New Roman" w:hAnsi="Times New Roman" w:cs="Times New Roman"/>
          <w:b/>
          <w:sz w:val="24"/>
          <w:szCs w:val="24"/>
        </w:rPr>
      </w:pPr>
      <w:r w:rsidRPr="00566230">
        <w:rPr>
          <w:rFonts w:ascii="Times New Roman" w:hAnsi="Times New Roman" w:cs="Times New Roman"/>
          <w:b/>
          <w:sz w:val="24"/>
          <w:szCs w:val="24"/>
        </w:rPr>
        <w:t xml:space="preserve">Manuscript word count: </w:t>
      </w:r>
      <w:r w:rsidR="00F82431" w:rsidRPr="00566230">
        <w:rPr>
          <w:rFonts w:ascii="Times New Roman" w:hAnsi="Times New Roman" w:cs="Times New Roman"/>
          <w:b/>
          <w:sz w:val="24"/>
          <w:szCs w:val="24"/>
        </w:rPr>
        <w:t>4</w:t>
      </w:r>
      <w:r w:rsidR="003E1DF5" w:rsidRPr="00566230">
        <w:rPr>
          <w:rFonts w:ascii="Times New Roman" w:hAnsi="Times New Roman" w:cs="Times New Roman"/>
          <w:b/>
          <w:sz w:val="24"/>
          <w:szCs w:val="24"/>
        </w:rPr>
        <w:t>861</w:t>
      </w:r>
      <w:r w:rsidRPr="00566230">
        <w:rPr>
          <w:rFonts w:ascii="Times New Roman" w:hAnsi="Times New Roman" w:cs="Times New Roman"/>
          <w:b/>
          <w:sz w:val="24"/>
          <w:szCs w:val="24"/>
        </w:rPr>
        <w:t xml:space="preserve"> words</w:t>
      </w:r>
    </w:p>
    <w:p w14:paraId="312F285F" w14:textId="77777777" w:rsidR="00F13383" w:rsidRPr="00566230" w:rsidRDefault="00F13383" w:rsidP="006303A0">
      <w:pPr>
        <w:spacing w:line="480" w:lineRule="auto"/>
        <w:rPr>
          <w:rFonts w:ascii="Times New Roman" w:hAnsi="Times New Roman" w:cs="Times New Roman"/>
          <w:b/>
        </w:rPr>
      </w:pPr>
    </w:p>
    <w:p w14:paraId="792C9BCD" w14:textId="77777777" w:rsidR="00AB174A" w:rsidRPr="00566230" w:rsidRDefault="00AB174A" w:rsidP="006303A0">
      <w:pPr>
        <w:spacing w:line="480" w:lineRule="auto"/>
        <w:rPr>
          <w:rFonts w:ascii="Times New Roman" w:hAnsi="Times New Roman" w:cs="Times New Roman"/>
          <w:b/>
        </w:rPr>
      </w:pPr>
    </w:p>
    <w:p w14:paraId="3F61F8C4" w14:textId="77777777" w:rsidR="00AB174A" w:rsidRPr="00566230" w:rsidRDefault="00AB174A" w:rsidP="006303A0">
      <w:pPr>
        <w:spacing w:line="480" w:lineRule="auto"/>
        <w:rPr>
          <w:rFonts w:ascii="Times New Roman" w:hAnsi="Times New Roman" w:cs="Times New Roman"/>
          <w:b/>
        </w:rPr>
      </w:pPr>
    </w:p>
    <w:p w14:paraId="2C914342" w14:textId="77777777" w:rsidR="00AB174A" w:rsidRPr="00566230" w:rsidRDefault="00AB174A" w:rsidP="006303A0">
      <w:pPr>
        <w:spacing w:line="480" w:lineRule="auto"/>
        <w:rPr>
          <w:rFonts w:ascii="Times New Roman" w:hAnsi="Times New Roman" w:cs="Times New Roman"/>
          <w:b/>
        </w:rPr>
      </w:pPr>
    </w:p>
    <w:p w14:paraId="5BCDFC76" w14:textId="77777777" w:rsidR="006303A0" w:rsidRPr="00566230" w:rsidRDefault="006303A0" w:rsidP="006303A0">
      <w:pPr>
        <w:spacing w:line="480" w:lineRule="auto"/>
        <w:rPr>
          <w:rFonts w:ascii="Times New Roman" w:hAnsi="Times New Roman" w:cs="Times New Roman"/>
          <w:sz w:val="24"/>
          <w:szCs w:val="24"/>
        </w:rPr>
      </w:pPr>
      <w:r w:rsidRPr="00566230">
        <w:rPr>
          <w:rFonts w:ascii="Times New Roman" w:hAnsi="Times New Roman" w:cs="Times New Roman"/>
          <w:b/>
          <w:sz w:val="24"/>
          <w:szCs w:val="24"/>
        </w:rPr>
        <w:lastRenderedPageBreak/>
        <w:t>Abstract</w:t>
      </w:r>
    </w:p>
    <w:p w14:paraId="2CCD0ADD" w14:textId="77777777"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Introduction</w:t>
      </w:r>
    </w:p>
    <w:p w14:paraId="51268897" w14:textId="130A79DD"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 spontaneous type I ECG pattern and/or unheralded syncope are conventionally used as risk markers for primary prevention of sudden cardiac </w:t>
      </w:r>
      <w:r w:rsidR="006D6BA1" w:rsidRPr="00566230">
        <w:rPr>
          <w:rFonts w:ascii="Times New Roman" w:hAnsi="Times New Roman" w:cs="Times New Roman"/>
          <w:sz w:val="24"/>
          <w:szCs w:val="24"/>
        </w:rPr>
        <w:t>arrest</w:t>
      </w:r>
      <w:r w:rsidR="00502BF2" w:rsidRPr="00566230">
        <w:rPr>
          <w:rFonts w:ascii="Times New Roman" w:hAnsi="Times New Roman" w:cs="Times New Roman"/>
          <w:sz w:val="24"/>
          <w:szCs w:val="24"/>
        </w:rPr>
        <w:t>/death</w:t>
      </w:r>
      <w:r w:rsidRPr="00566230">
        <w:rPr>
          <w:rFonts w:ascii="Times New Roman" w:hAnsi="Times New Roman" w:cs="Times New Roman"/>
          <w:sz w:val="24"/>
          <w:szCs w:val="24"/>
        </w:rPr>
        <w:t xml:space="preserve"> (</w:t>
      </w:r>
      <w:r w:rsidR="00A2027C" w:rsidRPr="00566230">
        <w:rPr>
          <w:rFonts w:ascii="Times New Roman" w:hAnsi="Times New Roman" w:cs="Times New Roman"/>
          <w:sz w:val="24"/>
          <w:szCs w:val="24"/>
        </w:rPr>
        <w:t>SCA</w:t>
      </w:r>
      <w:r w:rsidR="00502BF2" w:rsidRPr="00566230">
        <w:rPr>
          <w:rFonts w:ascii="Times New Roman" w:hAnsi="Times New Roman" w:cs="Times New Roman"/>
          <w:sz w:val="24"/>
          <w:szCs w:val="24"/>
        </w:rPr>
        <w:t>/SCD</w:t>
      </w:r>
      <w:r w:rsidRPr="00566230">
        <w:rPr>
          <w:rFonts w:ascii="Times New Roman" w:hAnsi="Times New Roman" w:cs="Times New Roman"/>
          <w:sz w:val="24"/>
          <w:szCs w:val="24"/>
        </w:rPr>
        <w:t xml:space="preserve">) in </w:t>
      </w:r>
      <w:proofErr w:type="spellStart"/>
      <w:r w:rsidRPr="00566230">
        <w:rPr>
          <w:rFonts w:ascii="Times New Roman" w:hAnsi="Times New Roman" w:cs="Times New Roman"/>
          <w:sz w:val="24"/>
          <w:szCs w:val="24"/>
        </w:rPr>
        <w:t>Brugada</w:t>
      </w:r>
      <w:proofErr w:type="spellEnd"/>
      <w:r w:rsidRPr="00566230">
        <w:rPr>
          <w:rFonts w:ascii="Times New Roman" w:hAnsi="Times New Roman" w:cs="Times New Roman"/>
          <w:sz w:val="24"/>
          <w:szCs w:val="24"/>
        </w:rPr>
        <w:t xml:space="preserve"> Syndrome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In this study, we determine the prevalence of conventional and newer markers of risk in those with and without previous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w:t>
      </w:r>
    </w:p>
    <w:p w14:paraId="4E52ED8F" w14:textId="77777777"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Methods</w:t>
      </w:r>
    </w:p>
    <w:p w14:paraId="5E706595" w14:textId="77777777"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All patients with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were identified at our institute. History of symptoms were obtained from medical or from interview. Other markers of risk were also </w:t>
      </w:r>
      <w:proofErr w:type="gramStart"/>
      <w:r w:rsidRPr="00566230">
        <w:rPr>
          <w:rFonts w:ascii="Times New Roman" w:hAnsi="Times New Roman" w:cs="Times New Roman"/>
          <w:sz w:val="24"/>
          <w:szCs w:val="24"/>
        </w:rPr>
        <w:t>obtained:-</w:t>
      </w:r>
      <w:proofErr w:type="gramEnd"/>
      <w:r w:rsidRPr="00566230">
        <w:rPr>
          <w:rFonts w:ascii="Times New Roman" w:hAnsi="Times New Roman" w:cs="Times New Roman"/>
          <w:sz w:val="24"/>
          <w:szCs w:val="24"/>
        </w:rPr>
        <w:t xml:space="preserve"> presence of </w:t>
      </w:r>
      <w:proofErr w:type="spellStart"/>
      <w:r w:rsidRPr="00566230">
        <w:rPr>
          <w:rFonts w:ascii="Times New Roman" w:hAnsi="Times New Roman" w:cs="Times New Roman"/>
          <w:sz w:val="24"/>
          <w:szCs w:val="24"/>
        </w:rPr>
        <w:t>i</w:t>
      </w:r>
      <w:proofErr w:type="spellEnd"/>
      <w:r w:rsidRPr="00566230">
        <w:rPr>
          <w:rFonts w:ascii="Times New Roman" w:hAnsi="Times New Roman" w:cs="Times New Roman"/>
          <w:sz w:val="24"/>
          <w:szCs w:val="24"/>
        </w:rPr>
        <w:t>)spontaneous Type I pattern ii)fractionated QRS(</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iii)early-repolarisation(ER) pattern; iv)late potentials on signal-averaged ECG(SAECG); v)response to programmed electrical stimulation. </w:t>
      </w:r>
    </w:p>
    <w:p w14:paraId="18F5EEC8" w14:textId="77777777"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Results</w:t>
      </w:r>
    </w:p>
    <w:p w14:paraId="2DD6267B" w14:textId="32367F25" w:rsidR="006A3B0D" w:rsidRPr="00566230" w:rsidRDefault="008C634A"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In </w:t>
      </w:r>
      <w:r w:rsidR="006A3B0D" w:rsidRPr="00566230">
        <w:rPr>
          <w:rFonts w:ascii="Times New Roman" w:hAnsi="Times New Roman" w:cs="Times New Roman"/>
          <w:sz w:val="24"/>
          <w:szCs w:val="24"/>
        </w:rPr>
        <w:t xml:space="preserve">133 patients with </w:t>
      </w:r>
      <w:proofErr w:type="spellStart"/>
      <w:r w:rsidR="006A3B0D" w:rsidRPr="00566230">
        <w:rPr>
          <w:rFonts w:ascii="Times New Roman" w:hAnsi="Times New Roman" w:cs="Times New Roman"/>
          <w:sz w:val="24"/>
          <w:szCs w:val="24"/>
        </w:rPr>
        <w:t>BrS</w:t>
      </w:r>
      <w:proofErr w:type="spellEnd"/>
      <w:r w:rsidR="006A3B0D" w:rsidRPr="00566230">
        <w:rPr>
          <w:rFonts w:ascii="Times New Roman" w:hAnsi="Times New Roman" w:cs="Times New Roman"/>
          <w:sz w:val="24"/>
          <w:szCs w:val="24"/>
        </w:rPr>
        <w:t xml:space="preserve">, 10 (7%) patients (mean age 39±11 </w:t>
      </w:r>
      <w:proofErr w:type="spellStart"/>
      <w:r w:rsidR="006A3B0D" w:rsidRPr="00566230">
        <w:rPr>
          <w:rFonts w:ascii="Times New Roman" w:hAnsi="Times New Roman" w:cs="Times New Roman"/>
          <w:sz w:val="24"/>
          <w:szCs w:val="24"/>
        </w:rPr>
        <w:t>yrs</w:t>
      </w:r>
      <w:proofErr w:type="spellEnd"/>
      <w:r w:rsidR="006A3B0D" w:rsidRPr="00566230">
        <w:rPr>
          <w:rFonts w:ascii="Times New Roman" w:hAnsi="Times New Roman" w:cs="Times New Roman"/>
          <w:sz w:val="24"/>
          <w:szCs w:val="24"/>
        </w:rPr>
        <w:t xml:space="preserve">; 9 males) were identified with a previous VF/VT episode (n=8) or requiring CPR (n=2). None of these patients had a prior history of syncope before their </w:t>
      </w:r>
      <w:r w:rsidR="00A2027C" w:rsidRPr="00566230">
        <w:rPr>
          <w:rFonts w:ascii="Times New Roman" w:hAnsi="Times New Roman" w:cs="Times New Roman"/>
          <w:sz w:val="24"/>
          <w:szCs w:val="24"/>
        </w:rPr>
        <w:t>SCA</w:t>
      </w:r>
      <w:r w:rsidR="006A3B0D" w:rsidRPr="00566230">
        <w:rPr>
          <w:rFonts w:ascii="Times New Roman" w:hAnsi="Times New Roman" w:cs="Times New Roman"/>
          <w:sz w:val="24"/>
          <w:szCs w:val="24"/>
        </w:rPr>
        <w:t xml:space="preserve"> event. Only 2 (20%) reported a history of palpitations or dizziness. None had apnoeic breathing and 3 (30%) had a family history of </w:t>
      </w:r>
      <w:r w:rsidR="00A2027C" w:rsidRPr="00566230">
        <w:rPr>
          <w:rFonts w:ascii="Times New Roman" w:hAnsi="Times New Roman" w:cs="Times New Roman"/>
          <w:sz w:val="24"/>
          <w:szCs w:val="24"/>
        </w:rPr>
        <w:t>SCA</w:t>
      </w:r>
      <w:r w:rsidR="006A3B0D" w:rsidRPr="00566230">
        <w:rPr>
          <w:rFonts w:ascii="Times New Roman" w:hAnsi="Times New Roman" w:cs="Times New Roman"/>
          <w:sz w:val="24"/>
          <w:szCs w:val="24"/>
        </w:rPr>
        <w:t xml:space="preserve">. </w:t>
      </w:r>
    </w:p>
    <w:p w14:paraId="0B8EFC87" w14:textId="10DEB70B"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From their ECGs, a spontaneous pattern was only found in 1 (10%) of these patients. 10% had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17% late potentials on signal-averaged ECG; 20% deep S waves in lead I and 10% ER pattern in the peripheral leads. No significant differences were observed with the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group.</w:t>
      </w:r>
    </w:p>
    <w:p w14:paraId="077A713B" w14:textId="77777777"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Conclusion:</w:t>
      </w:r>
    </w:p>
    <w:p w14:paraId="7F56A205" w14:textId="40A0211E" w:rsidR="006A3B0D" w:rsidRPr="00566230" w:rsidRDefault="006A3B0D" w:rsidP="006A3B0D">
      <w:pPr>
        <w:spacing w:line="36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Majority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with previous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did not have a spontaneous Type I and/or or prior history of syncope. Conventional and newer markers of risk appear to only have limited ability to predict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w:t>
      </w:r>
    </w:p>
    <w:p w14:paraId="20D43891" w14:textId="77777777" w:rsidR="006303A0" w:rsidRPr="00566230" w:rsidRDefault="006303A0" w:rsidP="006303A0">
      <w:pPr>
        <w:spacing w:line="480" w:lineRule="auto"/>
        <w:rPr>
          <w:rFonts w:ascii="Times New Roman" w:hAnsi="Times New Roman" w:cs="Times New Roman"/>
          <w:b/>
          <w:sz w:val="24"/>
          <w:szCs w:val="24"/>
        </w:rPr>
      </w:pPr>
    </w:p>
    <w:p w14:paraId="088ACC73" w14:textId="695DB9E9" w:rsidR="006303A0" w:rsidRPr="00566230" w:rsidRDefault="006303A0" w:rsidP="006303A0">
      <w:pPr>
        <w:spacing w:line="480" w:lineRule="auto"/>
        <w:rPr>
          <w:rFonts w:ascii="Times New Roman" w:hAnsi="Times New Roman" w:cs="Times New Roman"/>
          <w:sz w:val="24"/>
          <w:szCs w:val="24"/>
        </w:rPr>
      </w:pPr>
      <w:r w:rsidRPr="00566230">
        <w:rPr>
          <w:rFonts w:ascii="Times New Roman" w:hAnsi="Times New Roman" w:cs="Times New Roman"/>
          <w:sz w:val="24"/>
          <w:szCs w:val="24"/>
        </w:rPr>
        <w:t xml:space="preserve">Keywords: </w:t>
      </w:r>
      <w:proofErr w:type="spellStart"/>
      <w:r w:rsidR="00D57D41" w:rsidRPr="00566230">
        <w:rPr>
          <w:rFonts w:ascii="Times New Roman" w:hAnsi="Times New Roman" w:cs="Times New Roman"/>
          <w:sz w:val="24"/>
          <w:szCs w:val="24"/>
        </w:rPr>
        <w:t>Brugada</w:t>
      </w:r>
      <w:proofErr w:type="spellEnd"/>
      <w:r w:rsidR="00D57D41" w:rsidRPr="00566230">
        <w:rPr>
          <w:rFonts w:ascii="Times New Roman" w:hAnsi="Times New Roman" w:cs="Times New Roman"/>
          <w:sz w:val="24"/>
          <w:szCs w:val="24"/>
        </w:rPr>
        <w:t xml:space="preserve"> Syndrome</w:t>
      </w:r>
      <w:r w:rsidRPr="00566230">
        <w:rPr>
          <w:rFonts w:ascii="Times New Roman" w:hAnsi="Times New Roman" w:cs="Times New Roman"/>
          <w:sz w:val="24"/>
          <w:szCs w:val="24"/>
        </w:rPr>
        <w:t xml:space="preserve">, Risk Stratification, Sudden Cardiac </w:t>
      </w:r>
      <w:r w:rsidR="006D6BA1" w:rsidRPr="00566230">
        <w:rPr>
          <w:rFonts w:ascii="Times New Roman" w:hAnsi="Times New Roman" w:cs="Times New Roman"/>
          <w:sz w:val="24"/>
          <w:szCs w:val="24"/>
        </w:rPr>
        <w:t>Arrest</w:t>
      </w:r>
    </w:p>
    <w:p w14:paraId="4FD20CFA" w14:textId="77777777" w:rsidR="006303A0" w:rsidRPr="00566230" w:rsidRDefault="006303A0" w:rsidP="006303A0">
      <w:pPr>
        <w:spacing w:line="480" w:lineRule="auto"/>
        <w:rPr>
          <w:rFonts w:ascii="Times New Roman" w:hAnsi="Times New Roman" w:cs="Times New Roman"/>
          <w:b/>
          <w:sz w:val="24"/>
          <w:szCs w:val="24"/>
        </w:rPr>
      </w:pPr>
    </w:p>
    <w:p w14:paraId="1C807089" w14:textId="77777777" w:rsidR="006D56D5" w:rsidRPr="00566230" w:rsidRDefault="007E209B" w:rsidP="006D56D5">
      <w:pPr>
        <w:spacing w:line="480" w:lineRule="auto"/>
        <w:rPr>
          <w:rFonts w:ascii="Times New Roman" w:hAnsi="Times New Roman" w:cs="Times New Roman"/>
          <w:b/>
          <w:sz w:val="24"/>
          <w:szCs w:val="24"/>
        </w:rPr>
      </w:pPr>
      <w:r w:rsidRPr="00566230">
        <w:rPr>
          <w:rFonts w:ascii="Times New Roman" w:hAnsi="Times New Roman" w:cs="Times New Roman"/>
          <w:b/>
          <w:sz w:val="24"/>
          <w:szCs w:val="24"/>
        </w:rPr>
        <w:lastRenderedPageBreak/>
        <w:t>Introduction</w:t>
      </w:r>
    </w:p>
    <w:p w14:paraId="0669FF41" w14:textId="16AE9B94"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Survival data from registries and other studies have consistently shown that a spontaneous type I ECG pattern and/or history of unexplained syncope confers a higher risk of </w:t>
      </w:r>
      <w:r w:rsidR="00A33279" w:rsidRPr="00566230">
        <w:rPr>
          <w:rFonts w:ascii="Times New Roman" w:hAnsi="Times New Roman" w:cs="Times New Roman"/>
          <w:sz w:val="24"/>
          <w:szCs w:val="24"/>
        </w:rPr>
        <w:t xml:space="preserve">sudden cardiac </w:t>
      </w:r>
      <w:r w:rsidR="006D6BA1" w:rsidRPr="00566230">
        <w:rPr>
          <w:rFonts w:ascii="Times New Roman" w:hAnsi="Times New Roman" w:cs="Times New Roman"/>
          <w:sz w:val="24"/>
          <w:szCs w:val="24"/>
        </w:rPr>
        <w:t>arrest</w:t>
      </w:r>
      <w:r w:rsidR="001E7562" w:rsidRPr="00566230">
        <w:rPr>
          <w:rFonts w:ascii="Times New Roman" w:hAnsi="Times New Roman" w:cs="Times New Roman"/>
          <w:sz w:val="24"/>
          <w:szCs w:val="24"/>
        </w:rPr>
        <w:t>/death</w:t>
      </w:r>
      <w:r w:rsidR="00A33279" w:rsidRPr="00566230">
        <w:rPr>
          <w:rFonts w:ascii="Times New Roman" w:hAnsi="Times New Roman" w:cs="Times New Roman"/>
          <w:sz w:val="24"/>
          <w:szCs w:val="24"/>
        </w:rPr>
        <w:t xml:space="preserve"> (</w:t>
      </w:r>
      <w:r w:rsidR="00A2027C" w:rsidRPr="00566230">
        <w:rPr>
          <w:rFonts w:ascii="Times New Roman" w:hAnsi="Times New Roman" w:cs="Times New Roman"/>
          <w:sz w:val="24"/>
          <w:szCs w:val="24"/>
        </w:rPr>
        <w:t>SCA</w:t>
      </w:r>
      <w:r w:rsidR="001E7562" w:rsidRPr="00566230">
        <w:rPr>
          <w:rFonts w:ascii="Times New Roman" w:hAnsi="Times New Roman" w:cs="Times New Roman"/>
          <w:sz w:val="24"/>
          <w:szCs w:val="24"/>
        </w:rPr>
        <w:t>/SCD</w:t>
      </w:r>
      <w:r w:rsidR="00A33279" w:rsidRPr="00566230">
        <w:rPr>
          <w:rFonts w:ascii="Times New Roman" w:hAnsi="Times New Roman" w:cs="Times New Roman"/>
          <w:sz w:val="24"/>
          <w:szCs w:val="24"/>
        </w:rPr>
        <w:t>)</w:t>
      </w:r>
      <w:r w:rsidRPr="00566230">
        <w:rPr>
          <w:rFonts w:ascii="Times New Roman" w:hAnsi="Times New Roman" w:cs="Times New Roman"/>
          <w:sz w:val="24"/>
          <w:szCs w:val="24"/>
        </w:rPr>
        <w:t xml:space="preserve"> </w:t>
      </w:r>
      <w:r w:rsidR="005D6754" w:rsidRPr="00566230">
        <w:rPr>
          <w:rFonts w:ascii="Times New Roman" w:hAnsi="Times New Roman" w:cs="Times New Roman"/>
          <w:sz w:val="24"/>
          <w:szCs w:val="24"/>
        </w:rPr>
        <w:fldChar w:fldCharType="begin" w:fldLock="1"/>
      </w:r>
      <w:r w:rsidR="00670611" w:rsidRPr="00566230">
        <w:rPr>
          <w:rFonts w:ascii="Times New Roman" w:hAnsi="Times New Roman" w:cs="Times New Roman"/>
          <w:sz w:val="24"/>
          <w:szCs w:val="24"/>
        </w:rPr>
        <w:instrText>ADDIN CSL_CITATION { "citationItems" : [ { "id" : "ITEM-1", "itemData" : { "DOI" : "10.1016/j.jacc.2011.08.064", "ISBN" : "1558-3597 (Electronic)\\r0735-1097 (Linking)", "ISSN" : "07351097", "PMID" : "22192666", "abstract" : "The PRELUDE (PRogrammed ELectrical stimUlation preDictive valuE) prospective registry was designed to assess the predictive accuracy of sustained ventricular tachycardia/ventricular fibrillation (VTs/VF) inducibility and to identify additional predictors of arrhythmic events in Brugada syndrome patients without history of VT/VF. Brugada syndrome is a genetic disease associated with increased risk of sudden cardiac death. Even though its value has been questioned, inducibility of VTs/VF is widely used to select candidates to receive a prophylactic implantable defibrillator, and its accuracy has never been addressed in prospective studies with homogeneous enrolling criteria. Patients with a spontaneous or drug-induced type I electrocardiogram (ECG) and without history of cardiac arrest were enrolled. The registry included 308 consecutive individuals (247 men, 80%; median age 44 years, range 18 to 72 years). Programmed electrical stimulation was performed at enrollment, and patients were followed-up every 6 months. During a median follow-up of 34 months, 14 arrhythmic events (4.5%) occurred (13 appropriate shocks of the implantable defibrillator, and 1 cardiac arrest). Programmed electrical stimulation performed with a uniform and pre-specified protocol induced ventricular tachyarrhythmias in 40% of patients: arrhythmia inducibility was not a predictor of events at follow-up (9 of 14 events occurred in noninducible patients). History of syncope and spontaneous type I ECG (hazard ratio [HR]: 4.20), ventricular refractory period &lt;200 ms (HR: 3.91), and QRS fragmentation (HR: 4.94) were significant predictors of arrhythmias. Our data show that VT/VF inducibility is unable to identify high-risk patients, whereas the presence of a spontaneous type I ECG, history of syncope, ventricular effective refractory period &lt;200 ms, and QRS fragmentation seem useful to identify candidates for prophylactic implantable cardioverter defibrillator. \u00a9 2012 American College of Cardiology Foundation.", "author" : [ { "dropping-particle" : "", "family" : "Priori", "given" : "Silvia G.", "non-dropping-particle" : "", "parse-names" : false, "suffix" : "" }, { "dropping-particle" : "", "family" : "Gasparini", "given" : "Maurizio", "non-dropping-particle" : "", "parse-names" : false, "suffix" : "" }, { "dropping-particle" : "", "family" : "Napolitano", "given" : "Carlo", "non-dropping-particle" : "", "parse-names" : false, "suffix" : "" }, { "dropping-particle" : "", "family" : "Bella", "given" : "Paolo", "non-dropping-particle" : "Della", "parse-names" : false, "suffix" : "" }, { "dropping-particle" : "", "family" : "Ottonelli", "given" : "Andrea Ghidini", "non-dropping-particle" : "", "parse-names" : false, "suffix" : "" }, { "dropping-particle" : "", "family" : "Sassone", "given" : "Biagio", "non-dropping-particle" : "", "parse-names" : false, "suffix" : "" }, { "dropping-particle" : "", "family" : "Giordano", "given" : "Umberto", "non-dropping-particle" : "", "parse-names" : false, "suffix" : "" }, { "dropping-particle" : "", "family" : "Pappone", "given" : "Carlo", "non-dropping-particle" : "", "parse-names" : false, "suffix" : "" }, { "dropping-particle" : "", "family" : "Mascioli", "given" : "Giosu", "non-dropping-particle" : "", "parse-names" : false, "suffix" : "" }, { "dropping-particle" : "", "family" : "Rossetti", "given" : "Guido", "non-dropping-particle" : "", "parse-names" : false, "suffix" : "" }, { "dropping-particle" : "", "family" : "Nardis", "given" : "Roberto", "non-dropping-particle" : "De", "parse-names" : false, "suffix" : "" }, { "dropping-particle" : "", "family" : "Colombo", "given" : "Mario", "non-dropping-particle" : "", "parse-names" : false, "suffix" : "" } ], "container-title" : "Journal of the American College of Cardiology", "id" : "ITEM-1", "issued" : { "date-parts" : [ [ "2012", "1", "3" ] ] }, "page" : "37-45", "publisher" : "Elsevier Inc.", "title" : "Risk stratification in brugada syndrome: Results of the PRELUDE (PRogrammed ELectrical stimUlation preDictive valuE) registry", "type" : "article-journal", "volume" : "59" }, "uris" : [ "http://www.mendeley.com/documents/?uuid=4d872aa7-7bb4-4278-95de-5399b4ede603" ] }, { "id" : "ITEM-2",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"ITEM-2",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"id" : "ITEM-3", "itemData" : { "DOI" : "10.1161/01.CIR.0000104568.13957.4F", "ISBN" : "1524-4539 (Electronic)\\r0009-7322 (Linking)", "ISSN" : "00097322", "PMID" : "14623800", "abstract" : "BACKGROUND: Patients with Brugada syndrome who were resuscitated from an episode of ventricular fibrillation are at high risk for recurrent sudden death. There is general agreement about the therapeutic strategy for these patients. Conversely, the prognosis and approach in patients with a diagnostic ECG but without a previous history of sudden cardiac death is controversial. We analyzed a large cohort of patients with Brugada syndrome without previous cardiac arrest to understand the determinants of prognosis. METHODS AND RESULTS: A total of 547 patients with an ECG diagnostic of Brugada syndrome and no previous cardiac arrest were studied. The mean age was 41+/-15 years, and 408 were male. The diagnostic ECG was present spontaneously in 391 patients. In the remaining 156 individuals, the abnormal ECG was noted only after the administration of an antiarrhythmic drug. One hundred twenty-four patients had suffered from at least 1 episode of syncope. During programmed ventricular stimulation, a sustained ventricular arrhythmia was induced in 163 of 408 patients. During a mean follow-up of 24+/-32 months, 45 patients (8%) suffered sudden death or documented ventricular fibrillation. Multivariate analysis identified the inducibility of a sustained ventricular arrhythmia (P&lt;0.0001) and a history of syncope (P&lt;0.01) as predictors of events. Logistic regression analysis showed that a patient with a spontaneously abnormal ECG, a previous history of syncope, and inducible sustained ventricular arrhythmias had a probability of 27.2% of suffering an event during follow-up. CONCLUSIONS: Individuals with Brugada syndrome and no previous cardiac arrest have a high risk of sudden death. Inducibility of ventricular arrhythmias and a previous history of syncope are markers of a poor prognosis.", "author" : [ { "dropping-particle" : "", "family" : "Brugada", "given" : "Josep", "non-dropping-particle" : "", "parse-names" : false, "suffix" : "" }, { "dropping-particle" : "", "family" : "Brugada", "given" : "Ramon", "non-dropping-particle" : "", "parse-names" : false, "suffix" : "" }, { "dropping-particle" : "", "family" : "Brugada", "given" : "Pedro", "non-dropping-particle" : "", "parse-names" : false, "suffix" : "" } ], "container-title" : "Circulation", "id" : "ITEM-3", "issue" : "25", "issued" : { "date-parts" : [ [ "2003", "12", "23" ] ] }, "page" : "3092-6", "title" : "Determinants of Sudden Cardiac Death in Individuals with the Electrocardiographic Pattern of Brugada Syndrome and No Previous Cardiac Arrest", "type" : "article-journal", "volume" : "108" }, "uris" : [ "http://www.mendeley.com/documents/?uuid=5d43ab95-bac5-4f3c-ab6e-158819a5fc15" ] } ], "mendeley" : { "formattedCitation" : "&lt;sup&gt;1\u20133&lt;/sup&gt;", "plainTextFormattedCitation" : "1\u20133", "previouslyFormattedCitation" : "&lt;sup&gt;1\u20133&lt;/sup&gt;" }, "properties" : {  }, "schema" : "https://github.com/citation-style-language/schema/raw/master/csl-citation.json" }</w:instrText>
      </w:r>
      <w:r w:rsidR="005D6754" w:rsidRPr="00566230">
        <w:rPr>
          <w:rFonts w:ascii="Times New Roman" w:hAnsi="Times New Roman" w:cs="Times New Roman"/>
          <w:sz w:val="24"/>
          <w:szCs w:val="24"/>
        </w:rPr>
        <w:fldChar w:fldCharType="separate"/>
      </w:r>
      <w:r w:rsidR="005D6754" w:rsidRPr="00566230">
        <w:rPr>
          <w:rFonts w:ascii="Times New Roman" w:hAnsi="Times New Roman" w:cs="Times New Roman"/>
          <w:noProof/>
          <w:sz w:val="24"/>
          <w:szCs w:val="24"/>
          <w:vertAlign w:val="superscript"/>
        </w:rPr>
        <w:t>1–3</w:t>
      </w:r>
      <w:r w:rsidR="005D6754"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Accordingly, presence of both these factors would warrant consideration of an </w:t>
      </w:r>
      <w:r w:rsidR="00A33279" w:rsidRPr="00566230">
        <w:rPr>
          <w:rFonts w:ascii="Times New Roman" w:hAnsi="Times New Roman" w:cs="Times New Roman"/>
          <w:sz w:val="24"/>
          <w:szCs w:val="24"/>
        </w:rPr>
        <w:t>implantable cardioverter defibrillator (</w:t>
      </w:r>
      <w:r w:rsidRPr="00566230">
        <w:rPr>
          <w:rFonts w:ascii="Times New Roman" w:hAnsi="Times New Roman" w:cs="Times New Roman"/>
          <w:sz w:val="24"/>
          <w:szCs w:val="24"/>
        </w:rPr>
        <w:t>ICD</w:t>
      </w:r>
      <w:r w:rsidR="00A33279" w:rsidRPr="00566230">
        <w:rPr>
          <w:rFonts w:ascii="Times New Roman" w:hAnsi="Times New Roman" w:cs="Times New Roman"/>
          <w:sz w:val="24"/>
          <w:szCs w:val="24"/>
        </w:rPr>
        <w:t>)</w:t>
      </w:r>
      <w:r w:rsidRPr="00566230">
        <w:rPr>
          <w:rFonts w:ascii="Times New Roman" w:hAnsi="Times New Roman" w:cs="Times New Roman"/>
          <w:sz w:val="24"/>
          <w:szCs w:val="24"/>
        </w:rPr>
        <w:t xml:space="preserve"> based on current guidelines (Class IIA recommendation)</w:t>
      </w:r>
      <w:r w:rsidR="004B2479" w:rsidRPr="00566230">
        <w:rPr>
          <w:rFonts w:ascii="Times New Roman" w:hAnsi="Times New Roman" w:cs="Times New Roman"/>
          <w:sz w:val="24"/>
          <w:szCs w:val="24"/>
        </w:rPr>
        <w:fldChar w:fldCharType="begin" w:fldLock="1"/>
      </w:r>
      <w:r w:rsidR="004B2479" w:rsidRPr="00566230">
        <w:rPr>
          <w:rFonts w:ascii="Times New Roman" w:hAnsi="Times New Roman" w:cs="Times New Roman"/>
          <w:sz w:val="24"/>
          <w:szCs w:val="24"/>
        </w:rPr>
        <w:instrText>ADDIN CSL_CITATION { "citationItems" : [ { "id" : "ITEM-1", "itemData" : { "DOI" : "10.1016/j.hrthm.2013.05.014", "ISBN" : "1556-3871 (Electronic)\\n1547-5271 (Linking)", "ISSN" : "15475271", "PMID" : "24011539", "abstract" : "Tesi CPVT", "author" : [ { "dropping-particle" : "", "family" : "Priori", "given" : "Silvia G.", "non-dropping-particle" : "", "parse-names" : false, "suffix" : "" }, { "dropping-particle" : "", "family" : "Wilde", "given" : "Arthur A.", "non-dropping-particle" : "", "parse-names" : false, "suffix" : "" }, { "dropping-particle" : "", "family" : "Horie", "given" : "Minoru", "non-dropping-particle" : "", "parse-names" : false, "suffix" : "" }, { "dropping-particle" : "", "family" : "Cho", "given" : "Yongkeun", "non-dropping-particle" : "", "parse-names" : false, "suffix" : "" }, { "dropping-particle" : "", "family" : "Behr", "given" : "Elijah R.", "non-dropping-particle" : "", "parse-names" : false, "suffix" : "" }, { "dropping-particle" : "", "family" : "Berul", "given" : "Charles", "non-dropping-particle" : "", "parse-names" : false, "suffix" : "" }, { "dropping-particle" : "", "family" : "Blom", "given" : "Nico", "non-dropping-particle" : "", "parse-names" : false, "suffix" : "" }, { "dropping-particle" : "", "family" : "Brugada", "given" : "Josep", "non-dropping-particle" : "", "parse-names" : false, "suffix" : "" }, { "dropping-particle" : "", "family" : "Chiang", "given" : "Chern En", "non-dropping-particle" : "", "parse-names" : false, "suffix" : "" }, { "dropping-particle" : "", "family" : "Huikuri", "given" : "Heikki", "non-dropping-particle" : "", "parse-names" : false, "suffix" : "" }, { "dropping-particle" : "", "family" : "Kannankeril", "given" : "Prince", "non-dropping-particle" : "", "parse-names" : false, "suffix" : "" }, { "dropping-particle" : "", "family" : "Krahn", "given" : "Andrew", "non-dropping-particle" : "", "parse-names" : false, "suffix" : "" }, { "dropping-particle" : "", "family" : "Leenhardt", "given" : "Antoine", "non-dropping-particle" : "", "parse-names" : false, "suffix" : "" }, { "dropping-particle" : "", "family" : "Moss", "given" : "Arthur", "non-dropping-particle" : "", "parse-names" : false, "suffix" : "" }, { "dropping-particle" : "", "family" : "Schwartz", "given" : "Peter J.", "non-dropping-particle" : "", "parse-names" : false, "suffix" : "" }, { "dropping-particle" : "", "family" : "Shimizu", "given" : "Wataru", "non-dropping-particle" : "", "parse-names" : false, "suffix" : "" }, { "dropping-particle" : "", "family" : "Tomaselli", "given" : "Gordon", "non-dropping-particle" : "", "parse-names" : false, "suffix" : "" }, { "dropping-particle" : "", "family" : "Tracy", "given" : "Cynthia", "non-dropping-particle" : "", "parse-names" : false, "suffix" : "" } ], "container-title" : "Heart Rhythm", "id" : "ITEM-1", "issued" : { "date-parts" : [ [ "2013" ] ] }, "title" : "HRS/EHRA/APHRS Expert Consensus Statement on the Diagnosis and Management of Patients with Inherited Primary Arrhythmia Syndromes: Document endorsed by HRS, EHRA, and APHRS in May 2013 and by ACCF, AHA, PACES, and AEPC in June 2013.", "type" : "article-journal" }, "uris" : [ "http://www.mendeley.com/documents/?uuid=42b375e4-bc92-3872-a9bd-964a494080e8" ] } ], "mendeley" : { "formattedCitation" : "&lt;sup&gt;4&lt;/sup&gt;", "plainTextFormattedCitation" : "4", "previouslyFormattedCitation" : "&lt;sup&gt;4&lt;/sup&gt;"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B2479" w:rsidRPr="00566230">
        <w:rPr>
          <w:rFonts w:ascii="Times New Roman" w:hAnsi="Times New Roman" w:cs="Times New Roman"/>
          <w:noProof/>
          <w:sz w:val="24"/>
          <w:szCs w:val="24"/>
          <w:vertAlign w:val="superscript"/>
        </w:rPr>
        <w:t>4</w:t>
      </w:r>
      <w:r w:rsidR="004B2479" w:rsidRPr="00566230">
        <w:rPr>
          <w:rFonts w:ascii="Times New Roman" w:hAnsi="Times New Roman" w:cs="Times New Roman"/>
          <w:sz w:val="24"/>
          <w:szCs w:val="24"/>
        </w:rPr>
        <w:fldChar w:fldCharType="end"/>
      </w:r>
      <w:r w:rsidR="004B2479" w:rsidRPr="00566230">
        <w:rPr>
          <w:rFonts w:ascii="Times New Roman" w:hAnsi="Times New Roman" w:cs="Times New Roman"/>
          <w:sz w:val="24"/>
          <w:szCs w:val="24"/>
          <w:vertAlign w:val="superscript"/>
        </w:rPr>
        <w:t>,</w:t>
      </w:r>
      <w:r w:rsidR="004B2479" w:rsidRPr="00566230">
        <w:rPr>
          <w:rFonts w:ascii="Times New Roman" w:hAnsi="Times New Roman" w:cs="Times New Roman"/>
          <w:sz w:val="24"/>
          <w:szCs w:val="24"/>
        </w:rPr>
        <w:fldChar w:fldCharType="begin" w:fldLock="1"/>
      </w:r>
      <w:r w:rsidR="004B2479" w:rsidRPr="00566230">
        <w:rPr>
          <w:rFonts w:ascii="Times New Roman" w:hAnsi="Times New Roman" w:cs="Times New Roman"/>
          <w:sz w:val="24"/>
          <w:szCs w:val="24"/>
        </w:rPr>
        <w:instrText>ADDIN CSL_CITATION { "citationItems" : [ { "id" : "ITEM-1", "itemData" : { "DOI" : "10.1093/europace/eul108", "ISBN" : "8006116083", "ISSN" : "1099-5129", "PMID" : "16935866", "abstract" : "A report of theAmerican College of Cardiology/American Heart Association Task Force and the European Society of Cardiology Committee for Practice Guidelines (Writing Committee to Develop Guidelines for Management of Patients With Ventricular Arrhythmias and the Prevention of Sudden Cardiac Death) Developed in collaboration with the European Heart Rhythm Association and the Heart Rhythm Society", "author" : [ { "dropping-particle" : "", "family" : "Priori", "given" : "Silvia G.", "non-dropping-particle" : "", "parse-names" : false, "suffix" : "" }, { "dropping-particle" : "", "family" : "Blomstr\u00f6m-Lundqvist", "given" : "Carina", "non-dropping-particle" : "", "parse-names" : false, "suffix" : "" }, { "dropping-particle" : "", "family" : "Mazzanti", "given" : "Andrea", "non-dropping-particle" : "", "parse-names" : false, "suffix" : "" } ], "container-title" : "European heart journal", "id" : "ITEM-1", "issue" : "9", "issued" : { "date-parts" : [ [ "2015" ] ] }, "page" : "746-837", "title" : "2015 ESC Guidelines for the management of patients with ventricular arrhythmias and the prevention of sudden cardiac death", "type" : "article-journal", "volume" : "8" }, "uris" : [ "http://www.mendeley.com/documents/?uuid=7cc5dee8-4143-4c1b-a980-f3958b4549be" ] } ], "mendeley" : { "formattedCitation" : "&lt;sup&gt;5&lt;/sup&gt;", "plainTextFormattedCitation" : "5", "previouslyFormattedCitation" : "&lt;sup&gt;5&lt;/sup&gt;"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B2479" w:rsidRPr="00566230">
        <w:rPr>
          <w:rFonts w:ascii="Times New Roman" w:hAnsi="Times New Roman" w:cs="Times New Roman"/>
          <w:noProof/>
          <w:sz w:val="24"/>
          <w:szCs w:val="24"/>
          <w:vertAlign w:val="superscript"/>
        </w:rPr>
        <w:t>5</w:t>
      </w:r>
      <w:r w:rsidR="004B2479" w:rsidRPr="00566230">
        <w:rPr>
          <w:rFonts w:ascii="Times New Roman" w:hAnsi="Times New Roman" w:cs="Times New Roman"/>
          <w:sz w:val="24"/>
          <w:szCs w:val="24"/>
        </w:rPr>
        <w:fldChar w:fldCharType="end"/>
      </w:r>
      <w:r w:rsidR="00AF2B4C" w:rsidRPr="00566230">
        <w:rPr>
          <w:rFonts w:ascii="Times New Roman" w:hAnsi="Times New Roman" w:cs="Times New Roman"/>
          <w:sz w:val="24"/>
          <w:szCs w:val="24"/>
          <w:vertAlign w:val="superscript"/>
        </w:rPr>
        <w:t>,</w:t>
      </w:r>
      <w:r w:rsidR="00E27CC5" w:rsidRPr="00566230">
        <w:rPr>
          <w:rFonts w:ascii="Times New Roman" w:hAnsi="Times New Roman" w:cs="Times New Roman"/>
          <w:sz w:val="24"/>
          <w:szCs w:val="24"/>
          <w:vertAlign w:val="superscript"/>
        </w:rPr>
        <w:fldChar w:fldCharType="begin" w:fldLock="1"/>
      </w:r>
      <w:r w:rsidR="00E27CC5" w:rsidRPr="00566230">
        <w:rPr>
          <w:rFonts w:ascii="Times New Roman" w:hAnsi="Times New Roman" w:cs="Times New Roman"/>
          <w:sz w:val="24"/>
          <w:szCs w:val="24"/>
          <w:vertAlign w:val="superscript"/>
        </w:rPr>
        <w:instrText>ADDIN CSL_CITATION { "citationItems" : [ { "id" : "ITEM-1", "itemData" : { "DOI" : "10.1016/j.jacc.2017.10.053", "ISSN" : "07351097", "author" : [ { "dropping-particle" : "", "family" : "Al-Khatib", "given" : "Sana M", "non-dropping-particle" : "", "parse-names" : false, "suffix" : "" }, { "dropping-particle" : "", "family" : "Stevenson", "given" : "William G", "non-dropping-particle" : "", "parse-names" : false, "suffix" : "" }, { "dropping-particle" : "", "family" : "Ackerman", "given" : "Michael J", "non-dropping-particle" : "", "parse-names" : false, "suffix" : "" }, { "dropping-particle" : "", "family" : "Bryant", "given" : "William J", "non-dropping-particle" : "", "parse-names" : false, "suffix" : "" }, { "dropping-particle" : "", "family" : "Callans", "given" : "David J", "non-dropping-particle" : "", "parse-names" : false, "suffix" : "" }, { "dropping-particle" : "", "family" : "Curtis", "given" : "Anne B", "non-dropping-particle" : "", "parse-names" : false, "suffix" : "" }, { "dropping-particle" : "", "family" : "Deal", "given" : "Barbara J", "non-dropping-particle" : "", "parse-names" : false, "suffix" : "" }, { "dropping-particle" : "", "family" : "Dickfeld", "given" : "Timm", "non-dropping-particle" : "", "parse-names" : false, "suffix" : "" }, { "dropping-particle" : "", "family" : "Field", "given" : "Michael E", "non-dropping-particle" : "", "parse-names" : false, "suffix" : "" }, { "dropping-particle" : "", "family" : "Fonarow", "given" : "Gregg C", "non-dropping-particle" : "", "parse-names" : false, "suffix" : "" }, { "dropping-particle" : "", "family" : "Gillis", "given" : "Anne M", "non-dropping-particle" : "", "parse-names" : false, "suffix" : "" }, { "dropping-particle" : "", "family" : "Hlatky", "given" : "Mark A", "non-dropping-particle" : "", "parse-names" : false, "suffix" : "" }, { "dropping-particle" : "", "family" : "Granger", "given" : "Christopher B", "non-dropping-particle" : "", "parse-names" : false, "suffix" : "" }, { "dropping-particle" : "", "family" : "Hammill", "given" : "Stephen C", "non-dropping-particle" : "", "parse-names" : false, "suffix" : "" }, { "dropping-particle" : "", "family" : "Joglar", "given" : "Jos\u00e9 A", "non-dropping-particle" : "", "parse-names" : false, "suffix" : "" }, { "dropping-particle" : "", "family" : "Kay", "given" : "G Neal", "non-dropping-particle" : "", "parse-names" : false, "suffix" : "" }, { "dropping-particle" : "", "family" : "Matlock", "given" : "Daniel D", "non-dropping-particle" : "", "parse-names" : false, "suffix" : "" }, { "dropping-particle" : "", "family" : "Myerburg", "given" : "Robert J", "non-dropping-particle" : "", "parse-names" : false, "suffix" : "" }, { "dropping-particle" : "", "family" : "Page", "given" : "Richard L", "non-dropping-particle" : "", "parse-names" : false, "suffix" : "" } ], "container-title" : "Journal of the American College of Cardiology", "id" : "ITEM-1", "issued" : { "date-parts" : [ [ "2017", "10" ] ] }, "title" : "2017 AHA/ACC/HRS Guideline for Management of Patients With Ventricular Arrhythmias and the Prevention of Sudden Cardiac Death: Executive Summary", "type" : "article-journal" }, "uris" : [ "http://www.mendeley.com/documents/?uuid=67fe9b5e-9130-4964-97c8-4d3ea237b732" ] } ], "mendeley" : { "formattedCitation" : "&lt;sup&gt;6&lt;/sup&gt;", "plainTextFormattedCitation" : "6", "previouslyFormattedCitation" : "&lt;sup&gt;6&lt;/sup&gt;" }, "properties" : {  }, "schema" : "https://github.com/citation-style-language/schema/raw/master/csl-citation.json" }</w:instrText>
      </w:r>
      <w:r w:rsidR="00E27CC5" w:rsidRPr="00566230">
        <w:rPr>
          <w:rFonts w:ascii="Times New Roman" w:hAnsi="Times New Roman" w:cs="Times New Roman"/>
          <w:sz w:val="24"/>
          <w:szCs w:val="24"/>
          <w:vertAlign w:val="superscript"/>
        </w:rPr>
        <w:fldChar w:fldCharType="separate"/>
      </w:r>
      <w:r w:rsidR="00E27CC5" w:rsidRPr="00566230">
        <w:rPr>
          <w:rFonts w:ascii="Times New Roman" w:hAnsi="Times New Roman" w:cs="Times New Roman"/>
          <w:noProof/>
          <w:sz w:val="24"/>
          <w:szCs w:val="24"/>
          <w:vertAlign w:val="superscript"/>
        </w:rPr>
        <w:t>6</w:t>
      </w:r>
      <w:r w:rsidR="00E27CC5" w:rsidRPr="00566230">
        <w:rPr>
          <w:rFonts w:ascii="Times New Roman" w:hAnsi="Times New Roman" w:cs="Times New Roman"/>
          <w:sz w:val="24"/>
          <w:szCs w:val="24"/>
          <w:vertAlign w:val="superscript"/>
        </w:rPr>
        <w:fldChar w:fldCharType="end"/>
      </w:r>
      <w:r w:rsidRPr="00566230">
        <w:rPr>
          <w:rFonts w:ascii="Times New Roman" w:hAnsi="Times New Roman" w:cs="Times New Roman"/>
          <w:sz w:val="24"/>
          <w:szCs w:val="24"/>
        </w:rPr>
        <w:t>. Yet</w:t>
      </w:r>
      <w:r w:rsidR="00FA1561" w:rsidRPr="00566230">
        <w:rPr>
          <w:rFonts w:ascii="Times New Roman" w:hAnsi="Times New Roman" w:cs="Times New Roman"/>
          <w:sz w:val="24"/>
          <w:szCs w:val="24"/>
        </w:rPr>
        <w:t>,</w:t>
      </w:r>
      <w:r w:rsidRPr="00566230">
        <w:rPr>
          <w:rFonts w:ascii="Times New Roman" w:hAnsi="Times New Roman" w:cs="Times New Roman"/>
          <w:sz w:val="24"/>
          <w:szCs w:val="24"/>
        </w:rPr>
        <w:t xml:space="preserve"> in those who have had an ICD implanted for primary prevention purposes, only a minority have required therapy suggesting that such criteria have limited discriminating ability </w:t>
      </w:r>
      <w:r w:rsidR="005D6754"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"10.1161/CIRCULATIONAHA.113.001941", "ISBN" : "1524-4539 (Electronic)\\r0009-7322 (Linking)", "ISSN" : "0009-7322", "PMID" : "23995538", "abstract" : "BACKGROUND: Implantable cardioverter-defibrillator indications in Brugada syndrome remain controversial, especially in asymptomatic patients. Previous outcome data are limited by relatively small numbers of patients or short follow-up durations. We report the outcome of patients with Brugada syndrome implanted with an implantable cardioverter-defibrillator in a large multicenter registry. METHODS AND RESULTS: A total of 378 patients (310 male; age, 46\u00b113 years) with a type 1 Brugada ECG pattern implanted with an implantable cardioverter-defibrillator (31 for aborted sudden cardiac arrest, 181 for syncope, and 166 asymptomatic) were included. Fifteen patients (4%) were lost to follow-up. During a mean follow-up of 77\u00b142 months, 7 patients (2%) died (1 as a result of an inappropriate shock), and 46 patients (12%) had appropriate device therapy (5\u00b15 shocks per patient). Appropriate device therapy rates at 10 years were 48% for patients whose implantable cardioverter-defibrillator indication was aborted sudden cardiac arrest, 19% for those whose indication was syncope, and 12% for the patients who were asymptomatic at implantation. At 10 years, rates of inappropriate shock and lead failure were 37% and 29%, respectively. Inappropriate shock occurred in 91 patients (24%; 4\u00b14 shocks per patient) because of lead failure (n=38), supraventricular tachycardia (n=20), T-wave oversensing (n=14), or sinus tachycardia (n=12). Importantly, introduction of remote monitoring, programming a high single ventricular fibrillation zone (&gt;210-220 bpm), and a long detection time were associated with a reduced risk of inappropriate shock. CONCLUSIONS: Appropriate therapies are more prevalent in symptomatic Brugada syndrome patients but are not insignificant in asymptomatic patients (1%/y). Optimal implantable cardioverter-defibrillator programming and follow-up dramatically reduce inappropriate shock. However, lead failure remains a major problem in this population.", "author" : [ { "dropping-particle" : "", "family" : "Sacher", "given" : "Fr\u00e9d\u00e9ric", "non-dropping-particle" : "", "parse-names" : false, "suffix" : "" }, { "dropping-particle" : "", "family" : "Probst", "given" : "Vincent", "non-dropping-particle" : "", "parse-names" : false, "suffix" : "" }, { "dropping-particle" : "", "family" : "Maury", "given" : "Philippe", "non-dropping-particle" : "", "parse-names" : false, "suffix" : "" }, { "dropping-particle" : "", "family" : "Babuty", "given" : "Dominique", "non-dropping-particle" : "", "parse-names" : false, "suffix" : "" }, { "dropping-particle" : "", "family" : "Mansourati", "given" : "Jacques", "non-dropping-particle" : "", "parse-names" : false, "suffix" : "" }, { "dropping-particle" : "", "family" : "Komatsu", "given" : "Yuki", "non-dropping-particle" : "", "parse-names" : false, "suffix" : "" }, { "dropping-particle" : "", "family" : "Marquie", "given" : "Christelle", "non-dropping-particle" : "", "parse-names" : false, "suffix" : "" }, { "dropping-particle" : "", "family" : "Rosa", "given" : "Antonio", "non-dropping-particle" : "", "parse-names" : false, "suffix" : "" }, { "dropping-particle" : "", "family" : "Diallo", "given" : "Abou", "non-dropping-particle" : "", "parse-names" : false, "suffix" : "" }, { "dropping-particle" : "", "family" : "Cassagneau", "given" : "Romain", "non-dropping-particle" : "", "parse-names" : false, "suffix" : "" }, { "dropping-particle" : "", "family" : "Loizeau", "given" : "Claire", "non-dropping-particle" : "", "parse-names" : false, "suffix" : "" }, { "dropping-particle" : "", "family" : "Martins", "given" : "Raphael", "non-dropping-particle" : "", "parse-names" : false, "suffix" : "" }, { "dropping-particle" : "", "family" : "Field", "given" : "Michael E.", "non-dropping-particle" : "", "parse-names" : false, "suffix" : "" }, { "dropping-particle" : "", "family" : "Derval", "given" : "Nicolas", "non-dropping-particle" : "", "parse-names" : false, "suffix" : "" }, { "dropping-particle" : "", "family" : "Miyazaki", "given" : "Shinsuke", "non-dropping-particle" : "", "parse-names" : false, "suffix" : "" }, { "dropping-particle" : "", "family" : "Denis", "given" : "Arnaud", "non-dropping-particle" : "", "parse-names" : false, "suffix" : "" }, { "dropping-particle" : "", "family" : "Nogami", "given" : "Akihiko", "non-dropping-particle" : "", "parse-names" : false, "suffix" : "" }, { "dropping-particle" : "", "family" : "Ritter", "given" : "Philippe", "non-dropping-particle" : "", "parse-names" : false, "suffix" : "" }, { "dropping-particle" : "", "family" : "Gourraud", "given" : "Jean Baptiste J.-B. Jean-Baptiste", "non-dropping-particle" : "", "parse-names" : false, "suffix" : "" }, { "dropping-particle" : "", "family" : "Ploux", "given" : "Sylvain", "non-dropping-particle" : "", "parse-names" : false, "suffix" : "" }, { "dropping-particle" : "", "family" : "Rollin", "given" : "Anne", "non-dropping-particle" : "", "parse-names" : false, "suffix" : "" }, { "dropping-particle" : "", "family" : "Zemmoura", "given" : "Adlane", "non-dropping-particle" : "", "parse-names" : false, "suffix" : "" }, { "dropping-particle" : "", "family" : "Lamaison", "given" : "Dominique", "non-dropping-particle" : "", "parse-names" : false, "suffix" : "" }, { "dropping-particle" : "", "family" : "Bordachar", "given" : "Pierre", "non-dropping-particle" : "", "parse-names" : false, "suffix" : "" }, { "dropping-particle" : "", "family" : "Pierre", "given" : "Bertrand", "non-dropping-particle" : "", "parse-names" : false, "suffix" : "" }, { "dropping-particle" : "", "family" : "Jais", "given" : "P.", "non-dropping-particle" : "", "parse-names" : false, "suffix" : "" }, { "dropping-particle" : "", "family" : "Pasquie", "given" : "J.-L.", "non-dropping-particle" : "", "parse-names" : false, "suffix" : "" }, { "dropping-particle" : "", "family" : "Hocini", "given" : "M\u00e9l\u00e8ze", "non-dropping-particle" : "", "parse-names" : false, "suffix" : "" }, { "dropping-particle" : "", "family" : "Legal", "given" : "Fran\u00e7ois", "non-dropping-particle" : "", "parse-names" : false, "suffix" : "" }, { "dropping-particle" : "", "family" : "Defaye", "given" : "Pascal", "non-dropping-particle" : "", "parse-names" : false, "suffix" : "" }, { "dropping-particle" : "", "family" : "Boveda", "given" : "Serge", "non-dropping-particle" : "", "parse-names" : false, "suffix" : "" }, { "dropping-particle" : "", "family" : "Iesaka", "given" : "Yoshito", "non-dropping-particle" : "", "parse-names" : false, "suffix" : "" }, { "dropping-particle" : "", "family" : "Mabo", "given" : "Philippe", "non-dropping-particle" : "", "parse-names" : false, "suffix" : "" }, { "dropping-particle" : "", "family" : "Haissaguerre", "given" : "M.", "non-dropping-particle" : "", "parse-names" : false, "suffix" : "" }, { "dropping-particle" : "", "family" : "Ja\u00efs", "given" : "Pierre", "non-dropping-particle" : "", "parse-names" : false, "suffix" : "" }, { "dropping-particle" : "", "family" : "Pasqui\u00e9", "given" : "Jean-Luc Luc", "non-dropping-particle" : "", "parse-names" : false, "suffix" : "" }, { "dropping-particle" : "", "family" : "Hocini", "given" : "M\u00e9l\u00e8ze", "non-dropping-particle" : "", "parse-names" : false, "suffix" : "" }, { "dropping-particle" : "", "family" : "Legal", "given" : "Fran\u00e7ois", "non-dropping-particle" : "", "parse-names" : false, "suffix" : "" }, { "dropping-particle" : "", "family" : "Defaye", "given" : "Pascal", "non-dropping-particle" : "", "parse-names" : false, "suffix" : "" }, { "dropping-particle" : "", "family" : "Boveda", "given" : "Serge", "non-dropping-particle" : "", "parse-names" : false, "suffix" : "" }, { "dropping-particle" : "", "family" : "Iesaka", "given" : "Yoshito", "non-dropping-particle" : "", "parse-names" : false, "suffix" : "" }, { "dropping-particle" : "", "family" : "Mabo", "given" : "Philippe", "non-dropping-particle" : "", "parse-names" : false, "suffix" : "" }, { "dropping-particle" : "", "family" : "Ha\u00efssaguerre", "given" : "Michel", "non-dropping-particle" : "", "parse-names" : false, "suffix" : "" } ], "container-title" : "Circulation", "id" : "ITEM-1", "issued" : { "date-parts" : [ [ "2013", "8", "30" ] ] }, "page" : "1739-1747", "title" : "Outcome After Implantation of a Cardioverter-Defibrillator in Patients With Brugada Syndrome: A Multicenter Study-Part 2", "type" : "article-journal", "volume" : "128" }, "uris" : [ "http://www.mendeley.com/documents/?uuid=037b5d13-e241-4cd1-a743-20d3e416644b" ] } ], "mendeley" : { "formattedCitation" : "&lt;sup&gt;7&lt;/sup&gt;", "plainTextFormattedCitation" : "7", "previouslyFormattedCitation" : "&lt;sup&gt;7&lt;/sup&gt;" }, "properties" : {  }, "schema" : "https://github.com/citation-style-language/schema/raw/master/csl-citation.json" }</w:instrText>
      </w:r>
      <w:r w:rsidR="005D6754"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7</w:t>
      </w:r>
      <w:r w:rsidR="005D6754"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t>
      </w:r>
    </w:p>
    <w:p w14:paraId="2B721F08" w14:textId="7659D322"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In individuals who present with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an ICD is mandated given that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recurrence is the highest in this group</w:t>
      </w:r>
      <w:r w:rsidR="005D6754" w:rsidRPr="00566230">
        <w:rPr>
          <w:rFonts w:ascii="Times New Roman" w:hAnsi="Times New Roman" w:cs="Times New Roman"/>
          <w:sz w:val="24"/>
          <w:szCs w:val="24"/>
        </w:rPr>
        <w:fldChar w:fldCharType="begin" w:fldLock="1"/>
      </w:r>
      <w:r w:rsidR="005D6754" w:rsidRPr="00566230">
        <w:rPr>
          <w:rFonts w:ascii="Times New Roman" w:hAnsi="Times New Roman" w:cs="Times New Roman"/>
          <w:sz w:val="24"/>
          <w:szCs w:val="24"/>
        </w:rPr>
        <w:instrText>ADDIN CSL_CITATION { "citationItems" : [ { "id" : "ITEM-1",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"ITEM-1",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"mendeley" : { "formattedCitation" : "&lt;sup&gt;2&lt;/sup&gt;", "plainTextFormattedCitation" : "2", "previouslyFormattedCitation" : "&lt;sup&gt;2&lt;/sup&gt;" }, "properties" : {  }, "schema" : "https://github.com/citation-style-language/schema/raw/master/csl-citation.json" }</w:instrText>
      </w:r>
      <w:r w:rsidR="005D6754" w:rsidRPr="00566230">
        <w:rPr>
          <w:rFonts w:ascii="Times New Roman" w:hAnsi="Times New Roman" w:cs="Times New Roman"/>
          <w:sz w:val="24"/>
          <w:szCs w:val="24"/>
        </w:rPr>
        <w:fldChar w:fldCharType="separate"/>
      </w:r>
      <w:r w:rsidR="005D6754" w:rsidRPr="00566230">
        <w:rPr>
          <w:rFonts w:ascii="Times New Roman" w:hAnsi="Times New Roman" w:cs="Times New Roman"/>
          <w:noProof/>
          <w:sz w:val="24"/>
          <w:szCs w:val="24"/>
          <w:vertAlign w:val="superscript"/>
        </w:rPr>
        <w:t>2</w:t>
      </w:r>
      <w:r w:rsidR="005D6754"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Whilst these group of individuals have been stochastically fortunate to have survived their presenting event, and gained an ICD for life long protection, it is unclear if current risk markers would have identified such individuals for an ICD had they been assessed before their presenting event. In a post mortem analysis of 50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probands with a familial diagnosis of</w:t>
      </w:r>
      <w:r w:rsidR="00A33279" w:rsidRPr="00566230">
        <w:rPr>
          <w:rFonts w:ascii="Times New Roman" w:hAnsi="Times New Roman" w:cs="Times New Roman"/>
          <w:sz w:val="24"/>
          <w:szCs w:val="24"/>
        </w:rPr>
        <w:t xml:space="preserve"> </w:t>
      </w:r>
      <w:proofErr w:type="spellStart"/>
      <w:r w:rsidR="00A33279" w:rsidRPr="00566230">
        <w:rPr>
          <w:rFonts w:ascii="Times New Roman" w:hAnsi="Times New Roman" w:cs="Times New Roman"/>
          <w:sz w:val="24"/>
          <w:szCs w:val="24"/>
        </w:rPr>
        <w:t>Brugada</w:t>
      </w:r>
      <w:proofErr w:type="spellEnd"/>
      <w:r w:rsidR="00A33279" w:rsidRPr="00566230">
        <w:rPr>
          <w:rFonts w:ascii="Times New Roman" w:hAnsi="Times New Roman" w:cs="Times New Roman"/>
          <w:sz w:val="24"/>
          <w:szCs w:val="24"/>
        </w:rPr>
        <w:t xml:space="preserve"> Syndrome</w:t>
      </w:r>
      <w:r w:rsidRPr="00566230">
        <w:rPr>
          <w:rFonts w:ascii="Times New Roman" w:hAnsi="Times New Roman" w:cs="Times New Roman"/>
          <w:sz w:val="24"/>
          <w:szCs w:val="24"/>
        </w:rPr>
        <w:t xml:space="preserve"> </w:t>
      </w:r>
      <w:r w:rsidR="00A33279" w:rsidRPr="00566230">
        <w:rPr>
          <w:rFonts w:ascii="Times New Roman" w:hAnsi="Times New Roman" w:cs="Times New Roman"/>
          <w:sz w:val="24"/>
          <w:szCs w:val="24"/>
        </w:rPr>
        <w:t>(</w:t>
      </w:r>
      <w:proofErr w:type="spellStart"/>
      <w:r w:rsidRPr="00566230">
        <w:rPr>
          <w:rFonts w:ascii="Times New Roman" w:hAnsi="Times New Roman" w:cs="Times New Roman"/>
          <w:sz w:val="24"/>
          <w:szCs w:val="24"/>
        </w:rPr>
        <w:t>BrS</w:t>
      </w:r>
      <w:proofErr w:type="spellEnd"/>
      <w:r w:rsidR="00A33279" w:rsidRPr="00566230">
        <w:rPr>
          <w:rFonts w:ascii="Times New Roman" w:hAnsi="Times New Roman" w:cs="Times New Roman"/>
          <w:sz w:val="24"/>
          <w:szCs w:val="24"/>
        </w:rPr>
        <w:t>)</w:t>
      </w:r>
      <w:r w:rsidRPr="00566230">
        <w:rPr>
          <w:rFonts w:ascii="Times New Roman" w:hAnsi="Times New Roman" w:cs="Times New Roman"/>
          <w:sz w:val="24"/>
          <w:szCs w:val="24"/>
        </w:rPr>
        <w:t>, fewer than 25% had a prior history of syncope or spontaneous Type I pattern on ECG</w:t>
      </w:r>
      <w:r w:rsidR="005D6754"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"10.1016/j.jacc.2010.11.067", "ISSN" : "1558-3597", "PMID" : "21636035", "abstract" : "OBJECTIVES: The objective of this study was to determine the prevalence of conventional risk factors in sudden arrhythmic death syndrome (SADS) probands with Brugada syndrome (BrS). BACKGROUND: Patients with BrS and previous aborted sudden cardiac death (SCD) are at high risk of recurrent events. Other universally accepted clinical features associated with higher risk include unheralded syncope and the presence of a spontaneous type 1 electrocardiogram (ECG). METHODS: We analyzed reported symptoms and reviewed ECGs from SADS probands with familial diagnoses of BrS, established by cardiological evaluation, including ECG, 2-dimensional echocardiography, Holter monitoring, exercise tolerance testing, and ajmaline provocation. These cases underwent familial evaluation between 2003 and 2010. RESULTS: A total of 49 consecutive families with a confirmed SADS death and a diagnosis of BrS were evaluated, comprising assessment of 202 family members in total. One family had 2 members with SADS, resulting in a total of 50 probands included. Mean age of death of probands was 29.1 \u00b1 10.6 years, with 41 males (82%) (p &lt; 0.05). Antemortem ECGs were available for 5 SADS probands, 1 of which demonstrated a spontaneous type 1 pattern. In 45 probands, symptoms before death were reported reliably by family members. Of these, 9 (20%) had experienced at least 1 syncopal episode before the fatal event. Importantly, 68% of probands would not have fulfilled any current criteria for consideration of implantable cardioverter-defibrillator. CONCLUSIONS: The \"low-risk\" asymptomatic BrS group comprises the majority of SCD in this cohort. Current risk stratification would appear to be inadequate, and new markers of risk are vital.", "author" : [ { "dropping-particle" : "", "family" : "Raju", "given" : "Hariharan", "non-dropping-particle" : "", "parse-names" : false, "suffix" : "" }, { "dropping-particle" : "", "family" : "Papadakis", "given" : "Michael", "non-dropping-particle" : "", "parse-names" : false, "suffix" : "" }, { "dropping-particle" : "", "family" : "Govindan", "given" : "Malini", "non-dropping-particle" : "", "parse-names" : false, "suffix" : "" }, { "dropping-particle" : "", "family" : "Bastiaenen", "given" : "Rachel", "non-dropping-particle" : "", "parse-names" : false, "suffix" : "" }, { "dropping-particle" : "", "family" : "Chandra", "given" : "Navin", "non-dropping-particle" : "", "parse-names" : false, "suffix" : "" }, { "dropping-particle" : "", "family" : "O'Sullivan", "given" : "Ann", "non-dropping-particle" : "", "parse-names" : false, "suffix" : "" }, { "dropping-particle" : "", "family" : "Baines", "given" : "Georgina", "non-dropping-particle" : "", "parse-names" : false, "suffix" : "" }, { "dropping-particle" : "", "family" : "Sharma", "given" : "Sanjay", "non-dropping-particle" : "", "parse-names" : false, "suffix" : "" }, { "dropping-particle" : "", "family" : "Behr", "given" : "Elijah R", "non-dropping-particle" : "", "parse-names" : false, "suffix" : "" } ], "container-title" : "Journal of the American College of Cardiology", "id" : "ITEM-1", "issued" : { "date-parts" : [ [ "2011", "6", "7" ] ] }, "page" : "2340-2345", "publisher" : "Elsevier Inc.", "title" : "Low prevalence of risk markers in cases of sudden death due to Brugada syndrome relevance to risk stratification in Brugada syndrome.", "type" : "article-journal", "volume" : "57" }, "uris" : [ "http://www.mendeley.com/documents/?uuid=e4a7d4be-1c44-490c-aa82-8ed84ee31542" ] } ], "mendeley" : { "formattedCitation" : "&lt;sup&gt;8&lt;/sup&gt;", "plainTextFormattedCitation" : "8", "previouslyFormattedCitation" : "&lt;sup&gt;8&lt;/sup&gt;" }, "properties" : {  }, "schema" : "https://github.com/citation-style-language/schema/raw/master/csl-citation.json" }</w:instrText>
      </w:r>
      <w:r w:rsidR="005D6754"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8</w:t>
      </w:r>
      <w:r w:rsidR="005D6754"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This introduces an important observation that a substantial number of truly high risk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do not have the conventional markers of risk employed by current guidelines. Other ECG based parameters, such as </w:t>
      </w:r>
      <w:proofErr w:type="spellStart"/>
      <w:r w:rsidRPr="00566230">
        <w:rPr>
          <w:rFonts w:ascii="Times New Roman" w:hAnsi="Times New Roman" w:cs="Times New Roman"/>
          <w:sz w:val="24"/>
          <w:szCs w:val="24"/>
        </w:rPr>
        <w:t>i</w:t>
      </w:r>
      <w:proofErr w:type="spellEnd"/>
      <w:r w:rsidRPr="00566230">
        <w:rPr>
          <w:rFonts w:ascii="Times New Roman" w:hAnsi="Times New Roman" w:cs="Times New Roman"/>
          <w:sz w:val="24"/>
          <w:szCs w:val="24"/>
        </w:rPr>
        <w:t xml:space="preserve">) presence of late potentials on </w:t>
      </w:r>
      <w:r w:rsidR="00A33279" w:rsidRPr="00566230">
        <w:rPr>
          <w:rFonts w:ascii="Times New Roman" w:hAnsi="Times New Roman" w:cs="Times New Roman"/>
          <w:sz w:val="24"/>
          <w:szCs w:val="24"/>
        </w:rPr>
        <w:t>signal averaged ECG (</w:t>
      </w:r>
      <w:r w:rsidRPr="00566230">
        <w:rPr>
          <w:rFonts w:ascii="Times New Roman" w:hAnsi="Times New Roman" w:cs="Times New Roman"/>
          <w:sz w:val="24"/>
          <w:szCs w:val="24"/>
        </w:rPr>
        <w:t>SAECG</w:t>
      </w:r>
      <w:r w:rsidR="00A33279" w:rsidRPr="00566230">
        <w:rPr>
          <w:rFonts w:ascii="Times New Roman" w:hAnsi="Times New Roman" w:cs="Times New Roman"/>
          <w:sz w:val="24"/>
          <w:szCs w:val="24"/>
        </w:rPr>
        <w:t>)</w:t>
      </w:r>
      <w:r w:rsidRPr="00566230">
        <w:rPr>
          <w:rFonts w:ascii="Times New Roman" w:hAnsi="Times New Roman" w:cs="Times New Roman"/>
          <w:sz w:val="24"/>
          <w:szCs w:val="24"/>
        </w:rPr>
        <w:t xml:space="preserve"> ii) </w:t>
      </w:r>
      <w:r w:rsidR="00A33279" w:rsidRPr="00566230">
        <w:rPr>
          <w:rFonts w:ascii="Times New Roman" w:hAnsi="Times New Roman" w:cs="Times New Roman"/>
          <w:sz w:val="24"/>
          <w:szCs w:val="24"/>
        </w:rPr>
        <w:t>fractionated QRS (</w:t>
      </w:r>
      <w:proofErr w:type="spellStart"/>
      <w:r w:rsidRPr="00566230">
        <w:rPr>
          <w:rFonts w:ascii="Times New Roman" w:hAnsi="Times New Roman" w:cs="Times New Roman"/>
          <w:sz w:val="24"/>
          <w:szCs w:val="24"/>
        </w:rPr>
        <w:t>fQRS</w:t>
      </w:r>
      <w:proofErr w:type="spellEnd"/>
      <w:r w:rsidR="00A33279" w:rsidRPr="00566230">
        <w:rPr>
          <w:rFonts w:ascii="Times New Roman" w:hAnsi="Times New Roman" w:cs="Times New Roman"/>
          <w:sz w:val="24"/>
          <w:szCs w:val="24"/>
        </w:rPr>
        <w:t>)</w:t>
      </w:r>
      <w:r w:rsidRPr="00566230">
        <w:rPr>
          <w:rFonts w:ascii="Times New Roman" w:hAnsi="Times New Roman" w:cs="Times New Roman"/>
          <w:sz w:val="24"/>
          <w:szCs w:val="24"/>
        </w:rPr>
        <w:t xml:space="preserve"> iii) a deep or wide S wave or iv) </w:t>
      </w:r>
      <w:r w:rsidR="00A33279" w:rsidRPr="00566230">
        <w:rPr>
          <w:rFonts w:ascii="Times New Roman" w:hAnsi="Times New Roman" w:cs="Times New Roman"/>
          <w:sz w:val="24"/>
          <w:szCs w:val="24"/>
        </w:rPr>
        <w:t>early repolarization (</w:t>
      </w:r>
      <w:r w:rsidRPr="00566230">
        <w:rPr>
          <w:rFonts w:ascii="Times New Roman" w:hAnsi="Times New Roman" w:cs="Times New Roman"/>
          <w:sz w:val="24"/>
          <w:szCs w:val="24"/>
        </w:rPr>
        <w:t>ER</w:t>
      </w:r>
      <w:r w:rsidR="00A33279" w:rsidRPr="00566230">
        <w:rPr>
          <w:rFonts w:ascii="Times New Roman" w:hAnsi="Times New Roman" w:cs="Times New Roman"/>
          <w:sz w:val="24"/>
          <w:szCs w:val="24"/>
        </w:rPr>
        <w:t>)</w:t>
      </w:r>
      <w:r w:rsidRPr="00566230">
        <w:rPr>
          <w:rFonts w:ascii="Times New Roman" w:hAnsi="Times New Roman" w:cs="Times New Roman"/>
          <w:sz w:val="24"/>
          <w:szCs w:val="24"/>
        </w:rPr>
        <w:t xml:space="preserve"> pattern, have been shown to be associated with a more malignant course in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but it remains unclear if these parameters can improve on current risk stratification</w:t>
      </w:r>
      <w:r w:rsidR="005D6754"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"10.1016/j.hrthm.2015.08.038", "ISSN" : "15475271", "author" : [ { "dropping-particle" : "", "family" : "Adler", "given" : "Arnon", "non-dropping-particle" : "", "parse-names" : false, "suffix" : "" }, { "dropping-particle" : "", "family" : "Rosso", "given" : "Raphael", "non-dropping-particle" : "", "parse-names" : false, "suffix" : "" }, { "dropping-particle" : "", "family" : "Chorin", "given" : "Ehud", "non-dropping-particle" : "", "parse-names" : false, "suffix" : "" }, { "dropping-particle" : "", "family" : "Havakuk", "given" : "Ofer", "non-dropping-particle" : "", "parse-names" : false, "suffix" : "" }, { "dropping-particle" : "", "family" : "Antzelevitch", "given" : "Charles", "non-dropping-particle" : "", "parse-names" : false, "suffix" : "" }, { "dropping-particle" : "", "family" : "Viskin", "given" : "Sami", "non-dropping-particle" : "", "parse-names" : false, "suffix" : "" } ], "container-title" : "Heart Rhythm", "id" : "ITEM-1", "issued" : { "date-parts" : [ [ "2016" ] ] }, "page" : "299-310", "title" : "Risk stratification in Brugada syndrome: Clinical characteristics, electrocardiographic parameters, and auxiliary testing", "type" : "article-journal", "volume" : "13" }, "uris" : [ "http://www.mendeley.com/documents/?uuid=db297a4e-5ea7-4251-aec3-84dea13f33d9" ] } ], "mendeley" : { "formattedCitation" : "&lt;sup&gt;9&lt;/sup&gt;", "plainTextFormattedCitation" : "9", "previouslyFormattedCitation" : "&lt;sup&gt;9&lt;/sup&gt;" }, "properties" : {  }, "schema" : "https://github.com/citation-style-language/schema/raw/master/csl-citation.json" }</w:instrText>
      </w:r>
      <w:r w:rsidR="005D6754"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9</w:t>
      </w:r>
      <w:r w:rsidR="005D6754" w:rsidRPr="00566230">
        <w:rPr>
          <w:rFonts w:ascii="Times New Roman" w:hAnsi="Times New Roman" w:cs="Times New Roman"/>
          <w:sz w:val="24"/>
          <w:szCs w:val="24"/>
        </w:rPr>
        <w:fldChar w:fldCharType="end"/>
      </w:r>
      <w:r w:rsidR="00A33279" w:rsidRPr="00566230">
        <w:rPr>
          <w:rFonts w:ascii="Times New Roman" w:hAnsi="Times New Roman" w:cs="Times New Roman"/>
          <w:sz w:val="24"/>
          <w:szCs w:val="24"/>
          <w:vertAlign w:val="superscript"/>
        </w:rPr>
        <w:t>,</w:t>
      </w:r>
      <w:r w:rsidR="005D6754"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"10.1016/j.jacc.2014.01.072", "ISSN" : "15583597", "PMID" : "24703917", "abstract" : "Objectives This study aimed to determine the usefulness of the combination of several electrocardiographic markers on risk assessment of ventricular fibrillation (VF) in patients with Brugada syndrome (BrS). Background Detection of high-/low-risk BrS patients using a noninvasive method is an important issue in the clinical setting. Several electrocardiographic markers related to depolarization and repolarization abnormalities have been reported, but the relationship and usefulness of these parameters in VF events are unclear. Methods Baseline characteristics of 246 consecutive patients (236 men; mean age, 47.6 \u00b1 13.6 years) with a Brugada-type electrocardiogram, including 13 patients with a history of VF and 40 patients with a history of syncope episodes, were retrospectively analyzed. During the mean follow-up period of 45.1 months, VF in 23 patients and sudden cardiac death (SCD) in 1 patient were observed. Clinical/genetic and electrocardiographic parameters were compared with VF/SCD events. Results On univariate analysis, a history of VF and syncope episodes, paroxysmal atrial fibrillation, spontaneous type 1 pattern in the precordial leads, and electrocardiographic markers of depolarization abnormalities (QRS duration &gt;120 ms, and fragmented QRS [f-QRS]) and those of repolarization abnormalities (inferolateral early repolarization [ER] pattern and QT prolongation) were associated with later cardiac events. On multivariable analysis, a history of VF and syncope episodes, inferolateral ER pattern, and f-QRS were independent predictors of documented VF and SCD (odds ratios: 19.61, 28.57, 2.87, and 5.21, respectively; p &lt; 0.05). Kaplan-Meier curves showed that the presence/absence of inferolateral ER and f-QRS predicted a worse/better prognosis (log-rank test, p &lt; 0.01). Conclusions The combination of depolarization and repolarization abnormalities in BrS is associated with later VF events. The combination of these abnormalities is useful for detecting high- and low-risk BrS patients. \u00a9 \u00a9 2014 by the American College of Cardiology Foundation Published by Elsevier Inc.", "author" : [ { "dropping-particle" : "", "family" : "Tokioka", "given" : "Koji", "non-dropping-particle" : "", "parse-names" : false, "suffix" : "" }, { "dropping-particle" : "", "family" : "Kusano", "given" : "Kengo F.", "non-dropping-particle" : "", "parse-names" : false, "suffix" : "" }, { "dropping-particle" : "", "family" : "Morita", "given" : "Hiroshi", "non-dropping-particle" : "", "parse-names" : false, "suffix" : "" }, { "dropping-particle" : "", "family" : "Miura", "given" : "Daiji", "non-dropping-particle" : "", "parse-names" : false, "suffix" : "" }, { "dropping-particle" : "", "family" : "Nishii", "given" : "Nobuhiro", "non-dropping-particle" : "", "parse-names" : false, "suffix" : "" }, { "dropping-particle" : "", "family" : "Nagase", "given" : "Satoshi", "non-dropping-particle" : "", "parse-names" : false, "suffix" : "" }, { "dropping-particle" : "", "family" : "Nakamura", "given" : "Kazufumi", "non-dropping-particle" : "", "parse-names" : false, "suffix" : "" }, { "dropping-particle" : "", "family" : "Kohno", "given" : "Kunihisa", "non-dropping-particle" : "", "parse-names" : false, "suffix" : "" }, { "dropping-particle" : "", "family" : "Ito", "given" : "Hiroshi", "non-dropping-particle" : "", "parse-names" : false, "suffix" : "" }, { "dropping-particle" : "", "family" : "Ohe", "given" : "Tohru", "non-dropping-particle" : "", "parse-names" : false, "suffix" : "" }, { "dropping-particle" : "", "family" : "Abnormalities", "given" : "Repolarization", "non-dropping-particle" : "", "parse-names" : false, "suffix" : "" } ], "container-title" : "Journal of the American College of Cardiology", "id" : "ITEM-1", "issued" : { "date-parts" : [ [ "2014" ] ] }, "page" : "2131-2138", "title" : "Electrocardiographic Parameters and Fatal Arrhythmic Events in Patients With Brugada Syndrome Combination of Depolarization and", "type" : "article-journal", "volume" : "63" }, "uris" : [ "http://www.mendeley.com/documents/?uuid=c563da70-761d-4c06-8f6e-d2bf2764d7f8" ] } ], "mendeley" : { "formattedCitation" : "&lt;sup&gt;10&lt;/sup&gt;", "plainTextFormattedCitation" : "10", "previouslyFormattedCitation" : "&lt;sup&gt;10&lt;/sup&gt;" }, "properties" : {  }, "schema" : "https://github.com/citation-style-language/schema/raw/master/csl-citation.json" }</w:instrText>
      </w:r>
      <w:r w:rsidR="005D6754"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10</w:t>
      </w:r>
      <w:r w:rsidR="005D6754"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t>
      </w:r>
    </w:p>
    <w:p w14:paraId="541D3525" w14:textId="0EFA9C77"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In a retrospective analysis of our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cohort, we determine the prevalence of conventional and newer ECG risk markers in those with and without previous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and evaluate the performance of current guidelines to detect the high risk. Based on previous data reported </w:t>
      </w:r>
      <w:r w:rsidRPr="00566230">
        <w:rPr>
          <w:rFonts w:ascii="Times New Roman" w:hAnsi="Times New Roman" w:cs="Times New Roman"/>
          <w:sz w:val="24"/>
          <w:szCs w:val="24"/>
        </w:rPr>
        <w:lastRenderedPageBreak/>
        <w:t xml:space="preserve">in the literature, we hypothesize a low prevalence of conventional risk markers in those with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and a limited discriminating ability using current criteria. </w:t>
      </w:r>
    </w:p>
    <w:p w14:paraId="7F8CB1F7" w14:textId="77777777" w:rsidR="006D56D5" w:rsidRPr="00566230" w:rsidRDefault="006D56D5" w:rsidP="006D56D5">
      <w:pPr>
        <w:spacing w:line="480" w:lineRule="auto"/>
        <w:rPr>
          <w:rFonts w:ascii="Times New Roman" w:hAnsi="Times New Roman" w:cs="Times New Roman"/>
          <w:sz w:val="24"/>
          <w:szCs w:val="24"/>
        </w:rPr>
      </w:pPr>
      <w:r w:rsidRPr="00566230">
        <w:rPr>
          <w:rFonts w:ascii="Times New Roman" w:hAnsi="Times New Roman" w:cs="Times New Roman"/>
          <w:b/>
          <w:sz w:val="24"/>
          <w:szCs w:val="24"/>
        </w:rPr>
        <w:t>Methods</w:t>
      </w:r>
    </w:p>
    <w:p w14:paraId="539455A7" w14:textId="77777777" w:rsidR="006D56D5" w:rsidRPr="00566230" w:rsidRDefault="006D56D5" w:rsidP="006D56D5">
      <w:pPr>
        <w:spacing w:line="480" w:lineRule="auto"/>
        <w:jc w:val="both"/>
        <w:rPr>
          <w:rFonts w:ascii="Times New Roman" w:hAnsi="Times New Roman" w:cs="Times New Roman"/>
          <w:i/>
          <w:sz w:val="24"/>
          <w:szCs w:val="24"/>
        </w:rPr>
      </w:pPr>
      <w:r w:rsidRPr="00566230">
        <w:rPr>
          <w:rFonts w:ascii="Times New Roman" w:hAnsi="Times New Roman" w:cs="Times New Roman"/>
          <w:i/>
          <w:sz w:val="24"/>
          <w:szCs w:val="24"/>
        </w:rPr>
        <w:t>Study population and design</w:t>
      </w:r>
    </w:p>
    <w:p w14:paraId="7CA6CA7F" w14:textId="00D1CB95" w:rsidR="006D56D5" w:rsidRPr="00566230" w:rsidRDefault="006D56D5" w:rsidP="00591269">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The study population consisted of patients with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aged above 18 years under follow up at our centre. The diagnosis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was based on the finding of a </w:t>
      </w:r>
      <w:r w:rsidR="00591269" w:rsidRPr="00566230">
        <w:rPr>
          <w:rFonts w:ascii="Times New Roman" w:hAnsi="Times New Roman" w:cs="Times New Roman"/>
          <w:sz w:val="24"/>
          <w:szCs w:val="24"/>
        </w:rPr>
        <w:t xml:space="preserve">spontaneous or a pharmacologically induced </w:t>
      </w:r>
      <w:r w:rsidRPr="00566230">
        <w:rPr>
          <w:rFonts w:ascii="Times New Roman" w:hAnsi="Times New Roman" w:cs="Times New Roman"/>
          <w:sz w:val="24"/>
          <w:szCs w:val="24"/>
        </w:rPr>
        <w:t xml:space="preserve">Type I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pattern</w:t>
      </w:r>
      <w:r w:rsidR="00591269" w:rsidRPr="00566230">
        <w:rPr>
          <w:rFonts w:ascii="Times New Roman" w:hAnsi="Times New Roman" w:cs="Times New Roman"/>
          <w:sz w:val="24"/>
          <w:szCs w:val="24"/>
        </w:rPr>
        <w:t xml:space="preserve"> with coved ST segment elevation ≥2mm in ≥1 right precordial leads as </w:t>
      </w:r>
      <w:r w:rsidRPr="00566230">
        <w:rPr>
          <w:rFonts w:ascii="Times New Roman" w:hAnsi="Times New Roman" w:cs="Times New Roman"/>
          <w:sz w:val="24"/>
          <w:szCs w:val="24"/>
        </w:rPr>
        <w:t>defined previously</w:t>
      </w:r>
      <w:r w:rsidR="00591269" w:rsidRPr="00566230">
        <w:rPr>
          <w:rFonts w:ascii="Times New Roman" w:hAnsi="Times New Roman" w:cs="Times New Roman"/>
          <w:sz w:val="24"/>
          <w:szCs w:val="24"/>
        </w:rPr>
        <w:t xml:space="preserve"> </w:t>
      </w:r>
      <w:r w:rsidR="00A33279" w:rsidRPr="00566230">
        <w:rPr>
          <w:rFonts w:ascii="Times New Roman" w:hAnsi="Times New Roman" w:cs="Times New Roman"/>
          <w:sz w:val="24"/>
          <w:szCs w:val="24"/>
        </w:rPr>
        <w:fldChar w:fldCharType="begin" w:fldLock="1"/>
      </w:r>
      <w:r w:rsidR="00A33279" w:rsidRPr="00566230">
        <w:rPr>
          <w:rFonts w:ascii="Times New Roman" w:hAnsi="Times New Roman" w:cs="Times New Roman"/>
          <w:sz w:val="24"/>
          <w:szCs w:val="24"/>
        </w:rPr>
        <w:instrText>ADDIN CSL_CITATION { "citationItems" : [ { "id" : "ITEM-1", "itemData" : { "DOI" : "10.1016/j.hrthm.2013.05.014", "ISBN" : "1556-3871 (Electronic)\\n1547-5271 (Linking)", "ISSN" : "15475271", "PMID" : "24011539", "abstract" : "Tesi CPVT", "author" : [ { "dropping-particle" : "", "family" : "Priori", "given" : "Silvia G.", "non-dropping-particle" : "", "parse-names" : false, "suffix" : "" }, { "dropping-particle" : "", "family" : "Wilde", "given" : "Arthur A.", "non-dropping-particle" : "", "parse-names" : false, "suffix" : "" }, { "dropping-particle" : "", "family" : "Horie", "given" : "Minoru", "non-dropping-particle" : "", "parse-names" : false, "suffix" : "" }, { "dropping-particle" : "", "family" : "Cho", "given" : "Yongkeun", "non-dropping-particle" : "", "parse-names" : false, "suffix" : "" }, { "dropping-particle" : "", "family" : "Behr", "given" : "Elijah R.", "non-dropping-particle" : "", "parse-names" : false, "suffix" : "" }, { "dropping-particle" : "", "family" : "Berul", "given" : "Charles", "non-dropping-particle" : "", "parse-names" : false, "suffix" : "" }, { "dropping-particle" : "", "family" : "Blom", "given" : "Nico", "non-dropping-particle" : "", "parse-names" : false, "suffix" : "" }, { "dropping-particle" : "", "family" : "Brugada", "given" : "Josep", "non-dropping-particle" : "", "parse-names" : false, "suffix" : "" }, { "dropping-particle" : "", "family" : "Chiang", "given" : "Chern En", "non-dropping-particle" : "", "parse-names" : false, "suffix" : "" }, { "dropping-particle" : "", "family" : "Huikuri", "given" : "Heikki", "non-dropping-particle" : "", "parse-names" : false, "suffix" : "" }, { "dropping-particle" : "", "family" : "Kannankeril", "given" : "Prince", "non-dropping-particle" : "", "parse-names" : false, "suffix" : "" }, { "dropping-particle" : "", "family" : "Krahn", "given" : "Andrew", "non-dropping-particle" : "", "parse-names" : false, "suffix" : "" }, { "dropping-particle" : "", "family" : "Leenhardt", "given" : "Antoine", "non-dropping-particle" : "", "parse-names" : false, "suffix" : "" }, { "dropping-particle" : "", "family" : "Moss", "given" : "Arthur", "non-dropping-particle" : "", "parse-names" : false, "suffix" : "" }, { "dropping-particle" : "", "family" : "Schwartz", "given" : "Peter J.", "non-dropping-particle" : "", "parse-names" : false, "suffix" : "" }, { "dropping-particle" : "", "family" : "Shimizu", "given" : "Wataru", "non-dropping-particle" : "", "parse-names" : false, "suffix" : "" }, { "dropping-particle" : "", "family" : "Tomaselli", "given" : "Gordon", "non-dropping-particle" : "", "parse-names" : false, "suffix" : "" }, { "dropping-particle" : "", "family" : "Tracy", "given" : "Cynthia", "non-dropping-particle" : "", "parse-names" : false, "suffix" : "" } ], "container-title" : "Heart Rhythm", "id" : "ITEM-1", "issued" : { "date-parts" : [ [ "2013" ] ] }, "title" : "HRS/EHRA/APHRS Expert Consensus Statement on the Diagnosis and Management of Patients with Inherited Primary Arrhythmia Syndromes: Document endorsed by HRS, EHRA, and APHRS in May 2013 and by ACCF, AHA, PACES, and AEPC in June 2013.", "type" : "article-journal" }, "uris" : [ "http://www.mendeley.com/documents/?uuid=42b375e4-bc92-3872-a9bd-964a494080e8" ] } ], "mendeley" : { "formattedCitation" : "&lt;sup&gt;4&lt;/sup&gt;", "plainTextFormattedCitation" : "4", "previouslyFormattedCitation" : "&lt;sup&gt;4&lt;/sup&gt;" }, "properties" : {  }, "schema" : "https://github.com/citation-style-language/schema/raw/master/csl-citation.json" }</w:instrText>
      </w:r>
      <w:r w:rsidR="00A33279" w:rsidRPr="00566230">
        <w:rPr>
          <w:rFonts w:ascii="Times New Roman" w:hAnsi="Times New Roman" w:cs="Times New Roman"/>
          <w:sz w:val="24"/>
          <w:szCs w:val="24"/>
        </w:rPr>
        <w:fldChar w:fldCharType="separate"/>
      </w:r>
      <w:r w:rsidR="00A33279" w:rsidRPr="00566230">
        <w:rPr>
          <w:rFonts w:ascii="Times New Roman" w:hAnsi="Times New Roman" w:cs="Times New Roman"/>
          <w:noProof/>
          <w:sz w:val="24"/>
          <w:szCs w:val="24"/>
          <w:vertAlign w:val="superscript"/>
        </w:rPr>
        <w:t>4</w:t>
      </w:r>
      <w:r w:rsidR="00A33279"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t>
      </w:r>
      <w:bookmarkStart w:id="0" w:name="_Hlk524302581"/>
      <w:r w:rsidR="004F0B60" w:rsidRPr="00566230">
        <w:rPr>
          <w:rFonts w:ascii="Times New Roman" w:hAnsi="Times New Roman" w:cs="Times New Roman"/>
          <w:sz w:val="24"/>
          <w:szCs w:val="24"/>
        </w:rPr>
        <w:t xml:space="preserve">The diagnosis of </w:t>
      </w:r>
      <w:proofErr w:type="spellStart"/>
      <w:r w:rsidR="004F0B60" w:rsidRPr="00566230">
        <w:rPr>
          <w:rFonts w:ascii="Times New Roman" w:hAnsi="Times New Roman" w:cs="Times New Roman"/>
          <w:sz w:val="24"/>
          <w:szCs w:val="24"/>
        </w:rPr>
        <w:t>BrS</w:t>
      </w:r>
      <w:proofErr w:type="spellEnd"/>
      <w:r w:rsidR="004F0B60" w:rsidRPr="00566230">
        <w:rPr>
          <w:rFonts w:ascii="Times New Roman" w:hAnsi="Times New Roman" w:cs="Times New Roman"/>
          <w:sz w:val="24"/>
          <w:szCs w:val="24"/>
        </w:rPr>
        <w:t xml:space="preserve"> was also validated with the Shanghai scoring system </w:t>
      </w:r>
      <w:bookmarkEnd w:id="0"/>
      <w:r w:rsidR="004F0B60"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"10.1016/j.hrthm.2016.05.024", "ISSN" : "1547-5271", "author" : [ { "dropping-particle" : "", "family" : "Antzelevitch", "given" : "Charles", "non-dropping-particle" : "", "parse-names" : false, "suffix" : "" }, { "dropping-particle" : "", "family" : "Yan", "given" : "Gan-Xin", "non-dropping-particle" : "", "parse-names" : false, "suffix" : "" }, { "dropping-particle" : "", "family" : "Ackerman", "given" : "Michael J", "non-dropping-particle" : "", "parse-names" : false, "suffix" : "" }, { "dropping-particle" : "", "family" : "Borggrefe", "given" : "Martin", "non-dropping-particle" : "", "parse-names" : false, "suffix" : "" }, { "dropping-particle" : "", "family" : "Corrado", "given" : "Domenico", "non-dropping-particle" : "", "parse-names" : false, "suffix" : "" }, { "dropping-particle" : "", "family" : "Guo", "given" : "Jihong", "non-dropping-particle" : "", "parse-names" : false, "suffix" : "" }, { "dropping-particle" : "", "family" : "Gussak", "given" : "Ihor", "non-dropping-particle" : "", "parse-names" : false, "suffix" : "" }, { "dropping-particle" : "", "family" : "Hasdemir", "given" : "Can", "non-dropping-particle" : "", "parse-names" : false, "suffix" : "" }, { "dropping-particle" : "", "family" : "Horie", "given" : "Minoru", "non-dropping-particle" : "", "parse-names" : false, "suffix" : "" }, { "dropping-particle" : "", "family" : "Huikuri", "given" : "Heikki", "non-dropping-particle" : "", "parse-names" : false, "suffix" : "" }, { "dropping-particle" : "", "family" : "Ma", "given" : "Changsheng", "non-dropping-particle" : "", "parse-names" : false, "suffix" : "" }, { "dropping-particle" : "", "family" : "Morita", "given" : "Hiroshi", "non-dropping-particle" : "", "parse-names" : false, "suffix" : "" }, { "dropping-particle" : "", "family" : "Nam", "given" : "Gi-Byoung", "non-dropping-particle" : "", "parse-names" : false, "suffix" : "" }, { "dropping-particle" : "", "family" : "Sacher", "given" : "Frederic", "non-dropping-particle" : "", "parse-names" : false, "suffix" : "" }, { "dropping-particle" : "", "family" : "Shimizu", "given" : "Wataru", "non-dropping-particle" : "", "parse-names" : false, "suffix" : "" }, { "dropping-particle" : "", "family" : "Viskin", "given" : "Sami", "non-dropping-particle" : "", "parse-names" : false, "suffix" : "" }, { "dropping-particle" : "", "family" : "Wilde", "given" : "Arthur A M", "non-dropping-particle" : "", "parse-names" : false, "suffix" : "" } ], "container-title" : "Heart Rhythm", "id" : "ITEM-1", "issue" : "10", "issued" : { "date-parts" : [ [ "2016", "10", "1" ] ] }, "note" : "doi: 10.1016/j.hrthm.2016.05.024", "page" : "e295-e324", "publisher" : "Elsevier", "title" : "J-Wave syndromes expert consensus conference report: Emerging concepts and gaps in knowledge", "type" : "article-journal", "volume" : "13" }, "uris" : [ "http://www.mendeley.com/documents/?uuid=bd4c259e-98a1-4283-92e0-39e814826b4f" ] } ], "mendeley" : { "formattedCitation" : "&lt;sup&gt;11&lt;/sup&gt;", "plainTextFormattedCitation" : "11", "previouslyFormattedCitation" : "&lt;sup&gt;11&lt;/sup&gt;" }, "properties" : {  }, "schema" : "https://github.com/citation-style-language/schema/raw/master/csl-citation.json" }</w:instrText>
      </w:r>
      <w:r w:rsidR="004F0B60"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11</w:t>
      </w:r>
      <w:r w:rsidR="004F0B60" w:rsidRPr="00566230">
        <w:rPr>
          <w:rFonts w:ascii="Times New Roman" w:hAnsi="Times New Roman" w:cs="Times New Roman"/>
          <w:sz w:val="24"/>
          <w:szCs w:val="24"/>
        </w:rPr>
        <w:fldChar w:fldCharType="end"/>
      </w:r>
      <w:r w:rsidR="004F0B60"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The risk profile of each patient was ascertained following a retrospective review of clinical records and ECG data for each patient. Clinical and ICD data ranging from date of first contact to most recent follow up were reviewed for the occurrence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This was until the study’s censure date set as the 1</w:t>
      </w:r>
      <w:r w:rsidRPr="00566230">
        <w:rPr>
          <w:rFonts w:ascii="Times New Roman" w:hAnsi="Times New Roman" w:cs="Times New Roman"/>
          <w:sz w:val="24"/>
          <w:szCs w:val="24"/>
          <w:vertAlign w:val="superscript"/>
        </w:rPr>
        <w:t>st</w:t>
      </w:r>
      <w:r w:rsidRPr="00566230">
        <w:rPr>
          <w:rFonts w:ascii="Times New Roman" w:hAnsi="Times New Roman" w:cs="Times New Roman"/>
          <w:sz w:val="24"/>
          <w:szCs w:val="24"/>
        </w:rPr>
        <w:t xml:space="preserve"> of May 2017. Patients with a prior history of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were also included in the analysis. </w:t>
      </w:r>
    </w:p>
    <w:p w14:paraId="25B35A62" w14:textId="77777777" w:rsidR="0041611C" w:rsidRPr="00566230" w:rsidRDefault="0041611C" w:rsidP="006D56D5">
      <w:pPr>
        <w:spacing w:line="480" w:lineRule="auto"/>
        <w:jc w:val="both"/>
        <w:rPr>
          <w:rFonts w:ascii="Times New Roman" w:hAnsi="Times New Roman" w:cs="Times New Roman"/>
          <w:i/>
          <w:sz w:val="24"/>
          <w:szCs w:val="24"/>
        </w:rPr>
      </w:pPr>
    </w:p>
    <w:p w14:paraId="6C9F18F9" w14:textId="77777777" w:rsidR="006D56D5" w:rsidRPr="00566230" w:rsidRDefault="006D56D5" w:rsidP="006D56D5">
      <w:pPr>
        <w:spacing w:line="480" w:lineRule="auto"/>
        <w:jc w:val="both"/>
        <w:rPr>
          <w:rFonts w:ascii="Times New Roman" w:hAnsi="Times New Roman" w:cs="Times New Roman"/>
          <w:i/>
          <w:sz w:val="24"/>
          <w:szCs w:val="24"/>
        </w:rPr>
      </w:pPr>
      <w:r w:rsidRPr="00566230">
        <w:rPr>
          <w:rFonts w:ascii="Times New Roman" w:hAnsi="Times New Roman" w:cs="Times New Roman"/>
          <w:i/>
          <w:sz w:val="24"/>
          <w:szCs w:val="24"/>
        </w:rPr>
        <w:t>Clinical data and risk factors obtained</w:t>
      </w:r>
    </w:p>
    <w:p w14:paraId="2E8DEB37" w14:textId="0FD55950"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Demographic data including age at initial assessment, gender and reason for referral were obtained for all patients. The main risk factors used in current guidelines were obtained which included </w:t>
      </w:r>
      <w:proofErr w:type="spellStart"/>
      <w:r w:rsidRPr="00566230">
        <w:rPr>
          <w:rFonts w:ascii="Times New Roman" w:hAnsi="Times New Roman" w:cs="Times New Roman"/>
          <w:sz w:val="24"/>
          <w:szCs w:val="24"/>
        </w:rPr>
        <w:t>i</w:t>
      </w:r>
      <w:proofErr w:type="spellEnd"/>
      <w:r w:rsidRPr="00566230">
        <w:rPr>
          <w:rFonts w:ascii="Times New Roman" w:hAnsi="Times New Roman" w:cs="Times New Roman"/>
          <w:sz w:val="24"/>
          <w:szCs w:val="24"/>
        </w:rPr>
        <w:t xml:space="preserve">) history of unexplained syncope and ii) the presence of a spontaneous type I pattern on ECG. In those with a history of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an interview was conducted with each to ascertain the circumstances surrounding the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and to determine if there was any prior history of symptoms. A personal history of syncope was only considered a risk factor if it was present prior to their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Other clinical data obtained included a family history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or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(&lt;40 years in age) and outcome of programmed electrical stimulation (PES) study where available. PES previously performed in these patients consisted of 2 drive cycles </w:t>
      </w:r>
      <w:r w:rsidRPr="00566230">
        <w:rPr>
          <w:rFonts w:ascii="Times New Roman" w:hAnsi="Times New Roman" w:cs="Times New Roman"/>
          <w:sz w:val="24"/>
          <w:szCs w:val="24"/>
        </w:rPr>
        <w:lastRenderedPageBreak/>
        <w:t xml:space="preserve">(600ms and 400ms) with up to 3 </w:t>
      </w:r>
      <w:proofErr w:type="spellStart"/>
      <w:r w:rsidRPr="00566230">
        <w:rPr>
          <w:rFonts w:ascii="Times New Roman" w:hAnsi="Times New Roman" w:cs="Times New Roman"/>
          <w:sz w:val="24"/>
          <w:szCs w:val="24"/>
        </w:rPr>
        <w:t>extrastimuli</w:t>
      </w:r>
      <w:proofErr w:type="spellEnd"/>
      <w:r w:rsidRPr="00566230">
        <w:rPr>
          <w:rFonts w:ascii="Times New Roman" w:hAnsi="Times New Roman" w:cs="Times New Roman"/>
          <w:sz w:val="24"/>
          <w:szCs w:val="24"/>
        </w:rPr>
        <w:t xml:space="preserve"> in the RV apex and outflow tract at twice the diastolic threshold. </w:t>
      </w:r>
      <w:r w:rsidR="005A0CF3" w:rsidRPr="00566230">
        <w:rPr>
          <w:rFonts w:ascii="Times New Roman" w:hAnsi="Times New Roman" w:cs="Times New Roman"/>
          <w:sz w:val="24"/>
          <w:szCs w:val="24"/>
        </w:rPr>
        <w:t xml:space="preserve">The minimum coupling interval of </w:t>
      </w:r>
      <w:proofErr w:type="spellStart"/>
      <w:r w:rsidR="005A0CF3" w:rsidRPr="00566230">
        <w:rPr>
          <w:rFonts w:ascii="Times New Roman" w:hAnsi="Times New Roman" w:cs="Times New Roman"/>
          <w:sz w:val="24"/>
          <w:szCs w:val="24"/>
        </w:rPr>
        <w:t>extrastimuli</w:t>
      </w:r>
      <w:proofErr w:type="spellEnd"/>
      <w:r w:rsidR="005A0CF3" w:rsidRPr="00566230">
        <w:rPr>
          <w:rFonts w:ascii="Times New Roman" w:hAnsi="Times New Roman" w:cs="Times New Roman"/>
          <w:sz w:val="24"/>
          <w:szCs w:val="24"/>
        </w:rPr>
        <w:t xml:space="preserve"> was set to 200 </w:t>
      </w:r>
      <w:proofErr w:type="spellStart"/>
      <w:r w:rsidR="005A0CF3" w:rsidRPr="00566230">
        <w:rPr>
          <w:rFonts w:ascii="Times New Roman" w:hAnsi="Times New Roman" w:cs="Times New Roman"/>
          <w:sz w:val="24"/>
          <w:szCs w:val="24"/>
        </w:rPr>
        <w:t>ms</w:t>
      </w:r>
      <w:proofErr w:type="spellEnd"/>
      <w:r w:rsidR="005A0CF3" w:rsidRPr="00566230">
        <w:rPr>
          <w:rFonts w:ascii="Times New Roman" w:hAnsi="Times New Roman" w:cs="Times New Roman"/>
          <w:sz w:val="24"/>
          <w:szCs w:val="24"/>
        </w:rPr>
        <w:t xml:space="preserve"> for S2 and S3 and to refractoriness for S4. </w:t>
      </w:r>
      <w:r w:rsidRPr="00566230">
        <w:rPr>
          <w:rFonts w:ascii="Times New Roman" w:hAnsi="Times New Roman" w:cs="Times New Roman"/>
          <w:sz w:val="24"/>
          <w:szCs w:val="24"/>
        </w:rPr>
        <w:t xml:space="preserve">A positive PES was defined as inducible VF, sustained </w:t>
      </w:r>
      <w:r w:rsidR="00BC54FD" w:rsidRPr="00566230">
        <w:rPr>
          <w:rFonts w:ascii="Times New Roman" w:hAnsi="Times New Roman" w:cs="Times New Roman"/>
          <w:sz w:val="24"/>
          <w:szCs w:val="24"/>
        </w:rPr>
        <w:t>polymorphic ventricular tachycardia</w:t>
      </w:r>
      <w:r w:rsidRPr="00566230">
        <w:rPr>
          <w:rFonts w:ascii="Times New Roman" w:hAnsi="Times New Roman" w:cs="Times New Roman"/>
          <w:sz w:val="24"/>
          <w:szCs w:val="24"/>
        </w:rPr>
        <w:t xml:space="preserve"> (&gt;30s duration) or requiring direct current cardioversion.</w:t>
      </w:r>
    </w:p>
    <w:p w14:paraId="1585600B" w14:textId="790C074A" w:rsidR="006D56D5" w:rsidRPr="00566230" w:rsidRDefault="005C0B2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We  </w:t>
      </w:r>
      <w:r w:rsidR="006D56D5" w:rsidRPr="00566230">
        <w:rPr>
          <w:rFonts w:ascii="Times New Roman" w:hAnsi="Times New Roman" w:cs="Times New Roman"/>
          <w:sz w:val="24"/>
          <w:szCs w:val="24"/>
        </w:rPr>
        <w:t xml:space="preserve">also collected data of other ECG based risk markers previously shown to be an independent predictor of </w:t>
      </w:r>
      <w:r w:rsidR="00A2027C" w:rsidRPr="00566230">
        <w:rPr>
          <w:rFonts w:ascii="Times New Roman" w:hAnsi="Times New Roman" w:cs="Times New Roman"/>
          <w:sz w:val="24"/>
          <w:szCs w:val="24"/>
        </w:rPr>
        <w:t>SCA</w:t>
      </w:r>
      <w:r w:rsidR="006D56D5" w:rsidRPr="00566230">
        <w:rPr>
          <w:rFonts w:ascii="Times New Roman" w:hAnsi="Times New Roman" w:cs="Times New Roman"/>
          <w:sz w:val="24"/>
          <w:szCs w:val="24"/>
        </w:rPr>
        <w:t xml:space="preserve"> on multi-variate analysis in at least one prospective follow up study</w:t>
      </w:r>
      <w:r w:rsidR="005B3177"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"10.1016/j.hrthm.2015.08.038", "ISSN" : "15475271", "author" : [ { "dropping-particle" : "", "family" : "Adler", "given" : "Arnon", "non-dropping-particle" : "", "parse-names" : false, "suffix" : "" }, { "dropping-particle" : "", "family" : "Rosso", "given" : "Raphael", "non-dropping-particle" : "", "parse-names" : false, "suffix" : "" }, { "dropping-particle" : "", "family" : "Chorin", "given" : "Ehud", "non-dropping-particle" : "", "parse-names" : false, "suffix" : "" }, { "dropping-particle" : "", "family" : "Havakuk", "given" : "Ofer", "non-dropping-particle" : "", "parse-names" : false, "suffix" : "" }, { "dropping-particle" : "", "family" : "Antzelevitch", "given" : "Charles", "non-dropping-particle" : "", "parse-names" : false, "suffix" : "" }, { "dropping-particle" : "", "family" : "Viskin", "given" : "Sami", "non-dropping-particle" : "", "parse-names" : false, "suffix" : "" } ], "container-title" : "Heart Rhythm", "id" : "ITEM-1", "issued" : { "date-parts" : [ [ "2016" ] ] }, "page" : "299-310", "title" : "Risk stratification in Brugada syndrome: Clinical characteristics, electrocardiographic parameters, and auxiliary testing", "type" : "article-journal", "volume" : "13" }, "uris" : [ "http://www.mendeley.com/documents/?uuid=db297a4e-5ea7-4251-aec3-84dea13f33d9" ] }, { "id" : "ITEM-2", "itemData" : { "DOI" : "10.1016/j.jacc.2014.01.072", "ISSN" : "15583597", "PMID" : "24703917", "abstract" : "Objectives This study aimed to determine the usefulness of the combination of several electrocardiographic markers on risk assessment of ventricular fibrillation (VF) in patients with Brugada syndrome (BrS). Background Detection of high-/low-risk BrS patients using a noninvasive method is an important issue in the clinical setting. Several electrocardiographic markers related to depolarization and repolarization abnormalities have been reported, but the relationship and usefulness of these parameters in VF events are unclear. Methods Baseline characteristics of 246 consecutive patients (236 men; mean age, 47.6 \u00b1 13.6 years) with a Brugada-type electrocardiogram, including 13 patients with a history of VF and 40 patients with a history of syncope episodes, were retrospectively analyzed. During the mean follow-up period of 45.1 months, VF in 23 patients and sudden cardiac death (SCD) in 1 patient were observed. Clinical/genetic and electrocardiographic parameters were compared with VF/SCD events. Results On univariate analysis, a history of VF and syncope episodes, paroxysmal atrial fibrillation, spontaneous type 1 pattern in the precordial leads, and electrocardiographic markers of depolarization abnormalities (QRS duration &gt;120 ms, and fragmented QRS [f-QRS]) and those of repolarization abnormalities (inferolateral early repolarization [ER] pattern and QT prolongation) were associated with later cardiac events. On multivariable analysis, a history of VF and syncope episodes, inferolateral ER pattern, and f-QRS were independent predictors of documented VF and SCD (odds ratios: 19.61, 28.57, 2.87, and 5.21, respectively; p &lt; 0.05). Kaplan-Meier curves showed that the presence/absence of inferolateral ER and f-QRS predicted a worse/better prognosis (log-rank test, p &lt; 0.01). Conclusions The combination of depolarization and repolarization abnormalities in BrS is associated with later VF events. The combination of these abnormalities is useful for detecting high- and low-risk BrS patients. \u00a9 \u00a9 2014 by the American College of Cardiology Foundation Published by Elsevier Inc.", "author" : [ { "dropping-particle" : "", "family" : "Tokioka", "given" : "Koji", "non-dropping-particle" : "", "parse-names" : false, "suffix" : "" }, { "dropping-particle" : "", "family" : "Kusano", "given" : "Kengo F.", "non-dropping-particle" : "", "parse-names" : false, "suffix" : "" }, { "dropping-particle" : "", "family" : "Morita", "given" : "Hiroshi", "non-dropping-particle" : "", "parse-names" : false, "suffix" : "" }, { "dropping-particle" : "", "family" : "Miura", "given" : "Daiji", "non-dropping-particle" : "", "parse-names" : false, "suffix" : "" }, { "dropping-particle" : "", "family" : "Nishii", "given" : "Nobuhiro", "non-dropping-particle" : "", "parse-names" : false, "suffix" : "" }, { "dropping-particle" : "", "family" : "Nagase", "given" : "Satoshi", "non-dropping-particle" : "", "parse-names" : false, "suffix" : "" }, { "dropping-particle" : "", "family" : "Nakamura", "given" : "Kazufumi", "non-dropping-particle" : "", "parse-names" : false, "suffix" : "" }, { "dropping-particle" : "", "family" : "Kohno", "given" : "Kunihisa", "non-dropping-particle" : "", "parse-names" : false, "suffix" : "" }, { "dropping-particle" : "", "family" : "Ito", "given" : "Hiroshi", "non-dropping-particle" : "", "parse-names" : false, "suffix" : "" }, { "dropping-particle" : "", "family" : "Ohe", "given" : "Tohru", "non-dropping-particle" : "", "parse-names" : false, "suffix" : "" }, { "dropping-particle" : "", "family" : "Abnormalities", "given" : "Repolarization", "non-dropping-particle" : "", "parse-names" : false, "suffix" : "" } ], "container-title" : "Journal of the American College of Cardiology", "id" : "ITEM-2", "issued" : { "date-parts" : [ [ "2014" ] ] }, "page" : "2131-2138", "title" : "Electrocardiographic Parameters and Fatal Arrhythmic Events in Patients With Brugada Syndrome Combination of Depolarization and", "type" : "article-journal", "volume" : "63" }, "uris" : [ "http://www.mendeley.com/documents/?uuid=c563da70-761d-4c06-8f6e-d2bf2764d7f8" ] } ], "mendeley" : { "formattedCitation" : "&lt;sup&gt;9,10&lt;/sup&gt;", "plainTextFormattedCitation" : "9,10", "previouslyFormattedCitation" : "&lt;sup&gt;9,10&lt;/sup&gt;" }, "properties" : {  }, "schema" : "https://github.com/citation-style-language/schema/raw/master/csl-citation.json" }</w:instrText>
      </w:r>
      <w:r w:rsidR="005B3177"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9,10</w:t>
      </w:r>
      <w:r w:rsidR="005B3177" w:rsidRPr="00566230">
        <w:rPr>
          <w:rFonts w:ascii="Times New Roman" w:hAnsi="Times New Roman" w:cs="Times New Roman"/>
          <w:sz w:val="24"/>
          <w:szCs w:val="24"/>
        </w:rPr>
        <w:fldChar w:fldCharType="end"/>
      </w:r>
      <w:r w:rsidR="006D56D5" w:rsidRPr="00566230">
        <w:rPr>
          <w:rFonts w:ascii="Times New Roman" w:hAnsi="Times New Roman" w:cs="Times New Roman"/>
          <w:sz w:val="24"/>
          <w:szCs w:val="24"/>
        </w:rPr>
        <w:t>. These included 1) the presence of fQRS</w:t>
      </w:r>
      <w:r w:rsidR="004B2479" w:rsidRPr="00566230">
        <w:rPr>
          <w:rFonts w:ascii="Times New Roman" w:hAnsi="Times New Roman" w:cs="Times New Roman"/>
          <w:sz w:val="24"/>
          <w:szCs w:val="24"/>
        </w:rPr>
        <w:fldChar w:fldCharType="begin" w:fldLock="1"/>
      </w:r>
      <w:r w:rsidR="00670611" w:rsidRPr="00566230">
        <w:rPr>
          <w:rFonts w:ascii="Times New Roman" w:hAnsi="Times New Roman" w:cs="Times New Roman"/>
          <w:sz w:val="24"/>
          <w:szCs w:val="24"/>
        </w:rPr>
        <w:instrText>ADDIN CSL_CITATION { "citationItems" : [ { "id" : "ITEM-1", "itemData" : { "DOI" : "10.1016/j.jacc.2011.08.064", "ISBN" : "1558-3597 (Electronic)\\r0735-1097 (Linking)", "ISSN" : "07351097", "PMID" : "22192666", "abstract" : "The PRELUDE (PRogrammed ELectrical stimUlation preDictive valuE) prospective registry was designed to assess the predictive accuracy of sustained ventricular tachycardia/ventricular fibrillation (VTs/VF) inducibility and to identify additional predictors of arrhythmic events in Brugada syndrome patients without history of VT/VF. Brugada syndrome is a genetic disease associated with increased risk of sudden cardiac death. Even though its value has been questioned, inducibility of VTs/VF is widely used to select candidates to receive a prophylactic implantable defibrillator, and its accuracy has never been addressed in prospective studies with homogeneous enrolling criteria. Patients with a spontaneous or drug-induced type I electrocardiogram (ECG) and without history of cardiac arrest were enrolled. The registry included 308 consecutive individuals (247 men, 80%; median age 44 years, range 18 to 72 years). Programmed electrical stimulation was performed at enrollment, and patients were followed-up every 6 months. During a median follow-up of 34 months, 14 arrhythmic events (4.5%) occurred (13 appropriate shocks of the implantable defibrillator, and 1 cardiac arrest). Programmed electrical stimulation performed with a uniform and pre-specified protocol induced ventricular tachyarrhythmias in 40% of patients: arrhythmia inducibility was not a predictor of events at follow-up (9 of 14 events occurred in noninducible patients). History of syncope and spontaneous type I ECG (hazard ratio [HR]: 4.20), ventricular refractory period &lt;200 ms (HR: 3.91), and QRS fragmentation (HR: 4.94) were significant predictors of arrhythmias. Our data show that VT/VF inducibility is unable to identify high-risk patients, whereas the presence of a spontaneous type I ECG, history of syncope, ventricular effective refractory period &lt;200 ms, and QRS fragmentation seem useful to identify candidates for prophylactic implantable cardioverter defibrillator. \u00a9 2012 American College of Cardiology Foundation.", "author" : [ { "dropping-particle" : "", "family" : "Priori", "given" : "Silvia G.", "non-dropping-particle" : "", "parse-names" : false, "suffix" : "" }, { "dropping-particle" : "", "family" : "Gasparini", "given" : "Maurizio", "non-dropping-particle" : "", "parse-names" : false, "suffix" : "" }, { "dropping-particle" : "", "family" : "Napolitano", "given" : "Carlo", "non-dropping-particle" : "", "parse-names" : false, "suffix" : "" }, { "dropping-particle" : "", "family" : "Bella", "given" : "Paolo", "non-dropping-particle" : "Della", "parse-names" : false, "suffix" : "" }, { "dropping-particle" : "", "family" : "Ottonelli", "given" : "Andrea Ghidini", "non-dropping-particle" : "", "parse-names" : false, "suffix" : "" }, { "dropping-particle" : "", "family" : "Sassone", "given" : "Biagio", "non-dropping-particle" : "", "parse-names" : false, "suffix" : "" }, { "dropping-particle" : "", "family" : "Giordano", "given" : "Umberto", "non-dropping-particle" : "", "parse-names" : false, "suffix" : "" }, { "dropping-particle" : "", "family" : "Pappone", "given" : "Carlo", "non-dropping-particle" : "", "parse-names" : false, "suffix" : "" }, { "dropping-particle" : "", "family" : "Mascioli", "given" : "Giosu", "non-dropping-particle" : "", "parse-names" : false, "suffix" : "" }, { "dropping-particle" : "", "family" : "Rossetti", "given" : "Guido", "non-dropping-particle" : "", "parse-names" : false, "suffix" : "" }, { "dropping-particle" : "", "family" : "Nardis", "given" : "Roberto", "non-dropping-particle" : "De", "parse-names" : false, "suffix" : "" }, { "dropping-particle" : "", "family" : "Colombo", "given" : "Mario", "non-dropping-particle" : "", "parse-names" : false, "suffix" : "" } ], "container-title" : "Journal of the American College of Cardiology", "id" : "ITEM-1", "issued" : { "date-parts" : [ [ "2012", "1", "3" ] ] }, "page" : "37-45", "publisher" : "Elsevier Inc.", "title" : "Risk stratification in brugada syndrome: Results of the PRELUDE (PRogrammed ELectrical stimUlation preDictive valuE) registry", "type" : "article-journal", "volume" : "59" }, "uris" : [ "http://www.mendeley.com/documents/?uuid=4d872aa7-7bb4-4278-95de-5399b4ede603" ] } ], "mendeley" : { "formattedCitation" : "&lt;sup&gt;1&lt;/sup&gt;", "plainTextFormattedCitation" : "1", "previouslyFormattedCitation" : "&lt;sup&gt;1&lt;/sup&gt;"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B2479" w:rsidRPr="00566230">
        <w:rPr>
          <w:rFonts w:ascii="Times New Roman" w:hAnsi="Times New Roman" w:cs="Times New Roman"/>
          <w:noProof/>
          <w:sz w:val="24"/>
          <w:szCs w:val="24"/>
          <w:vertAlign w:val="superscript"/>
        </w:rPr>
        <w:t>1</w:t>
      </w:r>
      <w:r w:rsidR="004B2479" w:rsidRPr="00566230">
        <w:rPr>
          <w:rFonts w:ascii="Times New Roman" w:hAnsi="Times New Roman" w:cs="Times New Roman"/>
          <w:sz w:val="24"/>
          <w:szCs w:val="24"/>
        </w:rPr>
        <w:fldChar w:fldCharType="end"/>
      </w:r>
      <w:r w:rsidR="006D56D5" w:rsidRPr="00566230">
        <w:rPr>
          <w:rFonts w:ascii="Times New Roman" w:hAnsi="Times New Roman" w:cs="Times New Roman"/>
          <w:sz w:val="24"/>
          <w:szCs w:val="24"/>
        </w:rPr>
        <w:t xml:space="preserve"> 2) the presence of late potentials on SAECG</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"10.1016/j.hrthm.2009.05.007", "ISBN" : "1556-3871 (Electronic)\\r1547-5271 (Linking)", "ISSN" : "15475271", "PMID" : "19632627", "abstract" : "Background: Arrhythmic risk stratification in patients with Brugada syndrome remains controversial. Several recent reports have highlighted the possible role of late potential (LP) on the signal-averaged electrocardiogram (SAECG) as a noninvasive risk stratification tool in Brugada syndrome, but further prospective study is required before its general applicability. Objective: The purpose of this study was to investigate the role of LP in arrhythmic risk stratification of Brugada syndrome patients. Methods: Forty-three patients with Brugada syndrome were enrolled and divided into a symptomatic group (group A, n = 24) and an asymptomatic group (group B, n = 19). SAECG was performed to analyze the characteristics of LP in all subjects. The prospective study was conducted to observe the occurrence of arrhythmic events. Results: LP was positive in 22 (91.7%) of 24 patients in the symptomatic group and in 7 (36.8%) of 19 patients in the asymptomatic group. During mean follow-up of 33.8 \u00b1 9.0 months, the incidence rate of arrhythmic events was 72.4% (21/29) in LP-positive [LP(+)] patients compared with 14.3% (2/14) in LP-negative [LP(-)] patients. Multivariate Cox proportional hazard analyses revealed that the presence of LP had the most significant hazard ratio of 10.9 (95% confidence interval 1.1-104.3, P = .038), with sensitivity of 95.7%, specificity 65.0%, positive predictive value 75.9%, negative predictive value 92.9%, and predictive accuracy 81.4%. Kaplan-Meier curves plotted for event-free survival according to LP showed a significant difference between LP(+) and LP(-) patients (log rank, P = .003). Conclusion: The results of this study support the role of LP detected by SAECG in arrhythmic risk stratification of Brugada syndrome patients. \u00a9 2009 Heart Rhythm Society.", "author" : [ { "dropping-particle" : "", "family" : "Huang", "given" : "Zhengrong", "non-dropping-particle" : "", "parse-names" : false, "suffix" : "" }, { "dropping-particle" : "", "family" : "Patel", "given" : "Chinmay", "non-dropping-particle" : "", "parse-names" : false, "suffix" : "" }, { "dropping-particle" : "", "family" : "Li", "given" : "Weihua", "non-dropping-particle" : "", "parse-names" : false, "suffix" : "" }, { "dropping-particle" : "", "family" : "Xie", "given" : "Qiang", "non-dropping-particle" : "", "parse-names" : false, "suffix" : "" }, { "dropping-particle" : "", "family" : "Wu", "given" : "Rong", "non-dropping-particle" : "", "parse-names" : false, "suffix" : "" }, { "dropping-particle" : "", "family" : "Zhang", "given" : "Lijuan", "non-dropping-particle" : "", "parse-names" : false, "suffix" : "" }, { "dropping-particle" : "", "family" : "Tang", "given" : "Rong", "non-dropping-particle" : "", "parse-names" : false, "suffix" : "" }, { "dropping-particle" : "", "family" : "Wan", "given" : "Xiaoquen", "non-dropping-particle" : "", "parse-names" : false, "suffix" : "" }, { "dropping-particle" : "", "family" : "Ma", "given" : "Yuxiao", "non-dropping-particle" : "", "parse-names" : false, "suffix" : "" }, { "dropping-particle" : "", "family" : "Zhen", "given" : "Wuyang", "non-dropping-particle" : "", "parse-names" : false, "suffix" : "" }, { "dropping-particle" : "", "family" : "Gao", "given" : "Lei", "non-dropping-particle" : "", "parse-names" : false, "suffix" : "" }, { "dropping-particle" : "", "family" : "Yan", "given" : "Gan-Xin Xin", "non-dropping-particle" : "", "parse-names" : false, "suffix" : "" } ], "container-title" : "Heart Rhythm", "id" : "ITEM-1", "issue" : "8", "issued" : { "date-parts" : [ [ "2009" ] ] }, "page" : "1156-1162", "publisher" : "Heart Rhythm Society", "title" : "Role of signal-averaged electrocardiograms in arrhythmic risk stratification of patients with Brugada syndrome: A prospective study", "type" : "article-journal", "volume" : "6" }, "uris" : [ "http://www.mendeley.com/documents/?uuid=a6029c62-722e-458f-b20b-67fc55a1ef2c" ] } ], "mendeley" : { "formattedCitation" : "&lt;sup&gt;12&lt;/sup&gt;", "plainTextFormattedCitation" : "12", "previouslyFormattedCitation" : "&lt;sup&gt;12&lt;/sup&gt;"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12</w:t>
      </w:r>
      <w:r w:rsidR="004B2479" w:rsidRPr="00566230">
        <w:rPr>
          <w:rFonts w:ascii="Times New Roman" w:hAnsi="Times New Roman" w:cs="Times New Roman"/>
          <w:sz w:val="24"/>
          <w:szCs w:val="24"/>
        </w:rPr>
        <w:fldChar w:fldCharType="end"/>
      </w:r>
      <w:r w:rsidR="006D56D5" w:rsidRPr="00566230">
        <w:rPr>
          <w:rFonts w:ascii="Times New Roman" w:hAnsi="Times New Roman" w:cs="Times New Roman"/>
          <w:sz w:val="24"/>
          <w:szCs w:val="24"/>
        </w:rPr>
        <w:t xml:space="preserve"> 3) presence of a significant S wave in lead I</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"10.1016/j.jacc.2016.01.024", "ISBN" : "1558-3597 (Electronic)\\r0735-1097 (Linking)", "ISSN" : "15583597", "PMID" : "27012403", "abstract" : "Background Risk stratification in asymptomatic patients remains by far the most important yet unresolved clinical problem in the Brugada syndrome (BrS). Objectives This study sought to analyze the usefulness of electrocardiographic parameters as markers of sudden cardiac death (SCD) in BrS. Methods This study analyzed data from 347 consecutive patients (78.4% male; mean age 45 \u00b1 13.1 years) with spontaneous type 1 BrS by ECG parameters but with no history of cardiac arrest (including 91.1% asymptomatic at presentation, 5.2% with a history of atrial fibrillation [AF], and 4% with a history of arrhythmic syncope). Electrocardiographic characteristics at the first clinic visit were analyzed to predict ventricular fibrillation (VF)/SCD during follow-up. Results During the follow-up (48 \u00b1 38 months), 276 (79.5%) patients remained asymptomatic, 39 (11.2%) developed syncope, and 32 (9.2%) developed VF/SCD. Patients who developed VF/SCD had a lower prevalence of SCN5A gene mutations (p = 0.009) and a higher prevalence of positive electrophysiological study results (p &lt; 0.0001), a family history of SCD (p = 0.03), and AF (p &lt; 0.0001). The most powerful marker for VF/SCD was a significant S-wave (\u22650.1 mV and/or \u226540 ms) in lead I. In the multivariate analysis, the duration of S-wave in lead I \u226540 ms (hazard ratio: 39.1) and AF (hazard ratio: 3.7) were independent predictors of VF/SCD during follow-up. Electroanatomic mapping in 12 patients showed an endocardial activation time significantly longer in patients with an S-wave in lead I, mostly because of a significant delay in the anterolateral right ventricular outflow tract. Conclusions The presence of a wide and/or large S-wave in lead I was a powerful predictor of life-threatening ventricular arrhythmias in patients with BrS and no history of cardiac arrest at presentation. However, the prognostic value of a significant S-wave in lead I should be confirmed by larger studies and by an independent confirmation cohort of healthy subjects.", "author" : [ { "dropping-particle" : "", "family" : "Cal\u00f2", "given" : "Leonardo", "non-dropping-particle" : "", "parse-names" : false, "suffix" : "" }, { "dropping-particle" : "", "family" : "Giustetto", "given" : "Carla", "non-dropping-particle" : "", "parse-names" : false, "suffix" : "" }, { "dropping-particle" : "", "family" : "Martino", "given" : "Annamaria", "non-dropping-particle" : "", "parse-names" : false, "suffix" : "" }, { "dropping-particle" : "", "family" : "Sciarra", "given" : "Luigi", "non-dropping-particle" : "", "parse-names" : false, "suffix" : "" }, { "dropping-particle" : "", "family" : "Cerrato", "given" : "Natascia", "non-dropping-particle" : "", "parse-names" : false, "suffix" : "" }, { "dropping-particle" : "", "family" : "Marziali", "given" : "Marta", "non-dropping-particle" : "", "parse-names" : false, "suffix" : "" }, { "dropping-particle" : "", "family" : "Rauzino", "given" : "Jessica", "non-dropping-particle" : "", "parse-names" : false, "suffix" : "" }, { "dropping-particle" : "", "family" : "Carlino", "given" : "Giulia", "non-dropping-particle" : "", "parse-names" : false, "suffix" : "" }, { "dropping-particle" : "", "family" : "Ruvo", "given" : "Ermenegildo", "non-dropping-particle" : "De", "parse-names" : false, "suffix" : "" }, { "dropping-particle" : "", "family" : "Guerra", "given" : "Federico", "non-dropping-particle" : "", "parse-names" : false, "suffix" : "" }, { "dropping-particle" : "", "family" : "Rebecchi", "given" : "Marco", "non-dropping-particle" : "", "parse-names" : false, "suffix" : "" }, { "dropping-particle" : "", "family" : "Lanzillo", "given" : "Chiara", "non-dropping-particle" : "", "parse-names" : false, "suffix" : "" }, { "dropping-particle" : "", "family" : "Anselmino", "given" : "Matteo", "non-dropping-particle" : "", "parse-names" : false, "suffix" : "" }, { "dropping-particle" : "", "family" : "Castro", "given" : "Antonio", "non-dropping-particle" : "", "parse-names" : false, "suffix" : "" }, { "dropping-particle" : "", "family" : "Turreni", "given" : "Federico", "non-dropping-particle" : "", "parse-names" : false, "suffix" : "" }, { "dropping-particle" : "", "family" : "Penco", "given" : "Maria", "non-dropping-particle" : "", "parse-names" : false, "suffix" : "" }, { "dropping-particle" : "", "family" : "Volpe", "given" : "Massimo", "non-dropping-particle" : "", "parse-names" : false, "suffix" : "" }, { "dropping-particle" : "", "family" : "Capucci", "given" : "Alessandro", "non-dropping-particle" : "", "parse-names" : false, "suffix" : "" }, { "dropping-particle" : "", "family" : "Gaita", "given" : "Fiorenzo", "non-dropping-particle" : "", "parse-names" : false, "suffix" : "" } ], "container-title" : "Journal of the American College of Cardiology", "id" : "ITEM-1", "issue" : "12", "issued" : { "date-parts" : [ [ "2016" ] ] }, "page" : "1427-1440", "title" : "A New Electrocardiographic Marker of Sudden Death in Brugada Syndrome: The S-Wave in Lead i", "type" : "article-journal", "volume" : "67" }, "uris" : [ "http://www.mendeley.com/documents/?uuid=b67c28b9-08be-46a8-bdf5-4d615a9437b9" ] } ], "mendeley" : { "formattedCitation" : "&lt;sup&gt;13&lt;/sup&gt;", "plainTextFormattedCitation" : "13", "previouslyFormattedCitation" : "&lt;sup&gt;13&lt;/sup&gt;"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13</w:t>
      </w:r>
      <w:r w:rsidR="004B2479" w:rsidRPr="00566230">
        <w:rPr>
          <w:rFonts w:ascii="Times New Roman" w:hAnsi="Times New Roman" w:cs="Times New Roman"/>
          <w:sz w:val="24"/>
          <w:szCs w:val="24"/>
        </w:rPr>
        <w:fldChar w:fldCharType="end"/>
      </w:r>
      <w:r w:rsidR="006D56D5" w:rsidRPr="00566230">
        <w:rPr>
          <w:rFonts w:ascii="Times New Roman" w:hAnsi="Times New Roman" w:cs="Times New Roman"/>
          <w:sz w:val="24"/>
          <w:szCs w:val="24"/>
        </w:rPr>
        <w:t xml:space="preserve"> and 4) presence of an ER pattern</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"10.1016/j.hrthm.2012.12.023", "ISSN" : "15475271", "PMID" : "23274366", "abstract" : "Background: The prognostic value of a J wave and ST-segment morphology after J wave in inferolateral leads in Brugada syndrome (BS) is still unknown. Objective: To evaluate the prognostic value of a J wave and ST-segment morphology after J wave in a large Japanese cohort of BS. Methods: A total of 460 consecutive patients with BS (mean age 52\u00b114 years, 432 men) were enrolled. The presence and location of leads showing a J wave, ST-segment morphology after J wave, and clinical outcomes were evaluated in patients with documented ventricular fibrillation (VF) (N = 84), those with syncope without documented VF (N = 109), and subjects without symptoms (N = 267). Results: The prevalence of a J wave in the inferior and/or lateral leads was 12% (53 cases). The prevalence of a J wave among the 3 groups was not different. The incidence of cardiac events (sudden cardiac death or VF) during a mean follow-up period of 50\u00b132 months was not different in patients with (11%) or without (8%) a J wave. Patients with a J wave in both inferior and lateral leads or with horizontal ST-segment morphology after J wave showed a higher incidence of cardiac events than those without (P =.04 and.02, respectively). Multivariate analysis revealed symptoms, QRS duration in lead V2&gt;90 ms, and inferolateral J wave and/or horizontal ST-segment morphology after J wave were important for predicting cardiac events. Conclusion: The presence of a J wave in multiple leads and horizontal ST-segment morphology after J wave may indicate a highly arrhythmogenic substrate in patients with BS. \u00a9 2013 Heart Rhythm Society.", "author" : [ { "dropping-particle" : "", "family" : "Takagi", "given" : "Masahiko", "non-dropping-particle" : "", "parse-names" : false, "suffix" : "" }, { "dropping-particle" : "", "family" : "Aonuma", "given" : "Kazutaka", "non-dropping-particle" : "", "parse-names" : false, "suffix" : "" }, { "dropping-particle" : "", "family" : "Sekiguchi", "given" : "Yukio", "non-dropping-particle" : "", "parse-names" : false, "suffix" : "" }, { "dropping-particle" : "", "family" : "Yokoyama", "given" : "Yasuhiro", "non-dropping-particle" : "", "parse-names" : false, "suffix" : "" }, { "dropping-particle" : "", "family" : "Aihara", "given" : "Naohiko", "non-dropping-particle" : "", "parse-names" : false, "suffix" : "" }, { "dropping-particle" : "", "family" : "Hiraoka", "given" : "Masayasu", "non-dropping-particle" : "", "parse-names" : false, "suffix" : "" } ], "container-title" : "Heart Rhythm", "id" : "ITEM-1", "issued" : { "date-parts" : [ [ "2013" ] ] }, "page" : "533-539", "title" : "The prognostic value of early repolarization (J wave) and ST-segment morphology after J wave in Brugada syndrome: Multicenter study in Japan", "type" : "article-journal", "volume" : "10" }, "uris" : [ "http://www.mendeley.com/documents/?uuid=7d4ea5e2-4222-3334-b521-01cd18d84899" ] } ], "mendeley" : { "formattedCitation" : "&lt;sup&gt;14&lt;/sup&gt;", "plainTextFormattedCitation" : "14", "previouslyFormattedCitation" : "&lt;sup&gt;14&lt;/sup&gt;"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14</w:t>
      </w:r>
      <w:r w:rsidR="004B2479" w:rsidRPr="00566230">
        <w:rPr>
          <w:rFonts w:ascii="Times New Roman" w:hAnsi="Times New Roman" w:cs="Times New Roman"/>
          <w:sz w:val="24"/>
          <w:szCs w:val="24"/>
        </w:rPr>
        <w:fldChar w:fldCharType="end"/>
      </w:r>
      <w:r w:rsidR="006D56D5" w:rsidRPr="00566230">
        <w:rPr>
          <w:rFonts w:ascii="Times New Roman" w:hAnsi="Times New Roman" w:cs="Times New Roman"/>
          <w:sz w:val="24"/>
          <w:szCs w:val="24"/>
        </w:rPr>
        <w:t>. ST segment augmentation following exercise has been shown to be an independent predictor of risk</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"S0735-1097(10)03637-5 [pii]\\n10.1016/j.jacc.2010.06.033", "ISBN" : "1558-3597 (Electronic)\\n0735-1097 (Linking)", "PMID" : "21029874", "abstract" : "OBJECTIVES: The goal of this study was to evaluate the prevalence and the clinical significance of ST-segment elevation during recovery from exercise testing. BACKGROUND: During recovery from exercise testing, ST-segment elevation is reported in some patients with Brugada syndrome (BrS). METHODS: Treadmill exercise testing was conducted for 93 patients (91 men), 46 +/- 14 years of age, with BrS (22 documented ventricular fibrillation, 35 syncope alone, and 36 asymptomatic); and for 102 healthy control subjects (97 men), 46 +/- 17 years of age. Patients were routinely followed up. The clinical end point was defined as the occurrence of sudden cardiac death, ventricular fibrillation, or sustained ventricular tachyarrhythmia. RESULTS: Augmentation of ST-segment elevation &gt;/=0.05 mV in V(1) to V(3) leads compared with baseline was observed at early recovery (1 to 4 min at recovery) in 34 BrS patients (37% [group 1]), but was not observed in the remaining 59 BrS patients (63% [group 2]) or in the 102 control subjects. During 76 +/- 38 months of follow-up, ventricular fibrillation occurred more frequently in group 1 (15 of 34, 44%) than in group 2 (10 of 59, 17%; p = 0.004). Multivariate Cox regression analysis showed that in addition to previous episodes of ventricular fibrillation (p = 0.005), augmentation of ST-segment elevation at early recovery was a significant and independent predictor for cardiac events (p = 0.007), especially among patients with history of syncope alone (6 of 12 [50%] in group 1 vs. 3 of 23 [13%] in group 2) and among asymptomatic patients (3 of 15 [20%] in group 1 vs. 0 of 21 [0%] in group 2). CONCLUSIONS: Augmentation of ST-segment elevation during recovery from exercise testing was specific in patients with BrS, and can be a predictor of poor prognosis, especially for patients with syncope alone and for asymptomatic patients.", "author" : [ { "dropping-particle" : "", "family" : "Makimoto", "given" : "H", "non-dropping-particle" : "", "parse-names" : false, "suffix" : "" }, { "dropping-particle" : "", "family" : "Nakagawa", "given" : "E", "non-dropping-particle" : "", "parse-names" : false, "suffix" : "" }, { "dropping-particle" : "", "family" : "Takaki", "given" : "H", "non-dropping-particle" : "", "parse-names" : false, "suffix" : "" }, { "dropping-particle" : "", "family" : "Yamada", "given" : "Y", "non-dropping-particle" : "", "parse-names" : false, "suffix" : "" }, { "dropping-particle" : "", "family" : "Okamura", "given" : "H", "non-dropping-particle" : "", "parse-names" : false, "suffix" : "" }, { "dropping-particle" : "", "family" : "Noda", "given" : "T", "non-dropping-particle" : "", "parse-names" : false, "suffix" : "" }, { "dropping-particle" : "", "family" : "Satomi", "given" : "K", "non-dropping-particle" : "", "parse-names" : false, "suffix" : "" }, { "dropping-particle" : "", "family" : "Suyama", "given" : "K", "non-dropping-particle" : "", "parse-names" : false, "suffix" : "" }, { "dropping-particle" : "", "family" : "Aihara", "given" : "N", "non-dropping-particle" : "", "parse-names" : false, "suffix" : "" }, { "dropping-particle" : "", "family" : "Kurita", "given" : "T", "non-dropping-particle" : "", "parse-names" : false, "suffix" : "" }, { "dropping-particle" : "", "family" : "Kamakura", "given" : "S", "non-dropping-particle" : "", "parse-names" : false, "suffix" : "" }, { "dropping-particle" : "", "family" : "Shimizu", "given" : "W", "non-dropping-particle" : "", "parse-names" : false, "suffix" : "" } ], "container-title" : "J Am Coll Cardiol", "id" : "ITEM-1", "issued" : { "date-parts" : [ [ "2010" ] ] }, "title" : "Augmented ST-segment elevation during recovery from exercise predicts cardiac events in patients with Brugada syndrome.", "type" : "article" }, "uris" : [ "http://www.mendeley.com/documents/?uuid=d520d5a7-11ec-3e69-a860-d1eb9e151f66" ] } ], "mendeley" : { "formattedCitation" : "&lt;sup&gt;15&lt;/sup&gt;", "plainTextFormattedCitation" : "15", "previouslyFormattedCitation" : "&lt;sup&gt;15&lt;/sup&gt;"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15</w:t>
      </w:r>
      <w:r w:rsidR="004B2479" w:rsidRPr="00566230">
        <w:rPr>
          <w:rFonts w:ascii="Times New Roman" w:hAnsi="Times New Roman" w:cs="Times New Roman"/>
          <w:sz w:val="24"/>
          <w:szCs w:val="24"/>
        </w:rPr>
        <w:fldChar w:fldCharType="end"/>
      </w:r>
      <w:r w:rsidR="004B2479" w:rsidRPr="00566230">
        <w:rPr>
          <w:rFonts w:ascii="Times New Roman" w:hAnsi="Times New Roman" w:cs="Times New Roman"/>
          <w:sz w:val="24"/>
          <w:szCs w:val="24"/>
        </w:rPr>
        <w:t xml:space="preserve"> </w:t>
      </w:r>
      <w:r w:rsidR="006D56D5" w:rsidRPr="00566230">
        <w:rPr>
          <w:rFonts w:ascii="Times New Roman" w:hAnsi="Times New Roman" w:cs="Times New Roman"/>
          <w:sz w:val="24"/>
          <w:szCs w:val="24"/>
        </w:rPr>
        <w:t xml:space="preserve"> but was not included as </w:t>
      </w:r>
      <w:r w:rsidR="00BC54FD" w:rsidRPr="00566230">
        <w:rPr>
          <w:rFonts w:ascii="Times New Roman" w:hAnsi="Times New Roman" w:cs="Times New Roman"/>
          <w:sz w:val="24"/>
          <w:szCs w:val="24"/>
        </w:rPr>
        <w:t>exercise tolerance test</w:t>
      </w:r>
      <w:r w:rsidR="006D56D5" w:rsidRPr="00566230">
        <w:rPr>
          <w:rFonts w:ascii="Times New Roman" w:hAnsi="Times New Roman" w:cs="Times New Roman"/>
          <w:sz w:val="24"/>
          <w:szCs w:val="24"/>
        </w:rPr>
        <w:t xml:space="preserve"> data was not performed or available for majority of the cohort. </w:t>
      </w:r>
    </w:p>
    <w:p w14:paraId="38C24F47" w14:textId="77777777" w:rsidR="0041611C" w:rsidRPr="00566230" w:rsidRDefault="0041611C" w:rsidP="006D56D5">
      <w:pPr>
        <w:spacing w:line="480" w:lineRule="auto"/>
        <w:jc w:val="both"/>
        <w:rPr>
          <w:rFonts w:ascii="Times New Roman" w:hAnsi="Times New Roman" w:cs="Times New Roman"/>
          <w:sz w:val="24"/>
          <w:szCs w:val="24"/>
        </w:rPr>
      </w:pPr>
    </w:p>
    <w:p w14:paraId="11682300" w14:textId="77777777" w:rsidR="006D56D5" w:rsidRPr="00566230" w:rsidRDefault="006D56D5" w:rsidP="006D56D5">
      <w:pPr>
        <w:autoSpaceDE w:val="0"/>
        <w:autoSpaceDN w:val="0"/>
        <w:adjustRightInd w:val="0"/>
        <w:spacing w:after="0" w:line="480" w:lineRule="auto"/>
        <w:rPr>
          <w:rFonts w:ascii="Times New Roman" w:hAnsi="Times New Roman" w:cs="Times New Roman"/>
          <w:i/>
          <w:sz w:val="24"/>
          <w:szCs w:val="24"/>
        </w:rPr>
      </w:pPr>
      <w:proofErr w:type="spellStart"/>
      <w:r w:rsidRPr="00566230">
        <w:rPr>
          <w:rFonts w:ascii="Times New Roman" w:hAnsi="Times New Roman" w:cs="Times New Roman"/>
          <w:i/>
          <w:sz w:val="24"/>
          <w:szCs w:val="24"/>
        </w:rPr>
        <w:t>Electrocardiographical</w:t>
      </w:r>
      <w:proofErr w:type="spellEnd"/>
      <w:r w:rsidRPr="00566230">
        <w:rPr>
          <w:rFonts w:ascii="Times New Roman" w:hAnsi="Times New Roman" w:cs="Times New Roman"/>
          <w:i/>
          <w:sz w:val="24"/>
          <w:szCs w:val="24"/>
        </w:rPr>
        <w:t xml:space="preserve"> measurements</w:t>
      </w:r>
    </w:p>
    <w:p w14:paraId="6313600F" w14:textId="77777777" w:rsidR="006D56D5" w:rsidRPr="00566230" w:rsidRDefault="006D56D5" w:rsidP="006D56D5">
      <w:pPr>
        <w:autoSpaceDE w:val="0"/>
        <w:autoSpaceDN w:val="0"/>
        <w:adjustRightInd w:val="0"/>
        <w:spacing w:after="0"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Standard 12-lead ECGs were recorded at paper speed of 25 mm/s and a standard gain of 1 mV/cm. I examined and interpreted all tracings obtained previously at baseline evaluation. Where this was not available, the next available 12 lead ECG at follow up was used.  A spontaneous type I pattern was defined as the presence of a type I pattern in the absence of a class I antiarrhythmic drug, and if found on any 12 lead or high RV lead ECG during the follow up period. The presence of the following risk markers </w:t>
      </w:r>
      <w:proofErr w:type="gramStart"/>
      <w:r w:rsidRPr="00566230">
        <w:rPr>
          <w:rFonts w:ascii="Times New Roman" w:hAnsi="Times New Roman" w:cs="Times New Roman"/>
          <w:sz w:val="24"/>
          <w:szCs w:val="24"/>
        </w:rPr>
        <w:t>were</w:t>
      </w:r>
      <w:proofErr w:type="gramEnd"/>
      <w:r w:rsidRPr="00566230">
        <w:rPr>
          <w:rFonts w:ascii="Times New Roman" w:hAnsi="Times New Roman" w:cs="Times New Roman"/>
          <w:sz w:val="24"/>
          <w:szCs w:val="24"/>
        </w:rPr>
        <w:t xml:space="preserve"> based on the ECG obtained closest to baseline. </w:t>
      </w:r>
    </w:p>
    <w:p w14:paraId="6879B9DC" w14:textId="300C77ED" w:rsidR="006D56D5" w:rsidRPr="00566230" w:rsidRDefault="006D56D5" w:rsidP="006D56D5">
      <w:pPr>
        <w:autoSpaceDE w:val="0"/>
        <w:autoSpaceDN w:val="0"/>
        <w:adjustRightInd w:val="0"/>
        <w:spacing w:after="0"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The presence of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was defined as abnormal fragmentation within the QRS complex as ≥2 spikes in V1, V2 or V3 as described previously</w:t>
      </w:r>
      <w:r w:rsidR="004B2479" w:rsidRPr="00566230">
        <w:rPr>
          <w:rFonts w:ascii="Times New Roman" w:hAnsi="Times New Roman" w:cs="Times New Roman"/>
          <w:sz w:val="24"/>
          <w:szCs w:val="24"/>
        </w:rPr>
        <w:fldChar w:fldCharType="begin" w:fldLock="1"/>
      </w:r>
      <w:r w:rsidR="004B2479" w:rsidRPr="00566230">
        <w:rPr>
          <w:rFonts w:ascii="Times New Roman" w:hAnsi="Times New Roman" w:cs="Times New Roman"/>
          <w:sz w:val="24"/>
          <w:szCs w:val="24"/>
        </w:rPr>
        <w:instrText>ADDIN CSL_CITATION { "citationItems" : [ { "id" : "ITEM-1", "itemData" : { "DOI" : "10.1016/j.hrthm.2013.05.014", "ISBN" : "1556-3871 (Electronic)\\n1547-5271 (Linking)", "ISSN" : "15475271", "PMID" : "24011539", "abstract" : "Tesi CPVT", "author" : [ { "dropping-particle" : "", "family" : "Priori", "given" : "Silvia G.", "non-dropping-particle" : "", "parse-names" : false, "suffix" : "" }, { "dropping-particle" : "", "family" : "Wilde", "given" : "Arthur A.", "non-dropping-particle" : "", "parse-names" : false, "suffix" : "" }, { "dropping-particle" : "", "family" : "Horie", "given" : "Minoru", "non-dropping-particle" : "", "parse-names" : false, "suffix" : "" }, { "dropping-particle" : "", "family" : "Cho", "given" : "Yongkeun", "non-dropping-particle" : "", "parse-names" : false, "suffix" : "" }, { "dropping-particle" : "", "family" : "Behr", "given" : "Elijah R.", "non-dropping-particle" : "", "parse-names" : false, "suffix" : "" }, { "dropping-particle" : "", "family" : "Berul", "given" : "Charles", "non-dropping-particle" : "", "parse-names" : false, "suffix" : "" }, { "dropping-particle" : "", "family" : "Blom", "given" : "Nico", "non-dropping-particle" : "", "parse-names" : false, "suffix" : "" }, { "dropping-particle" : "", "family" : "Brugada", "given" : "Josep", "non-dropping-particle" : "", "parse-names" : false, "suffix" : "" }, { "dropping-particle" : "", "family" : "Chiang", "given" : "Chern En", "non-dropping-particle" : "", "parse-names" : false, "suffix" : "" }, { "dropping-particle" : "", "family" : "Huikuri", "given" : "Heikki", "non-dropping-particle" : "", "parse-names" : false, "suffix" : "" }, { "dropping-particle" : "", "family" : "Kannankeril", "given" : "Prince", "non-dropping-particle" : "", "parse-names" : false, "suffix" : "" }, { "dropping-particle" : "", "family" : "Krahn", "given" : "Andrew", "non-dropping-particle" : "", "parse-names" : false, "suffix" : "" }, { "dropping-particle" : "", "family" : "Leenhardt", "given" : "Antoine", "non-dropping-particle" : "", "parse-names" : false, "suffix" : "" }, { "dropping-particle" : "", "family" : "Moss", "given" : "Arthur", "non-dropping-particle" : "", "parse-names" : false, "suffix" : "" }, { "dropping-particle" : "", "family" : "Schwartz", "given" : "Peter J.", "non-dropping-particle" : "", "parse-names" : false, "suffix" : "" }, { "dropping-particle" : "", "family" : "Shimizu", "given" : "Wataru", "non-dropping-particle" : "", "parse-names" : false, "suffix" : "" }, { "dropping-particle" : "", "family" : "Tomaselli", "given" : "Gordon", "non-dropping-particle" : "", "parse-names" : false, "suffix" : "" }, { "dropping-particle" : "", "family" : "Tracy", "given" : "Cynthia", "non-dropping-particle" : "", "parse-names" : false, "suffix" : "" } ], "container-title" : "Heart Rhythm", "id" : "ITEM-1", "issued" : { "date-parts" : [ [ "2013" ] ] }, "title" : "HRS/EHRA/APHRS Expert Consensus Statement on the Diagnosis and Management of Patients with Inherited Primary Arrhythmia Syndromes: Document endorsed by HRS, EHRA, and APHRS in May 2013 and by ACCF, AHA, PACES, and AEPC in June 2013.", "type" : "article-journal" }, "uris" : [ "http://www.mendeley.com/documents/?uuid=42b375e4-bc92-3872-a9bd-964a494080e8" ] } ], "mendeley" : { "formattedCitation" : "&lt;sup&gt;4&lt;/sup&gt;", "plainTextFormattedCitation" : "4", "previouslyFormattedCitation" : "&lt;sup&gt;4&lt;/sup&gt;"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B2479" w:rsidRPr="00566230">
        <w:rPr>
          <w:rFonts w:ascii="Times New Roman" w:hAnsi="Times New Roman" w:cs="Times New Roman"/>
          <w:noProof/>
          <w:sz w:val="24"/>
          <w:szCs w:val="24"/>
          <w:vertAlign w:val="superscript"/>
        </w:rPr>
        <w:t>4</w:t>
      </w:r>
      <w:r w:rsidR="004B2479" w:rsidRPr="00566230">
        <w:rPr>
          <w:rFonts w:ascii="Times New Roman" w:hAnsi="Times New Roman" w:cs="Times New Roman"/>
          <w:sz w:val="24"/>
          <w:szCs w:val="24"/>
        </w:rPr>
        <w:fldChar w:fldCharType="end"/>
      </w:r>
      <w:r w:rsidRPr="00566230">
        <w:rPr>
          <w:rFonts w:ascii="Times New Roman" w:hAnsi="Times New Roman" w:cs="Times New Roman"/>
          <w:sz w:val="24"/>
          <w:szCs w:val="24"/>
        </w:rPr>
        <w:t>. An ER pattern was defined as an elevation of the J-point (≥1mm) above baseline in at least 2 consecutive leads, either as QRS interval slurring or notc</w:t>
      </w:r>
      <w:r w:rsidR="005C0B25" w:rsidRPr="00566230">
        <w:rPr>
          <w:rFonts w:ascii="Times New Roman" w:hAnsi="Times New Roman" w:cs="Times New Roman"/>
          <w:sz w:val="24"/>
          <w:szCs w:val="24"/>
        </w:rPr>
        <w:t>h</w:t>
      </w:r>
      <w:r w:rsidRPr="00566230">
        <w:rPr>
          <w:rFonts w:ascii="Times New Roman" w:hAnsi="Times New Roman" w:cs="Times New Roman"/>
          <w:sz w:val="24"/>
          <w:szCs w:val="24"/>
        </w:rPr>
        <w:t xml:space="preserve">ing in the inferior (II, III, and </w:t>
      </w:r>
      <w:proofErr w:type="spellStart"/>
      <w:r w:rsidRPr="00566230">
        <w:rPr>
          <w:rFonts w:ascii="Times New Roman" w:hAnsi="Times New Roman" w:cs="Times New Roman"/>
          <w:sz w:val="24"/>
          <w:szCs w:val="24"/>
        </w:rPr>
        <w:t>aVF</w:t>
      </w:r>
      <w:proofErr w:type="spellEnd"/>
      <w:r w:rsidRPr="00566230">
        <w:rPr>
          <w:rFonts w:ascii="Times New Roman" w:hAnsi="Times New Roman" w:cs="Times New Roman"/>
          <w:sz w:val="24"/>
          <w:szCs w:val="24"/>
        </w:rPr>
        <w:t xml:space="preserve">) or lateral (I, </w:t>
      </w:r>
      <w:proofErr w:type="spellStart"/>
      <w:r w:rsidRPr="00566230">
        <w:rPr>
          <w:rFonts w:ascii="Times New Roman" w:hAnsi="Times New Roman" w:cs="Times New Roman"/>
          <w:sz w:val="24"/>
          <w:szCs w:val="24"/>
        </w:rPr>
        <w:t>aVL</w:t>
      </w:r>
      <w:proofErr w:type="spellEnd"/>
      <w:r w:rsidRPr="00566230">
        <w:rPr>
          <w:rFonts w:ascii="Times New Roman" w:hAnsi="Times New Roman" w:cs="Times New Roman"/>
          <w:sz w:val="24"/>
          <w:szCs w:val="24"/>
        </w:rPr>
        <w:t>, and V4 to V6) leads</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"10.1016/j.hrthm.2012.12.023", "ISSN" : "15475271", "PMID" : "23274366", "abstract" : "Background: The prognostic value of a J wave and ST-segment morphology after J wave in inferolateral leads in Brugada syndrome (BS) is still unknown. Objective: To evaluate the prognostic value of a J wave and ST-segment morphology after J wave in a large Japanese cohort of BS. Methods: A total of 460 consecutive patients with BS (mean age 52\u00b114 years, 432 men) were enrolled. The presence and location of leads showing a J wave, ST-segment morphology after J wave, and clinical outcomes were evaluated in patients with documented ventricular fibrillation (VF) (N = 84), those with syncope without documented VF (N = 109), and subjects without symptoms (N = 267). Results: The prevalence of a J wave in the inferior and/or lateral leads was 12% (53 cases). The prevalence of a J wave among the 3 groups was not different. The incidence of cardiac events (sudden cardiac death or VF) during a mean follow-up period of 50\u00b132 months was not different in patients with (11%) or without (8%) a J wave. Patients with a J wave in both inferior and lateral leads or with horizontal ST-segment morphology after J wave showed a higher incidence of cardiac events than those without (P =.04 and.02, respectively). Multivariate analysis revealed symptoms, QRS duration in lead V2&gt;90 ms, and inferolateral J wave and/or horizontal ST-segment morphology after J wave were important for predicting cardiac events. Conclusion: The presence of a J wave in multiple leads and horizontal ST-segment morphology after J wave may indicate a highly arrhythmogenic substrate in patients with BS. \u00a9 2013 Heart Rhythm Society.", "author" : [ { "dropping-particle" : "", "family" : "Takagi", "given" : "Masahiko", "non-dropping-particle" : "", "parse-names" : false, "suffix" : "" }, { "dropping-particle" : "", "family" : "Aonuma", "given" : "Kazutaka", "non-dropping-particle" : "", "parse-names" : false, "suffix" : "" }, { "dropping-particle" : "", "family" : "Sekiguchi", "given" : "Yukio", "non-dropping-particle" : "", "parse-names" : false, "suffix" : "" }, { "dropping-particle" : "", "family" : "Yokoyama", "given" : "Yasuhiro", "non-dropping-particle" : "", "parse-names" : false, "suffix" : "" }, { "dropping-particle" : "", "family" : "Aihara", "given" : "Naohiko", "non-dropping-particle" : "", "parse-names" : false, "suffix" : "" }, { "dropping-particle" : "", "family" : "Hiraoka", "given" : "Masayasu", "non-dropping-particle" : "", "parse-names" : false, "suffix" : "" } ], "container-title" : "Heart Rhythm", "id" : "ITEM-1", "issued" : { "date-parts" : [ [ "2013" ] ] }, "page" : "533-539", "title" : "The prognostic value of early repolarization (J wave) and ST-segment morphology after J wave in Brugada syndrome: Multicenter study in Japan", "type" : "article-journal", "volume" : "10" }, "uris" : [ "http://www.mendeley.com/documents/?uuid=7d4ea5e2-4222-3334-b521-01cd18d84899" ] } ], "mendeley" : { "formattedCitation" : "&lt;sup&gt;14&lt;/sup&gt;", "plainTextFormattedCitation" : "14", "previouslyFormattedCitation" : "&lt;sup&gt;14&lt;/sup&gt;"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14</w:t>
      </w:r>
      <w:r w:rsidR="004B2479"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t>
      </w:r>
      <w:r w:rsidRPr="00566230">
        <w:rPr>
          <w:rFonts w:ascii="Times New Roman" w:hAnsi="Times New Roman" w:cs="Times New Roman"/>
          <w:sz w:val="24"/>
          <w:szCs w:val="24"/>
        </w:rPr>
        <w:lastRenderedPageBreak/>
        <w:t>The presence of a significant S wave in lead I was examined. The amplitude from the isoelectric line to the nadir of the S-wave and duration were assessed and considered significant if it were deep (≥0.1mV) or wide (≥40ms) as defined previously</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"10.1016/j.jacc.2016.01.024", "ISBN" : "1558-3597 (Electronic)\\r0735-1097 (Linking)", "ISSN" : "15583597", "PMID" : "27012403", "abstract" : "Background Risk stratification in asymptomatic patients remains by far the most important yet unresolved clinical problem in the Brugada syndrome (BrS). Objectives This study sought to analyze the usefulness of electrocardiographic parameters as markers of sudden cardiac death (SCD) in BrS. Methods This study analyzed data from 347 consecutive patients (78.4% male; mean age 45 \u00b1 13.1 years) with spontaneous type 1 BrS by ECG parameters but with no history of cardiac arrest (including 91.1% asymptomatic at presentation, 5.2% with a history of atrial fibrillation [AF], and 4% with a history of arrhythmic syncope). Electrocardiographic characteristics at the first clinic visit were analyzed to predict ventricular fibrillation (VF)/SCD during follow-up. Results During the follow-up (48 \u00b1 38 months), 276 (79.5%) patients remained asymptomatic, 39 (11.2%) developed syncope, and 32 (9.2%) developed VF/SCD. Patients who developed VF/SCD had a lower prevalence of SCN5A gene mutations (p = 0.009) and a higher prevalence of positive electrophysiological study results (p &lt; 0.0001), a family history of SCD (p = 0.03), and AF (p &lt; 0.0001). The most powerful marker for VF/SCD was a significant S-wave (\u22650.1 mV and/or \u226540 ms) in lead I. In the multivariate analysis, the duration of S-wave in lead I \u226540 ms (hazard ratio: 39.1) and AF (hazard ratio: 3.7) were independent predictors of VF/SCD during follow-up. Electroanatomic mapping in 12 patients showed an endocardial activation time significantly longer in patients with an S-wave in lead I, mostly because of a significant delay in the anterolateral right ventricular outflow tract. Conclusions The presence of a wide and/or large S-wave in lead I was a powerful predictor of life-threatening ventricular arrhythmias in patients with BrS and no history of cardiac arrest at presentation. However, the prognostic value of a significant S-wave in lead I should be confirmed by larger studies and by an independent confirmation cohort of healthy subjects.", "author" : [ { "dropping-particle" : "", "family" : "Cal\u00f2", "given" : "Leonardo", "non-dropping-particle" : "", "parse-names" : false, "suffix" : "" }, { "dropping-particle" : "", "family" : "Giustetto", "given" : "Carla", "non-dropping-particle" : "", "parse-names" : false, "suffix" : "" }, { "dropping-particle" : "", "family" : "Martino", "given" : "Annamaria", "non-dropping-particle" : "", "parse-names" : false, "suffix" : "" }, { "dropping-particle" : "", "family" : "Sciarra", "given" : "Luigi", "non-dropping-particle" : "", "parse-names" : false, "suffix" : "" }, { "dropping-particle" : "", "family" : "Cerrato", "given" : "Natascia", "non-dropping-particle" : "", "parse-names" : false, "suffix" : "" }, { "dropping-particle" : "", "family" : "Marziali", "given" : "Marta", "non-dropping-particle" : "", "parse-names" : false, "suffix" : "" }, { "dropping-particle" : "", "family" : "Rauzino", "given" : "Jessica", "non-dropping-particle" : "", "parse-names" : false, "suffix" : "" }, { "dropping-particle" : "", "family" : "Carlino", "given" : "Giulia", "non-dropping-particle" : "", "parse-names" : false, "suffix" : "" }, { "dropping-particle" : "", "family" : "Ruvo", "given" : "Ermenegildo", "non-dropping-particle" : "De", "parse-names" : false, "suffix" : "" }, { "dropping-particle" : "", "family" : "Guerra", "given" : "Federico", "non-dropping-particle" : "", "parse-names" : false, "suffix" : "" }, { "dropping-particle" : "", "family" : "Rebecchi", "given" : "Marco", "non-dropping-particle" : "", "parse-names" : false, "suffix" : "" }, { "dropping-particle" : "", "family" : "Lanzillo", "given" : "Chiara", "non-dropping-particle" : "", "parse-names" : false, "suffix" : "" }, { "dropping-particle" : "", "family" : "Anselmino", "given" : "Matteo", "non-dropping-particle" : "", "parse-names" : false, "suffix" : "" }, { "dropping-particle" : "", "family" : "Castro", "given" : "Antonio", "non-dropping-particle" : "", "parse-names" : false, "suffix" : "" }, { "dropping-particle" : "", "family" : "Turreni", "given" : "Federico", "non-dropping-particle" : "", "parse-names" : false, "suffix" : "" }, { "dropping-particle" : "", "family" : "Penco", "given" : "Maria", "non-dropping-particle" : "", "parse-names" : false, "suffix" : "" }, { "dropping-particle" : "", "family" : "Volpe", "given" : "Massimo", "non-dropping-particle" : "", "parse-names" : false, "suffix" : "" }, { "dropping-particle" : "", "family" : "Capucci", "given" : "Alessandro", "non-dropping-particle" : "", "parse-names" : false, "suffix" : "" }, { "dropping-particle" : "", "family" : "Gaita", "given" : "Fiorenzo", "non-dropping-particle" : "", "parse-names" : false, "suffix" : "" } ], "container-title" : "Journal of the American College of Cardiology", "id" : "ITEM-1", "issue" : "12", "issued" : { "date-parts" : [ [ "2016" ] ] }, "page" : "1427-1440", "title" : "A New Electrocardiographic Marker of Sudden Death in Brugada Syndrome: The S-Wave in Lead i", "type" : "article-journal", "volume" : "67" }, "uris" : [ "http://www.mendeley.com/documents/?uuid=b67c28b9-08be-46a8-bdf5-4d615a9437b9" ] } ], "mendeley" : { "formattedCitation" : "&lt;sup&gt;13&lt;/sup&gt;", "plainTextFormattedCitation" : "13", "previouslyFormattedCitation" : "&lt;sup&gt;13&lt;/sup&gt;"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13</w:t>
      </w:r>
      <w:r w:rsidR="004B2479"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t>
      </w:r>
    </w:p>
    <w:p w14:paraId="35F621C0" w14:textId="3D1D10BE" w:rsidR="006D56D5" w:rsidRPr="00566230" w:rsidRDefault="006D56D5" w:rsidP="006D56D5">
      <w:pPr>
        <w:autoSpaceDE w:val="0"/>
        <w:autoSpaceDN w:val="0"/>
        <w:adjustRightInd w:val="0"/>
        <w:spacing w:after="0" w:line="480" w:lineRule="auto"/>
        <w:jc w:val="both"/>
        <w:rPr>
          <w:rFonts w:ascii="Times New Roman" w:hAnsi="Times New Roman" w:cs="Times New Roman"/>
          <w:sz w:val="24"/>
          <w:szCs w:val="24"/>
        </w:rPr>
      </w:pPr>
      <w:r w:rsidRPr="00566230">
        <w:rPr>
          <w:rFonts w:ascii="Times New Roman" w:hAnsi="Times New Roman" w:cs="Times New Roman"/>
          <w:sz w:val="24"/>
          <w:szCs w:val="24"/>
        </w:rPr>
        <w:t>Presence of a late potential was evaluated by a SAECG (ART 1200 EPX [Arrhythmia</w:t>
      </w:r>
      <w:r w:rsidRPr="00566230">
        <w:rPr>
          <w:rFonts w:ascii="Times New Roman" w:eastAsia="AdvOTd2cf1899+30" w:hAnsi="Times New Roman" w:cs="Times New Roman"/>
          <w:sz w:val="24"/>
          <w:szCs w:val="24"/>
        </w:rPr>
        <w:t xml:space="preserve"> </w:t>
      </w:r>
      <w:r w:rsidRPr="00566230">
        <w:rPr>
          <w:rFonts w:ascii="Times New Roman" w:hAnsi="Times New Roman" w:cs="Times New Roman"/>
          <w:sz w:val="24"/>
          <w:szCs w:val="24"/>
        </w:rPr>
        <w:t xml:space="preserve">Research Technology Inc, Fitchburg, Massachusetts], using a noise level of &lt;0.3 mV, and high-pass filtering of 40Hz with a bidirectional 4-pole Butterworth). A late potential was considered present if the following 2 criteria were met: root mean square voltage of the terminal 40 </w:t>
      </w:r>
      <w:proofErr w:type="spellStart"/>
      <w:r w:rsidRPr="00566230">
        <w:rPr>
          <w:rFonts w:ascii="Times New Roman" w:hAnsi="Times New Roman" w:cs="Times New Roman"/>
          <w:sz w:val="24"/>
          <w:szCs w:val="24"/>
        </w:rPr>
        <w:t>ms</w:t>
      </w:r>
      <w:proofErr w:type="spellEnd"/>
      <w:r w:rsidRPr="00566230">
        <w:rPr>
          <w:rFonts w:ascii="Times New Roman" w:hAnsi="Times New Roman" w:cs="Times New Roman"/>
          <w:sz w:val="24"/>
          <w:szCs w:val="24"/>
        </w:rPr>
        <w:t xml:space="preserve"> in the filtered QRS complex of &lt;20 mV and a duration of low amplitude signals &lt;40 mV in the terminal filtered QRS complex of &gt;38 ms</w:t>
      </w:r>
      <w:r w:rsidR="004B2479"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"10.1016/j.hrthm.2009.05.007", "ISBN" : "1556-3871 (Electronic)\\r1547-5271 (Linking)", "ISSN" : "15475271", "PMID" : "19632627", "abstract" : "Background: Arrhythmic risk stratification in patients with Brugada syndrome remains controversial. Several recent reports have highlighted the possible role of late potential (LP) on the signal-averaged electrocardiogram (SAECG) as a noninvasive risk stratification tool in Brugada syndrome, but further prospective study is required before its general applicability. Objective: The purpose of this study was to investigate the role of LP in arrhythmic risk stratification of Brugada syndrome patients. Methods: Forty-three patients with Brugada syndrome were enrolled and divided into a symptomatic group (group A, n = 24) and an asymptomatic group (group B, n = 19). SAECG was performed to analyze the characteristics of LP in all subjects. The prospective study was conducted to observe the occurrence of arrhythmic events. Results: LP was positive in 22 (91.7%) of 24 patients in the symptomatic group and in 7 (36.8%) of 19 patients in the asymptomatic group. During mean follow-up of 33.8 \u00b1 9.0 months, the incidence rate of arrhythmic events was 72.4% (21/29) in LP-positive [LP(+)] patients compared with 14.3% (2/14) in LP-negative [LP(-)] patients. Multivariate Cox proportional hazard analyses revealed that the presence of LP had the most significant hazard ratio of 10.9 (95% confidence interval 1.1-104.3, P = .038), with sensitivity of 95.7%, specificity 65.0%, positive predictive value 75.9%, negative predictive value 92.9%, and predictive accuracy 81.4%. Kaplan-Meier curves plotted for event-free survival according to LP showed a significant difference between LP(+) and LP(-) patients (log rank, P = .003). Conclusion: The results of this study support the role of LP detected by SAECG in arrhythmic risk stratification of Brugada syndrome patients. \u00a9 2009 Heart Rhythm Society.", "author" : [ { "dropping-particle" : "", "family" : "Huang", "given" : "Zhengrong", "non-dropping-particle" : "", "parse-names" : false, "suffix" : "" }, { "dropping-particle" : "", "family" : "Patel", "given" : "Chinmay", "non-dropping-particle" : "", "parse-names" : false, "suffix" : "" }, { "dropping-particle" : "", "family" : "Li", "given" : "Weihua", "non-dropping-particle" : "", "parse-names" : false, "suffix" : "" }, { "dropping-particle" : "", "family" : "Xie", "given" : "Qiang", "non-dropping-particle" : "", "parse-names" : false, "suffix" : "" }, { "dropping-particle" : "", "family" : "Wu", "given" : "Rong", "non-dropping-particle" : "", "parse-names" : false, "suffix" : "" }, { "dropping-particle" : "", "family" : "Zhang", "given" : "Lijuan", "non-dropping-particle" : "", "parse-names" : false, "suffix" : "" }, { "dropping-particle" : "", "family" : "Tang", "given" : "Rong", "non-dropping-particle" : "", "parse-names" : false, "suffix" : "" }, { "dropping-particle" : "", "family" : "Wan", "given" : "Xiaoquen", "non-dropping-particle" : "", "parse-names" : false, "suffix" : "" }, { "dropping-particle" : "", "family" : "Ma", "given" : "Yuxiao", "non-dropping-particle" : "", "parse-names" : false, "suffix" : "" }, { "dropping-particle" : "", "family" : "Zhen", "given" : "Wuyang", "non-dropping-particle" : "", "parse-names" : false, "suffix" : "" }, { "dropping-particle" : "", "family" : "Gao", "given" : "Lei", "non-dropping-particle" : "", "parse-names" : false, "suffix" : "" }, { "dropping-particle" : "", "family" : "Yan", "given" : "Gan-Xin Xin", "non-dropping-particle" : "", "parse-names" : false, "suffix" : "" } ], "container-title" : "Heart Rhythm", "id" : "ITEM-1", "issue" : "8", "issued" : { "date-parts" : [ [ "2009" ] ] }, "page" : "1156-1162", "publisher" : "Heart Rhythm Society", "title" : "Role of signal-averaged electrocardiograms in arrhythmic risk stratification of patients with Brugada syndrome: A prospective study", "type" : "article-journal", "volume" : "6" }, "uris" : [ "http://www.mendeley.com/documents/?uuid=a6029c62-722e-458f-b20b-67fc55a1ef2c" ] } ], "mendeley" : { "formattedCitation" : "&lt;sup&gt;12&lt;/sup&gt;", "plainTextFormattedCitation" : "12", "previouslyFormattedCitation" : "&lt;sup&gt;12&lt;/sup&gt;"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12</w:t>
      </w:r>
      <w:r w:rsidR="004B2479" w:rsidRPr="00566230">
        <w:rPr>
          <w:rFonts w:ascii="Times New Roman" w:hAnsi="Times New Roman" w:cs="Times New Roman"/>
          <w:sz w:val="24"/>
          <w:szCs w:val="24"/>
        </w:rPr>
        <w:fldChar w:fldCharType="end"/>
      </w:r>
      <w:r w:rsidRPr="00566230">
        <w:rPr>
          <w:rFonts w:ascii="Times New Roman" w:hAnsi="Times New Roman" w:cs="Times New Roman"/>
          <w:sz w:val="24"/>
          <w:szCs w:val="24"/>
        </w:rPr>
        <w:t>.</w:t>
      </w:r>
    </w:p>
    <w:p w14:paraId="3E799FBD" w14:textId="77777777" w:rsidR="006D56D5" w:rsidRPr="00566230" w:rsidRDefault="006D56D5" w:rsidP="006D56D5">
      <w:pPr>
        <w:spacing w:line="480" w:lineRule="auto"/>
        <w:rPr>
          <w:rFonts w:ascii="Times New Roman" w:hAnsi="Times New Roman" w:cs="Times New Roman"/>
          <w:i/>
          <w:sz w:val="24"/>
          <w:szCs w:val="24"/>
        </w:rPr>
      </w:pPr>
    </w:p>
    <w:p w14:paraId="5AF1D918" w14:textId="27FFB889" w:rsidR="006D56D5" w:rsidRPr="00566230" w:rsidRDefault="00A2027C" w:rsidP="006D56D5">
      <w:pPr>
        <w:spacing w:line="480" w:lineRule="auto"/>
        <w:rPr>
          <w:rFonts w:ascii="Times New Roman" w:hAnsi="Times New Roman" w:cs="Times New Roman"/>
          <w:i/>
          <w:sz w:val="24"/>
          <w:szCs w:val="24"/>
        </w:rPr>
      </w:pPr>
      <w:r w:rsidRPr="00566230">
        <w:rPr>
          <w:rFonts w:ascii="Times New Roman" w:hAnsi="Times New Roman" w:cs="Times New Roman"/>
          <w:i/>
          <w:sz w:val="24"/>
          <w:szCs w:val="24"/>
        </w:rPr>
        <w:t>SCA</w:t>
      </w:r>
      <w:r w:rsidR="006D56D5" w:rsidRPr="00566230">
        <w:rPr>
          <w:rFonts w:ascii="Times New Roman" w:hAnsi="Times New Roman" w:cs="Times New Roman"/>
          <w:i/>
          <w:sz w:val="24"/>
          <w:szCs w:val="24"/>
        </w:rPr>
        <w:t xml:space="preserve"> event and ICD therapy</w:t>
      </w:r>
    </w:p>
    <w:p w14:paraId="0B2259D8" w14:textId="62952682"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or equivalent event </w:t>
      </w:r>
      <w:proofErr w:type="gramStart"/>
      <w:r w:rsidRPr="00566230">
        <w:rPr>
          <w:rFonts w:ascii="Times New Roman" w:hAnsi="Times New Roman" w:cs="Times New Roman"/>
          <w:sz w:val="24"/>
          <w:szCs w:val="24"/>
        </w:rPr>
        <w:t>was considered to be</w:t>
      </w:r>
      <w:proofErr w:type="gramEnd"/>
      <w:r w:rsidRPr="00566230">
        <w:rPr>
          <w:rFonts w:ascii="Times New Roman" w:hAnsi="Times New Roman" w:cs="Times New Roman"/>
          <w:sz w:val="24"/>
          <w:szCs w:val="24"/>
        </w:rPr>
        <w:t xml:space="preserve"> </w:t>
      </w:r>
      <w:proofErr w:type="spellStart"/>
      <w:r w:rsidRPr="00566230">
        <w:rPr>
          <w:rFonts w:ascii="Times New Roman" w:hAnsi="Times New Roman" w:cs="Times New Roman"/>
          <w:sz w:val="24"/>
          <w:szCs w:val="24"/>
        </w:rPr>
        <w:t>i</w:t>
      </w:r>
      <w:proofErr w:type="spellEnd"/>
      <w:r w:rsidRPr="00566230">
        <w:rPr>
          <w:rFonts w:ascii="Times New Roman" w:hAnsi="Times New Roman" w:cs="Times New Roman"/>
          <w:sz w:val="24"/>
          <w:szCs w:val="24"/>
        </w:rPr>
        <w:t>) successful cardio-pulmonary resuscitation from cardiac arrest or ii) having received an appropriate ICD discharge in response to ventricular fibrillation or fast ventricular tachycardia (&gt;200bpm) as documented by interrogation of stored electrocardiographic data. ICD discharges in response to an accelerated ventricular rhythm caused by anti-tachycardic pacing (ATP) were excluded</w:t>
      </w:r>
    </w:p>
    <w:p w14:paraId="470AA85B" w14:textId="77777777" w:rsidR="00AC0B9B" w:rsidRPr="00566230" w:rsidRDefault="00AC0B9B" w:rsidP="006D56D5">
      <w:pPr>
        <w:spacing w:line="480" w:lineRule="auto"/>
        <w:rPr>
          <w:rFonts w:ascii="Times New Roman" w:hAnsi="Times New Roman" w:cs="Times New Roman"/>
          <w:i/>
          <w:sz w:val="24"/>
          <w:szCs w:val="24"/>
        </w:rPr>
      </w:pPr>
    </w:p>
    <w:p w14:paraId="2C613C79" w14:textId="4C6B2F84" w:rsidR="006D56D5" w:rsidRPr="00566230" w:rsidRDefault="006D56D5" w:rsidP="006D56D5">
      <w:pPr>
        <w:spacing w:line="480" w:lineRule="auto"/>
        <w:rPr>
          <w:rFonts w:ascii="Times New Roman" w:hAnsi="Times New Roman" w:cs="Times New Roman"/>
          <w:i/>
          <w:sz w:val="24"/>
          <w:szCs w:val="24"/>
        </w:rPr>
      </w:pPr>
      <w:r w:rsidRPr="00566230">
        <w:rPr>
          <w:rFonts w:ascii="Times New Roman" w:hAnsi="Times New Roman" w:cs="Times New Roman"/>
          <w:i/>
          <w:sz w:val="24"/>
          <w:szCs w:val="24"/>
        </w:rPr>
        <w:t>Statistical analysis</w:t>
      </w:r>
    </w:p>
    <w:p w14:paraId="2959CADF" w14:textId="77777777" w:rsidR="006D56D5" w:rsidRPr="00566230" w:rsidRDefault="006D56D5" w:rsidP="006D56D5">
      <w:pPr>
        <w:spacing w:line="480" w:lineRule="auto"/>
        <w:jc w:val="both"/>
        <w:rPr>
          <w:rFonts w:ascii="Times New Roman" w:hAnsi="Times New Roman" w:cs="Times New Roman"/>
          <w:sz w:val="24"/>
          <w:szCs w:val="24"/>
          <w:vertAlign w:val="superscript"/>
        </w:rPr>
      </w:pPr>
      <w:r w:rsidRPr="00566230">
        <w:rPr>
          <w:rStyle w:val="normaltextrun"/>
          <w:rFonts w:ascii="Times New Roman" w:hAnsi="Times New Roman" w:cs="Times New Roman"/>
          <w:sz w:val="24"/>
          <w:szCs w:val="24"/>
        </w:rPr>
        <w:t xml:space="preserve">Categorical variables are presented as percentages and continuous data as </w:t>
      </w:r>
      <w:proofErr w:type="spellStart"/>
      <w:r w:rsidRPr="00566230">
        <w:rPr>
          <w:rStyle w:val="spellingerror"/>
          <w:rFonts w:ascii="Times New Roman" w:hAnsi="Times New Roman" w:cs="Times New Roman"/>
          <w:sz w:val="24"/>
          <w:szCs w:val="24"/>
        </w:rPr>
        <w:t>mean±standard</w:t>
      </w:r>
      <w:proofErr w:type="spellEnd"/>
      <w:r w:rsidRPr="00566230">
        <w:rPr>
          <w:rStyle w:val="normaltextrun"/>
          <w:rFonts w:ascii="Times New Roman" w:hAnsi="Times New Roman" w:cs="Times New Roman"/>
          <w:sz w:val="24"/>
          <w:szCs w:val="24"/>
        </w:rPr>
        <w:t xml:space="preserve"> deviation. Differences between groups were performed using student t-test for continuous variables and χ</w:t>
      </w:r>
      <w:r w:rsidRPr="00566230">
        <w:rPr>
          <w:rStyle w:val="normaltextrun"/>
          <w:rFonts w:ascii="Times New Roman" w:hAnsi="Times New Roman" w:cs="Times New Roman"/>
          <w:sz w:val="24"/>
          <w:szCs w:val="24"/>
          <w:vertAlign w:val="superscript"/>
        </w:rPr>
        <w:t>2</w:t>
      </w:r>
      <w:r w:rsidRPr="00566230">
        <w:rPr>
          <w:rStyle w:val="normaltextrun"/>
          <w:rFonts w:ascii="Times New Roman" w:hAnsi="Times New Roman" w:cs="Times New Roman"/>
          <w:sz w:val="24"/>
          <w:szCs w:val="24"/>
        </w:rPr>
        <w:t xml:space="preserve"> test for categorical variables. A P value of &lt;0.05 was considered statistically significant. </w:t>
      </w:r>
      <w:proofErr w:type="spellStart"/>
      <w:r w:rsidRPr="00566230">
        <w:rPr>
          <w:rStyle w:val="normaltextrun"/>
          <w:rFonts w:ascii="Times New Roman" w:hAnsi="Times New Roman" w:cs="Times New Roman"/>
          <w:sz w:val="24"/>
          <w:szCs w:val="24"/>
        </w:rPr>
        <w:t>Graphpad</w:t>
      </w:r>
      <w:proofErr w:type="spellEnd"/>
      <w:r w:rsidRPr="00566230">
        <w:rPr>
          <w:rStyle w:val="normaltextrun"/>
          <w:rFonts w:ascii="Times New Roman" w:hAnsi="Times New Roman" w:cs="Times New Roman"/>
          <w:sz w:val="24"/>
          <w:szCs w:val="24"/>
        </w:rPr>
        <w:t xml:space="preserve"> PRISM (v5) statistical software package was used for statistical analysis.</w:t>
      </w:r>
    </w:p>
    <w:p w14:paraId="1184C8F9" w14:textId="77777777" w:rsidR="00AC0B9B" w:rsidRPr="00566230" w:rsidRDefault="00AC0B9B" w:rsidP="006D56D5">
      <w:pPr>
        <w:spacing w:line="480" w:lineRule="auto"/>
        <w:rPr>
          <w:rFonts w:ascii="Times New Roman" w:hAnsi="Times New Roman" w:cs="Times New Roman"/>
          <w:b/>
          <w:sz w:val="24"/>
          <w:szCs w:val="24"/>
        </w:rPr>
      </w:pPr>
    </w:p>
    <w:p w14:paraId="4C4EFD90" w14:textId="202DA0F6" w:rsidR="006D56D5" w:rsidRPr="00566230" w:rsidRDefault="006D56D5" w:rsidP="006D56D5">
      <w:pPr>
        <w:spacing w:line="480" w:lineRule="auto"/>
        <w:rPr>
          <w:rFonts w:ascii="Times New Roman" w:hAnsi="Times New Roman" w:cs="Times New Roman"/>
          <w:sz w:val="24"/>
          <w:szCs w:val="24"/>
        </w:rPr>
      </w:pPr>
      <w:r w:rsidRPr="00566230">
        <w:rPr>
          <w:rFonts w:ascii="Times New Roman" w:hAnsi="Times New Roman" w:cs="Times New Roman"/>
          <w:b/>
          <w:sz w:val="24"/>
          <w:szCs w:val="24"/>
        </w:rPr>
        <w:lastRenderedPageBreak/>
        <w:t>Results</w:t>
      </w:r>
    </w:p>
    <w:p w14:paraId="0D625B0D" w14:textId="77777777" w:rsidR="006D56D5" w:rsidRPr="00566230" w:rsidRDefault="006D56D5" w:rsidP="006D56D5">
      <w:pPr>
        <w:spacing w:line="480" w:lineRule="auto"/>
        <w:rPr>
          <w:rFonts w:ascii="Times New Roman" w:hAnsi="Times New Roman" w:cs="Times New Roman"/>
          <w:i/>
          <w:sz w:val="24"/>
          <w:szCs w:val="24"/>
        </w:rPr>
      </w:pPr>
      <w:r w:rsidRPr="00566230">
        <w:rPr>
          <w:rFonts w:ascii="Times New Roman" w:hAnsi="Times New Roman" w:cs="Times New Roman"/>
          <w:i/>
          <w:sz w:val="24"/>
          <w:szCs w:val="24"/>
        </w:rPr>
        <w:t xml:space="preserve">Clinical characteristics of </w:t>
      </w:r>
      <w:proofErr w:type="spellStart"/>
      <w:r w:rsidRPr="00566230">
        <w:rPr>
          <w:rFonts w:ascii="Times New Roman" w:hAnsi="Times New Roman" w:cs="Times New Roman"/>
          <w:i/>
          <w:sz w:val="24"/>
          <w:szCs w:val="24"/>
        </w:rPr>
        <w:t>BrS</w:t>
      </w:r>
      <w:proofErr w:type="spellEnd"/>
      <w:r w:rsidRPr="00566230">
        <w:rPr>
          <w:rFonts w:ascii="Times New Roman" w:hAnsi="Times New Roman" w:cs="Times New Roman"/>
          <w:i/>
          <w:sz w:val="24"/>
          <w:szCs w:val="24"/>
        </w:rPr>
        <w:t xml:space="preserve"> cohort</w:t>
      </w:r>
    </w:p>
    <w:p w14:paraId="114BBE1E" w14:textId="21AC6F8D"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 total of 133 patients with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were identified (mean age 45±15 years; 79 males (61%). 33 (25%) had a spontaneous Type I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pattern on ECG, with the remainder having an inducible Type I pattern following an Ajmaline challenge.</w:t>
      </w:r>
      <w:r w:rsidR="004F0B60" w:rsidRPr="00566230">
        <w:rPr>
          <w:rFonts w:ascii="Times New Roman" w:hAnsi="Times New Roman" w:cs="Times New Roman"/>
          <w:sz w:val="24"/>
          <w:szCs w:val="24"/>
        </w:rPr>
        <w:t xml:space="preserve"> </w:t>
      </w:r>
      <w:r w:rsidR="004F0B60" w:rsidRPr="00566230">
        <w:rPr>
          <w:rFonts w:ascii="Times New Roman" w:eastAsia="Times New Roman" w:hAnsi="Times New Roman" w:cs="Times New Roman"/>
          <w:sz w:val="24"/>
          <w:szCs w:val="24"/>
          <w:lang w:eastAsia="en-GB"/>
        </w:rPr>
        <w:t>The mean Shanghai score for this cohort was 3.8±1.2</w:t>
      </w:r>
      <w:r w:rsidR="004F0B60" w:rsidRPr="00566230">
        <w:rPr>
          <w:rFonts w:ascii="Segoe UI" w:eastAsia="Times New Roman" w:hAnsi="Segoe UI" w:cs="Segoe UI"/>
          <w:i/>
          <w:lang w:eastAsia="en-GB"/>
        </w:rPr>
        <w:t>.</w:t>
      </w:r>
      <w:r w:rsidRPr="00566230">
        <w:rPr>
          <w:rFonts w:ascii="Times New Roman" w:hAnsi="Times New Roman" w:cs="Times New Roman"/>
          <w:sz w:val="24"/>
          <w:szCs w:val="24"/>
        </w:rPr>
        <w:t xml:space="preserve"> In our cohort of patients, the commonest reason for initial assessment was for symptoms (53%). This included out of hospital cardiac arrest (n=9), syncope (n=31), pre-syncope or palpitations (n=61) often in combination with a family history of sudden cardiac </w:t>
      </w:r>
      <w:r w:rsidR="006D6BA1" w:rsidRPr="00566230">
        <w:rPr>
          <w:rFonts w:ascii="Times New Roman" w:hAnsi="Times New Roman" w:cs="Times New Roman"/>
          <w:sz w:val="24"/>
          <w:szCs w:val="24"/>
        </w:rPr>
        <w:t>arrest/</w:t>
      </w:r>
      <w:r w:rsidRPr="00566230">
        <w:rPr>
          <w:rFonts w:ascii="Times New Roman" w:hAnsi="Times New Roman" w:cs="Times New Roman"/>
          <w:sz w:val="24"/>
          <w:szCs w:val="24"/>
        </w:rPr>
        <w:t xml:space="preserve">death and/or an ECG suggestive of the </w:t>
      </w:r>
      <w:proofErr w:type="spellStart"/>
      <w:r w:rsidRPr="00566230">
        <w:rPr>
          <w:rFonts w:ascii="Times New Roman" w:hAnsi="Times New Roman" w:cs="Times New Roman"/>
          <w:sz w:val="24"/>
          <w:szCs w:val="24"/>
        </w:rPr>
        <w:t>Brugada</w:t>
      </w:r>
      <w:proofErr w:type="spellEnd"/>
      <w:r w:rsidRPr="00566230">
        <w:rPr>
          <w:rFonts w:ascii="Times New Roman" w:hAnsi="Times New Roman" w:cs="Times New Roman"/>
          <w:sz w:val="24"/>
          <w:szCs w:val="24"/>
        </w:rPr>
        <w:t xml:space="preserve"> phenotype. The second most common reason for initial assessment was family screening (33%), followed by an incidental finding on ECG during clinical care (14%). Following initial assessment, 27 </w:t>
      </w:r>
      <w:r w:rsidR="005C0B25" w:rsidRPr="00566230">
        <w:rPr>
          <w:rFonts w:ascii="Times New Roman" w:hAnsi="Times New Roman" w:cs="Times New Roman"/>
          <w:sz w:val="24"/>
          <w:szCs w:val="24"/>
        </w:rPr>
        <w:t>(</w:t>
      </w:r>
      <w:r w:rsidR="00BF2567" w:rsidRPr="00566230">
        <w:rPr>
          <w:rFonts w:ascii="Times New Roman" w:hAnsi="Times New Roman" w:cs="Times New Roman"/>
          <w:sz w:val="24"/>
          <w:szCs w:val="24"/>
        </w:rPr>
        <w:t>20</w:t>
      </w:r>
      <w:r w:rsidR="005C0B25"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patients proceeded to have ICDs implanted for primary prevention and 9 </w:t>
      </w:r>
      <w:r w:rsidR="00BF2567" w:rsidRPr="00566230">
        <w:rPr>
          <w:rFonts w:ascii="Times New Roman" w:hAnsi="Times New Roman" w:cs="Times New Roman"/>
          <w:sz w:val="24"/>
          <w:szCs w:val="24"/>
        </w:rPr>
        <w:t xml:space="preserve">(7%) </w:t>
      </w:r>
      <w:r w:rsidRPr="00566230">
        <w:rPr>
          <w:rFonts w:ascii="Times New Roman" w:hAnsi="Times New Roman" w:cs="Times New Roman"/>
          <w:sz w:val="24"/>
          <w:szCs w:val="24"/>
        </w:rPr>
        <w:t xml:space="preserve">for secondary prevention. Mean follow up for the entire cohort was 42±25 months. </w:t>
      </w:r>
    </w:p>
    <w:p w14:paraId="21C947D0" w14:textId="77777777" w:rsidR="0041611C" w:rsidRPr="00566230" w:rsidRDefault="0041611C" w:rsidP="006D56D5">
      <w:pPr>
        <w:spacing w:line="480" w:lineRule="auto"/>
        <w:jc w:val="both"/>
        <w:rPr>
          <w:rFonts w:ascii="Times New Roman" w:hAnsi="Times New Roman" w:cs="Times New Roman"/>
          <w:i/>
          <w:sz w:val="24"/>
          <w:szCs w:val="24"/>
        </w:rPr>
      </w:pPr>
    </w:p>
    <w:p w14:paraId="41D4B1E8" w14:textId="259FBAC8" w:rsidR="006D56D5" w:rsidRPr="00566230" w:rsidRDefault="006D56D5" w:rsidP="006D56D5">
      <w:pPr>
        <w:spacing w:line="480" w:lineRule="auto"/>
        <w:rPr>
          <w:rFonts w:ascii="Times New Roman" w:hAnsi="Times New Roman" w:cs="Times New Roman"/>
          <w:i/>
          <w:sz w:val="24"/>
          <w:szCs w:val="24"/>
        </w:rPr>
      </w:pPr>
      <w:proofErr w:type="spellStart"/>
      <w:r w:rsidRPr="00566230">
        <w:rPr>
          <w:rFonts w:ascii="Times New Roman" w:hAnsi="Times New Roman" w:cs="Times New Roman"/>
          <w:i/>
          <w:sz w:val="24"/>
          <w:szCs w:val="24"/>
        </w:rPr>
        <w:t>BrS</w:t>
      </w:r>
      <w:proofErr w:type="spellEnd"/>
      <w:r w:rsidRPr="00566230">
        <w:rPr>
          <w:rFonts w:ascii="Times New Roman" w:hAnsi="Times New Roman" w:cs="Times New Roman"/>
          <w:i/>
          <w:sz w:val="24"/>
          <w:szCs w:val="24"/>
        </w:rPr>
        <w:t xml:space="preserve"> patients with aborted </w:t>
      </w:r>
      <w:r w:rsidR="00A2027C" w:rsidRPr="00566230">
        <w:rPr>
          <w:rFonts w:ascii="Times New Roman" w:hAnsi="Times New Roman" w:cs="Times New Roman"/>
          <w:i/>
          <w:sz w:val="24"/>
          <w:szCs w:val="24"/>
        </w:rPr>
        <w:t>SCA</w:t>
      </w:r>
      <w:r w:rsidRPr="00566230">
        <w:rPr>
          <w:rFonts w:ascii="Times New Roman" w:hAnsi="Times New Roman" w:cs="Times New Roman"/>
          <w:i/>
          <w:sz w:val="24"/>
          <w:szCs w:val="24"/>
        </w:rPr>
        <w:t xml:space="preserve"> events</w:t>
      </w:r>
    </w:p>
    <w:p w14:paraId="17B9E5BA" w14:textId="102DDDFA"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Ten patients experienced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or equivalent event (mean age 38±12 years, 9 males) (</w:t>
      </w:r>
      <w:r w:rsidRPr="00566230">
        <w:rPr>
          <w:rFonts w:ascii="Times New Roman" w:hAnsi="Times New Roman" w:cs="Times New Roman"/>
          <w:b/>
          <w:sz w:val="24"/>
          <w:szCs w:val="24"/>
        </w:rPr>
        <w:t xml:space="preserve">Table </w:t>
      </w:r>
      <w:r w:rsidR="00C66215" w:rsidRPr="00566230">
        <w:rPr>
          <w:rFonts w:ascii="Times New Roman" w:hAnsi="Times New Roman" w:cs="Times New Roman"/>
          <w:b/>
          <w:sz w:val="24"/>
          <w:szCs w:val="24"/>
        </w:rPr>
        <w:t>1</w:t>
      </w:r>
      <w:r w:rsidRPr="00566230">
        <w:rPr>
          <w:rFonts w:ascii="Times New Roman" w:hAnsi="Times New Roman" w:cs="Times New Roman"/>
          <w:sz w:val="24"/>
          <w:szCs w:val="24"/>
        </w:rPr>
        <w:t>). This comprised of nine individuals whose initial presentation was an out of hospital cardiac arrest (documented VF (n=6), polymorphic VT in (n=1) and pulseless electrical activity (n=2)) from which they were successfully resuscitated and one who received an appropriate ICD shock therapy for VF. In this patient, an ICD was implanted for primary prevention on the basis of older guidance set by the Second Consensus Conference Report</w:t>
      </w:r>
      <w:r w:rsidR="00BC54FD"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"10.1161/01.CIR.0000152479.54298.51", "ISBN" : "1547-5271 (Print)\\n1547-5271 (Linking)", "ISSN" : "00097322", "PMID" : "15898165", "abstract" : "Since its introduction as a clinical entity in 1992, the Brugada syndrome has progressed from being a rare disease to one that is second only to automobile accidents as a cause of death among young adults in some countries. Electrocardiographically characterized by a distinct ST-segment elevation in the right precordial leads, the syndrome is associated with a high risk for sudden cardiac death in young and otherwise healthy adults, and less frequently in infants and children. Patients with a spontaneously appearing Brugada ECG have a high risk for sudden arrhythmic death secondary to ventricular tachycardia/fibrillation. The ECG manifestations of Brugada syndrome are often dynamic or concealed and may be unmasked or modulated by sodium channel blockers, a febrile state, vagotonic agents, \u03b1-adrenergic agonists, \u03b2-adrenergic blockers, tricyclic or tetracyclic antidepressants, a combination of glucose and insulin, hypo- and hyperkalemia, hypercalcemia, and alcohol and cocaine toxicity. In recent years, an exponential rise in the number of reported cases and a striking proliferation of articles defining the clinical, genetic, cellular, ionic, and molecular aspects of the disease have occurred. The report of the first consensus conference, published in 2002, focused on diagnostic criteria. The present report, which emanated from the second consensus conference held in September 2003, elaborates further on the diagnostic criteria and examines risk stratification schemes and device and pharmacological approaches to therapy on the basis of the available clinical and basic science data.", "author" : [ { "dropping-particle" : "", "family" : "Antzelevitch", "given" : "Charles", "non-dropping-particle" : "", "parse-names" : false, "suffix" : "" }, { "dropping-particle" : "", "family" : "Brugada", "given" : "Pedro", "non-dropping-particle" : "", "parse-names" : false, "suffix" : "" }, { "dropping-particle" : "", "family" : "Borggrefe", "given" : "Martin", "non-dropping-particle" : "", "parse-names" : false, "suffix" : "" }, { "dropping-particle" : "", "family" : "Brugada", "given" : "Josep", "non-dropping-particle" : "", "parse-names" : false, "suffix" : "" }, { "dropping-particle" : "", "family" : "Brugada", "given" : "Ramon", "non-dropping-particle" : "", "parse-names" : false, "suffix" : "" }, { "dropping-particle" : "", "family" : "Corrado", "given" : "Domenico", "non-dropping-particle" : "", "parse-names" : false, "suffix" : "" }, { "dropping-particle" : "", "family" : "Gussak", "given" : "Ihor", "non-dropping-particle" : "", "parse-names" : false, "suffix" : "" }, { "dropping-particle" : "", "family" : "LeMarec", "given" : "Herve", "non-dropping-particle" : "", "parse-names" : false, "suffix" : "" }, { "dropping-particle" : "", "family" : "Nademanee", "given" : "Koonlawee", "non-dropping-particle" : "", "parse-names" : false, "suffix" : "" }, { "dropping-particle" : "", "family" : "Perez Riera", "given" : "Andres Ricardo", "non-dropping-particle" : "", "parse-names" : false, "suffix" : "" }, { "dropping-particle" : "", "family" : "Shimizu", "given" : "Wataru", "non-dropping-particle" : "", "parse-names" : false, "suffix" : "" }, { "dropping-particle" : "", "family" : "Schulze-Bahr", "given" : "Eric", "non-dropping-particle" : "", "parse-names" : false, "suffix" : "" }, { "dropping-particle" : "", "family" : "Tan", "given" : "Hanno", "non-dropping-particle" : "", "parse-names" : false, "suffix" : "" }, { "dropping-particle" : "", "family" : "Wilde", "given" : "Arthur", "non-dropping-particle" : "", "parse-names" : false, "suffix" : "" } ], "container-title" : "Circulation", "id" : "ITEM-1", "issue" : "5", "issued" : { "date-parts" : [ [ "2005", "2", "8" ] ] }, "page" : "659-670", "title" : "Brugada Syndrome: Report of the second consensus conference", "type" : "article-journal", "volume" : "111" }, "uris" : [ "http://www.mendeley.com/documents/?uuid=a0efe207-7d68-4b7e-a97b-8d6f7b991927" ] } ], "mendeley" : { "formattedCitation" : "&lt;sup&gt;16&lt;/sup&gt;", "plainTextFormattedCitation" : "16", "previouslyFormattedCitation" : "&lt;sup&gt;16&lt;/sup&gt;" }, "properties" : {  }, "schema" : "https://github.com/citation-style-language/schema/raw/master/csl-citation.json" }</w:instrText>
      </w:r>
      <w:r w:rsidR="00BC54FD"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16</w:t>
      </w:r>
      <w:r w:rsidR="00BC54FD"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after a finding a spontaneous Type I pattern and a strong family history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and sudden cardiac death. </w:t>
      </w:r>
      <w:r w:rsidR="00491679" w:rsidRPr="00566230">
        <w:rPr>
          <w:rFonts w:ascii="Times New Roman" w:hAnsi="Times New Roman" w:cs="Times New Roman"/>
          <w:sz w:val="24"/>
          <w:szCs w:val="24"/>
        </w:rPr>
        <w:t>PES</w:t>
      </w:r>
      <w:r w:rsidRPr="00566230">
        <w:rPr>
          <w:rFonts w:ascii="Times New Roman" w:hAnsi="Times New Roman" w:cs="Times New Roman"/>
          <w:sz w:val="24"/>
          <w:szCs w:val="24"/>
        </w:rPr>
        <w:t xml:space="preserve"> was performed in this individual which did not induce any sustained ventricular arrhythmias. All patients were found to have structurally normal hearts on echocardiography and cardiac </w:t>
      </w:r>
      <w:r w:rsidRPr="00566230">
        <w:rPr>
          <w:rFonts w:ascii="Times New Roman" w:hAnsi="Times New Roman" w:cs="Times New Roman"/>
          <w:sz w:val="24"/>
          <w:szCs w:val="24"/>
        </w:rPr>
        <w:lastRenderedPageBreak/>
        <w:t xml:space="preserve">MRI. No significant coronary artery disease was detected in any of these patients on clinical work up with coronary angiography or functional stress testing. </w:t>
      </w:r>
    </w:p>
    <w:p w14:paraId="51AEDF3F" w14:textId="06FEE77B" w:rsidR="006D56D5" w:rsidRPr="00566230" w:rsidRDefault="006D56D5" w:rsidP="006D56D5">
      <w:pPr>
        <w:spacing w:line="480" w:lineRule="auto"/>
        <w:jc w:val="both"/>
        <w:rPr>
          <w:rFonts w:ascii="Times New Roman" w:hAnsi="Times New Roman" w:cs="Times New Roman"/>
          <w:i/>
          <w:sz w:val="24"/>
          <w:szCs w:val="24"/>
        </w:rPr>
      </w:pPr>
      <w:r w:rsidRPr="00566230">
        <w:rPr>
          <w:rFonts w:ascii="Times New Roman" w:hAnsi="Times New Roman" w:cs="Times New Roman"/>
          <w:sz w:val="24"/>
          <w:szCs w:val="24"/>
        </w:rPr>
        <w:t xml:space="preserve">Review of clinical history in these patients revealed none had prior syncope before their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Only two (20%) had a history of palpitations or dizziness and three (30%) with a family history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On review of all ECGs taken over the course of follow up, a spontaneous Type I pattern was only found to be present in one individual (10%). </w:t>
      </w:r>
      <w:r w:rsidR="00BF2567" w:rsidRPr="00566230">
        <w:rPr>
          <w:rFonts w:ascii="Times New Roman" w:hAnsi="Times New Roman" w:cs="Times New Roman"/>
          <w:sz w:val="24"/>
          <w:szCs w:val="24"/>
        </w:rPr>
        <w:t xml:space="preserve">In one other (10%), a Type 2 pattern was present at resting baseline. </w:t>
      </w:r>
      <w:proofErr w:type="gramStart"/>
      <w:r w:rsidRPr="00566230">
        <w:rPr>
          <w:rFonts w:ascii="Times New Roman" w:hAnsi="Times New Roman" w:cs="Times New Roman"/>
          <w:sz w:val="24"/>
          <w:szCs w:val="24"/>
        </w:rPr>
        <w:t>With regard to</w:t>
      </w:r>
      <w:proofErr w:type="gramEnd"/>
      <w:r w:rsidRPr="00566230">
        <w:rPr>
          <w:rFonts w:ascii="Times New Roman" w:hAnsi="Times New Roman" w:cs="Times New Roman"/>
          <w:sz w:val="24"/>
          <w:szCs w:val="24"/>
        </w:rPr>
        <w:t xml:space="preserve"> other ECG risk markers, there was a low prevalence of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(10%), a significant S wave (20%), or an ER pattern in any lead (10%) in these patients. </w:t>
      </w:r>
      <w:r w:rsidR="00BF2567" w:rsidRPr="00566230">
        <w:rPr>
          <w:rFonts w:ascii="Times New Roman" w:hAnsi="Times New Roman" w:cs="Times New Roman"/>
          <w:sz w:val="24"/>
          <w:szCs w:val="24"/>
        </w:rPr>
        <w:t>T</w:t>
      </w:r>
      <w:r w:rsidRPr="00566230">
        <w:rPr>
          <w:rFonts w:ascii="Times New Roman" w:hAnsi="Times New Roman" w:cs="Times New Roman"/>
          <w:sz w:val="24"/>
          <w:szCs w:val="24"/>
        </w:rPr>
        <w:t xml:space="preserve">able </w:t>
      </w:r>
      <w:r w:rsidR="00BD026D" w:rsidRPr="00566230">
        <w:rPr>
          <w:rFonts w:ascii="Times New Roman" w:hAnsi="Times New Roman" w:cs="Times New Roman"/>
          <w:sz w:val="24"/>
          <w:szCs w:val="24"/>
        </w:rPr>
        <w:t>1</w:t>
      </w:r>
      <w:r w:rsidRPr="00566230">
        <w:rPr>
          <w:rFonts w:ascii="Times New Roman" w:hAnsi="Times New Roman" w:cs="Times New Roman"/>
          <w:sz w:val="24"/>
          <w:szCs w:val="24"/>
        </w:rPr>
        <w:t xml:space="preserve"> provides a summary of the clinical characteristics and ECG findings of these ten patients. SAECG was available for six individuals and evidence of late potentials found only in one (17%). A PES study was performed in four, with one having inducible VF (25%). </w:t>
      </w:r>
    </w:p>
    <w:p w14:paraId="3CB74316" w14:textId="77777777"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Activity at the time of cardiac arrest or ventricular arrhythmia varied between individuals. In three patients, occurrence was during sleep. In four individuals, the event occurred shortly after finishing a meal (n=2), and immediately after exertional activity (running n=1, gardening n=1). In the remaining three, there did not seem to be a clear precipitating factor (n=2) or complete recollection of the event (n=1). </w:t>
      </w:r>
    </w:p>
    <w:p w14:paraId="5D957C9B" w14:textId="77777777" w:rsidR="00C66215" w:rsidRPr="00566230" w:rsidRDefault="00C66215" w:rsidP="006D56D5">
      <w:pPr>
        <w:spacing w:line="480" w:lineRule="auto"/>
        <w:rPr>
          <w:rFonts w:ascii="Times New Roman" w:hAnsi="Times New Roman" w:cs="Times New Roman"/>
          <w:i/>
          <w:sz w:val="24"/>
          <w:szCs w:val="24"/>
        </w:rPr>
      </w:pPr>
    </w:p>
    <w:p w14:paraId="4ADA2970" w14:textId="1C0B7058" w:rsidR="006D56D5" w:rsidRPr="00566230" w:rsidRDefault="006D56D5" w:rsidP="006D56D5">
      <w:pPr>
        <w:spacing w:line="480" w:lineRule="auto"/>
        <w:rPr>
          <w:rFonts w:ascii="Times New Roman" w:hAnsi="Times New Roman" w:cs="Times New Roman"/>
          <w:i/>
          <w:sz w:val="24"/>
          <w:szCs w:val="24"/>
        </w:rPr>
      </w:pPr>
      <w:proofErr w:type="spellStart"/>
      <w:r w:rsidRPr="00566230">
        <w:rPr>
          <w:rFonts w:ascii="Times New Roman" w:hAnsi="Times New Roman" w:cs="Times New Roman"/>
          <w:i/>
          <w:sz w:val="24"/>
          <w:szCs w:val="24"/>
        </w:rPr>
        <w:t>BrS</w:t>
      </w:r>
      <w:proofErr w:type="spellEnd"/>
      <w:r w:rsidRPr="00566230">
        <w:rPr>
          <w:rFonts w:ascii="Times New Roman" w:hAnsi="Times New Roman" w:cs="Times New Roman"/>
          <w:i/>
          <w:sz w:val="24"/>
          <w:szCs w:val="24"/>
        </w:rPr>
        <w:t xml:space="preserve"> patients without </w:t>
      </w:r>
      <w:r w:rsidR="00A2027C" w:rsidRPr="00566230">
        <w:rPr>
          <w:rFonts w:ascii="Times New Roman" w:hAnsi="Times New Roman" w:cs="Times New Roman"/>
          <w:i/>
          <w:sz w:val="24"/>
          <w:szCs w:val="24"/>
        </w:rPr>
        <w:t>SCA</w:t>
      </w:r>
      <w:r w:rsidRPr="00566230">
        <w:rPr>
          <w:rFonts w:ascii="Times New Roman" w:hAnsi="Times New Roman" w:cs="Times New Roman"/>
          <w:i/>
          <w:sz w:val="24"/>
          <w:szCs w:val="24"/>
        </w:rPr>
        <w:t xml:space="preserve"> events and ICD therapy</w:t>
      </w:r>
    </w:p>
    <w:p w14:paraId="2E749371" w14:textId="31196BFE" w:rsidR="006D56D5" w:rsidRPr="00566230" w:rsidRDefault="006D56D5" w:rsidP="006D56D5">
      <w:pPr>
        <w:spacing w:line="480" w:lineRule="auto"/>
        <w:jc w:val="both"/>
        <w:rPr>
          <w:rFonts w:ascii="Times New Roman" w:hAnsi="Times New Roman" w:cs="Times New Roman"/>
          <w:i/>
          <w:sz w:val="24"/>
          <w:szCs w:val="24"/>
        </w:rPr>
      </w:pPr>
      <w:r w:rsidRPr="00566230">
        <w:rPr>
          <w:rFonts w:ascii="Times New Roman" w:hAnsi="Times New Roman" w:cs="Times New Roman"/>
          <w:sz w:val="24"/>
          <w:szCs w:val="24"/>
        </w:rPr>
        <w:t xml:space="preserve">One hundred and twenty-three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(mean age 45±15, 70 male) had not experienced a previous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or any ICD therapy during the duration of follow up with the service. Mean follow up time was 42±26 months. 26% had a spontaneous Type I pattern, 25% a history of syncope, and 31% a family history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In comparison to the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group, there was a smaller male to female ratio (p=0.04). No significant differences between the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and non-</w:t>
      </w:r>
      <w:r w:rsidR="00A2027C" w:rsidRPr="00566230">
        <w:rPr>
          <w:rFonts w:ascii="Times New Roman" w:hAnsi="Times New Roman" w:cs="Times New Roman"/>
          <w:sz w:val="24"/>
          <w:szCs w:val="24"/>
        </w:rPr>
        <w:lastRenderedPageBreak/>
        <w:t>SCA</w:t>
      </w:r>
      <w:r w:rsidRPr="00566230">
        <w:rPr>
          <w:rFonts w:ascii="Times New Roman" w:hAnsi="Times New Roman" w:cs="Times New Roman"/>
          <w:sz w:val="24"/>
          <w:szCs w:val="24"/>
        </w:rPr>
        <w:t xml:space="preserve"> group were found for age or in the frequency of individuals with a history syncope, spontaneous Type I pattern or family history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w:t>
      </w:r>
      <w:r w:rsidRPr="00566230">
        <w:rPr>
          <w:rFonts w:ascii="Times New Roman" w:hAnsi="Times New Roman" w:cs="Times New Roman"/>
          <w:b/>
          <w:sz w:val="24"/>
          <w:szCs w:val="24"/>
        </w:rPr>
        <w:t xml:space="preserve">Table </w:t>
      </w:r>
      <w:r w:rsidR="00C66215" w:rsidRPr="00566230">
        <w:rPr>
          <w:rFonts w:ascii="Times New Roman" w:hAnsi="Times New Roman" w:cs="Times New Roman"/>
          <w:b/>
          <w:sz w:val="24"/>
          <w:szCs w:val="24"/>
        </w:rPr>
        <w:t>2</w:t>
      </w:r>
      <w:r w:rsidRPr="00566230">
        <w:rPr>
          <w:rFonts w:ascii="Times New Roman" w:hAnsi="Times New Roman" w:cs="Times New Roman"/>
          <w:sz w:val="24"/>
          <w:szCs w:val="24"/>
        </w:rPr>
        <w:t>). Other baseline ECG patterns included</w:t>
      </w:r>
      <w:r w:rsidR="005C0B25"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a Type II/III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ECG (n=38), RSR’ pattern (n=</w:t>
      </w:r>
      <w:r w:rsidR="00341284" w:rsidRPr="00566230">
        <w:rPr>
          <w:rFonts w:ascii="Times New Roman" w:hAnsi="Times New Roman" w:cs="Times New Roman"/>
          <w:sz w:val="24"/>
          <w:szCs w:val="24"/>
        </w:rPr>
        <w:t>12</w:t>
      </w:r>
      <w:r w:rsidRPr="00566230">
        <w:rPr>
          <w:rFonts w:ascii="Times New Roman" w:hAnsi="Times New Roman" w:cs="Times New Roman"/>
          <w:sz w:val="24"/>
          <w:szCs w:val="24"/>
        </w:rPr>
        <w:t>),</w:t>
      </w:r>
      <w:r w:rsidR="00341284" w:rsidRPr="00566230" w:rsidDel="00341284">
        <w:rPr>
          <w:rFonts w:ascii="Times New Roman" w:hAnsi="Times New Roman" w:cs="Times New Roman"/>
          <w:sz w:val="24"/>
          <w:szCs w:val="24"/>
        </w:rPr>
        <w:t xml:space="preserve"> </w:t>
      </w:r>
      <w:r w:rsidRPr="00566230">
        <w:rPr>
          <w:rFonts w:ascii="Times New Roman" w:hAnsi="Times New Roman" w:cs="Times New Roman"/>
          <w:sz w:val="24"/>
          <w:szCs w:val="24"/>
        </w:rPr>
        <w:t xml:space="preserve">ER (n=4),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(n=7), significant S wave in lead I (n=30) and an entirely normal ECG in 32%. SAECG was available for seventy-eight individuals, with 38% fulfilling criteria for presence of late potentials. Fifty-nine underwent a PES study and eleven (19%) were found to be inducible.</w:t>
      </w:r>
    </w:p>
    <w:p w14:paraId="49492327" w14:textId="38B00AA9"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In the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group, twenty-seven (22%) individuals received an ICD for primary prevention. Five (19%) patients had a history of syncope and Type I ECG, with the remaining twenty-two (81%) having either a type I ECG or previous syncope with an additional minor risk factor(s) which included a positive PES study, abnormal SAECG and/or family history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w:t>
      </w:r>
    </w:p>
    <w:p w14:paraId="15D6657D" w14:textId="77777777" w:rsidR="00C66215" w:rsidRPr="00566230" w:rsidRDefault="00C66215" w:rsidP="006D56D5">
      <w:pPr>
        <w:spacing w:line="480" w:lineRule="auto"/>
        <w:rPr>
          <w:rFonts w:ascii="Times New Roman" w:hAnsi="Times New Roman" w:cs="Times New Roman"/>
          <w:i/>
          <w:sz w:val="24"/>
          <w:szCs w:val="24"/>
        </w:rPr>
      </w:pPr>
    </w:p>
    <w:p w14:paraId="5D00297A" w14:textId="77777777" w:rsidR="006D56D5" w:rsidRPr="00566230" w:rsidRDefault="006D56D5" w:rsidP="006D56D5">
      <w:pPr>
        <w:spacing w:line="480" w:lineRule="auto"/>
        <w:rPr>
          <w:rFonts w:ascii="Times New Roman" w:hAnsi="Times New Roman" w:cs="Times New Roman"/>
          <w:i/>
          <w:sz w:val="24"/>
          <w:szCs w:val="24"/>
        </w:rPr>
      </w:pPr>
      <w:r w:rsidRPr="00566230">
        <w:rPr>
          <w:rFonts w:ascii="Times New Roman" w:hAnsi="Times New Roman" w:cs="Times New Roman"/>
          <w:i/>
          <w:sz w:val="24"/>
          <w:szCs w:val="24"/>
        </w:rPr>
        <w:t>Presence of syncope and/or Type I ECG to predict risk</w:t>
      </w:r>
    </w:p>
    <w:p w14:paraId="6A440895" w14:textId="022DF36C"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Current guidance recommends consideration of an ICD (class IIA) for primary prevention in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with both a spontaneous Type I pattern and a history of prior syncope</w:t>
      </w:r>
      <w:r w:rsidR="004B2479" w:rsidRPr="00566230">
        <w:rPr>
          <w:rFonts w:ascii="Times New Roman" w:hAnsi="Times New Roman" w:cs="Times New Roman"/>
          <w:sz w:val="24"/>
          <w:szCs w:val="24"/>
        </w:rPr>
        <w:fldChar w:fldCharType="begin" w:fldLock="1"/>
      </w:r>
      <w:r w:rsidR="004B2479" w:rsidRPr="00566230">
        <w:rPr>
          <w:rFonts w:ascii="Times New Roman" w:hAnsi="Times New Roman" w:cs="Times New Roman"/>
          <w:sz w:val="24"/>
          <w:szCs w:val="24"/>
        </w:rPr>
        <w:instrText>ADDIN CSL_CITATION { "citationItems" : [ { "id" : "ITEM-1", "itemData" : { "DOI" : "10.1016/j.hrthm.2013.05.014", "ISBN" : "1556-3871 (Electronic)\\n1547-5271 (Linking)", "ISSN" : "15475271", "PMID" : "24011539", "abstract" : "Tesi CPVT", "author" : [ { "dropping-particle" : "", "family" : "Priori", "given" : "Silvia G.", "non-dropping-particle" : "", "parse-names" : false, "suffix" : "" }, { "dropping-particle" : "", "family" : "Wilde", "given" : "Arthur A.", "non-dropping-particle" : "", "parse-names" : false, "suffix" : "" }, { "dropping-particle" : "", "family" : "Horie", "given" : "Minoru", "non-dropping-particle" : "", "parse-names" : false, "suffix" : "" }, { "dropping-particle" : "", "family" : "Cho", "given" : "Yongkeun", "non-dropping-particle" : "", "parse-names" : false, "suffix" : "" }, { "dropping-particle" : "", "family" : "Behr", "given" : "Elijah R.", "non-dropping-particle" : "", "parse-names" : false, "suffix" : "" }, { "dropping-particle" : "", "family" : "Berul", "given" : "Charles", "non-dropping-particle" : "", "parse-names" : false, "suffix" : "" }, { "dropping-particle" : "", "family" : "Blom", "given" : "Nico", "non-dropping-particle" : "", "parse-names" : false, "suffix" : "" }, { "dropping-particle" : "", "family" : "Brugada", "given" : "Josep", "non-dropping-particle" : "", "parse-names" : false, "suffix" : "" }, { "dropping-particle" : "", "family" : "Chiang", "given" : "Chern En", "non-dropping-particle" : "", "parse-names" : false, "suffix" : "" }, { "dropping-particle" : "", "family" : "Huikuri", "given" : "Heikki", "non-dropping-particle" : "", "parse-names" : false, "suffix" : "" }, { "dropping-particle" : "", "family" : "Kannankeril", "given" : "Prince", "non-dropping-particle" : "", "parse-names" : false, "suffix" : "" }, { "dropping-particle" : "", "family" : "Krahn", "given" : "Andrew", "non-dropping-particle" : "", "parse-names" : false, "suffix" : "" }, { "dropping-particle" : "", "family" : "Leenhardt", "given" : "Antoine", "non-dropping-particle" : "", "parse-names" : false, "suffix" : "" }, { "dropping-particle" : "", "family" : "Moss", "given" : "Arthur", "non-dropping-particle" : "", "parse-names" : false, "suffix" : "" }, { "dropping-particle" : "", "family" : "Schwartz", "given" : "Peter J.", "non-dropping-particle" : "", "parse-names" : false, "suffix" : "" }, { "dropping-particle" : "", "family" : "Shimizu", "given" : "Wataru", "non-dropping-particle" : "", "parse-names" : false, "suffix" : "" }, { "dropping-particle" : "", "family" : "Tomaselli", "given" : "Gordon", "non-dropping-particle" : "", "parse-names" : false, "suffix" : "" }, { "dropping-particle" : "", "family" : "Tracy", "given" : "Cynthia", "non-dropping-particle" : "", "parse-names" : false, "suffix" : "" } ], "container-title" : "Heart Rhythm", "id" : "ITEM-1", "issued" : { "date-parts" : [ [ "2013" ] ] }, "title" : "HRS/EHRA/APHRS Expert Consensus Statement on the Diagnosis and Management of Patients with Inherited Primary Arrhythmia Syndromes: Document endorsed by HRS, EHRA, and APHRS in May 2013 and by ACCF, AHA, PACES, and AEPC in June 2013.", "type" : "article-journal" }, "uris" : [ "http://www.mendeley.com/documents/?uuid=42b375e4-bc92-3872-a9bd-964a494080e8" ] } ], "mendeley" : { "formattedCitation" : "&lt;sup&gt;4&lt;/sup&gt;", "plainTextFormattedCitation" : "4", "previouslyFormattedCitation" : "&lt;sup&gt;4&lt;/sup&gt;"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B2479" w:rsidRPr="00566230">
        <w:rPr>
          <w:rFonts w:ascii="Times New Roman" w:hAnsi="Times New Roman" w:cs="Times New Roman"/>
          <w:noProof/>
          <w:sz w:val="24"/>
          <w:szCs w:val="24"/>
          <w:vertAlign w:val="superscript"/>
        </w:rPr>
        <w:t>4</w:t>
      </w:r>
      <w:r w:rsidR="004B2479" w:rsidRPr="00566230">
        <w:rPr>
          <w:rFonts w:ascii="Times New Roman" w:hAnsi="Times New Roman" w:cs="Times New Roman"/>
          <w:sz w:val="24"/>
          <w:szCs w:val="24"/>
        </w:rPr>
        <w:fldChar w:fldCharType="end"/>
      </w:r>
      <w:r w:rsidR="004B2479" w:rsidRPr="00566230">
        <w:rPr>
          <w:rFonts w:ascii="Times New Roman" w:hAnsi="Times New Roman" w:cs="Times New Roman"/>
          <w:sz w:val="24"/>
          <w:szCs w:val="24"/>
          <w:vertAlign w:val="superscript"/>
        </w:rPr>
        <w:t>,</w:t>
      </w:r>
      <w:r w:rsidR="004B2479" w:rsidRPr="00566230">
        <w:rPr>
          <w:rFonts w:ascii="Times New Roman" w:hAnsi="Times New Roman" w:cs="Times New Roman"/>
          <w:sz w:val="24"/>
          <w:szCs w:val="24"/>
        </w:rPr>
        <w:fldChar w:fldCharType="begin" w:fldLock="1"/>
      </w:r>
      <w:r w:rsidR="004B2479" w:rsidRPr="00566230">
        <w:rPr>
          <w:rFonts w:ascii="Times New Roman" w:hAnsi="Times New Roman" w:cs="Times New Roman"/>
          <w:sz w:val="24"/>
          <w:szCs w:val="24"/>
        </w:rPr>
        <w:instrText>ADDIN CSL_CITATION { "citationItems" : [ { "id" : "ITEM-1", "itemData" : { "DOI" : "10.1093/europace/eul108", "ISBN" : "8006116083", "ISSN" : "1099-5129", "PMID" : "16935866", "abstract" : "A report of theAmerican College of Cardiology/American Heart Association Task Force and the European Society of Cardiology Committee for Practice Guidelines (Writing Committee to Develop Guidelines for Management of Patients With Ventricular Arrhythmias and the Prevention of Sudden Cardiac Death) Developed in collaboration with the European Heart Rhythm Association and the Heart Rhythm Society", "author" : [ { "dropping-particle" : "", "family" : "Priori", "given" : "Silvia G.", "non-dropping-particle" : "", "parse-names" : false, "suffix" : "" }, { "dropping-particle" : "", "family" : "Blomstr\u00f6m-Lundqvist", "given" : "Carina", "non-dropping-particle" : "", "parse-names" : false, "suffix" : "" }, { "dropping-particle" : "", "family" : "Mazzanti", "given" : "Andrea", "non-dropping-particle" : "", "parse-names" : false, "suffix" : "" } ], "container-title" : "European heart journal", "id" : "ITEM-1", "issue" : "9", "issued" : { "date-parts" : [ [ "2015" ] ] }, "page" : "746-837", "title" : "2015 ESC Guidelines for the management of patients with ventricular arrhythmias and the prevention of sudden cardiac death", "type" : "article-journal", "volume" : "8" }, "uris" : [ "http://www.mendeley.com/documents/?uuid=7cc5dee8-4143-4c1b-a980-f3958b4549be" ] } ], "mendeley" : { "formattedCitation" : "&lt;sup&gt;5&lt;/sup&gt;", "plainTextFormattedCitation" : "5", "previouslyFormattedCitation" : "&lt;sup&gt;5&lt;/sup&gt;" }, "properties" : {  }, "schema" : "https://github.com/citation-style-language/schema/raw/master/csl-citation.json" }</w:instrText>
      </w:r>
      <w:r w:rsidR="004B2479" w:rsidRPr="00566230">
        <w:rPr>
          <w:rFonts w:ascii="Times New Roman" w:hAnsi="Times New Roman" w:cs="Times New Roman"/>
          <w:sz w:val="24"/>
          <w:szCs w:val="24"/>
        </w:rPr>
        <w:fldChar w:fldCharType="separate"/>
      </w:r>
      <w:r w:rsidR="004B2479" w:rsidRPr="00566230">
        <w:rPr>
          <w:rFonts w:ascii="Times New Roman" w:hAnsi="Times New Roman" w:cs="Times New Roman"/>
          <w:noProof/>
          <w:sz w:val="24"/>
          <w:szCs w:val="24"/>
          <w:vertAlign w:val="superscript"/>
        </w:rPr>
        <w:t>5</w:t>
      </w:r>
      <w:r w:rsidR="004B2479" w:rsidRPr="00566230">
        <w:rPr>
          <w:rFonts w:ascii="Times New Roman" w:hAnsi="Times New Roman" w:cs="Times New Roman"/>
          <w:sz w:val="24"/>
          <w:szCs w:val="24"/>
        </w:rPr>
        <w:fldChar w:fldCharType="end"/>
      </w:r>
      <w:r w:rsidR="004B2479"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Based on the presence of these two factors, only six would have been considered for an ICD in this cohort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None of these individuals suffered an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during the follow up period. There were also no patients with a previously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who had both these risk factors (</w:t>
      </w:r>
      <w:r w:rsidRPr="00566230">
        <w:rPr>
          <w:rFonts w:ascii="Times New Roman" w:hAnsi="Times New Roman" w:cs="Times New Roman"/>
          <w:b/>
          <w:sz w:val="24"/>
          <w:szCs w:val="24"/>
        </w:rPr>
        <w:t xml:space="preserve">Figure </w:t>
      </w:r>
      <w:r w:rsidR="00C66215" w:rsidRPr="00566230">
        <w:rPr>
          <w:rFonts w:ascii="Times New Roman" w:hAnsi="Times New Roman" w:cs="Times New Roman"/>
          <w:b/>
          <w:sz w:val="24"/>
          <w:szCs w:val="24"/>
        </w:rPr>
        <w:t>1</w:t>
      </w:r>
      <w:r w:rsidRPr="00566230">
        <w:rPr>
          <w:rFonts w:ascii="Times New Roman" w:hAnsi="Times New Roman" w:cs="Times New Roman"/>
          <w:sz w:val="24"/>
          <w:szCs w:val="24"/>
        </w:rPr>
        <w:t xml:space="preserve">). For </w:t>
      </w:r>
      <w:proofErr w:type="gramStart"/>
      <w:r w:rsidRPr="00566230">
        <w:rPr>
          <w:rFonts w:ascii="Times New Roman" w:hAnsi="Times New Roman" w:cs="Times New Roman"/>
          <w:sz w:val="24"/>
          <w:szCs w:val="24"/>
        </w:rPr>
        <w:t>the majority of</w:t>
      </w:r>
      <w:proofErr w:type="gramEnd"/>
      <w:r w:rsidRPr="00566230">
        <w:rPr>
          <w:rFonts w:ascii="Times New Roman" w:hAnsi="Times New Roman" w:cs="Times New Roman"/>
          <w:sz w:val="24"/>
          <w:szCs w:val="24"/>
        </w:rPr>
        <w:t xml:space="preserve"> patients in the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and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groups, there was an absence of both these factors (90% and 54% respectively). </w:t>
      </w:r>
    </w:p>
    <w:p w14:paraId="4F0A1F1C" w14:textId="77777777"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44%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individuals in our cohort had either one of these risk factors present. Using either a spontaneous Type I pattern or the presence of prior syncope as a risk discriminator would provide a sensitivity of 10% and specificity of 54% (positive predictive value of 2%; negative predictive value of 88%) in our cohort.</w:t>
      </w:r>
    </w:p>
    <w:p w14:paraId="52584CFD" w14:textId="77777777" w:rsidR="00C66215" w:rsidRPr="00566230" w:rsidRDefault="00C66215" w:rsidP="006D56D5">
      <w:pPr>
        <w:spacing w:line="480" w:lineRule="auto"/>
        <w:jc w:val="both"/>
        <w:rPr>
          <w:rFonts w:ascii="Times New Roman" w:hAnsi="Times New Roman" w:cs="Times New Roman"/>
          <w:i/>
          <w:sz w:val="24"/>
          <w:szCs w:val="24"/>
        </w:rPr>
      </w:pPr>
    </w:p>
    <w:p w14:paraId="208E5B41" w14:textId="77777777"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i/>
          <w:sz w:val="24"/>
          <w:szCs w:val="24"/>
        </w:rPr>
        <w:t>Presence of newer ECG based markers of risk</w:t>
      </w:r>
    </w:p>
    <w:p w14:paraId="45FC1480" w14:textId="3A48487C" w:rsidR="001C567D"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There was a low prevalence of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(6%; n=8) and ER pattern (4%; n=5) in our cohort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A significant S wave was found in 26% of patients and late potentials in 37% of individuals who underwent the test. No significant differences were observed in the proportion of any of the ECG risk markers between the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and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groups (</w:t>
      </w:r>
      <w:r w:rsidRPr="00566230">
        <w:rPr>
          <w:rFonts w:ascii="Times New Roman" w:hAnsi="Times New Roman" w:cs="Times New Roman"/>
          <w:b/>
          <w:sz w:val="24"/>
          <w:szCs w:val="24"/>
        </w:rPr>
        <w:t xml:space="preserve">Table </w:t>
      </w:r>
      <w:r w:rsidR="00C66215" w:rsidRPr="00566230">
        <w:rPr>
          <w:rFonts w:ascii="Times New Roman" w:hAnsi="Times New Roman" w:cs="Times New Roman"/>
          <w:b/>
          <w:sz w:val="24"/>
          <w:szCs w:val="24"/>
        </w:rPr>
        <w:t>2</w:t>
      </w:r>
      <w:r w:rsidRPr="00566230">
        <w:rPr>
          <w:rFonts w:ascii="Times New Roman" w:hAnsi="Times New Roman" w:cs="Times New Roman"/>
          <w:sz w:val="24"/>
          <w:szCs w:val="24"/>
        </w:rPr>
        <w:t xml:space="preserve">). For each risk marker, its presence was predominantly found in those without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and generally had a poor positive predictive value overall (3-20%) (</w:t>
      </w:r>
      <w:r w:rsidRPr="00566230">
        <w:rPr>
          <w:rFonts w:ascii="Times New Roman" w:hAnsi="Times New Roman" w:cs="Times New Roman"/>
          <w:b/>
          <w:sz w:val="24"/>
          <w:szCs w:val="24"/>
        </w:rPr>
        <w:t xml:space="preserve">Figure </w:t>
      </w:r>
      <w:r w:rsidR="00C66215" w:rsidRPr="00566230">
        <w:rPr>
          <w:rFonts w:ascii="Times New Roman" w:hAnsi="Times New Roman" w:cs="Times New Roman"/>
          <w:b/>
          <w:sz w:val="24"/>
          <w:szCs w:val="24"/>
        </w:rPr>
        <w:t>2</w:t>
      </w:r>
      <w:r w:rsidRPr="00566230">
        <w:rPr>
          <w:rFonts w:ascii="Times New Roman" w:hAnsi="Times New Roman" w:cs="Times New Roman"/>
          <w:sz w:val="24"/>
          <w:szCs w:val="24"/>
        </w:rPr>
        <w:t xml:space="preserve">).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had a sensitivity of 10% and specificity of 94%; late potentials a sensitivity of 17% and specificity of 62%; a significant S wave sensitivity of 20% and specificity of 76%; and an ER pattern a sensitivity of 10% and specificity of 97%</w:t>
      </w:r>
      <w:r w:rsidR="001C567D" w:rsidRPr="00566230">
        <w:rPr>
          <w:rFonts w:ascii="Times New Roman" w:hAnsi="Times New Roman" w:cs="Times New Roman"/>
          <w:sz w:val="24"/>
          <w:szCs w:val="24"/>
        </w:rPr>
        <w:t xml:space="preserve"> (</w:t>
      </w:r>
      <w:r w:rsidR="001C567D" w:rsidRPr="00566230">
        <w:rPr>
          <w:rFonts w:ascii="Times New Roman" w:hAnsi="Times New Roman" w:cs="Times New Roman"/>
          <w:b/>
          <w:sz w:val="24"/>
          <w:szCs w:val="24"/>
        </w:rPr>
        <w:t>Table 3</w:t>
      </w:r>
      <w:r w:rsidR="001C567D" w:rsidRPr="00566230">
        <w:rPr>
          <w:rFonts w:ascii="Times New Roman" w:hAnsi="Times New Roman" w:cs="Times New Roman"/>
          <w:sz w:val="24"/>
          <w:szCs w:val="24"/>
        </w:rPr>
        <w:t>)</w:t>
      </w:r>
      <w:r w:rsidRPr="00566230">
        <w:rPr>
          <w:rFonts w:ascii="Times New Roman" w:hAnsi="Times New Roman" w:cs="Times New Roman"/>
          <w:sz w:val="24"/>
          <w:szCs w:val="24"/>
        </w:rPr>
        <w:t xml:space="preserve">.  </w:t>
      </w:r>
      <w:r w:rsidR="001C567D" w:rsidRPr="00566230">
        <w:rPr>
          <w:rFonts w:ascii="Times New Roman" w:hAnsi="Times New Roman" w:cs="Times New Roman"/>
          <w:sz w:val="24"/>
          <w:szCs w:val="24"/>
        </w:rPr>
        <w:t xml:space="preserve">An aggregate analysis of </w:t>
      </w:r>
      <w:proofErr w:type="spellStart"/>
      <w:r w:rsidR="001C567D" w:rsidRPr="00566230">
        <w:rPr>
          <w:rFonts w:ascii="Times New Roman" w:hAnsi="Times New Roman" w:cs="Times New Roman"/>
          <w:sz w:val="24"/>
          <w:szCs w:val="24"/>
        </w:rPr>
        <w:t>fQRS</w:t>
      </w:r>
      <w:proofErr w:type="spellEnd"/>
      <w:r w:rsidR="001C567D" w:rsidRPr="00566230">
        <w:rPr>
          <w:rFonts w:ascii="Times New Roman" w:hAnsi="Times New Roman" w:cs="Times New Roman"/>
          <w:sz w:val="24"/>
          <w:szCs w:val="24"/>
        </w:rPr>
        <w:t>, ER pattern and deep S w</w:t>
      </w:r>
      <w:r w:rsidR="00AA7DDA" w:rsidRPr="00566230">
        <w:rPr>
          <w:rFonts w:ascii="Times New Roman" w:hAnsi="Times New Roman" w:cs="Times New Roman"/>
          <w:sz w:val="24"/>
          <w:szCs w:val="24"/>
        </w:rPr>
        <w:t>a</w:t>
      </w:r>
      <w:r w:rsidR="001C567D" w:rsidRPr="00566230">
        <w:rPr>
          <w:rFonts w:ascii="Times New Roman" w:hAnsi="Times New Roman" w:cs="Times New Roman"/>
          <w:sz w:val="24"/>
          <w:szCs w:val="24"/>
        </w:rPr>
        <w:t>ve was performed as these were assessed in all patients. No patient had all three of these newer risk markers, and the addition of ≥1 of these risk markers did not improve the sensitivity or specificity when combined with a spontaneous Type I pattern and/or syncope (</w:t>
      </w:r>
      <w:r w:rsidR="001C567D" w:rsidRPr="00566230">
        <w:rPr>
          <w:rFonts w:ascii="Times New Roman" w:hAnsi="Times New Roman" w:cs="Times New Roman"/>
          <w:b/>
          <w:sz w:val="24"/>
          <w:szCs w:val="24"/>
        </w:rPr>
        <w:t>Table 3</w:t>
      </w:r>
      <w:r w:rsidR="001C567D" w:rsidRPr="00566230">
        <w:rPr>
          <w:rFonts w:ascii="Times New Roman" w:hAnsi="Times New Roman" w:cs="Times New Roman"/>
          <w:sz w:val="24"/>
          <w:szCs w:val="24"/>
        </w:rPr>
        <w:t>). Presence of any 1 of these markers on their own improved sensitivity to 30% but had a low positive predictive value (</w:t>
      </w:r>
      <w:r w:rsidR="001C567D" w:rsidRPr="00566230">
        <w:rPr>
          <w:rFonts w:ascii="Times New Roman" w:hAnsi="Times New Roman" w:cs="Times New Roman"/>
          <w:b/>
          <w:sz w:val="24"/>
          <w:szCs w:val="24"/>
        </w:rPr>
        <w:t>Table 3</w:t>
      </w:r>
      <w:r w:rsidR="001C567D" w:rsidRPr="00566230">
        <w:rPr>
          <w:rFonts w:ascii="Times New Roman" w:hAnsi="Times New Roman" w:cs="Times New Roman"/>
          <w:sz w:val="24"/>
          <w:szCs w:val="24"/>
        </w:rPr>
        <w:t>).</w:t>
      </w:r>
    </w:p>
    <w:p w14:paraId="5A0DA92F" w14:textId="77777777" w:rsidR="0041611C" w:rsidRPr="00566230" w:rsidRDefault="0041611C" w:rsidP="006D56D5">
      <w:pPr>
        <w:spacing w:line="480" w:lineRule="auto"/>
        <w:rPr>
          <w:rFonts w:ascii="Times New Roman" w:hAnsi="Times New Roman" w:cs="Times New Roman"/>
          <w:b/>
          <w:sz w:val="24"/>
          <w:szCs w:val="24"/>
        </w:rPr>
      </w:pPr>
    </w:p>
    <w:p w14:paraId="59204E2F" w14:textId="77777777" w:rsidR="006D56D5" w:rsidRPr="00566230" w:rsidRDefault="006D56D5" w:rsidP="006D56D5">
      <w:pPr>
        <w:spacing w:line="480" w:lineRule="auto"/>
        <w:rPr>
          <w:rFonts w:ascii="Times New Roman" w:hAnsi="Times New Roman" w:cs="Times New Roman"/>
          <w:b/>
          <w:sz w:val="24"/>
          <w:szCs w:val="24"/>
        </w:rPr>
      </w:pPr>
      <w:r w:rsidRPr="00566230">
        <w:rPr>
          <w:rFonts w:ascii="Times New Roman" w:hAnsi="Times New Roman" w:cs="Times New Roman"/>
          <w:b/>
          <w:sz w:val="24"/>
          <w:szCs w:val="24"/>
        </w:rPr>
        <w:t>Discussion</w:t>
      </w:r>
    </w:p>
    <w:p w14:paraId="4764404F" w14:textId="77777777"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i/>
          <w:sz w:val="24"/>
          <w:szCs w:val="24"/>
        </w:rPr>
        <w:t>Conventional markers of risk</w:t>
      </w:r>
    </w:p>
    <w:p w14:paraId="6C03EB5E" w14:textId="76E4DEFF"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In our cohort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a history of syncope and/or a spontaneous Type I ECG would not have pre-emptively identified </w:t>
      </w:r>
      <w:proofErr w:type="gramStart"/>
      <w:r w:rsidR="00CB72D1" w:rsidRPr="00566230">
        <w:rPr>
          <w:rFonts w:ascii="Times New Roman" w:hAnsi="Times New Roman" w:cs="Times New Roman"/>
          <w:sz w:val="24"/>
          <w:szCs w:val="24"/>
        </w:rPr>
        <w:t xml:space="preserve">the </w:t>
      </w:r>
      <w:r w:rsidRPr="00566230">
        <w:rPr>
          <w:rFonts w:ascii="Times New Roman" w:hAnsi="Times New Roman" w:cs="Times New Roman"/>
          <w:sz w:val="24"/>
          <w:szCs w:val="24"/>
        </w:rPr>
        <w:t>majority of</w:t>
      </w:r>
      <w:proofErr w:type="gramEnd"/>
      <w:r w:rsidRPr="00566230">
        <w:rPr>
          <w:rFonts w:ascii="Times New Roman" w:hAnsi="Times New Roman" w:cs="Times New Roman"/>
          <w:sz w:val="24"/>
          <w:szCs w:val="24"/>
        </w:rPr>
        <w:t xml:space="preserve"> patients before their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Data to support the current risk stratification strategy of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has been based on short and medium term prospective cohort studies of those identified in life</w:t>
      </w:r>
      <w:r w:rsidR="00C275D1" w:rsidRPr="00566230">
        <w:rPr>
          <w:rFonts w:ascii="Times New Roman" w:hAnsi="Times New Roman" w:cs="Times New Roman"/>
          <w:sz w:val="24"/>
          <w:szCs w:val="24"/>
        </w:rPr>
        <w:fldChar w:fldCharType="begin" w:fldLock="1"/>
      </w:r>
      <w:r w:rsidR="00670611" w:rsidRPr="00566230">
        <w:rPr>
          <w:rFonts w:ascii="Times New Roman" w:hAnsi="Times New Roman" w:cs="Times New Roman"/>
          <w:sz w:val="24"/>
          <w:szCs w:val="24"/>
        </w:rPr>
        <w:instrText>ADDIN CSL_CITATION { "citationItems" : [ { "id" : "ITEM-1", "itemData" : { "DOI" : "10.1161/01.CIR.0000104568.13957.4F", "ISBN" : "1524-4539 (Electronic)\\r0009-7322 (Linking)", "ISSN" : "00097322", "PMID" : "14623800", "abstract" : "BACKGROUND: Patients with Brugada syndrome who were resuscitated from an episode of ventricular fibrillation are at high risk for recurrent sudden death. There is general agreement about the therapeutic strategy for these patients. Conversely, the prognosis and approach in patients with a diagnostic ECG but without a previous history of sudden cardiac death is controversial. We analyzed a large cohort of patients with Brugada syndrome without previous cardiac arrest to understand the determinants of prognosis. METHODS AND RESULTS: A total of 547 patients with an ECG diagnostic of Brugada syndrome and no previous cardiac arrest were studied. The mean age was 41+/-15 years, and 408 were male. The diagnostic ECG was present spontaneously in 391 patients. In the remaining 156 individuals, the abnormal ECG was noted only after the administration of an antiarrhythmic drug. One hundred twenty-four patients had suffered from at least 1 episode of syncope. During programmed ventricular stimulation, a sustained ventricular arrhythmia was induced in 163 of 408 patients. During a mean follow-up of 24+/-32 months, 45 patients (8%) suffered sudden death or documented ventricular fibrillation. Multivariate analysis identified the inducibility of a sustained ventricular arrhythmia (P&lt;0.0001) and a history of syncope (P&lt;0.01) as predictors of events. Logistic regression analysis showed that a patient with a spontaneously abnormal ECG, a previous history of syncope, and inducible sustained ventricular arrhythmias had a probability of 27.2% of suffering an event during follow-up. CONCLUSIONS: Individuals with Brugada syndrome and no previous cardiac arrest have a high risk of sudden death. Inducibility of ventricular arrhythmias and a previous history of syncope are markers of a poor prognosis.", "author" : [ { "dropping-particle" : "", "family" : "Brugada", "given" : "Josep", "non-dropping-particle" : "", "parse-names" : false, "suffix" : "" }, { "dropping-particle" : "", "family" : "Brugada", "given" : "Ramon", "non-dropping-particle" : "", "parse-names" : false, "suffix" : "" }, { "dropping-particle" : "", "family" : "Brugada", "given" : "Pedro", "non-dropping-particle" : "", "parse-names" : false, "suffix" : "" } ], "container-title" : "Circulation", "id" : "ITEM-1", "issue" : "25", "issued" : { "date-parts" : [ [ "2003", "12", "23" ] ] }, "page" : "3092-6", "title" : "Determinants of Sudden Cardiac Death in Individuals with the Electrocardiographic Pattern of Brugada Syndrome and No Previous Cardiac Arrest", "type" : "article-journal", "volume" : "108" }, "uris" : [ "http://www.mendeley.com/documents/?uuid=5d43ab95-bac5-4f3c-ab6e-158819a5fc15" ] }, { "id" : "ITEM-2",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"ITEM-2",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"id" : "ITEM-3", "itemData" : { "DOI" : "10.1016/j.jacc.2011.08.064", "ISBN" : "1558-3597 (Electronic)\\r0735-1097 (Linking)", "ISSN" : "07351097", "PMID" : "22192666", "abstract" : "The PRELUDE (PRogrammed ELectrical stimUlation preDictive valuE) prospective registry was designed to assess the predictive accuracy of sustained ventricular tachycardia/ventricular fibrillation (VTs/VF) inducibility and to identify additional predictors of arrhythmic events in Brugada syndrome patients without history of VT/VF. Brugada syndrome is a genetic disease associated with increased risk of sudden cardiac death. Even though its value has been questioned, inducibility of VTs/VF is widely used to select candidates to receive a prophylactic implantable defibrillator, and its accuracy has never been addressed in prospective studies with homogeneous enrolling criteria. Patients with a spontaneous or drug-induced type I electrocardiogram (ECG) and without history of cardiac arrest were enrolled. The registry included 308 consecutive individuals (247 men, 80%; median age 44 years, range 18 to 72 years). Programmed electrical stimulation was performed at enrollment, and patients were followed-up every 6 months. During a median follow-up of 34 months, 14 arrhythmic events (4.5%) occurred (13 appropriate shocks of the implantable defibrillator, and 1 cardiac arrest). Programmed electrical stimulation performed with a uniform and pre-specified protocol induced ventricular tachyarrhythmias in 40% of patients: arrhythmia inducibility was not a predictor of events at follow-up (9 of 14 events occurred in noninducible patients). History of syncope and spontaneous type I ECG (hazard ratio [HR]: 4.20), ventricular refractory period &lt;200 ms (HR: 3.91), and QRS fragmentation (HR: 4.94) were significant predictors of arrhythmias. Our data show that VT/VF inducibility is unable to identify high-risk patients, whereas the presence of a spontaneous type I ECG, history of syncope, ventricular effective refractory period &lt;200 ms, and QRS fragmentation seem useful to identify candidates for prophylactic implantable cardioverter defibrillator. \u00a9 2012 American College of Cardiology Foundation.", "author" : [ { "dropping-particle" : "", "family" : "Priori", "given" : "Silvia G.", "non-dropping-particle" : "", "parse-names" : false, "suffix" : "" }, { "dropping-particle" : "", "family" : "Gasparini", "given" : "Maurizio", "non-dropping-particle" : "", "parse-names" : false, "suffix" : "" }, { "dropping-particle" : "", "family" : "Napolitano", "given" : "Carlo", "non-dropping-particle" : "", "parse-names" : false, "suffix" : "" }, { "dropping-particle" : "", "family" : "Bella", "given" : "Paolo", "non-dropping-particle" : "Della", "parse-names" : false, "suffix" : "" }, { "dropping-particle" : "", "family" : "Ottonelli", "given" : "Andrea Ghidini", "non-dropping-particle" : "", "parse-names" : false, "suffix" : "" }, { "dropping-particle" : "", "family" : "Sassone", "given" : "Biagio", "non-dropping-particle" : "", "parse-names" : false, "suffix" : "" }, { "dropping-particle" : "", "family" : "Giordano", "given" : "Umberto", "non-dropping-particle" : "", "parse-names" : false, "suffix" : "" }, { "dropping-particle" : "", "family" : "Pappone", "given" : "Carlo", "non-dropping-particle" : "", "parse-names" : false, "suffix" : "" }, { "dropping-particle" : "", "family" : "Mascioli", "given" : "Giosu", "non-dropping-particle" : "", "parse-names" : false, "suffix" : "" }, { "dropping-particle" : "", "family" : "Rossetti", "given" : "Guido", "non-dropping-particle" : "", "parse-names" : false, "suffix" : "" }, { "dropping-particle" : "", "family" : "Nardis", "given" : "Roberto", "non-dropping-particle" : "De", "parse-names" : false, "suffix" : "" }, { "dropping-particle" : "", "family" : "Colombo", "given" : "Mario", "non-dropping-particle" : "", "parse-names" : false, "suffix" : "" } ], "container-title" : "Journal of the American College of Cardiology", "id" : "ITEM-3", "issued" : { "date-parts" : [ [ "2012", "1", "3" ] ] }, "page" : "37-45", "publisher" : "Elsevier Inc.", "title" : "Risk stratification in brugada syndrome: Results of the PRELUDE (PRogrammed ELectrical stimUlation preDictive valuE) registry", "type" : "article-journal", "volume" : "59" }, "uris" : [ "http://www.mendeley.com/documents/?uuid=4d872aa7-7bb4-4278-95de-5399b4ede603" ] } ], "mendeley" : { "formattedCitation" : "&lt;sup&gt;1\u20133&lt;/sup&gt;", "plainTextFormattedCitation" : "1\u20133", "previouslyFormattedCitation" : "&lt;sup&gt;1\u20133&lt;/sup&gt;"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C275D1" w:rsidRPr="00566230">
        <w:rPr>
          <w:rFonts w:ascii="Times New Roman" w:hAnsi="Times New Roman" w:cs="Times New Roman"/>
          <w:noProof/>
          <w:sz w:val="24"/>
          <w:szCs w:val="24"/>
          <w:vertAlign w:val="superscript"/>
        </w:rPr>
        <w:t>1–3</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The largest of these cohort studies came from the FINGER registry, comprising of 1,029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with follow up </w:t>
      </w:r>
      <w:r w:rsidRPr="00566230">
        <w:rPr>
          <w:rFonts w:ascii="Times New Roman" w:hAnsi="Times New Roman" w:cs="Times New Roman"/>
          <w:sz w:val="24"/>
          <w:szCs w:val="24"/>
        </w:rPr>
        <w:lastRenderedPageBreak/>
        <w:t>indicating that a prior cardiac arrest, spontaneous type I ECG and syncope were the only independent predictors of arrhythmic risk</w:t>
      </w:r>
      <w:r w:rsidR="00C275D1" w:rsidRPr="00566230">
        <w:rPr>
          <w:rFonts w:ascii="Times New Roman" w:hAnsi="Times New Roman" w:cs="Times New Roman"/>
          <w:sz w:val="24"/>
          <w:szCs w:val="24"/>
        </w:rPr>
        <w:fldChar w:fldCharType="begin" w:fldLock="1"/>
      </w:r>
      <w:r w:rsidR="00C275D1" w:rsidRPr="00566230">
        <w:rPr>
          <w:rFonts w:ascii="Times New Roman" w:hAnsi="Times New Roman" w:cs="Times New Roman"/>
          <w:sz w:val="24"/>
          <w:szCs w:val="24"/>
        </w:rPr>
        <w:instrText>ADDIN CSL_CITATION { "citationItems" : [ { "id" : "ITEM-1",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"ITEM-1",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"mendeley" : { "formattedCitation" : "&lt;sup&gt;2&lt;/sup&gt;", "plainTextFormattedCitation" : "2", "previouslyFormattedCitation" : "&lt;sup&gt;2&lt;/sup&gt;"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C275D1" w:rsidRPr="00566230">
        <w:rPr>
          <w:rFonts w:ascii="Times New Roman" w:hAnsi="Times New Roman" w:cs="Times New Roman"/>
          <w:noProof/>
          <w:sz w:val="24"/>
          <w:szCs w:val="24"/>
          <w:vertAlign w:val="superscript"/>
        </w:rPr>
        <w:t>2</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w:t>
      </w:r>
    </w:p>
    <w:p w14:paraId="6D6958BA" w14:textId="60A06173"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In our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survivor cohort none had a prior history of a syncope, as determined by reported symptoms from each of these individuals during interview. The notion that the majority of sudden deaths in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occurred in asymptomatic individuals came from a post mortem analysis of 50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probands and their families with BrS</w:t>
      </w:r>
      <w:r w:rsidR="00C275D1"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"10.1016/j.jacc.2010.11.067", "ISSN" : "1558-3597", "PMID" : "21636035", "abstract" : "OBJECTIVES: The objective of this study was to determine the prevalence of conventional risk factors in sudden arrhythmic death syndrome (SADS) probands with Brugada syndrome (BrS). BACKGROUND: Patients with BrS and previous aborted sudden cardiac death (SCD) are at high risk of recurrent events. Other universally accepted clinical features associated with higher risk include unheralded syncope and the presence of a spontaneous type 1 electrocardiogram (ECG). METHODS: We analyzed reported symptoms and reviewed ECGs from SADS probands with familial diagnoses of BrS, established by cardiological evaluation, including ECG, 2-dimensional echocardiography, Holter monitoring, exercise tolerance testing, and ajmaline provocation. These cases underwent familial evaluation between 2003 and 2010. RESULTS: A total of 49 consecutive families with a confirmed SADS death and a diagnosis of BrS were evaluated, comprising assessment of 202 family members in total. One family had 2 members with SADS, resulting in a total of 50 probands included. Mean age of death of probands was 29.1 \u00b1 10.6 years, with 41 males (82%) (p &lt; 0.05). Antemortem ECGs were available for 5 SADS probands, 1 of which demonstrated a spontaneous type 1 pattern. In 45 probands, symptoms before death were reported reliably by family members. Of these, 9 (20%) had experienced at least 1 syncopal episode before the fatal event. Importantly, 68% of probands would not have fulfilled any current criteria for consideration of implantable cardioverter-defibrillator. CONCLUSIONS: The \"low-risk\" asymptomatic BrS group comprises the majority of SCD in this cohort. Current risk stratification would appear to be inadequate, and new markers of risk are vital.", "author" : [ { "dropping-particle" : "", "family" : "Raju", "given" : "Hariharan", "non-dropping-particle" : "", "parse-names" : false, "suffix" : "" }, { "dropping-particle" : "", "family" : "Papadakis", "given" : "Michael", "non-dropping-particle" : "", "parse-names" : false, "suffix" : "" }, { "dropping-particle" : "", "family" : "Govindan", "given" : "Malini", "non-dropping-particle" : "", "parse-names" : false, "suffix" : "" }, { "dropping-particle" : "", "family" : "Bastiaenen", "given" : "Rachel", "non-dropping-particle" : "", "parse-names" : false, "suffix" : "" }, { "dropping-particle" : "", "family" : "Chandra", "given" : "Navin", "non-dropping-particle" : "", "parse-names" : false, "suffix" : "" }, { "dropping-particle" : "", "family" : "O'Sullivan", "given" : "Ann", "non-dropping-particle" : "", "parse-names" : false, "suffix" : "" }, { "dropping-particle" : "", "family" : "Baines", "given" : "Georgina", "non-dropping-particle" : "", "parse-names" : false, "suffix" : "" }, { "dropping-particle" : "", "family" : "Sharma", "given" : "Sanjay", "non-dropping-particle" : "", "parse-names" : false, "suffix" : "" }, { "dropping-particle" : "", "family" : "Behr", "given" : "Elijah R", "non-dropping-particle" : "", "parse-names" : false, "suffix" : "" } ], "container-title" : "Journal of the American College of Cardiology", "id" : "ITEM-1", "issued" : { "date-parts" : [ [ "2011", "6", "7" ] ] }, "page" : "2340-2345", "publisher" : "Elsevier Inc.", "title" : "Low prevalence of risk markers in cases of sudden death due to Brugada syndrome relevance to risk stratification in Brugada syndrome.", "type" : "article-journal", "volume" : "57" }, "uris" : [ "http://www.mendeley.com/documents/?uuid=e4a7d4be-1c44-490c-aa82-8ed84ee31542" ] } ], "mendeley" : { "formattedCitation" : "&lt;sup&gt;8&lt;/sup&gt;", "plainTextFormattedCitation" : "8", "previouslyFormattedCitation" : "&lt;sup&gt;8&lt;/sup&gt;"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8</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Following extensive review of past medical records and interview with relatives, Raju and colleagues had found a prior history of syncope only in 9 of 50 (18%) of these individuals. An obvious limitation of this work is that the determination of a history of syncope in the deceased individual is based on written record and the assumption that such symptoms would have been relayed to family members. </w:t>
      </w:r>
    </w:p>
    <w:p w14:paraId="5C5C0040" w14:textId="4E4E4816" w:rsidR="00CB72D1" w:rsidRPr="00566230" w:rsidRDefault="006D56D5" w:rsidP="00CB72D1">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However, it is also possible that significant ventricular arrhythmias can occur in the absence of reported symptoms. </w:t>
      </w:r>
      <w:proofErr w:type="spellStart"/>
      <w:r w:rsidRPr="00566230">
        <w:rPr>
          <w:rFonts w:ascii="Times New Roman" w:hAnsi="Times New Roman" w:cs="Times New Roman"/>
          <w:sz w:val="24"/>
          <w:szCs w:val="24"/>
        </w:rPr>
        <w:t>Antzelevitch</w:t>
      </w:r>
      <w:proofErr w:type="spellEnd"/>
      <w:r w:rsidRPr="00566230">
        <w:rPr>
          <w:rFonts w:ascii="Times New Roman" w:hAnsi="Times New Roman" w:cs="Times New Roman"/>
          <w:sz w:val="24"/>
          <w:szCs w:val="24"/>
        </w:rPr>
        <w:t xml:space="preserve"> and colleagues had reported on the circadian pattern of VF episodes based on ICD interrogations in 19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with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w:t>
      </w:r>
      <w:r w:rsidR="001A6A15" w:rsidRPr="00566230">
        <w:rPr>
          <w:rFonts w:ascii="Times New Roman" w:hAnsi="Times New Roman" w:cs="Times New Roman"/>
          <w:sz w:val="24"/>
          <w:szCs w:val="24"/>
          <w:vertAlign w:val="superscript"/>
        </w:rPr>
        <w:t>14</w:t>
      </w:r>
      <w:r w:rsidRPr="00566230">
        <w:rPr>
          <w:rFonts w:ascii="Times New Roman" w:hAnsi="Times New Roman" w:cs="Times New Roman"/>
          <w:sz w:val="24"/>
          <w:szCs w:val="24"/>
        </w:rPr>
        <w:t>. 26 of the 64 documented episodes of ventricular fibrillation were asymptomatic by virtue of these having occurred during sleep and requiring no device therapy as they were self-limiting. Whilst these findings limit the sensitivity of reported symptoms as a marker of ventricular arrhythmias, the specificity of syncope to indicate prior ventricular arrhythmias may be also limited by the preponderance of other co-existing causes of syncope, such as of a vasovagal aetiology</w:t>
      </w:r>
      <w:r w:rsidR="00C275D1"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"10.1111/j.1540-8167.2009.01599.x", "ISBN" : "1540-8167 (Electronic)\\r1045-3873 (Linking)", "ISSN" : "1540-8167", "PMID" : "19793146", "abstract" : "INTRODUCTION: Patients with type 1 Brugada electrocardiogram (ECG) and an episode of syncope are diagnosed as symptomatic Brugada syndrome; however, all episodes of syncope may not be due to ventricular tachyarrhythmia. METHODS AND RESULTS: Forty-six patients with type 1 Brugada ECG (all males, 51 +/- 13 years, 29 spontaneous, 17 Ic-drug induced), 20 healthy control subjects (all males, 35 +/- 11 years), and 15 patients with suspected neurally mediated syncope (NMS; 9 males, 54 +/- 22 years) underwent the head-up tilt (HUT) test. During the HUT test, 12-lead ECGs were recorded in all patients, and the heart rate variability was investigated in some patients. Sixteen (35%) of 46 patients with Brugada ECG, 2 (10%) of 20 control subjects, and 10 (67%) of 15 patients with suspected NMS showed positive responses to the HUT test. Although no significant differences were observed in HUT-positive rate among Brugada patients with documented VT (7/14; 50%), syncope (5/19; 26%) and asymptomatic patients (4/13; 31%), the HUT-positive rate was significantly higher in patients with documented VT (50%) and those with VT or no symptoms (11/27, 41%) compared to that in control subjects (10%) (P &lt; 0.05). Augmentation of ST-segment amplitude (&gt; or =0.05 mV) in leads V1-V3 was observed in 11 (69%) of 16 HUT-positive patients with Brugada ECG during vasovagal responses, and was associated with augmentation of parasympathetic tone following sympathetic withdrawal. CONCLUSION: Thirty-five percent of patients with Brugada ECG showed vasovagal responses during the HUT test, suggesting that some Brugada patients have impaired balance of autonomic nervous system, which may relate to their syncopal episodes.", "author" : [ { "dropping-particle" : "", "family" : "Yokokawa", "given" : "Miki", "non-dropping-particle" : "", "parse-names" : false, "suffix" : "" }, { "dropping-particle" : "", "family" : "Okamura", "given" : "Hideo", "non-dropping-particle" : "", "parse-names" : false, "suffix" : "" }, { "dropping-particle" : "", "family" : "Noda", "given" : "Takashi", "non-dropping-particle" : "", "parse-names" : false, "suffix" : "" }, { "dropping-particle" : "", "family" : "Satomi", "given" : "Kazuhiro", "non-dropping-particle" : "", "parse-names" : false, "suffix" : "" }, { "dropping-particle" : "", "family" : "Suyama", "given" : "Kazuhiro", "non-dropping-particle" : "", "parse-names" : false, "suffix" : "" }, { "dropping-particle" : "", "family" : "Kurita", "given" : "Takashi", "non-dropping-particle" : "", "parse-names" : false, "suffix" : "" }, { "dropping-particle" : "", "family" : "Aihara", "given" : "Naohiko", "non-dropping-particle" : "", "parse-names" : false, "suffix" : "" }, { "dropping-particle" : "", "family" : "Kamakura", "given" : "Shiro", "non-dropping-particle" : "", "parse-names" : false, "suffix" : "" }, { "dropping-particle" : "", "family" : "Shimizu", "given" : "Wataru", "non-dropping-particle" : "", "parse-names" : false, "suffix" : "" } ], "container-title" : "Journal of Cardiovascular Electrophysiology", "id" : "ITEM-1", "issued" : { "date-parts" : [ [ "2010", "3" ] ] }, "page" : "186-92", "title" : "Neurally mediated syncope as a cause of syncope in patients with Brugada electrocardiogram.", "type" : "article-journal", "volume" : "21" }, "uris" : [ "http://www.mendeley.com/documents/?uuid=4c6bbe2b-2234-4aad-ab8f-d19244861eb1" ] } ], "mendeley" : { "formattedCitation" : "&lt;sup&gt;17&lt;/sup&gt;", "plainTextFormattedCitation" : "17", "previouslyFormattedCitation" : "&lt;sup&gt;17&lt;/sup&gt;"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17</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w:t>
      </w:r>
      <w:r w:rsidR="00CB72D1"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Individuals without a spontaneous Type I pattern are thought to be at low risk for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From 15 lead ECGs obtained following the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and during follow up (average 1 per year) in all ten patients, the majority did not have a spontaneous Type I pattern (90%). Similarly, Raju et al found an absence of a spontaneous Type I pattern in the majority of patients (80%) for whom ECGs were available</w:t>
      </w:r>
      <w:r w:rsidR="00C275D1"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"10.1016/j.jacc.2010.11.067", "ISSN" : "1558-3597", "PMID" : "21636035", "abstract" : "OBJECTIVES: The objective of this study was to determine the prevalence of conventional risk factors in sudden arrhythmic death syndrome (SADS) probands with Brugada syndrome (BrS). BACKGROUND: Patients with BrS and previous aborted sudden cardiac death (SCD) are at high risk of recurrent events. Other universally accepted clinical features associated with higher risk include unheralded syncope and the presence of a spontaneous type 1 electrocardiogram (ECG). METHODS: We analyzed reported symptoms and reviewed ECGs from SADS probands with familial diagnoses of BrS, established by cardiological evaluation, including ECG, 2-dimensional echocardiography, Holter monitoring, exercise tolerance testing, and ajmaline provocation. These cases underwent familial evaluation between 2003 and 2010. RESULTS: A total of 49 consecutive families with a confirmed SADS death and a diagnosis of BrS were evaluated, comprising assessment of 202 family members in total. One family had 2 members with SADS, resulting in a total of 50 probands included. Mean age of death of probands was 29.1 \u00b1 10.6 years, with 41 males (82%) (p &lt; 0.05). Antemortem ECGs were available for 5 SADS probands, 1 of which demonstrated a spontaneous type 1 pattern. In 45 probands, symptoms before death were reported reliably by family members. Of these, 9 (20%) had experienced at least 1 syncopal episode before the fatal event. Importantly, 68% of probands would not have fulfilled any current criteria for consideration of implantable cardioverter-defibrillator. CONCLUSIONS: The \"low-risk\" asymptomatic BrS group comprises the majority of SCD in this cohort. Current risk stratification would appear to be inadequate, and new markers of risk are vital.", "author" : [ { "dropping-particle" : "", "family" : "Raju", "given" : "Hariharan", "non-dropping-particle" : "", "parse-names" : false, "suffix" : "" }, { "dropping-particle" : "", "family" : "Papadakis", "given" : "Michael", "non-dropping-particle" : "", "parse-names" : false, "suffix" : "" }, { "dropping-particle" : "", "family" : "Govindan", "given" : "Malini", "non-dropping-particle" : "", "parse-names" : false, "suffix" : "" }, { "dropping-particle" : "", "family" : "Bastiaenen", "given" : "Rachel", "non-dropping-particle" : "", "parse-names" : false, "suffix" : "" }, { "dropping-particle" : "", "family" : "Chandra", "given" : "Navin", "non-dropping-particle" : "", "parse-names" : false, "suffix" : "" }, { "dropping-particle" : "", "family" : "O'Sullivan", "given" : "Ann", "non-dropping-particle" : "", "parse-names" : false, "suffix" : "" }, { "dropping-particle" : "", "family" : "Baines", "given" : "Georgina", "non-dropping-particle" : "", "parse-names" : false, "suffix" : "" }, { "dropping-particle" : "", "family" : "Sharma", "given" : "Sanjay", "non-dropping-particle" : "", "parse-names" : false, "suffix" : "" }, { "dropping-particle" : "", "family" : "Behr", "given" : "Elijah R", "non-dropping-particle" : "", "parse-names" : false, "suffix" : "" } ], "container-title" : "Journal of the American College of Cardiology", "id" : "ITEM-1", "issued" : { "date-parts" : [ [ "2011", "6", "7" ] ] }, "page" : "2340-2345", "publisher" : "Elsevier Inc.", "title" : "Low prevalence of risk markers in cases of sudden death due to Brugada syndrome relevance to risk stratification in Brugada syndrome.", "type" : "article-journal", "volume" : "57" }, "uris" : [ "http://www.mendeley.com/documents/?uuid=e4a7d4be-1c44-490c-aa82-8ed84ee31542" ] } ], "mendeley" : { "formattedCitation" : "&lt;sup&gt;8&lt;/sup&gt;", "plainTextFormattedCitation" : "8", "previouslyFormattedCitation" : "&lt;sup&gt;8&lt;/sup&gt;"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8</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In the FINGER registry, only half of the individuals who presented with an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had a spontaneous Type I ECG</w:t>
      </w:r>
      <w:r w:rsidR="00C275D1" w:rsidRPr="00566230">
        <w:rPr>
          <w:rFonts w:ascii="Times New Roman" w:hAnsi="Times New Roman" w:cs="Times New Roman"/>
          <w:sz w:val="24"/>
          <w:szCs w:val="24"/>
        </w:rPr>
        <w:fldChar w:fldCharType="begin" w:fldLock="1"/>
      </w:r>
      <w:r w:rsidR="00C275D1" w:rsidRPr="00566230">
        <w:rPr>
          <w:rFonts w:ascii="Times New Roman" w:hAnsi="Times New Roman" w:cs="Times New Roman"/>
          <w:sz w:val="24"/>
          <w:szCs w:val="24"/>
        </w:rPr>
        <w:instrText>ADDIN CSL_CITATION { "citationItems" : [ { "id" : "ITEM-1",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"ITEM-1",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"mendeley" : { "formattedCitation" : "&lt;sup&gt;2&lt;/sup&gt;", "plainTextFormattedCitation" : "2", "previouslyFormattedCitation" : "&lt;sup&gt;2&lt;/sup&gt;"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C275D1" w:rsidRPr="00566230">
        <w:rPr>
          <w:rFonts w:ascii="Times New Roman" w:hAnsi="Times New Roman" w:cs="Times New Roman"/>
          <w:noProof/>
          <w:sz w:val="24"/>
          <w:szCs w:val="24"/>
          <w:vertAlign w:val="superscript"/>
        </w:rPr>
        <w:t>2</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Whilst one may be cautious about interpreting such findings given the dynamicity of the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ECG and if </w:t>
      </w:r>
      <w:r w:rsidRPr="00566230">
        <w:rPr>
          <w:rFonts w:ascii="Times New Roman" w:hAnsi="Times New Roman" w:cs="Times New Roman"/>
          <w:sz w:val="24"/>
          <w:szCs w:val="24"/>
        </w:rPr>
        <w:lastRenderedPageBreak/>
        <w:t>high RV leads were used for assessment in the other studies</w:t>
      </w:r>
      <w:r w:rsidR="00C275D1"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"ISBN" : "1045-3873 (Print)\\r1045-3873 (Linking)", "ISSN" : "1045-3873", "PMID" : "9607459", "abstract" : "We present a patient with Brugada syndrome in whom 12-lead ECGs were recorded just before and after an episode of ventricular fibrillation (VF). A progressive elevation of both the RS-T segment and J waves just preceding and following the VF, and a close relationship between the amplitude of the RS-T segment and the preceding R-R intervals during atrial fibrillation, were documented. These findings support the hypothesis that RS-T elevation and a subsequent VF are related to a transient outward current-mediated spike-and-dome morphology of the epicardial action potential.", "author" : [ { "dropping-particle" : "", "family" : "Matsuo", "given" : "K", "non-dropping-particle" : "", "parse-names" : false, "suffix" : "" }, { "dropping-particle" : "", "family" : "Shimizu", "given" : "W", "non-dropping-particle" : "", "parse-names" : false, "suffix" : "" }, { "dropping-particle" : "", "family" : "Kurita", "given" : "T", "non-dropping-particle" : "", "parse-names" : false, "suffix" : "" }, { "dropping-particle" : "", "family" : "Inagaki", "given" : "M", "non-dropping-particle" : "", "parse-names" : false, "suffix" : "" }, { "dropping-particle" : "", "family" : "Aihara", "given" : "N", "non-dropping-particle" : "", "parse-names" : false, "suffix" : "" }, { "dropping-particle" : "", "family" : "Kamakura", "given" : "S", "non-dropping-particle" : "", "parse-names" : false, "suffix" : "" } ], "container-title" : "Journal of cardiovascular electrophysiology", "id" : "ITEM-1", "issued" : { "date-parts" : [ [ "1998" ] ] }, "title" : "Dynamic changes of 12-lead electrocardiograms in a patient with Brugada syndrome.", "type" : "article-journal" }, "uris" : [ "http://www.mendeley.com/documents/?uuid=573bd278-9e08-3534-83e5-c42fbde82590" ] }, { "id" : "ITEM-2", "itemData" : { "DOI" : "10.1136/hrt.2010.201244", "ISBN" : "1468-201X (Electronic)\\r1355-6037 (Linking)", "ISSN" : "13556037", "PMID" : "20962343", "abstract" : "AIMS: The authors sought to assess the value of the high right precordial leads (RPL) to detect the Type I Brugada ECG pattern in patients suspected of carrying Brugada syndrome (BrS).\\n\\nMETHODS: Ajmaline testing using 15-lead ECGs was performed in 183 patients suspected of carrying BrS. Standard 12-lead ECG with V1-V3 recorded from the fourth intercostal space and an additional three leads placed over V1-V3 recorded from the third intercostal space were analysed. ECGs were analysed for a Type I ECG pattern in either the standard or high RPLs.\\n\\nRESULTS: Of the 183 tests, 31 (17%) were positive, and 152 were negative. In all positive studies, at least one high RPL became positive. In 13/31 (42%) cases, the Type I ECG pattern could be observed only in the high RPLs. Standard or high V3 were never positive before standard or high V1-V2. In seven patients, a Type I pattern was seen in one standard and one high RPL (vertical relationship).\\n\\nCONCLUSIONS: The high RPLs are more sensitive than the conventional 12-lead ECG alone and initial observations suggest that they remain specific for BrS, while standard and high lead V3 offer redundant data. A vertical relationship of type 1 patterns may have a similar diagnostic value to that of a horizontal pair.", "author" : [ { "dropping-particle" : "", "family" : "Govindan", "given" : "Malini", "non-dropping-particle" : "", "parse-names" : false, "suffix" : "" }, { "dropping-particle" : "", "family" : "Batchvarov", "given" : "Velislav N.", "non-dropping-particle" : "", "parse-names" : false, "suffix" : "" }, { "dropping-particle" : "", "family" : "Raju", "given" : "Hariharan", "non-dropping-particle" : "", "parse-names" : false, "suffix" : "" }, { "dropping-particle" : "", "family" : "Shanmugam", "given" : "Nesan", "non-dropping-particle" : "", "parse-names" : false, "suffix" : "" }, { "dropping-particle" : "", "family" : "Bizrah", "given" : "Mukhtar", "non-dropping-particle" : "", "parse-names" : false, "suffix" : "" }, { "dropping-particle" : "", "family" : "Bastiaenen", "given" : "Rachael", "non-dropping-particle" : "", "parse-names" : false, "suffix" : "" }, { "dropping-particle" : "", "family" : "Kiotsekoglou", "given" : "Anatoli", "non-dropping-particle" : "", "parse-names" : false, "suffix" : "" }, { "dropping-particle" : "", "family" : "Camm", "given" : "John", "non-dropping-particle" : "", "parse-names" : false, "suffix" : "" }, { "dropping-particle" : "", "family" : "Behr", "given" : "Elijah R.", "non-dropping-particle" : "", "parse-names" : false, "suffix" : "" } ], "container-title" : "Heart", "id" : "ITEM-2", "issued" : { "date-parts" : [ [ "2010" ] ] }, "page" : "1904-1908", "title" : "Utility of high and standard right precordial leads during ajmaline testing for the diagnosis of Brugada syndrome", "type" : "article-journal", "volume" : "96" }, "uris" : [ "http://www.mendeley.com/documents/?uuid=e635b6e0-ee6d-3b63-8732-66a50b20b768" ] } ], "mendeley" : { "formattedCitation" : "&lt;sup&gt;18,19&lt;/sup&gt;", "plainTextFormattedCitation" : "18,19", "previouslyFormattedCitation" : "&lt;sup&gt;18,19&lt;/sup&gt;"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18,19</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the data calls into question if the absence of a spontaneous Type I ECG may really be considered as a marker of low risk. </w:t>
      </w:r>
    </w:p>
    <w:p w14:paraId="55EBE3FF" w14:textId="77777777" w:rsidR="00FA1561" w:rsidRPr="00566230" w:rsidRDefault="00FA1561" w:rsidP="006D56D5">
      <w:pPr>
        <w:spacing w:line="480" w:lineRule="auto"/>
        <w:jc w:val="both"/>
        <w:rPr>
          <w:rFonts w:ascii="Times New Roman" w:hAnsi="Times New Roman" w:cs="Times New Roman"/>
          <w:i/>
          <w:sz w:val="24"/>
          <w:szCs w:val="24"/>
        </w:rPr>
      </w:pPr>
    </w:p>
    <w:p w14:paraId="26F36C87" w14:textId="2F11B8D1" w:rsidR="006D56D5" w:rsidRPr="00566230" w:rsidRDefault="006D56D5" w:rsidP="006D56D5">
      <w:pPr>
        <w:spacing w:line="480" w:lineRule="auto"/>
        <w:jc w:val="both"/>
        <w:rPr>
          <w:rFonts w:ascii="Times New Roman" w:hAnsi="Times New Roman" w:cs="Times New Roman"/>
          <w:i/>
          <w:sz w:val="24"/>
          <w:szCs w:val="24"/>
        </w:rPr>
      </w:pPr>
      <w:r w:rsidRPr="00566230">
        <w:rPr>
          <w:rFonts w:ascii="Times New Roman" w:hAnsi="Times New Roman" w:cs="Times New Roman"/>
          <w:i/>
          <w:sz w:val="24"/>
          <w:szCs w:val="24"/>
        </w:rPr>
        <w:t>Use of other risk markers</w:t>
      </w:r>
    </w:p>
    <w:p w14:paraId="63974D82" w14:textId="5C18B9FE"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The role of the PES during an electrophysiological catheter study to predict risk continues to be debated, although a recent meta-analysis suggests that a positive PES provided further discrimination in the intermediate risk groups where either syncope or a spontaneous Type I ECG was present</w:t>
      </w:r>
      <w:r w:rsidR="00C275D1"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"10.1161/CIRCULATIONAHA.115.017885", "ISBN" : "6177263852", "ISSN" : "15244539", "PMID" : "26797467", "abstract" : "BACKGROUND The role of programmed ventricular stimulation in identifying patients with Brugada syndrome at the highest risk for sudden death is uncertain. METHODS AND RESULTS We performed a systematic review and pooled analysis of prospective, observational studies of patients with Brugada syndrome without a history of sudden cardiac arrest who underwent programmed ventricular stimulation. We estimated incidence rates and relative hazards of cardiac arrest or implantable cardioverter-defibrillator shock. We analyzed individual-level data from 8 studies comprising 1312 patients who experienced 65 cardiac events (median follow-up, 38.3 months). A total of 527 patients were induced into arrhythmias with up to triple extrastimuli. Induction was associated with cardiac events during follow-up (hazard ratio, 2.66; 95% confidence interval [CI], 1.44-4.92, P&lt;0.001), with the greatest risk observed among those induced with single or double extrastimuli. Annual event rates varied substantially by syncope history, presence of spontaneous type 1 ECG pattern, and arrhythmia induction. The lowest risk occurred in individuals without syncope and with drug-induced type 1 patterns (0.23%, 95% CI, 0.05-0.68 for no induced arrhythmia with up to double extrastimuli; 0.45%, 95% CI, 0.01-2.49 for induced arrhythmia), and the highest risk occurred in individuals with syncope and spontaneous type 1 patterns (2.55%, 95% CI, 1.58-3.89 for no induced arrhythmia; 5.60%, 95% CI, 2.98-9.58 for induced arrhythmia). CONCLUSIONS In patients with Brugada syndrome, arrhythmias induced with programmed ventricular stimulation are associated with future ventricular arrhythmia risk. Induction with fewer extrastimuli is associated with higher risk. However, clinical risk factors are important determinants of arrhythmia risk, and lack of induction does not necessarily portend low ventricular arrhythmia risk, particularly in patients with high-risk clinical features.", "author" : [ { "dropping-particle" : "", "family" : "Sroubek", "given" : "Jakub", "non-dropping-particle" : "", "parse-names" : false, "suffix" : "" }, { "dropping-particle" : "", "family" : "Probst", "given" : "Vincent", "non-dropping-particle" : "", "parse-names" : false, "suffix" : "" }, { "dropping-particle" : "", "family" : "Mazzanti", "given" : "Andrea", "non-dropping-particle" : "", "parse-names" : false, "suffix" : "" }, { "dropping-particle" : "", "family" : "Delise", "given" : "Pietro", "non-dropping-particle" : "", "parse-names" : false, "suffix" : "" }, { "dropping-particle" : "", "family" : "Hevia", "given" : "Jesus Castro", "non-dropping-particle" : "", "parse-names" : false, "suffix" : "" }, { "dropping-particle" : "", "family" : "Ohkubo", "given" : "Kimie", "non-dropping-particle" : "", "parse-names" : false, "suffix" : "" }, { "dropping-particle" : "", "family" : "Zorzi", "given" : "Alessandro", "non-dropping-particle" : "", "parse-names" : false, "suffix" : "" }, { "dropping-particle" : "", "family" : "Champagne", "given" : "Jean", "non-dropping-particle" : "", "parse-names" : false, "suffix" : "" }, { "dropping-particle" : "", "family" : "Kostopoulou", "given" : "Anna", "non-dropping-particle" : "", "parse-names" : false, "suffix" : "" }, { "dropping-particle" : "", "family" : "Yin", "given" : "Xiaoyan", "non-dropping-particle" : "", "parse-names" : false, "suffix" : "" }, { "dropping-particle" : "", "family" : "Napolitano", "given" : "Carlo", "non-dropping-particle" : "", "parse-names" : false, "suffix" : "" }, { "dropping-particle" : "", "family" : "David", "given" : "J", "non-dropping-particle" : "", "parse-names" : false, "suffix" : "" }, { "dropping-particle" : "", "family" : "Milan", "given" : "David J.", "non-dropping-particle" : "", "parse-names" : false, "suffix" : "" }, { "dropping-particle" : "", "family" : "Wilde", "given" : "Arthur", "non-dropping-particle" : "", "parse-names" : false, "suffix" : "" }, { "dropping-particle" : "", "family" : "Sacher", "given" : "Frederic", "non-dropping-particle" : "", "parse-names" : false, "suffix" : "" }, { "dropping-particle" : "", "family" : "Borggrefe", "given" : "Martin", "non-dropping-particle" : "", "parse-names" : false, "suffix" : "" }, { "dropping-particle" : "", "family" : "Ellinor", "given" : "Patrick T.", "non-dropping-particle" : "", "parse-names" : false, "suffix" : "" }, { "dropping-particle" : "", "family" : "Theodorakis", "given" : "George", "non-dropping-particle" : "", "parse-names" : false, "suffix" : "" }, { "dropping-particle" : "", "family" : "Nault", "given" : "Isabelle", "non-dropping-particle" : "", "parse-names" : false, "suffix" : "" }, { "dropping-particle" : "", "family" : "Corrado", "given" : "Domenico", "non-dropping-particle" : "", "parse-names" : false, "suffix" : "" }, { "dropping-particle" : "", "family" : "Watanabe", "given" : "Ichiro", "non-dropping-particle" : "", "parse-names" : false, "suffix" : "" }, { "dropping-particle" : "", "family" : "Antzelevitch", "given" : "Charles", "non-dropping-particle" : "", "parse-names" : false, "suffix" : "" }, { "dropping-particle" : "", "family" : "Allocca", "given" : "Giuseppe", "non-dropping-particle" : "", "parse-names" : false, "suffix" : "" }, { "dropping-particle" : "", "family" : "Priori", "given" : "Silvia G.", "non-dropping-particle" : "", "parse-names" : false, "suffix" : "" }, { "dropping-particle" : "", "family" : "Lubitz", "given" : "Steven A.", "non-dropping-particle" : "", "parse-names" : false, "suffix" : "" } ], "container-title" : "Circulation", "id" : "ITEM-1", "issued" : { "date-parts" : [ [ "2016" ] ] }, "number-of-pages" : "622-630", "title" : "Programmed ventricular stimulation for risk stratification in the Brugada syndrome: A pooled analysis", "type" : "book", "volume" : "133" }, "uris" : [ "http://www.mendeley.com/documents/?uuid=c4a43d42-5082-45dc-a149-73f0afb5e815" ] } ], "mendeley" : { "formattedCitation" : "&lt;sup&gt;20&lt;/sup&gt;", "plainTextFormattedCitation" : "20", "previouslyFormattedCitation" : "&lt;sup&gt;20&lt;/sup&gt;" }, "properties" : {  }, "schema" : "https://github.com/citation-style-language/schema/raw/master/csl-citation.json" }</w:instrText>
      </w:r>
      <w:r w:rsidR="00C275D1"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20</w:t>
      </w:r>
      <w:r w:rsidR="00C275D1"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It did not provide any significant discriminating value for those without previous syncope </w:t>
      </w:r>
      <w:r w:rsidR="00CB72D1" w:rsidRPr="00566230">
        <w:rPr>
          <w:rFonts w:ascii="Times New Roman" w:hAnsi="Times New Roman" w:cs="Times New Roman"/>
          <w:sz w:val="24"/>
          <w:szCs w:val="24"/>
        </w:rPr>
        <w:t>or</w:t>
      </w:r>
      <w:r w:rsidRPr="00566230">
        <w:rPr>
          <w:rFonts w:ascii="Times New Roman" w:hAnsi="Times New Roman" w:cs="Times New Roman"/>
          <w:sz w:val="24"/>
          <w:szCs w:val="24"/>
        </w:rPr>
        <w:t xml:space="preserve"> a spontaneous Type I pattern. A secondary finding of the study was that PES could not be used on its own to accurately identify low and high risk patients, as non-inducible individuals still exhibited a 1% per year risk of ventricular arrhythmias</w:t>
      </w:r>
      <w:r w:rsidR="00FE2E73" w:rsidRPr="00566230">
        <w:rPr>
          <w:rFonts w:ascii="Times New Roman" w:hAnsi="Times New Roman" w:cs="Times New Roman"/>
          <w:sz w:val="24"/>
          <w:szCs w:val="24"/>
        </w:rPr>
        <w:fldChar w:fldCharType="begin" w:fldLock="1"/>
      </w:r>
      <w:r w:rsidR="00FE2E73" w:rsidRPr="00566230">
        <w:rPr>
          <w:rFonts w:ascii="Times New Roman" w:hAnsi="Times New Roman" w:cs="Times New Roman"/>
          <w:sz w:val="24"/>
          <w:szCs w:val="24"/>
        </w:rPr>
        <w:instrText>ADDIN CSL_CITATION { "citationItems" : [ { "id" : "ITEM-1", "itemData" : { "DOI" : "10.1161/CIRCULATIONAHA.115.017885", "ISBN" : "6177263852", "ISSN" : "15244539", "PMID" : "26797467", "abstract" : "BACKGROUND The role of programmed ventricular stimulation in identifying patients with Brugada syndrome at the highest risk for sudden death is uncertain. METHODS AND RESULTS We performed a systematic review and pooled analysis of prospective, observational studies of patients with Brugada syndrome without a history of sudden cardiac arrest who underwent programmed ventricular stimulation. We estimated incidence rates and relative hazards of cardiac arrest or implantable cardioverter-defibrillator shock. We analyzed individual-level data from 8 studies comprising 1312 patients who experienced 65 cardiac events (median follow-up, 38.3 months). A total of 527 patients were induced into arrhythmias with up to triple extrastimuli. Induction was associated with cardiac events during follow-up (hazard ratio, 2.66; 95% confidence interval [CI], 1.44-4.92, P&lt;0.001), with the greatest risk observed among those induced with single or double extrastimuli. Annual event rates varied substantially by syncope history, presence of spontaneous type 1 ECG pattern, and arrhythmia induction. The lowest risk occurred in individuals without syncope and with drug-induced type 1 patterns (0.23%, 95% CI, 0.05-0.68 for no induced arrhythmia with up to double extrastimuli; 0.45%, 95% CI, 0.01-2.49 for induced arrhythmia), and the highest risk occurred in individuals with syncope and spontaneous type 1 patterns (2.55%, 95% CI, 1.58-3.89 for no induced arrhythmia; 5.60%, 95% CI, 2.98-9.58 for induced arrhythmia). CONCLUSIONS In patients with Brugada syndrome, arrhythmias induced with programmed ventricular stimulation are associated with future ventricular arrhythmia risk. Induction with fewer extrastimuli is associated with higher risk. However, clinical risk factors are important determinants of arrhythmia risk, and lack of induction does not necessarily portend low ventricular arrhythmia risk, particularly in patients with high-risk clinical features.", "author" : [ { "dropping-particle" : "", "family" : "Sroubek", "given" : "Jakub", "non-dropping-particle" : "", "parse-names" : false, "suffix" : "" }, { "dropping-particle" : "", "family" : "Probst", "given" : "Vincent", "non-dropping-particle" : "", "parse-names" : false, "suffix" : "" }, { "dropping-particle" : "", "family" : "Mazzanti", "given" : "Andrea", "non-dropping-particle" : "", "parse-names" : false, "suffix" : "" }, { "dropping-particle" : "", "family" : "Delise", "given" : "Pietro", "non-dropping-particle" : "", "parse-names" : false, "suffix" : "" }, { "dropping-particle" : "", "family" : "Hevia", "given" : "Jesus Castro", "non-dropping-particle" : "", "parse-names" : false, "suffix" : "" }, { "dropping-particle" : "", "family" : "Ohkubo", "given" : "Kimie", "non-dropping-particle" : "", "parse-names" : false, "suffix" : "" }, { "dropping-particle" : "", "family" : "Zorzi", "given" : "Alessandro", "non-dropping-particle" : "", "parse-names" : false, "suffix" : "" }, { "dropping-particle" : "", "family" : "Champagne", "given" : "Jean", "non-dropping-particle" : "", "parse-names" : false, "suffix" : "" }, { "dropping-particle" : "", "family" : "Kostopoulou", "given" : "Anna", "non-dropping-particle" : "", "parse-names" : false, "suffix" : "" }, { "dropping-particle" : "", "family" : "Yin", "given" : "Xiaoyan", "non-dropping-particle" : "", "parse-names" : false, "suffix" : "" }, { "dropping-particle" : "", "family" : "Napolitano", "given" : "Carlo", "non-dropping-particle" : "", "parse-names" : false, "suffix" : "" }, { "dropping-particle" : "", "family" : "David", "given" : "J", "non-dropping-particle" : "", "parse-names" : false, "suffix" : "" }, { "dropping-particle" : "", "family" : "Milan", "given" : "David J.", "non-dropping-particle" : "", "parse-names" : false, "suffix" : "" }, { "dropping-particle" : "", "family" : "Wilde", "given" : "Arthur", "non-dropping-particle" : "", "parse-names" : false, "suffix" : "" }, { "dropping-particle" : "", "family" : "Sacher", "given" : "Frederic", "non-dropping-particle" : "", "parse-names" : false, "suffix" : "" }, { "dropping-particle" : "", "family" : "Borggrefe", "given" : "Martin", "non-dropping-particle" : "", "parse-names" : false, "suffix" : "" }, { "dropping-particle" : "", "family" : "Ellinor", "given" : "Patrick T.", "non-dropping-particle" : "", "parse-names" : false, "suffix" : "" }, { "dropping-particle" : "", "family" : "Theodorakis", "given" : "George", "non-dropping-particle" : "", "parse-names" : false, "suffix" : "" }, { "dropping-particle" : "", "family" : "Nault", "given" : "Isabelle", "non-dropping-particle" : "", "parse-names" : false, "suffix" : "" }, { "dropping-particle" : "", "family" : "Corrado", "given" : "Domenico", "non-dropping-particle" : "", "parse-names" : false, "suffix" : "" }, { "dropping-particle" : "", "family" : "Watanabe", "given" : "Ichiro", "non-dropping-particle" : "", "parse-names" : false, "suffix" : "" }, { "dropping-particle" : "", "family" : "Antzelevitch", "given" : "Charles", "non-dropping-particle" : "", "parse-names" : false, "suffix" : "" }, { "dropping-particle" : "", "family" : "Allocca", "given" : "Giuseppe", "non-dropping-particle" : "", "parse-names" : false, "suffix" : "" }, { "dropping-particle" : "", "family" : "Priori", "given" : "Silvia G.", "non-dropping-particle" : "", "parse-names" : false, "suffix" : "" }, { "dropping-particle" : "", "family" : "Lubitz", "given" : "Steven A.", "non-dropping-particle" : "", "parse-names" : false, "suffix" : "" } ], "container-title" : "Circulation", "id" : "ITEM-1", "issued" : { "date-parts" : [ [ "2016" ] ] }, "number-of-pages" : "622-630", "title" : "Programmed ventricular stimulation for risk stratification in the Brugada syndrome: A pooled analysis", "type" : "book", "volume" : "133" }, "uris" : [ "http://www.mendeley.com/documents/?uuid=c4a43d42-5082-45dc-a149-73f0afb5e815" ] } ], "mendeley" : { "formattedCitation" : "&lt;sup&gt;20&lt;/sup&gt;", "plainTextFormattedCitation" : "20", "previouslyFormattedCitation" : "&lt;sup&gt;20&lt;/sup&gt;" }, "properties" : {  }, "schema" : "https://github.com/citation-style-language/schema/raw/master/csl-citation.json" }</w:instrText>
      </w:r>
      <w:r w:rsidR="00FE2E73" w:rsidRPr="00566230">
        <w:rPr>
          <w:rFonts w:ascii="Times New Roman" w:hAnsi="Times New Roman" w:cs="Times New Roman"/>
          <w:sz w:val="24"/>
          <w:szCs w:val="24"/>
        </w:rPr>
        <w:fldChar w:fldCharType="separate"/>
      </w:r>
      <w:r w:rsidR="00FE2E73" w:rsidRPr="00566230">
        <w:rPr>
          <w:rFonts w:ascii="Times New Roman" w:hAnsi="Times New Roman" w:cs="Times New Roman"/>
          <w:noProof/>
          <w:sz w:val="24"/>
          <w:szCs w:val="24"/>
          <w:vertAlign w:val="superscript"/>
        </w:rPr>
        <w:t>20</w:t>
      </w:r>
      <w:r w:rsidR="00FE2E73"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Whilst a PES study was not performed in everyone in our cohort, it is noteworthy that it was negative in the one individual with a spontaneous Type I ECG who subsequently received an appropriate ICD shock for VF. </w:t>
      </w:r>
    </w:p>
    <w:p w14:paraId="3E856598" w14:textId="48B30CCD"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An ICD was recommended in this case given the background of a malignant family history of multiple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in accordance with the 2005 consensus criteria used at the time</w:t>
      </w:r>
      <w:r w:rsidR="009C3842" w:rsidRPr="00566230">
        <w:rPr>
          <w:rFonts w:ascii="Times New Roman" w:hAnsi="Times New Roman" w:cs="Times New Roman"/>
          <w:sz w:val="24"/>
          <w:szCs w:val="24"/>
          <w:vertAlign w:val="superscript"/>
        </w:rPr>
        <w:t>14</w:t>
      </w:r>
      <w:r w:rsidR="008B22D4" w:rsidRPr="00566230">
        <w:rPr>
          <w:rFonts w:ascii="Times New Roman" w:hAnsi="Times New Roman" w:cs="Times New Roman"/>
          <w:sz w:val="24"/>
          <w:szCs w:val="24"/>
        </w:rPr>
        <w:t>.</w:t>
      </w:r>
      <w:r w:rsidRPr="00566230">
        <w:rPr>
          <w:rFonts w:ascii="Times New Roman" w:hAnsi="Times New Roman" w:cs="Times New Roman"/>
          <w:sz w:val="24"/>
          <w:szCs w:val="24"/>
        </w:rPr>
        <w:t xml:space="preserve"> Whilst a family history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in 1 or more family members has not consistently shown to be an independent predictor of risk</w:t>
      </w:r>
      <w:r w:rsidR="008B22D4"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"ITEM-1",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"id" : "ITEM-2", "itemData" : { "DOI" : "10.1161/CIRCEP.108.816892", "ISBN" : "1941-3084 (Electronic)\\r1941-3084 (Linking)", "ISSN" : "19413149", "PMID" : "19843917", "abstract" : "BACKGROUND: The prognosis of patients with saddleback or noncoved type (non-type 1) ST-elevation in Brugada syndrome is unknown. The purpose of this study was to clarify the long-term prognosis of probands with non-type 1 ECG and those with coved (type 1) Brugada-pattern ECG. METHODS AND RESULTS: A total of 330 (123 symptomatic, 207 asymptomatic) probands with a coved or saddleback ST-elevation &gt; or = 1 mm in leads V(1)-V(3) were divided into 2 ECG groups-type 1 (245 probands) and non-type 1 (85 probands)-and were prospectively followed for 48.7+/-15.0 months. The absence of type 1 ECG was confirmed by drug provocation test and multiple recordings. The ratio of individuals with a family history of sudden cardiac death (14%) was lower than previous studies. Clinical profiles and outcomes were not notably different between the 2 groups (annual arrhythmic event rate of probands with ventricular fibrillation; type 1: 10.2%, non-type 1: 10.6%, probands with syncope; type 1: 0.6%, non-type 1: 1.2%, and asymptomatic probands; type 1: 0.5%, non-type 1: 0%). Family history of sudden cardiac death at age &lt;45 years and coexistence of inferolateral early repolarization with Brugada-pattern ECG were independent predictors of fatal arrhythmic events (hazard ratio, 3.28; 95% confidence interval, 1.42 to 7.60; P=0.005; hazard ratio, 2.66; 95% confidence interval, 1.06 to 6.71; P=0.03, respectively, by multivariate analysis), although spontaneous type 1 ECG and ventricular fibrillation inducibility by electrophysiological study were not reliable parameters. CONCLUSIONS: The long-term prognosis of probands in non-type 1 group was similar to that of type 1 group. Family history of sudden cardiac death and the presence of early repolarization were predictors of poor outcome in this study, which included only probands with Brugada-pattern ST-elevation.", "author" : [ { "dropping-particle" : "", "family" : "Kamakura", "given" : "Shiro", "non-dropping-particle" : "", "parse-names" : false, "suffix" : "" }, { "dropping-particle" : "", "family" : "Ohe", "given" : "Tohru", "non-dropping-particle" : "", "parse-names" : false, "suffix" : "" }, { "dropping-particle" : "", "family" : "Nakazawa", "given" : "Kiyoshi", "non-dropping-particle" : "", "parse-names" : false, "suffix" : "" }, { "dropping-particle" : "", "family" : "Aizawa", "given" : "Yoshifusa", "non-dropping-particle" : "", "parse-names" : false, "suffix" : "" }, { "dropping-particle" : "", "family" : "Shimizu", "given" : "Akihiko", "non-dropping-particle" : "", "parse-names" : false, "suffix" : "" }, { "dropping-particle" : "", "family" : "Horie", "given" : "Minoru", "non-dropping-particle" : "", "parse-names" : false, "suffix" : "" }, { "dropping-particle" : "", "family" : "Ogawa", "given" : "Satoshi", "non-dropping-particle" : "", "parse-names" : false, "suffix" : "" }, { "dropping-particle" : "", "family" : "Okumura", "given" : "Ken", "non-dropping-particle" : "", "parse-names" : false, "suffix" : "" }, { "dropping-particle" : "", "family" : "Tsuchihashi", "given" : "Kazufumi", "non-dropping-particle" : "", "parse-names" : false, "suffix" : "" }, { "dropping-particle" : "", "family" : "Sugi", "given" : "Kaoru", "non-dropping-particle" : "", "parse-names" : false, "suffix" : "" }, { "dropping-particle" : "", "family" : "Makita", "given" : "Naomasa", "non-dropping-particle" : "", "parse-names" : false, "suffix" : "" }, { "dropping-particle" : "", "family" : "Hagiwara", "given" : "Nobuhisa", "non-dropping-particle" : "", "parse-names" : false, "suffix" : "" }, { "dropping-particle" : "", "family" : "Inoue", "given" : "Hiroshi", "non-dropping-particle" : "", "parse-names" : false, "suffix" : "" }, { "dropping-particle" : "", "family" : "Atarashi", "given" : "Hirotsugu", "non-dropping-particle" : "", "parse-names" : false, "suffix" : "" }, { "dropping-particle" : "", "family" : "Aihara", "given" : "Naohiko", "non-dropping-particle" : "", "parse-names" : false, "suffix" : "" }, { "dropping-particle" : "", "family" : "Shimizu", "given" : "Wataru", "non-dropping-particle" : "", "parse-names" : false, "suffix" : "" }, { "dropping-particle" : "", "family" : "Kurita", "given" : "Takashi", "non-dropping-particle" : "", "parse-names" : false, "suffix" : "" }, { "dropping-particle" : "", "family" : "Suyama", "given" : "Kazuhiro", "non-dropping-particle" : "", "parse-names" : false, "suffix" : "" }, { "dropping-particle" : "", "family" : "Noda", "given" : "Takashi", "non-dropping-particle" : "", "parse-names" : false, "suffix" : "" }, { "dropping-particle" : "", "family" : "Satomi", "given" : "Kazuhiro", "non-dropping-particle" : "", "parse-names" : false, "suffix" : "" }, { "dropping-particle" : "", "family" : "Okamura", "given" : "Hideo", "non-dropping-particle" : "", "parse-names" : false, "suffix" : "" }, { "dropping-particle" : "", "family" : "Tomoike", "given" : "Hitonobu", "non-dropping-particle" : "", "parse-names" : false, "suffix" : "" } ], "container-title" : "Circulation: Arrhythmia and Electrophysiology", "id" : "ITEM-2", "issue" : "5", "issued" : { "date-parts" : [ [ "2009" ] ] }, "page" : "495-503", "title" : "Long-term prognosis of probands with brugada-pattern ST-elevation in leads V1-V3", "type" : "article-journal", "volume" : "2" }, "uris" : [ "http://www.mendeley.com/documents/?uuid=34466a44-0c56-4ca5-b560-cc491ed1c64c" ] }, { "id" : "ITEM-3", "itemData" : { "DOI" : "10.1161/CIRCEP.111.964577", "ISSN" : "1941-3149", "PMID" : "22715240", "author" : [ { "dropping-particle" : "", "family" : "Mizusawa", "given" : "Y.", "non-dropping-particle" : "", "parse-names" : false, "suffix" : "" }, { "dropping-particle" : "", "family" : "Wilde", "given" : "A. A. M.", "non-dropping-particle" : "", "parse-names" : false, "suffix" : "" } ], "container-title" : "Circulation: Arrhythmia and Electrophysiology", "id" : "ITEM-3", "issue" : "3", "issued" : { "date-parts" : [ [ "2012", "6", "1" ] ] }, "page" : "606-616", "title" : "Brugada Syndrome", "type" : "article-journal", "volume" : "5" }, "uris" : [ "http://www.mendeley.com/documents/?uuid=2890e3e6-8476-4700-9efc-0ce9b49ec702" ] } ], "mendeley" : { "formattedCitation" : "&lt;sup&gt;2,21,22&lt;/sup&gt;", "plainTextFormattedCitation" : "2,21,22", "previouslyFormattedCitation" : "&lt;sup&gt;2,21,22&lt;/sup&gt;" }, "properties" : {  }, "schema" : "https://github.com/citation-style-language/schema/raw/master/csl-citation.json" }</w:instrText>
      </w:r>
      <w:r w:rsidR="008B22D4"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2,21,22</w:t>
      </w:r>
      <w:r w:rsidR="008B22D4" w:rsidRPr="00566230">
        <w:rPr>
          <w:rFonts w:ascii="Times New Roman" w:hAnsi="Times New Roman" w:cs="Times New Roman"/>
          <w:sz w:val="24"/>
          <w:szCs w:val="24"/>
        </w:rPr>
        <w:fldChar w:fldCharType="end"/>
      </w:r>
      <w:r w:rsidRPr="00566230">
        <w:rPr>
          <w:rFonts w:ascii="Times New Roman" w:hAnsi="Times New Roman" w:cs="Times New Roman"/>
          <w:sz w:val="24"/>
          <w:szCs w:val="24"/>
        </w:rPr>
        <w:t>, and hence its non-inclusion from current guidance</w:t>
      </w:r>
      <w:r w:rsidR="003B365B" w:rsidRPr="00566230">
        <w:rPr>
          <w:rFonts w:ascii="Times New Roman" w:hAnsi="Times New Roman" w:cs="Times New Roman"/>
          <w:sz w:val="24"/>
          <w:szCs w:val="24"/>
        </w:rPr>
        <w:fldChar w:fldCharType="begin" w:fldLock="1"/>
      </w:r>
      <w:r w:rsidR="003B365B" w:rsidRPr="00566230">
        <w:rPr>
          <w:rFonts w:ascii="Times New Roman" w:hAnsi="Times New Roman" w:cs="Times New Roman"/>
          <w:sz w:val="24"/>
          <w:szCs w:val="24"/>
        </w:rPr>
        <w:instrText>ADDIN CSL_CITATION { "citationItems" : [ { "id" : "ITEM-1", "itemData" : { "DOI" : "10.1093/europace/eul108", "ISBN" : "8006116083", "ISSN" : "1099-5129", "PMID" : "16935866", "abstract" : "A report of theAmerican College of Cardiology/American Heart Association Task Force and the European Society of Cardiology Committee for Practice Guidelines (Writing Committee to Develop Guidelines for Management of Patients With Ventricular Arrhythmias and the Prevention of Sudden Cardiac Death) Developed in collaboration with the European Heart Rhythm Association and the Heart Rhythm Society", "author" : [ { "dropping-particle" : "", "family" : "Priori", "given" : "Silvia G.", "non-dropping-particle" : "", "parse-names" : false, "suffix" : "" }, { "dropping-particle" : "", "family" : "Blomstr\u00f6m-Lundqvist", "given" : "Carina", "non-dropping-particle" : "", "parse-names" : false, "suffix" : "" }, { "dropping-particle" : "", "family" : "Mazzanti", "given" : "Andrea", "non-dropping-particle" : "", "parse-names" : false, "suffix" : "" } ], "container-title" : "European heart journal", "id" : "ITEM-1", "issue" : "9", "issued" : { "date-parts" : [ [ "2015" ] ] }, "page" : "746-837", "title" : "2015 ESC Guidelines for the management of patients with ventricular arrhythmias and the prevention of sudden cardiac death", "type" : "article-journal", "volume" : "8" }, "uris" : [ "http://www.mendeley.com/documents/?uuid=7cc5dee8-4143-4c1b-a980-f3958b4549be" ] } ], "mendeley" : { "formattedCitation" : "&lt;sup&gt;5&lt;/sup&gt;", "plainTextFormattedCitation" : "5", "previouslyFormattedCitation" : "&lt;sup&gt;5&lt;/sup&gt;"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3B365B" w:rsidRPr="00566230">
        <w:rPr>
          <w:rFonts w:ascii="Times New Roman" w:hAnsi="Times New Roman" w:cs="Times New Roman"/>
          <w:noProof/>
          <w:sz w:val="24"/>
          <w:szCs w:val="24"/>
          <w:vertAlign w:val="superscript"/>
        </w:rPr>
        <w:t>5</w:t>
      </w:r>
      <w:r w:rsidR="003B365B" w:rsidRPr="00566230">
        <w:rPr>
          <w:rFonts w:ascii="Times New Roman" w:hAnsi="Times New Roman" w:cs="Times New Roman"/>
          <w:sz w:val="24"/>
          <w:szCs w:val="24"/>
        </w:rPr>
        <w:fldChar w:fldCharType="end"/>
      </w:r>
      <w:r w:rsidR="008B22D4"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the specificity or role of multiple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in family members has yet to be explored.</w:t>
      </w:r>
    </w:p>
    <w:p w14:paraId="1E974B3E" w14:textId="2B8A7368"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Non-conventional or newer risk markers which include the presence of late potentials on SAECG,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xml:space="preserve">, ER pattern or deep S wave may have some specificity in predicting ventricular arrhythmias but are hampered as useful screening parameters given their poor sensitivity. </w:t>
      </w:r>
      <w:r w:rsidR="001E0C7E" w:rsidRPr="00566230">
        <w:rPr>
          <w:rFonts w:ascii="Times New Roman" w:hAnsi="Times New Roman" w:cs="Times New Roman"/>
          <w:sz w:val="24"/>
          <w:szCs w:val="24"/>
        </w:rPr>
        <w:t xml:space="preserve">Interestingly, the presence of certain newer markers of risk such as </w:t>
      </w:r>
      <w:proofErr w:type="spellStart"/>
      <w:r w:rsidR="001E0C7E" w:rsidRPr="00566230">
        <w:rPr>
          <w:rFonts w:ascii="Times New Roman" w:hAnsi="Times New Roman" w:cs="Times New Roman"/>
          <w:sz w:val="24"/>
          <w:szCs w:val="24"/>
        </w:rPr>
        <w:t>fQRS</w:t>
      </w:r>
      <w:proofErr w:type="spellEnd"/>
      <w:r w:rsidR="001E0C7E" w:rsidRPr="00566230">
        <w:rPr>
          <w:rFonts w:ascii="Times New Roman" w:hAnsi="Times New Roman" w:cs="Times New Roman"/>
          <w:sz w:val="24"/>
          <w:szCs w:val="24"/>
        </w:rPr>
        <w:t xml:space="preserve"> or </w:t>
      </w:r>
      <w:r w:rsidR="00905D4E" w:rsidRPr="00566230">
        <w:rPr>
          <w:rFonts w:ascii="Times New Roman" w:hAnsi="Times New Roman" w:cs="Times New Roman"/>
          <w:sz w:val="24"/>
          <w:szCs w:val="24"/>
        </w:rPr>
        <w:t>an</w:t>
      </w:r>
      <w:r w:rsidR="001E0C7E" w:rsidRPr="00566230">
        <w:rPr>
          <w:rFonts w:ascii="Times New Roman" w:hAnsi="Times New Roman" w:cs="Times New Roman"/>
          <w:sz w:val="24"/>
          <w:szCs w:val="24"/>
        </w:rPr>
        <w:t xml:space="preserve"> ER pattern have a higher specificity in identifying these </w:t>
      </w:r>
      <w:proofErr w:type="gramStart"/>
      <w:r w:rsidR="001E0C7E" w:rsidRPr="00566230">
        <w:rPr>
          <w:rFonts w:ascii="Times New Roman" w:hAnsi="Times New Roman" w:cs="Times New Roman"/>
          <w:sz w:val="24"/>
          <w:szCs w:val="24"/>
        </w:rPr>
        <w:t>high risk</w:t>
      </w:r>
      <w:proofErr w:type="gramEnd"/>
      <w:r w:rsidR="001E0C7E" w:rsidRPr="00566230">
        <w:rPr>
          <w:rFonts w:ascii="Times New Roman" w:hAnsi="Times New Roman" w:cs="Times New Roman"/>
          <w:sz w:val="24"/>
          <w:szCs w:val="24"/>
        </w:rPr>
        <w:t xml:space="preserve"> individuals compared to PES. In addition, the </w:t>
      </w:r>
      <w:r w:rsidR="001E0C7E" w:rsidRPr="00566230">
        <w:rPr>
          <w:rFonts w:ascii="Times New Roman" w:hAnsi="Times New Roman" w:cs="Times New Roman"/>
          <w:sz w:val="24"/>
          <w:szCs w:val="24"/>
        </w:rPr>
        <w:lastRenderedPageBreak/>
        <w:t>presence of 2 or more of these newer marker</w:t>
      </w:r>
      <w:r w:rsidR="00E73CC4" w:rsidRPr="00566230">
        <w:rPr>
          <w:rFonts w:ascii="Times New Roman" w:hAnsi="Times New Roman" w:cs="Times New Roman"/>
          <w:sz w:val="24"/>
          <w:szCs w:val="24"/>
        </w:rPr>
        <w:t>s</w:t>
      </w:r>
      <w:r w:rsidR="001E0C7E" w:rsidRPr="00566230">
        <w:rPr>
          <w:rFonts w:ascii="Times New Roman" w:hAnsi="Times New Roman" w:cs="Times New Roman"/>
          <w:sz w:val="24"/>
          <w:szCs w:val="24"/>
        </w:rPr>
        <w:t xml:space="preserve"> of risk appear</w:t>
      </w:r>
      <w:r w:rsidR="00660643" w:rsidRPr="00566230">
        <w:rPr>
          <w:rFonts w:ascii="Times New Roman" w:hAnsi="Times New Roman" w:cs="Times New Roman"/>
          <w:sz w:val="24"/>
          <w:szCs w:val="24"/>
        </w:rPr>
        <w:t>ed</w:t>
      </w:r>
      <w:r w:rsidR="001E0C7E" w:rsidRPr="00566230">
        <w:rPr>
          <w:rFonts w:ascii="Times New Roman" w:hAnsi="Times New Roman" w:cs="Times New Roman"/>
          <w:sz w:val="24"/>
          <w:szCs w:val="24"/>
        </w:rPr>
        <w:t xml:space="preserve"> to have comparable specificity to the presence of syncope and Type I pattern</w:t>
      </w:r>
      <w:r w:rsidR="00E73CC4" w:rsidRPr="00566230">
        <w:rPr>
          <w:rFonts w:ascii="Times New Roman" w:hAnsi="Times New Roman" w:cs="Times New Roman"/>
          <w:sz w:val="24"/>
          <w:szCs w:val="24"/>
        </w:rPr>
        <w:t xml:space="preserve">. </w:t>
      </w:r>
      <w:r w:rsidR="00660643" w:rsidRPr="00566230">
        <w:rPr>
          <w:rFonts w:ascii="Times New Roman" w:hAnsi="Times New Roman" w:cs="Times New Roman"/>
          <w:sz w:val="24"/>
          <w:szCs w:val="24"/>
        </w:rPr>
        <w:t>This effect could still be observed even i</w:t>
      </w:r>
      <w:r w:rsidR="00E73CC4" w:rsidRPr="00566230">
        <w:rPr>
          <w:rFonts w:ascii="Times New Roman" w:hAnsi="Times New Roman" w:cs="Times New Roman"/>
          <w:sz w:val="24"/>
          <w:szCs w:val="24"/>
        </w:rPr>
        <w:t xml:space="preserve">n the absence of syncope and a spontaneous type I pattern, </w:t>
      </w:r>
      <w:r w:rsidR="00660643" w:rsidRPr="00566230">
        <w:rPr>
          <w:rFonts w:ascii="Times New Roman" w:hAnsi="Times New Roman" w:cs="Times New Roman"/>
          <w:sz w:val="24"/>
          <w:szCs w:val="24"/>
        </w:rPr>
        <w:t xml:space="preserve">suggesting that the presence of 2 or more newer markers of risk </w:t>
      </w:r>
      <w:r w:rsidR="00905D4E" w:rsidRPr="00566230">
        <w:rPr>
          <w:rFonts w:ascii="Times New Roman" w:hAnsi="Times New Roman" w:cs="Times New Roman"/>
          <w:sz w:val="24"/>
          <w:szCs w:val="24"/>
        </w:rPr>
        <w:t>may</w:t>
      </w:r>
      <w:r w:rsidR="00660643" w:rsidRPr="00566230">
        <w:rPr>
          <w:rFonts w:ascii="Times New Roman" w:hAnsi="Times New Roman" w:cs="Times New Roman"/>
          <w:sz w:val="24"/>
          <w:szCs w:val="24"/>
        </w:rPr>
        <w:t xml:space="preserve"> warrant consideration for an ICD</w:t>
      </w:r>
      <w:r w:rsidR="00905D4E" w:rsidRPr="00566230">
        <w:rPr>
          <w:rFonts w:ascii="Times New Roman" w:hAnsi="Times New Roman" w:cs="Times New Roman"/>
          <w:sz w:val="24"/>
          <w:szCs w:val="24"/>
        </w:rPr>
        <w:t xml:space="preserve">. These findings will need to be validated with a larger cohort study before this can be translated into clinical practice. </w:t>
      </w:r>
      <w:r w:rsidRPr="00566230">
        <w:rPr>
          <w:rFonts w:ascii="Times New Roman" w:hAnsi="Times New Roman" w:cs="Times New Roman"/>
          <w:sz w:val="24"/>
          <w:szCs w:val="24"/>
        </w:rPr>
        <w:t xml:space="preserve">Accordingly, their absence is not an indicator of low risk as evidenced by the findings in our cohort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patients. Although these parameters have been selected to detect electrophysiological abnormalities in conduction and repolarisation within the heart, they are based on a limited number of body surface electrodes which would limit their accuracy. </w:t>
      </w:r>
    </w:p>
    <w:p w14:paraId="2D2E46E4" w14:textId="77777777" w:rsidR="0041611C" w:rsidRPr="00566230" w:rsidRDefault="0041611C" w:rsidP="006D56D5">
      <w:pPr>
        <w:spacing w:line="480" w:lineRule="auto"/>
        <w:rPr>
          <w:rFonts w:ascii="Times New Roman" w:hAnsi="Times New Roman" w:cs="Times New Roman"/>
          <w:i/>
          <w:sz w:val="24"/>
          <w:szCs w:val="24"/>
        </w:rPr>
      </w:pPr>
    </w:p>
    <w:p w14:paraId="63626999" w14:textId="77777777" w:rsidR="006D56D5" w:rsidRPr="00566230" w:rsidRDefault="00ED7039" w:rsidP="006D56D5">
      <w:pPr>
        <w:spacing w:line="480" w:lineRule="auto"/>
        <w:rPr>
          <w:rFonts w:ascii="Times New Roman" w:hAnsi="Times New Roman" w:cs="Times New Roman"/>
          <w:i/>
          <w:sz w:val="24"/>
          <w:szCs w:val="24"/>
        </w:rPr>
      </w:pPr>
      <w:r w:rsidRPr="00566230">
        <w:rPr>
          <w:rFonts w:ascii="Times New Roman" w:hAnsi="Times New Roman" w:cs="Times New Roman"/>
          <w:i/>
          <w:sz w:val="24"/>
          <w:szCs w:val="24"/>
        </w:rPr>
        <w:t>Role of a</w:t>
      </w:r>
      <w:r w:rsidR="006D56D5" w:rsidRPr="00566230">
        <w:rPr>
          <w:rFonts w:ascii="Times New Roman" w:hAnsi="Times New Roman" w:cs="Times New Roman"/>
          <w:i/>
          <w:sz w:val="24"/>
          <w:szCs w:val="24"/>
        </w:rPr>
        <w:t>utonomic triggers</w:t>
      </w:r>
    </w:p>
    <w:p w14:paraId="517A0B71" w14:textId="5E385E55"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In our cohort of patients with aborted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activities at the time of event initially appear to be quite varied. On analysis, majority of the events occurred during situations where a heightened vagal tone may be invoked. Studies have previously reported augmentation of the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pattern and increased incidence of ventricular arrhythmias during sleep</w:t>
      </w:r>
      <w:r w:rsidR="009C3842" w:rsidRPr="00566230">
        <w:rPr>
          <w:rFonts w:ascii="Times New Roman" w:hAnsi="Times New Roman" w:cs="Times New Roman"/>
          <w:sz w:val="24"/>
          <w:szCs w:val="24"/>
          <w:vertAlign w:val="superscript"/>
        </w:rPr>
        <w:t>14,</w:t>
      </w:r>
      <w:r w:rsidR="003B365B"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"10.1016/j.hrthm.2008.08.022", "ISBN" : "1556-3871 (Electronic)\\r1547-5271 (Linking)", "ISSN" : "15475271", "PMID" : "18984526", "abstract" : "Background: It is well-known that the incidence of ventricular tachyarrhythmias is the highest in winter and during the daytime in patients with structural heart disease. However, little is known about the seasonal and circadian distributions of ventricular fibrillation (VF) in patients with Brugada syndrome. Objective: The aim of this study was to investigate seasonal and circadian distributions of VF in patients with Brugada syndrome. Methods: We analyzed the data of appropriate shock episodes for VF recorded by an implantable cardioverter-defibrillator (ICD) in patients with Brugada syndrome. Results: Among 62 consecutive Brugada syndrome patients with an ICD (48 \u00b1 14 years, 58 males), 19 patients had at least one episode of an appropriate ICD shock due to VF during a mean follow-up of 70 \u00b1 36 months, and 98 episodes were evaluated as isolated VF. There was a significant peak between March and June (P = .03). As for the circadian variation, significantly more VF occurred from midnight to 6:00 (P &lt;.0001). Electrical storms of VF occurred in seven patients. The seasonal and circadian variations of electrical storms were similar to those of the isolated VF episodes. Conclusions: In patients with Brugada syndrome, there was a significant seasonal peak from spring to early summer and a significant circadian peak from midnight to early morning in terms of the occurrences of VF. \u00a9 2008 Heart Rhythm Society.", "author" : [ { "dropping-particle" : "", "family" : "Takigawa", "given" : "Masateru", "non-dropping-particle" : "", "parse-names" : false, "suffix" : "" }, { "dropping-particle" : "", "family" : "Noda", "given" : "Takashi", "non-dropping-particle" : "", "parse-names" : false, "suffix" : "" }, { "dropping-particle" : "", "family" : "Shimizu", "given" : "Wataru", "non-dropping-particle" : "", "parse-names" : false, "suffix" : "" }, { "dropping-particle" : "", "family" : "Miyamoto", "given" : "Koji", "non-dropping-particle" : "", "parse-names" : false, "suffix" : "" }, { "dropping-particle" : "", "family" : "Okamura", "given" : "Hideo", "non-dropping-particle" : "", "parse-names" : false, "suffix" : "" }, { "dropping-particle" : "", "family" : "Satomi", "given" : "Kazuhiro", "non-dropping-particle" : "", "parse-names" : false, "suffix" : "" }, { "dropping-particle" : "", "family" : "Suyama", "given" : "Kazuhiro", "non-dropping-particle" : "", "parse-names" : false, "suffix" : "" }, { "dropping-particle" : "", "family" : "Aihara", "given" : "Naohiko", "non-dropping-particle" : "", "parse-names" : false, "suffix" : "" }, { "dropping-particle" : "", "family" : "Kamakura", "given" : "Shiro", "non-dropping-particle" : "", "parse-names" : false, "suffix" : "" }, { "dropping-particle" : "", "family" : "Kurita", "given" : "Takashi", "non-dropping-particle" : "", "parse-names" : false, "suffix" : "" } ], "container-title" : "Heart Rhythm", "id" : "ITEM-1", "issued" : { "date-parts" : [ [ "2008" ] ] }, "page" : "1523-1527", "title" : "Seasonal and circadian distributions of ventricular fibrillation in patients with Brugada syndrome", "type" : "article-journal", "volume" : "5" }, "uris" : [ "http://www.mendeley.com/documents/?uuid=edbab4f8-bb5a-3a77-b5c3-f29b246cf73e" ] } ], "mendeley" : { "formattedCitation" : "&lt;sup&gt;23&lt;/sup&gt;", "plainTextFormattedCitation" : "23", "previouslyFormattedCitation" : "&lt;sup&gt;23&lt;/sup&gt;"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23</w:t>
      </w:r>
      <w:r w:rsidR="003B365B" w:rsidRPr="00566230">
        <w:rPr>
          <w:rFonts w:ascii="Times New Roman" w:hAnsi="Times New Roman" w:cs="Times New Roman"/>
          <w:sz w:val="24"/>
          <w:szCs w:val="24"/>
        </w:rPr>
        <w:fldChar w:fldCharType="end"/>
      </w:r>
      <w:r w:rsidRPr="00566230">
        <w:rPr>
          <w:rFonts w:ascii="Times New Roman" w:hAnsi="Times New Roman" w:cs="Times New Roman"/>
          <w:sz w:val="24"/>
          <w:szCs w:val="24"/>
        </w:rPr>
        <w:t>, following exercise</w:t>
      </w:r>
      <w:r w:rsidR="003B365B"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"S0735-1097(10)03637-5 [pii]\\n10.1016/j.jacc.2010.06.033", "ISBN" : "1558-3597 (Electronic)\\n0735-1097 (Linking)", "PMID" : "21029874", "abstract" : "OBJECTIVES: The goal of this study was to evaluate the prevalence and the clinical significance of ST-segment elevation during recovery from exercise testing. BACKGROUND: During recovery from exercise testing, ST-segment elevation is reported in some patients with Brugada syndrome (BrS). METHODS: Treadmill exercise testing was conducted for 93 patients (91 men), 46 +/- 14 years of age, with BrS (22 documented ventricular fibrillation, 35 syncope alone, and 36 asymptomatic); and for 102 healthy control subjects (97 men), 46 +/- 17 years of age. Patients were routinely followed up. The clinical end point was defined as the occurrence of sudden cardiac death, ventricular fibrillation, or sustained ventricular tachyarrhythmia. RESULTS: Augmentation of ST-segment elevation &gt;/=0.05 mV in V(1) to V(3) leads compared with baseline was observed at early recovery (1 to 4 min at recovery) in 34 BrS patients (37% [group 1]), but was not observed in the remaining 59 BrS patients (63% [group 2]) or in the 102 control subjects. During 76 +/- 38 months of follow-up, ventricular fibrillation occurred more frequently in group 1 (15 of 34, 44%) than in group 2 (10 of 59, 17%; p = 0.004). Multivariate Cox regression analysis showed that in addition to previous episodes of ventricular fibrillation (p = 0.005), augmentation of ST-segment elevation at early recovery was a significant and independent predictor for cardiac events (p = 0.007), especially among patients with history of syncope alone (6 of 12 [50%] in group 1 vs. 3 of 23 [13%] in group 2) and among asymptomatic patients (3 of 15 [20%] in group 1 vs. 0 of 21 [0%] in group 2). CONCLUSIONS: Augmentation of ST-segment elevation during recovery from exercise testing was specific in patients with BrS, and can be a predictor of poor prognosis, especially for patients with syncope alone and for asymptomatic patients.", "author" : [ { "dropping-particle" : "", "family" : "Makimoto", "given" : "H", "non-dropping-particle" : "", "parse-names" : false, "suffix" : "" }, { "dropping-particle" : "", "family" : "Nakagawa", "given" : "E", "non-dropping-particle" : "", "parse-names" : false, "suffix" : "" }, { "dropping-particle" : "", "family" : "Takaki", "given" : "H", "non-dropping-particle" : "", "parse-names" : false, "suffix" : "" }, { "dropping-particle" : "", "family" : "Yamada", "given" : "Y", "non-dropping-particle" : "", "parse-names" : false, "suffix" : "" }, { "dropping-particle" : "", "family" : "Okamura", "given" : "H", "non-dropping-particle" : "", "parse-names" : false, "suffix" : "" }, { "dropping-particle" : "", "family" : "Noda", "given" : "T", "non-dropping-particle" : "", "parse-names" : false, "suffix" : "" }, { "dropping-particle" : "", "family" : "Satomi", "given" : "K", "non-dropping-particle" : "", "parse-names" : false, "suffix" : "" }, { "dropping-particle" : "", "family" : "Suyama", "given" : "K", "non-dropping-particle" : "", "parse-names" : false, "suffix" : "" }, { "dropping-particle" : "", "family" : "Aihara", "given" : "N", "non-dropping-particle" : "", "parse-names" : false, "suffix" : "" }, { "dropping-particle" : "", "family" : "Kurita", "given" : "T", "non-dropping-particle" : "", "parse-names" : false, "suffix" : "" }, { "dropping-particle" : "", "family" : "Kamakura", "given" : "S", "non-dropping-particle" : "", "parse-names" : false, "suffix" : "" }, { "dropping-particle" : "", "family" : "Shimizu", "given" : "W", "non-dropping-particle" : "", "parse-names" : false, "suffix" : "" } ], "container-title" : "J Am Coll Cardiol", "id" : "ITEM-1", "issued" : { "date-parts" : [ [ "2010" ] ] }, "title" : "Augmented ST-segment elevation during recovery from exercise predicts cardiac events in patients with Brugada syndrome.", "type" : "article" }, "uris" : [ "http://www.mendeley.com/documents/?uuid=d520d5a7-11ec-3e69-a860-d1eb9e151f66" ] }, { "id" : "ITEM-2", "itemData" : { "DOI" : "10.1161/CIRCEP.109.862441", "ISBN" : "1941-3084 (Electronic)\\r1941-3084 (Linking)", "ISSN" : "19413149", "PMID" : "19843921", "abstract" : "Ventricular arrhythmia occurrence during exercise is reported in Brugada syndrome (BrS). Accordingly, experimental studies suggest that BrS-linked SCN5A mutations reduce sodium current more at fast heart rates. Yet, the effects of exercise on the BrS ECG phenotype have not been studied. We aimed to assess ECG responses to exercise in BrS and determine whether these responses are affected by the presence of an SCN5A mutation.", "author" : [ { "dropping-particle" : "", "family" : "Amin", "given" : "Ahmad S.", "non-dropping-particle" : "", "parse-names" : false, "suffix" : "" }, { "dropping-particle" : "", "family" : "Groot", "given" : "Elisabeth A A", "non-dropping-particle" : "De", "parse-names" : false, "suffix" : "" }, { "dropping-particle" : "", "family" : "Ruijter", "given" : "Jan M.", "non-dropping-particle" : "", "parse-names" : false, "suffix" : "" }, { "dropping-particle" : "", "family" : "Wilde", "given" : "Arthur A M", "non-dropping-particle" : "", "parse-names" : false, "suffix" : "" }, { "dropping-particle" : "", "family" : "Tan", "given" : "Hanno L.", "non-dropping-particle" : "", "parse-names" : false, "suffix" : "" } ], "container-title" : "Circulation: Arrhythmia and Electrophysiology", "id" : "ITEM-2", "issue" : "5", "issued" : { "date-parts" : [ [ "2009" ] ] }, "page" : "531-539", "title" : "Exercise-induced ECG changes in brugada syndrome", "type" : "article-journal", "volume" : "2" }, "uris" : [ "http://www.mendeley.com/documents/?uuid=d5d06f74-a723-4298-ba43-a1b7a58a54c3" ] } ], "mendeley" : { "formattedCitation" : "&lt;sup&gt;15,24&lt;/sup&gt;", "plainTextFormattedCitation" : "15,24", "previouslyFormattedCitation" : "&lt;sup&gt;15,24&lt;/sup&gt;"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15,24</w:t>
      </w:r>
      <w:r w:rsidR="003B365B"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and after meals</w:t>
      </w:r>
      <w:r w:rsidR="003B365B"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"JCE424 [pii]\\r10.1111/j.1540-8167.2006.00424.x", "ISBN" : "1045-3873 (Print)\\r1045-3873 (Linking)", "PMID" : "16836706", "abstract" : "INTRODUCTION: Autonomic modulation, particularly high vagal tone, plays an important role in the occurrence of ventricular tachyarrhythmias in the Brugada syndrome. Food intake modulates vagal activity. We assessed the usefulness of a novel diagnostic technique, the \"full stomach test,\" for identifying a high-risk group in patients with a Brugada-type electrocardiogram (ECG). METHODS AND RESULTS: In 35 patients with a Brugada-type ECG, we assessed 12-lead ECGs before and after a large meal, a pilsicainide pharmacological test, spontaneous ST-segment change, late potentials by signal-averaged ECG, microvolt T-wave alternans, and four other ECG parameters. These patients were divided into two groups (i.e., high-risk group [n = 17] and indeterminate risk group [n = 18]). The full stomach test was defined as positive when augmentation of characteristic ECG abnormalities was observed after meals. Thirteen patients had a prior history of life-threatening events such as aborted sudden death and syncope, with a total of 30 episodes. These episodes had a circadian pattern, at night and after meals. The full stomach test was positive in 17 of the study patients (49%). A positive test outcome was characterized by a higher incidence of a history of life-threatening events than a negative test outcome (P = 0.015, odds ratio = 7.1). In comparison between the two groups, the incidence (82%) of positive outcomes in the high-risk group was significantly higher than that (17%) in the indeterminate risk group (P = 0.0002). CONCLUSIONS: Characteristic ECG changes diagnostic of Brugada syndrome are augmented by a large meal. These data are associated with a history of life-threatening events in Brugada syndrome.", "author" : [ { "dropping-particle" : "", "family" : "Ikeda", "given" : "T", "non-dropping-particle" : "", "parse-names" : false, "suffix" : "" }, { "dropping-particle" : "", "family" : "Abe", "given" : "A", "non-dropping-particle" : "", "parse-names" : false, "suffix" : "" }, { "dropping-particle" : "", "family" : "Yusu", "given" : "S", "non-dropping-particle" : "", "parse-names" : false, "suffix" : "" }, { "dropping-particle" : "", "family" : "Nakamura", "given" : "K", "non-dropping-particle" : "", "parse-names" : false, "suffix" : "" }, { "dropping-particle" : "", "family" : "Ishiguro", "given" : "H", "non-dropping-particle" : "", "parse-names" : false, "suffix" : "" }, { "dropping-particle" : "", "family" : "Mera", "given" : "H", "non-dropping-particle" : "", "parse-names" : false, "suffix" : "" }, { "dropping-particle" : "", "family" : "Yotsukura", "given" : "M", "non-dropping-particle" : "", "parse-names" : false, "suffix" : "" }, { "dropping-particle" : "", "family" : "Yoshino", "given" : "H", "non-dropping-particle" : "", "parse-names" : false, "suffix" : "" } ], "container-title" : "Journal of Cardiovascular Electrophysiology", "id" : "ITEM-1", "issued" : { "date-parts" : [ [ "2006" ] ] }, "page" : "602-607", "title" : "The full stomach test as a novel diagnostic technique for identifying patients at risk of Brugada syndrome", "type" : "article-journal", "volume" : "17" }, "uris" : [ "http://www.mendeley.com/documents/?uuid=dbe67480-6c4f-30a9-af17-bf6e07d4c623" ] }, { "id" : "ITEM-2", "itemData" : { "DOI" : "10.1111/j.1540-8167.2007.00972.x", "ISBN" : "1540-8167 (Electronic)\\r1045-3873 (Linking)", "ISSN" : "10453873", "PMID" : "17900254", "abstract" : "BACKGROUND: Glucose-induced insulin secretion is one of the contributing factors to fluctuation of ST segment elevation in Brugada syndrome.\\n\\nOBJECTIVES: The purpose of this study was to explore the influence of meals on variations of ST elevation in Brugada syndrome.\\n\\nMETHODS: We assessed changes of ST segment elevation in lead V1-3 on ECG before and after taking meals, at midnight, and at 3:00 a.m. in 20 patients with Brugada syndrome. Plasma glucose, insulin, and K(+) concentrations were measured. Variations of ST elevation were defined as morphological changes and/or augmentation of ST segment level by &gt;1.0 mm.\\n\\nRESULT: Variations of ST segment morphology or elevation level after meals were observed in 15 of 20 patients (75%). ST elevation was augmented most markedly after dinner (3.3 +/- 1.7 mm) and decreased both at midnight (2.6 +/- 1.3 mm: P &lt; 0.01 vs after dinner) and at 3:00 a.m. (2.4 +/- 1.2 mm: P &lt; 0.01 vs after dinner). Morphologic changes and elevation levels of ST segment were associated with changes in glucose-induced insulin levels after meals, being highest after dinner (47 +/- 33 microU/mL) and decreasing significantly at midnight (7 +/- 4 microU/mL) and at 3:00 a.m. (5 +/- 2 microU/mL). There were no correlations between ST elevation and changes in serum K(+) level or heart rate.\\n\\nCONCLUSIONS: The present findings suggest that variations of ST elevation are frequently associated with meals. Aggravation of ST elevation is most prominent in the evening to night after dinner rather than the period between midnight and early morning. This information may help to predict event times at high risk for life-threatening arrhythmias in Brugada syndrome.", "author" : [ { "dropping-particle" : "", "family" : "Nishizaki", "given" : "Mitsuhiro", "non-dropping-particle" : "", "parse-names" : false, "suffix" : "" }, { "dropping-particle" : "", "family" : "Sakurada", "given" : "Harumizu", "non-dropping-particle" : "", "parse-names" : false, "suffix" : "" }, { "dropping-particle" : "", "family" : "Mizusawa", "given" : "Yuka", "non-dropping-particle" : "", "parse-names" : false, "suffix" : "" }, { "dropping-particle" : "", "family" : "Niki", "given" : "Saori", "non-dropping-particle" : "", "parse-names" : false, "suffix" : "" }, { "dropping-particle" : "", "family" : "Hayashi", "given" : "Tatsuya", "non-dropping-particle" : "", "parse-names" : false, "suffix" : "" }, { "dropping-particle" : "", "family" : "Tanaka", "given" : "Yasuaki", "non-dropping-particle" : "", "parse-names" : false, "suffix" : "" }, { "dropping-particle" : "", "family" : "Maeda", "given" : "Shingo", "non-dropping-particle" : "", "parse-names" : false, "suffix" : "" }, { "dropping-particle" : "", "family" : "Fujii", "given" : "Hiroyuki", "non-dropping-particle" : "", "parse-names" : false, "suffix" : "" }, { "dropping-particle" : "", "family" : "Ashikaga", "given" : "Takashi", "non-dropping-particle" : "", "parse-names" : false, "suffix" : "" }, { "dropping-particle" : "", "family" : "Yamawake", "given" : "Noriyoshi", "non-dropping-particle" : "", "parse-names" : false, "suffix" : "" }, { "dropping-particle" : "", "family" : "Isobe", "given" : "Mitsuaki", "non-dropping-particle" : "", "parse-names" : false, "suffix" : "" }, { "dropping-particle" : "", "family" : "Hiraoka", "given" : "Masayasu", "non-dropping-particle" : "", "parse-names" : false, "suffix" : "" } ], "container-title" : "Journal of Cardiovascular Electrophysiology", "id" : "ITEM-2", "issued" : { "date-parts" : [ [ "2008" ] ] }, "page" : "62-68", "title" : "Influence of meals on variations of ST segment elevation in patients with Brugada Syndrome", "type" : "article-journal", "volume" : "19" }, "uris" : [ "http://www.mendeley.com/documents/?uuid=362733ff-2a27-3cc0-a6e9-bc031c8bf2ed" ] } ], "mendeley" : { "formattedCitation" : "&lt;sup&gt;25,26&lt;/sup&gt;", "plainTextFormattedCitation" : "25,26", "previouslyFormattedCitation" : "&lt;sup&gt;25,26&lt;/sup&gt;"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25,26</w:t>
      </w:r>
      <w:r w:rsidR="003B365B"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As the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pattern has been anecdotally observed to manifest or be augmented prior to the onset of ventricular arrhythmias</w:t>
      </w:r>
      <w:r w:rsidR="003B365B"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"ISBN" : "1045-3873 (Print)\\r1045-3873 (Linking)", "ISSN" : "1045-3873", "PMID" : "9607459", "abstract" : "We present a patient with Brugada syndrome in whom 12-lead ECGs were recorded just before and after an episode of ventricular fibrillation (VF). A progressive elevation of both the RS-T segment and J waves just preceding and following the VF, and a close relationship between the amplitude of the RS-T segment and the preceding R-R intervals during atrial fibrillation, were documented. These findings support the hypothesis that RS-T elevation and a subsequent VF are related to a transient outward current-mediated spike-and-dome morphology of the epicardial action potential.", "author" : [ { "dropping-particle" : "", "family" : "Matsuo", "given" : "K", "non-dropping-particle" : "", "parse-names" : false, "suffix" : "" }, { "dropping-particle" : "", "family" : "Shimizu", "given" : "W", "non-dropping-particle" : "", "parse-names" : false, "suffix" : "" }, { "dropping-particle" : "", "family" : "Kurita", "given" : "T", "non-dropping-particle" : "", "parse-names" : false, "suffix" : "" }, { "dropping-particle" : "", "family" : "Inagaki", "given" : "M", "non-dropping-particle" : "", "parse-names" : false, "suffix" : "" }, { "dropping-particle" : "", "family" : "Aihara", "given" : "N", "non-dropping-particle" : "", "parse-names" : false, "suffix" : "" }, { "dropping-particle" : "", "family" : "Kamakura", "given" : "S", "non-dropping-particle" : "", "parse-names" : false, "suffix" : "" } ], "container-title" : "Journal of cardiovascular electrophysiology", "id" : "ITEM-1", "issued" : { "date-parts" : [ [ "1998" ] ] }, "title" : "Dynamic changes of 12-lead electrocardiograms in a patient with Brugada syndrome.", "type" : "article-journal" }, "uris" : [ "http://www.mendeley.com/documents/?uuid=573bd278-9e08-3534-83e5-c42fbde82590" ] } ], "mendeley" : { "formattedCitation" : "&lt;sup&gt;18&lt;/sup&gt;", "plainTextFormattedCitation" : "18", "previouslyFormattedCitation" : "&lt;sup&gt;18&lt;/sup&gt;"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18</w:t>
      </w:r>
      <w:r w:rsidR="003B365B" w:rsidRPr="00566230">
        <w:rPr>
          <w:rFonts w:ascii="Times New Roman" w:hAnsi="Times New Roman" w:cs="Times New Roman"/>
          <w:sz w:val="24"/>
          <w:szCs w:val="24"/>
        </w:rPr>
        <w:fldChar w:fldCharType="end"/>
      </w:r>
      <w:r w:rsidR="003B365B" w:rsidRPr="00566230">
        <w:rPr>
          <w:rFonts w:ascii="Times New Roman" w:hAnsi="Times New Roman" w:cs="Times New Roman"/>
          <w:sz w:val="24"/>
          <w:szCs w:val="24"/>
          <w:vertAlign w:val="superscript"/>
        </w:rPr>
        <w:t>,</w:t>
      </w:r>
      <w:r w:rsidR="003B365B" w:rsidRPr="00566230">
        <w:rPr>
          <w:rFonts w:ascii="Times New Roman" w:hAnsi="Times New Roman" w:cs="Times New Roman"/>
          <w:sz w:val="24"/>
          <w:szCs w:val="24"/>
        </w:rPr>
        <w:fldChar w:fldCharType="begin" w:fldLock="1"/>
      </w:r>
      <w:r w:rsidR="004F0B60" w:rsidRPr="00566230">
        <w:rPr>
          <w:rFonts w:ascii="Times New Roman" w:hAnsi="Times New Roman" w:cs="Times New Roman"/>
          <w:sz w:val="24"/>
          <w:szCs w:val="24"/>
        </w:rPr>
        <w:instrText>ADDIN CSL_CITATION { "citationItems" : [ { "id" : "ITEM-1", "itemData" : { "DOI" : "10.1161/01.CIR.95.9.2277", "ISBN" : "0009-7322 (Print) 0009-7322 (Linking)", "ISSN" : "00097322", "PMID" : "9142005", "abstract" : "Background Recently, idiopathic ventricular fibrillation (VF) has gained much attention. Although several subgroups have been described, its pathogenesis, mechanism, treatment, and prognosis remain unknown.Methods and Results We studied six cases of idiopathic VF with transient late r\u2032 waves and ST elevation (late r\u2032/ST elevation) in leads V1 through V3. Late r\u2032/ST elevation was augmented before and after VF episodes. Signal-averaged ECGs showed late potentials even when no late r\u2032/ST elevation occurred. During late r\u2032, a conduction delay was observed by use of body-surface maps at the anterior wall and outflow tract of the right ventricle without inhomogeneity of the repolarization phase. There was a decrease or total disappearance of late r\u2032/ST elevation with isoproterenol, atropine, and exercise stress testing and induction or exacerbation with propranolol, edrophonium, and hyperventilation. VF was induced by programmed electrical stimulation in all cases but two, in which it was induced only after edrophonium injection. In two cases, VF was exacerbated by propranolol, and in all cases, it was uninducible with isoproterenol. Heart rate spectral analysis just before VF episodes showed a sudden rise in vagal activity in two cases. As the VF mechanism, a conduction delay exists at the anterior wall and outflow tract of the right ventricle that is possibly exacerbated by an abrupt rise in vagal activity, inducing random reentry that results in VF. Class I antiarrhythmic agents and \u03b2-blockers were ineffective for this VF. All subjects required implantable cardioverter-defibrillators.Conclusions We propose this VF associated with late r\u2032/ST elevation in the precordial leads and influenced by vagal activity as a new possible mechanism of idiopathic VF.", "author" : [ { "dropping-particle" : "", "family" : "Kasanuki", "given" : "Hiroshi", "non-dropping-particle" : "", "parse-names" : false, "suffix" : "" }, { "dropping-particle" : "", "family" : "Ohnishi", "given" : "Satoshi", "non-dropping-particle" : "", "parse-names" : false, "suffix" : "" }, { "dropping-particle" : "", "family" : "Ohtuka", "given" : "Masato", "non-dropping-particle" : "", "parse-names" : false, "suffix" : "" }, { "dropping-particle" : "", "family" : "Matsuda", "given" : "Naoki", "non-dropping-particle" : "", "parse-names" : false, "suffix" : "" }, { "dropping-particle" : "", "family" : "Nirei", "given" : "Takashi", "non-dropping-particle" : "", "parse-names" : false, "suffix" : "" }, { "dropping-particle" : "", "family" : "Isogai", "given" : "Reiko", "non-dropping-particle" : "", "parse-names" : false, "suffix" : "" }, { "dropping-particle" : "", "family" : "Shoda", "given" : "Morio", "non-dropping-particle" : "", "parse-names" : false, "suffix" : "" }, { "dropping-particle" : "", "family" : "Toyoshima", "given" : "Yukari", "non-dropping-particle" : "", "parse-names" : false, "suffix" : "" }, { "dropping-particle" : "", "family" : "Hosoda", "given" : "Saichi", "non-dropping-particle" : "", "parse-names" : false, "suffix" : "" } ], "container-title" : "Circulation", "id" : "ITEM-1", "issue" : "9", "issued" : { "date-parts" : [ [ "1997", "5", "6" ] ] }, "note" : "From Duplicate 2 (Idiopathic Ventricular Fibrillation Induced With Vagal Activity in Patients Without Obvious Heart Disease - Kasanuki, Hiroshi; Ohnishi, Satoshi; Ohtuka, Masato; Matsuda, Naoki; Nirei, Takashi; Isogai, Reiko; Shoda, Morio; Toyoshima, Yukari; Hosoda, Saichi)\n\n10.1161/01.CIR.95.9.2277", "page" : "2277-2285", "title" : "Idiopathic Ventricular Fibrillation Induced With Vagal Activity in Patients Without Obvious Heart Disease", "type" : "article-journal", "volume" : "95" }, "uris" : [ "http://www.mendeley.com/documents/?uuid=6ae8ed91-3e13-4ee5-8733-4646aa46e8c4" ] } ], "mendeley" : { "formattedCitation" : "&lt;sup&gt;27&lt;/sup&gt;", "plainTextFormattedCitation" : "27", "previouslyFormattedCitation" : "&lt;sup&gt;27&lt;/sup&gt;"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4F0B60" w:rsidRPr="00566230">
        <w:rPr>
          <w:rFonts w:ascii="Times New Roman" w:hAnsi="Times New Roman" w:cs="Times New Roman"/>
          <w:noProof/>
          <w:sz w:val="24"/>
          <w:szCs w:val="24"/>
          <w:vertAlign w:val="superscript"/>
        </w:rPr>
        <w:t>27</w:t>
      </w:r>
      <w:r w:rsidR="003B365B" w:rsidRPr="00566230">
        <w:rPr>
          <w:rFonts w:ascii="Times New Roman" w:hAnsi="Times New Roman" w:cs="Times New Roman"/>
          <w:sz w:val="24"/>
          <w:szCs w:val="24"/>
        </w:rPr>
        <w:fldChar w:fldCharType="end"/>
      </w:r>
      <w:r w:rsidR="003B365B" w:rsidRPr="00566230">
        <w:rPr>
          <w:rFonts w:ascii="Times New Roman" w:hAnsi="Times New Roman" w:cs="Times New Roman"/>
          <w:sz w:val="24"/>
          <w:szCs w:val="24"/>
        </w:rPr>
        <w:t xml:space="preserve"> </w:t>
      </w:r>
      <w:r w:rsidRPr="00566230">
        <w:rPr>
          <w:rFonts w:ascii="Times New Roman" w:hAnsi="Times New Roman" w:cs="Times New Roman"/>
          <w:sz w:val="24"/>
          <w:szCs w:val="24"/>
        </w:rPr>
        <w:t xml:space="preserve">it is implied that such autonomic stimuli have a pro-arrhythmic effect on the electrophysiological substrate. </w:t>
      </w:r>
    </w:p>
    <w:p w14:paraId="5215C75D" w14:textId="7B4E1A45" w:rsidR="006D56D5" w:rsidRPr="00566230" w:rsidRDefault="006D56D5" w:rsidP="006D56D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Our findings together with that previous reported in the literature highlight the importance of studying the electrophysiological properties of the heart during such autonomic stimuli. Many of these activities are routine and are likely to have been undertaken by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in the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group as well. Given that such routine activities have not yet triggered an arrhythmic event in these patients, it suggests that differences are likely to exist in their electrophysiological substrate which are not identifiable with current ECG based parameters. </w:t>
      </w:r>
      <w:bookmarkStart w:id="1" w:name="_Hlk524338191"/>
      <w:r w:rsidR="00AA7DDA" w:rsidRPr="00566230">
        <w:rPr>
          <w:rFonts w:ascii="Times New Roman" w:hAnsi="Times New Roman" w:cs="Times New Roman"/>
          <w:sz w:val="24"/>
          <w:szCs w:val="24"/>
        </w:rPr>
        <w:lastRenderedPageBreak/>
        <w:t xml:space="preserve">One plausible reason for this is that current ECG based parameters lack the spatial resolution to identify the arrhythmogenic substrate during such autonomic stimuli. This is suggested by other studies employing non-invasive </w:t>
      </w:r>
      <w:proofErr w:type="spellStart"/>
      <w:r w:rsidR="00AA7DDA" w:rsidRPr="00566230">
        <w:rPr>
          <w:rFonts w:ascii="Times New Roman" w:hAnsi="Times New Roman" w:cs="Times New Roman"/>
          <w:sz w:val="24"/>
          <w:szCs w:val="24"/>
        </w:rPr>
        <w:t>electrocardiographical</w:t>
      </w:r>
      <w:proofErr w:type="spellEnd"/>
      <w:r w:rsidR="00AA7DDA" w:rsidRPr="00566230">
        <w:rPr>
          <w:rFonts w:ascii="Times New Roman" w:hAnsi="Times New Roman" w:cs="Times New Roman"/>
          <w:sz w:val="24"/>
          <w:szCs w:val="24"/>
        </w:rPr>
        <w:t xml:space="preserve"> imaging, that employs &gt;250 surface electrodes, which have augmented spatial heterogeneities in conduction and repolarisation following autonomic and pharmacological stimuli</w:t>
      </w:r>
      <w:r w:rsidR="00553306" w:rsidRPr="00566230">
        <w:rPr>
          <w:rFonts w:ascii="Times New Roman" w:hAnsi="Times New Roman" w:cs="Times New Roman"/>
          <w:sz w:val="24"/>
          <w:szCs w:val="24"/>
        </w:rPr>
        <w:fldChar w:fldCharType="begin" w:fldLock="1"/>
      </w:r>
      <w:r w:rsidR="00553306" w:rsidRPr="00566230">
        <w:rPr>
          <w:rFonts w:ascii="Times New Roman" w:hAnsi="Times New Roman" w:cs="Times New Roman"/>
          <w:sz w:val="24"/>
          <w:szCs w:val="24"/>
        </w:rPr>
        <w:instrText>ADDIN CSL_CITATION { "citationItems" : [ { "id" : "ITEM-1", "itemData" : { "DOI" : "10.1161/CIRCEP.117.005107", "ISSN" : "1941-3149", "PMID" : "29038102", "abstract" : "BACKGROUND The substrate location and underlying electrophysiological mechanisms that contribute to the characteristic ECG pattern of Brugada syndrome (BrS) are still debated. Using noninvasive electrocardiographical imaging, we studied whole heart conduction and repolarization patterns during ajmaline challenge in BrS individuals. METHODS AND RESULTS A total of 13 participants (mean age, 44\u00b112 years; 8 men), 11 concealed patients with type I BrS and 2 healthy controls, underwent an ajmaline infusion with electrocardiographical imaging and ECG recordings. Electrocardiographical imaging activation recovery intervals and activation timings across the right ventricle (RV) body, outflow tract (RVOT), and left ventricle were calculated and analyzed at baseline and when type I BrS pattern manifested after ajmaline infusion. Peak J-ST point elevation was calculated from the surface ECG and compared with the electrocardiographical imaging-derived parameters at the same time point. After ajmaline infusion, the RVOT had the greatest increase in conduction delay (5.4\u00b12.8 versus 2.0\u00b12.8 versus 1.1\u00b11.6 ms; P=0.007) and activation recovery intervals prolongation (69\u00b132 versus 39\u00b129 versus 21\u00b112 ms; P=0.0005) compared with RV or left ventricle. In controls, there was minimal change in J-ST point elevation, conduction delay, or activation recovery intervals at all sites with ajmaline. In patients with BrS, conduction delay in RVOT, but not RV or left ventricle, correlated to the degree of J-ST point elevation (Pearson R, 0.81; P&lt;0.001). No correlation was found between J-ST point elevation and activation recovery intervals prolongation in the RVOT, RV, or left ventricle. CONCLUSIONS Magnitude of ST (J point) elevation in the type I BrS pattern is attributed to degree of conduction delay in the RVOT and not prolongation in repolarization time.", "author" : [ { "dropping-particle" : "", "family" : "Leong", "given" : "Kevin M.W.", "non-dropping-particle" : "", "parse-names" : false, "suffix" : "" }, { "dropping-particle" : "", "family" : "Ng", "given" : "Fu Siong", "non-dropping-particle" : "", "parse-names" : false, "suffix" : "" }, { "dropping-particle" : "", "family" : "Yao", "given" : "Cheng", "non-dropping-particle" : "", "parse-names" : false, "suffix" : "" }, { "dropping-particle" : "", "family" : "Roney", "given" : "Caroline", "non-dropping-particle" : "", "parse-names" : false, "suffix" : "" }, { "dropping-particle" : "", "family" : "Taraborrelli", "given" : "Patricia", "non-dropping-particle" : "", "parse-names" : false, "suffix" : "" }, { "dropping-particle" : "", "family" : "Linton", "given" : "Nicholas W.F.", "non-dropping-particle" : "", "parse-names" : false, "suffix" : "" }, { "dropping-particle" : "", "family" : "Whinnett", "given" : "Zachary I.", "non-dropping-particle" : "", "parse-names" : false, "suffix" : "" }, { "dropping-particle" : "", "family" : "Lefroy", "given" : "David C.", "non-dropping-particle" : "", "parse-names" : false, "suffix" : "" }, { "dropping-particle" : "", "family" : "Davies", "given" : "D. Wyn", "non-dropping-particle" : "", "parse-names" : false, "suffix" : "" }, { "dropping-particle" : "", "family" : "Boon Lim", "given" : "Phang", "non-dropping-particle" : "", "parse-names" : false, "suffix" : "" }, { "dropping-particle" : "", "family" : "Harding", "given" : "Sian E.", "non-dropping-particle" : "", "parse-names" : false, "suffix" : "" }, { "dropping-particle" : "", "family" : "Peters", "given" : "Nicholas S.", "non-dropping-particle" : "", "parse-names" : false, "suffix" : "" }, { "dropping-particle" : "", "family" : "Kanagaratnam", "given" : "Prapa", "non-dropping-particle" : "", "parse-names" : false, "suffix" : "" }, { "dropping-particle" : "", "family" : "Varnava", "given" : "Amanda M.", "non-dropping-particle" : "", "parse-names" : false, "suffix" : "" } ], "container-title" : "Circulation: Arrhythmia and Electrophysiology", "id" : "ITEM-1", "issued" : { "date-parts" : [ [ "2017", "10", "16" ] ] }, "page" : "e005107", "title" : "ST-Elevation Magnitude Correlates With Right Ventricular Outflow Tract Conduction Delay in Type I Brugada ECG", "type" : "article-journal", "volume" : "10" }, "uris" : [ "http://www.mendeley.com/documents/?uuid=02b6d41f-3bf0-47d3-aba9-bf6b24c044ee" ] }, { "id" : "ITEM-2", "itemData" : { "DOI" : "10.1111/jce.13375", "ISSN" : "15408167", "PMID" : "29091329", "abstract" : "BACKGROUND Models of cardiac arrhythmogenesis predict that nonuniformity in repolarization and/or depolarization promotes ventricular fibrillation and is modulated by autonomic tone, but this is difficult to evaluate in patients. We hypothesize that such spatial heterogeneities would be detected by noninvasive ECG imaging (ECGi) in sudden cardiac death (SCD) survivors with structurally normal hearts under physiological stress. METHODS ECGi was applied to 11 SCD survivors, 10 low-risk Brugada syndrome patients (BrS), and 10 controls undergoing exercise treadmill testing. ECGi provides whole heart activation maps and &gt;1,200 unipolar electrograms over the ventricular surface from which global dispersion of activation recovery interval (ARI) and regional delay in conduction were determined. These were used as surrogates for spatial heterogeneities in repolarization and depolarization. Surface ECG markers of dispersion (QT and Tpeak-end intervals) were also calculated for all patients for comparison. RESULTS Following exertion, the SCD group demonstrated the largest increase in ARI dispersion compared to BrS and control groups (13 \u00b1 8 ms vs. 4 \u00b1 7 ms vs. 4 \u00b1 5 ms; P = 0.009), with baseline dispersion being similar in all groups. In comparison, surface ECG markers of dispersion of repolarization were unable to discriminate between the groups at baseline or following exertion. Spatial heterogeneities in conduction were also present following exercise but were not significantly different between SCD survivors and the other groups. CONCLUSION Increased dispersion of repolarization is apparent during physiological stress in SCD survivors and is detectable with ECGi but not with standard ECG parameters. The electrophysiological substrate revealed by ECGi could be the basis of alternative risk-stratification techniques.", "author" : [ { "dropping-particle" : "", "family" : "Leong", "given" : "Kevin M.W.", "non-dropping-particle" : "", "parse-names" : false, "suffix" : "" }, { "dropping-particle" : "", "family" : "Ng", "given" : "Fu Siong", "non-dropping-particle" : "", "parse-names" : false, "suffix" : "" }, { "dropping-particle" : "", "family" : "Roney", "given" : "Caroline", "non-dropping-particle" : "", "parse-names" : false, "suffix" : "" }, { "dropping-particle" : "", "family" : "Cantwell", "given" : "Christopher", "non-dropping-particle" : "", "parse-names" : false, "suffix" : "" }, { "dropping-particle" : "", "family" : "Shun-Shin", "given" : "Matthew J.", "non-dropping-particle" : "", "parse-names" : false, "suffix" : "" }, { "dropping-particle" : "", "family" : "Linton", "given" : "Nicholas W.F.", "non-dropping-particle" : "", "parse-names" : false, "suffix" : "" }, { "dropping-particle" : "", "family" : "Whinnett", "given" : "Zachary I.", "non-dropping-particle" : "", "parse-names" : false, "suffix" : "" }, { "dropping-particle" : "", "family" : "Lefroy", "given" : "David C.", "non-dropping-particle" : "", "parse-names" : false, "suffix" : "" }, { "dropping-particle" : "", "family" : "Davies", "given" : "D. Wyn", "non-dropping-particle" : "", "parse-names" : false, "suffix" : "" }, { "dropping-particle" : "", "family" : "Harding", "given" : "Sian E.", "non-dropping-particle" : "", "parse-names" : false, "suffix" : "" }, { "dropping-particle" : "", "family" : "Lim", "given" : "Phang Boon", "non-dropping-particle" : "", "parse-names" : false, "suffix" : "" }, { "dropping-particle" : "", "family" : "Francis", "given" : "Darrel", "non-dropping-particle" : "", "parse-names" : false, "suffix" : "" }, { "dropping-particle" : "", "family" : "Peters", "given" : "Nicholas S.", "non-dropping-particle" : "", "parse-names" : false, "suffix" : "" }, { "dropping-particle" : "", "family" : "Varnava", "given" : "Amanda M.", "non-dropping-particle" : "", "parse-names" : false, "suffix" : "" }, { "dropping-particle" : "", "family" : "Kanagaratnam", "given" : "Prapa", "non-dropping-particle" : "", "parse-names" : false, "suffix" : "" } ], "container-title" : "Journal of Cardiovascular Electrophysiology", "id" : "ITEM-2", "issued" : { "date-parts" : [ [ "2018" ] ] }, "page" : "115-126", "title" : "Repolarization abnormalities unmasked with exercise in sudden cardiac death survivors with structurally normal hearts", "type" : "article-journal", "volume" : "29" }, "uris" : [ "http://www.mendeley.com/documents/?uuid=57fa47a9-31cc-40bb-b711-6c66564547e9" ] } ], "mendeley" : { "formattedCitation" : "&lt;sup&gt;28,29&lt;/sup&gt;", "plainTextFormattedCitation" : "28,29", "previouslyFormattedCitation" : "&lt;sup&gt;28,29&lt;/sup&gt;" }, "properties" : {  }, "schema" : "https://github.com/citation-style-language/schema/raw/master/csl-citation.json" }</w:instrText>
      </w:r>
      <w:r w:rsidR="00553306" w:rsidRPr="00566230">
        <w:rPr>
          <w:rFonts w:ascii="Times New Roman" w:hAnsi="Times New Roman" w:cs="Times New Roman"/>
          <w:sz w:val="24"/>
          <w:szCs w:val="24"/>
        </w:rPr>
        <w:fldChar w:fldCharType="separate"/>
      </w:r>
      <w:r w:rsidR="00553306" w:rsidRPr="00566230">
        <w:rPr>
          <w:rFonts w:ascii="Times New Roman" w:hAnsi="Times New Roman" w:cs="Times New Roman"/>
          <w:noProof/>
          <w:sz w:val="24"/>
          <w:szCs w:val="24"/>
          <w:vertAlign w:val="superscript"/>
        </w:rPr>
        <w:t>28,29</w:t>
      </w:r>
      <w:r w:rsidR="00553306" w:rsidRPr="00566230">
        <w:rPr>
          <w:rFonts w:ascii="Times New Roman" w:hAnsi="Times New Roman" w:cs="Times New Roman"/>
          <w:sz w:val="24"/>
          <w:szCs w:val="24"/>
        </w:rPr>
        <w:fldChar w:fldCharType="end"/>
      </w:r>
      <w:r w:rsidR="00AA7DDA" w:rsidRPr="00566230">
        <w:rPr>
          <w:rFonts w:ascii="Times New Roman" w:hAnsi="Times New Roman" w:cs="Times New Roman"/>
          <w:sz w:val="24"/>
          <w:szCs w:val="24"/>
        </w:rPr>
        <w:t xml:space="preserve">. </w:t>
      </w:r>
      <w:bookmarkEnd w:id="1"/>
    </w:p>
    <w:p w14:paraId="70B0EDA7" w14:textId="77777777" w:rsidR="006D56D5" w:rsidRPr="00566230" w:rsidRDefault="006D56D5" w:rsidP="006D56D5">
      <w:pPr>
        <w:spacing w:line="480" w:lineRule="auto"/>
        <w:rPr>
          <w:rFonts w:ascii="Times New Roman" w:hAnsi="Times New Roman" w:cs="Times New Roman"/>
          <w:i/>
          <w:sz w:val="24"/>
          <w:szCs w:val="24"/>
        </w:rPr>
      </w:pPr>
      <w:r w:rsidRPr="00566230">
        <w:rPr>
          <w:rFonts w:ascii="Times New Roman" w:hAnsi="Times New Roman" w:cs="Times New Roman"/>
          <w:i/>
          <w:sz w:val="24"/>
          <w:szCs w:val="24"/>
        </w:rPr>
        <w:t>Limitations</w:t>
      </w:r>
    </w:p>
    <w:p w14:paraId="07A35856" w14:textId="68831F59" w:rsidR="00060D67" w:rsidRPr="00566230" w:rsidRDefault="006D56D5" w:rsidP="00FA1561">
      <w:pPr>
        <w:spacing w:line="480" w:lineRule="auto"/>
        <w:jc w:val="both"/>
        <w:rPr>
          <w:sz w:val="24"/>
          <w:szCs w:val="24"/>
        </w:rPr>
      </w:pPr>
      <w:r w:rsidRPr="00566230">
        <w:rPr>
          <w:rFonts w:ascii="Times New Roman" w:hAnsi="Times New Roman" w:cs="Times New Roman"/>
          <w:sz w:val="24"/>
          <w:szCs w:val="24"/>
        </w:rPr>
        <w:t xml:space="preserve">This study is limited by the </w:t>
      </w:r>
      <w:proofErr w:type="gramStart"/>
      <w:r w:rsidRPr="00566230">
        <w:rPr>
          <w:rFonts w:ascii="Times New Roman" w:hAnsi="Times New Roman" w:cs="Times New Roman"/>
          <w:sz w:val="24"/>
          <w:szCs w:val="24"/>
        </w:rPr>
        <w:t>relative</w:t>
      </w:r>
      <w:proofErr w:type="gramEnd"/>
      <w:r w:rsidRPr="00566230">
        <w:rPr>
          <w:rFonts w:ascii="Times New Roman" w:hAnsi="Times New Roman" w:cs="Times New Roman"/>
          <w:sz w:val="24"/>
          <w:szCs w:val="24"/>
        </w:rPr>
        <w:t xml:space="preserve"> small numbers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patients and findings are therefore prone to a type one error on statistical analysis. However, findings from other studies support our observation that a significant number of high risk individuals do not have prior syncope or the presence of a spontaneous type I pattern</w:t>
      </w:r>
      <w:r w:rsidR="003B365B" w:rsidRPr="00566230">
        <w:rPr>
          <w:rFonts w:ascii="Times New Roman" w:hAnsi="Times New Roman" w:cs="Times New Roman"/>
          <w:sz w:val="24"/>
          <w:szCs w:val="24"/>
        </w:rPr>
        <w:fldChar w:fldCharType="begin" w:fldLock="1"/>
      </w:r>
      <w:r w:rsidR="00E27CC5" w:rsidRPr="00566230">
        <w:rPr>
          <w:rFonts w:ascii="Times New Roman" w:hAnsi="Times New Roman" w:cs="Times New Roman"/>
          <w:sz w:val="24"/>
          <w:szCs w:val="24"/>
        </w:rPr>
        <w:instrText>ADDIN CSL_CITATION { "citationItems" : [ { "id" : "ITEM-1", "itemData" : { "DOI" : "10.1016/j.jacc.2010.11.067", "ISSN" : "1558-3597", "PMID" : "21636035", "abstract" : "OBJECTIVES: The objective of this study was to determine the prevalence of conventional risk factors in sudden arrhythmic death syndrome (SADS) probands with Brugada syndrome (BrS). BACKGROUND: Patients with BrS and previous aborted sudden cardiac death (SCD) are at high risk of recurrent events. Other universally accepted clinical features associated with higher risk include unheralded syncope and the presence of a spontaneous type 1 electrocardiogram (ECG). METHODS: We analyzed reported symptoms and reviewed ECGs from SADS probands with familial diagnoses of BrS, established by cardiological evaluation, including ECG, 2-dimensional echocardiography, Holter monitoring, exercise tolerance testing, and ajmaline provocation. These cases underwent familial evaluation between 2003 and 2010. RESULTS: A total of 49 consecutive families with a confirmed SADS death and a diagnosis of BrS were evaluated, comprising assessment of 202 family members in total. One family had 2 members with SADS, resulting in a total of 50 probands included. Mean age of death of probands was 29.1 \u00b1 10.6 years, with 41 males (82%) (p &lt; 0.05). Antemortem ECGs were available for 5 SADS probands, 1 of which demonstrated a spontaneous type 1 pattern. In 45 probands, symptoms before death were reported reliably by family members. Of these, 9 (20%) had experienced at least 1 syncopal episode before the fatal event. Importantly, 68% of probands would not have fulfilled any current criteria for consideration of implantable cardioverter-defibrillator. CONCLUSIONS: The \"low-risk\" asymptomatic BrS group comprises the majority of SCD in this cohort. Current risk stratification would appear to be inadequate, and new markers of risk are vital.", "author" : [ { "dropping-particle" : "", "family" : "Raju", "given" : "Hariharan", "non-dropping-particle" : "", "parse-names" : false, "suffix" : "" }, { "dropping-particle" : "", "family" : "Papadakis", "given" : "Michael", "non-dropping-particle" : "", "parse-names" : false, "suffix" : "" }, { "dropping-particle" : "", "family" : "Govindan", "given" : "Malini", "non-dropping-particle" : "", "parse-names" : false, "suffix" : "" }, { "dropping-particle" : "", "family" : "Bastiaenen", "given" : "Rachel", "non-dropping-particle" : "", "parse-names" : false, "suffix" : "" }, { "dropping-particle" : "", "family" : "Chandra", "given" : "Navin", "non-dropping-particle" : "", "parse-names" : false, "suffix" : "" }, { "dropping-particle" : "", "family" : "O'Sullivan", "given" : "Ann", "non-dropping-particle" : "", "parse-names" : false, "suffix" : "" }, { "dropping-particle" : "", "family" : "Baines", "given" : "Georgina", "non-dropping-particle" : "", "parse-names" : false, "suffix" : "" }, { "dropping-particle" : "", "family" : "Sharma", "given" : "Sanjay", "non-dropping-particle" : "", "parse-names" : false, "suffix" : "" }, { "dropping-particle" : "", "family" : "Behr", "given" : "Elijah R", "non-dropping-particle" : "", "parse-names" : false, "suffix" : "" } ], "container-title" : "Journal of the American College of Cardiology", "id" : "ITEM-1", "issued" : { "date-parts" : [ [ "2011", "6", "7" ] ] }, "page" : "2340-2345", "publisher" : "Elsevier Inc.", "title" : "Low prevalence of risk markers in cases of sudden death due to Brugada syndrome relevance to risk stratification in Brugada syndrome.", "type" : "article-journal", "volume" : "57" }, "uris" : [ "http://www.mendeley.com/documents/?uuid=e4a7d4be-1c44-490c-aa82-8ed84ee31542" ] }, { "id" : "ITEM-2", "itemData" : { "DOI" : "10.1161/CIRCULATIONAHA.109.887026", "ISBN" : "1524-4539 (Electronic)\\r0009-7322 (Linking)", "ISSN" : "00097322", "PMID" : "20100972", "abstract" : "BACKGROUND: Brugada syndrome is characterized by ST-segment elevation in the right precordial leads and an increased risk of sudden cardiac death (SCD). Fundamental questions remain on the best strategy for assessing the real disease-associated arrhythmic risk, especially in asymptomatic patients. The aim of the present study was to evaluate the prognosis and risk factors of SCD in Brugada syndrome patients in the FINGER (France, Italy, Netherlands, Germany) Brugada syndrome registry. METHODS AND RESULTS: Patients were recruited in 11 tertiary centers in 4 European countries. Inclusion criteria consisted of a type 1 ECG present either at baseline or after drug challenge, after exclusion of diseases that mimic Brugada syndrome. The registry included 1029 consecutive individuals (745 men; 72%) with a median age of 45 (35 to 55) years. Diagnosis was based on (1) aborted SCD (6%); (2) syncope, otherwise unexplained (30%); and (3) asymptomatic patients (64%). During a median follow-up of 31.9 (14 to 54.4) months, 51 cardiac events (5%) occurred (44 patients experienced appropriate implantable cardioverter-defibrillator shocks, and 7 died suddenly). The cardiac event rate per year was 7.7% in patients with aborted SCD, 1.9% in patients with syncope, and 0.5% in asymptomatic patients. Symptoms and spontaneous type 1 ECG were predictors of arrhythmic events, whereas gender, familial history of SCD, inducibility of ventricular tachyarrhythmias during electrophysiological study, and the presence of an SCN5A mutation were not predictive of arrhythmic events. CONCLUSIONS: In the largest series of Brugada syndrome patients thus far, event rates in asymptomatic patients were low. Inducibility of ventricular tachyarrhythmia and family history of SCD were not predictors of cardiac events.", "author" : [ { "dropping-particle" : "", "family" : "Probst", "given" : "V.", "non-dropping-particle" : "", "parse-names" : false, "suffix" : "" }, { "dropping-particle" : "", "family" : "Veltmann", "given" : "C.", "non-dropping-particle" : "", "parse-names" : false, "suffix" : "" }, { "dropping-particle" : "", "family" : "Eckardt", "given" : "L.", "non-dropping-particle" : "", "parse-names" : false, "suffix" : "" }, { "dropping-particle" : "", "family" : "Meregalli", "given" : "P. G.", "non-dropping-particle" : "", "parse-names" : false, "suffix" : "" }, { "dropping-particle" : "", "family" : "Gaita", "given" : "F.", "non-dropping-particle" : "", "parse-names" : false, "suffix" : "" }, { "dropping-particle" : "", "family" : "Tan", "given" : "H. L.", "non-dropping-particle" : "", "parse-names" : false, "suffix" : "" }, { "dropping-particle" : "", "family" : "Babuty", "given" : "D.", "non-dropping-particle" : "", "parse-names" : false, "suffix" : "" }, { "dropping-particle" : "", "family" : "Sacher", "given" : "F.", "non-dropping-particle" : "", "parse-names" : false, "suffix" : "" }, { "dropping-particle" : "", "family" : "Giustetto", "given" : "C.", "non-dropping-particle" : "", "parse-names" : false, "suffix" : "" }, { "dropping-particle" : "", "family" : "Schulze-Bahr", "given" : "E.", "non-dropping-particle" : "", "parse-names" : false, "suffix" : "" }, { "dropping-particle" : "", "family" : "Borggrefe", "given" : "M.", "non-dropping-particle" : "", "parse-names" : false, "suffix" : "" }, { "dropping-particle" : "", "family" : "Haissaguerre", "given" : "M.", "non-dropping-particle" : "", "parse-names" : false, "suffix" : "" }, { "dropping-particle" : "", "family" : "Mabo", "given" : "P.", "non-dropping-particle" : "", "parse-names" : false, "suffix" : "" }, { "dropping-particle" : "", "family" : "Marec", "given" : "H.", "non-dropping-particle" : "Le", "parse-names" : false, "suffix" : "" }, { "dropping-particle" : "", "family" : "Wolpert", "given" : "C.", "non-dropping-particle" : "", "parse-names" : false, "suffix" : "" }, { "dropping-particle" : "", "family" : "Wilde", "given" : "A. A.M.", "non-dropping-particle" : "", "parse-names" : false, "suffix" : "" } ], "container-title" : "Circulation", "id" : "ITEM-2", "issue" : "5", "issued" : { "date-parts" : [ [ "2010", "3", "9" ] ] }, "page" : "635-643", "title" : "Long-term prognosis of patients diagnosed with brugada syndrome: Results from the finger brugada syndrome registry", "type" : "article-journal", "volume" : "121" }, "uris" : [ "http://www.mendeley.com/documents/?uuid=f24d3b2b-a260-4d91-9c57-c3b2dedf7349" ] } ], "mendeley" : { "formattedCitation" : "&lt;sup&gt;2,8&lt;/sup&gt;", "plainTextFormattedCitation" : "2,8", "previouslyFormattedCitation" : "&lt;sup&gt;2,8&lt;/sup&gt;" }, "properties" : {  }, "schema" : "https://github.com/citation-style-language/schema/raw/master/csl-citation.json" }</w:instrText>
      </w:r>
      <w:r w:rsidR="003B365B" w:rsidRPr="00566230">
        <w:rPr>
          <w:rFonts w:ascii="Times New Roman" w:hAnsi="Times New Roman" w:cs="Times New Roman"/>
          <w:sz w:val="24"/>
          <w:szCs w:val="24"/>
        </w:rPr>
        <w:fldChar w:fldCharType="separate"/>
      </w:r>
      <w:r w:rsidR="00E27CC5" w:rsidRPr="00566230">
        <w:rPr>
          <w:rFonts w:ascii="Times New Roman" w:hAnsi="Times New Roman" w:cs="Times New Roman"/>
          <w:noProof/>
          <w:sz w:val="24"/>
          <w:szCs w:val="24"/>
          <w:vertAlign w:val="superscript"/>
        </w:rPr>
        <w:t>2,8</w:t>
      </w:r>
      <w:r w:rsidR="003B365B" w:rsidRPr="00566230">
        <w:rPr>
          <w:rFonts w:ascii="Times New Roman" w:hAnsi="Times New Roman" w:cs="Times New Roman"/>
          <w:sz w:val="24"/>
          <w:szCs w:val="24"/>
        </w:rPr>
        <w:fldChar w:fldCharType="end"/>
      </w:r>
      <w:r w:rsidRPr="00566230">
        <w:rPr>
          <w:rFonts w:ascii="Times New Roman" w:hAnsi="Times New Roman" w:cs="Times New Roman"/>
          <w:sz w:val="24"/>
          <w:szCs w:val="24"/>
        </w:rPr>
        <w:t xml:space="preserve">. This is an important consideration given the current criteria used in risk stratification. </w:t>
      </w:r>
      <w:bookmarkStart w:id="2" w:name="_Hlk524336961"/>
      <w:r w:rsidR="00AA7DDA" w:rsidRPr="00566230">
        <w:rPr>
          <w:rFonts w:ascii="Times New Roman" w:hAnsi="Times New Roman" w:cs="Times New Roman"/>
          <w:sz w:val="24"/>
          <w:szCs w:val="24"/>
        </w:rPr>
        <w:t xml:space="preserve">In the diagnosis of </w:t>
      </w:r>
      <w:proofErr w:type="spellStart"/>
      <w:r w:rsidR="00AA7DDA" w:rsidRPr="00566230">
        <w:rPr>
          <w:rFonts w:ascii="Times New Roman" w:hAnsi="Times New Roman" w:cs="Times New Roman"/>
          <w:sz w:val="24"/>
          <w:szCs w:val="24"/>
        </w:rPr>
        <w:t>BrS</w:t>
      </w:r>
      <w:proofErr w:type="spellEnd"/>
      <w:r w:rsidR="00AA7DDA" w:rsidRPr="00566230">
        <w:rPr>
          <w:rFonts w:ascii="Times New Roman" w:hAnsi="Times New Roman" w:cs="Times New Roman"/>
          <w:sz w:val="24"/>
          <w:szCs w:val="24"/>
        </w:rPr>
        <w:t>, we acknowledge that an ajmaline challenge carries a small false positive rate (1-8%)</w:t>
      </w:r>
      <w:r w:rsidR="00AA7DDA" w:rsidRPr="00566230">
        <w:rPr>
          <w:rFonts w:ascii="Times New Roman" w:hAnsi="Times New Roman" w:cs="Times New Roman"/>
          <w:sz w:val="24"/>
          <w:szCs w:val="24"/>
        </w:rPr>
        <w:fldChar w:fldCharType="begin" w:fldLock="1"/>
      </w:r>
      <w:r w:rsidR="00553306" w:rsidRPr="00566230">
        <w:rPr>
          <w:rFonts w:ascii="Times New Roman" w:hAnsi="Times New Roman" w:cs="Times New Roman"/>
          <w:sz w:val="24"/>
          <w:szCs w:val="24"/>
        </w:rPr>
        <w:instrText>ADDIN CSL_CITATION { "citationItems" : [ { "id" : "ITEM-1", "itemData" : { "DOI" : "10.1136/heart.84.1.31", "ISSN" : "1355-6037", "abstract" : "OBJECTIVE\u2014To determine the prevalence of the Brugada sign (right bundle branch block with ST elevation in V1-V3) in idiopathic ventricular fibrillation and in an age matched healthy population.\u2028DESIGN\u2014ECGs from 39\u00a0consecutive patients with idiopathic ventricular fibrillation and 592\u00a0healthy controls were reviewed. They were classified as definite, questionable, and no Brugada sign (according to predetermined criteria) by four investigators blinded to the subjects' status.\u2028RESULTS\u2014Eight patients (21%) with idiopathic ventricular fibrillation but none of the 592\u00a0controls had a definite Brugada sign (p &lt;\u00a00.005). Thus the estimated 95% confidence limits for the prevalence of a definite Brugada sign among healthy controls was less than 0.5%. A questionable Brugada sign was seen in two patients with idiopathic ventricular fibrillation (5%) but also in five controls (1%) (p\u00a0&lt;\u00a00.05). Normal ECGs were found following resuscitation and during long term follow up in 31\u00a0patients with idiopathic ventricular fibrillation (79%). Patients with idiopathic ventricular fibrillation and a normal ECG and those with the Brugada syndrome were of similar age and had similar spontaneous and inducible arrhythmias. However, the two groups differed in terms of sex, family history, and the incidence of sleep related ventricular fibrillation.\u2028CONCLUSIONS\u2014A definite Brugada sign is a specific marker of arrhythmic risk. However, less than obvious ECG abnormalities have little diagnostic value, as a \"questionable\" Brugada sign was observed in 1% of healthy controls. In this series of consecutive patients with idiopathic ventricular fibrillation, most had normal ECGs.\u2028\u2028\u2028Keywords: sudden death; cardiac arrest; ventricular fibrillation; Brugada syndrome   ", "author" : [ { "dropping-particle" : "", "family" : "Viskin", "given" : "S", "non-dropping-particle" : "", "parse-names" : false, "suffix" : "" }, { "dropping-particle" : "", "family" : "Fish", "given" : "R", "non-dropping-particle" : "", "parse-names" : false, "suffix" : "" }, { "dropping-particle" : "", "family" : "Eldar", "given" : "M", "non-dropping-particle" : "", "parse-names" : false, "suffix" : "" }, { "dropping-particle" : "", "family" : "Zeltser", "given" : "D", "non-dropping-particle" : "", "parse-names" : false, "suffix" : "" }, { "dropping-particle" : "", "family" : "Lesh", "given" : "M", "non-dropping-particle" : "", "parse-names" : false, "suffix" : "" }, { "dropping-particle" : "", "family" : "Glick", "given" : "A", "non-dropping-particle" : "", "parse-names" : false, "suffix" : "" }, { "dropping-particle" : "", "family" : "Belhassen", "given" : "B", "non-dropping-particle" : "", "parse-names" : false, "suffix" : "" } ], "container-title" : "Heart", "id" : "ITEM-1", "issue" : "1", "issued" : { "date-parts" : [ [ "2000", "7" ] ] }, "page" : "31-36", "title" : "Prevalence of the Brugada sign in idiopathic ventricular fibrillation and healthy controls", "type" : "article-journal", "volume" : "84" }, "uris" : [ "http://www.mendeley.com/documents/?uuid=05633305-5b3b-4889-b5ed-d042ac666431" ] } ], "mendeley" : { "formattedCitation" : "&lt;sup&gt;30&lt;/sup&gt;", "plainTextFormattedCitation" : "30", "previouslyFormattedCitation" : "&lt;sup&gt;30&lt;/sup&gt;" }, "properties" : {  }, "schema" : "https://github.com/citation-style-language/schema/raw/master/csl-citation.json" }</w:instrText>
      </w:r>
      <w:r w:rsidR="00AA7DDA" w:rsidRPr="00566230">
        <w:rPr>
          <w:rFonts w:ascii="Times New Roman" w:hAnsi="Times New Roman" w:cs="Times New Roman"/>
          <w:sz w:val="24"/>
          <w:szCs w:val="24"/>
        </w:rPr>
        <w:fldChar w:fldCharType="separate"/>
      </w:r>
      <w:r w:rsidR="00553306" w:rsidRPr="00566230">
        <w:rPr>
          <w:rFonts w:ascii="Times New Roman" w:hAnsi="Times New Roman" w:cs="Times New Roman"/>
          <w:noProof/>
          <w:sz w:val="24"/>
          <w:szCs w:val="24"/>
          <w:vertAlign w:val="superscript"/>
        </w:rPr>
        <w:t>30</w:t>
      </w:r>
      <w:r w:rsidR="00AA7DDA" w:rsidRPr="00566230">
        <w:rPr>
          <w:rFonts w:ascii="Times New Roman" w:hAnsi="Times New Roman" w:cs="Times New Roman"/>
          <w:sz w:val="24"/>
          <w:szCs w:val="24"/>
        </w:rPr>
        <w:fldChar w:fldCharType="end"/>
      </w:r>
      <w:r w:rsidR="00AA7DDA" w:rsidRPr="00566230">
        <w:rPr>
          <w:rFonts w:ascii="Times New Roman" w:hAnsi="Times New Roman" w:cs="Times New Roman"/>
          <w:sz w:val="24"/>
          <w:szCs w:val="24"/>
          <w:vertAlign w:val="superscript"/>
        </w:rPr>
        <w:t>,</w:t>
      </w:r>
      <w:r w:rsidR="00AA7DDA" w:rsidRPr="00566230">
        <w:rPr>
          <w:rFonts w:ascii="Times New Roman" w:hAnsi="Times New Roman" w:cs="Times New Roman"/>
          <w:sz w:val="24"/>
          <w:szCs w:val="24"/>
          <w:vertAlign w:val="superscript"/>
        </w:rPr>
        <w:fldChar w:fldCharType="begin" w:fldLock="1"/>
      </w:r>
      <w:r w:rsidR="00553306" w:rsidRPr="00566230">
        <w:rPr>
          <w:rFonts w:ascii="Times New Roman" w:hAnsi="Times New Roman" w:cs="Times New Roman"/>
          <w:sz w:val="24"/>
          <w:szCs w:val="24"/>
          <w:vertAlign w:val="superscript"/>
        </w:rPr>
        <w:instrText>ADDIN CSL_CITATION { "citationItems" : [ { "id" : "ITEM-1", "itemData" : { "DOI" : "10.1016/j.jacep.2017.04.005", "ISSN" : "2405500X", "abstract" : "Objectives This study evaluated the yield of ajmaline testing and assessed the occurrence of confounding responses in a large cohort of families with unexplained cardiac arrest (UCA) or sudden unexplained death (SUD). Background Ajmaline testing to diagnose Brugada syndrome (BrS) is routinely used in the evaluation of SUD and UCA, but its yield, limitations, and appropriate dosing have not been studied in a large cohort. Methods We assessed ajmaline test response and genetic testing results in 637 individuals from 482 families who underwent ajmaline testing for SUD or UCA. Results Overall, 89 individuals (14%) from 88 families (18%) had a positive ajmaline test result. SCN5A mutations were identified in 9 of 86 ajmaline-positive cases (10%). SCN5A mutation carriers had positive test results at significantly lower ajmaline doses than noncarriers (0.75 [range: 0.64 to 0.98] mg/kg vs. 1.03 [range: 0.95 to 1.14] mg/kg, respectively; p &lt; 0.01). In 7 of 88 families (8%), it was concluded that the positive ajmaline response was a confounder, either in the presence of an alternative genetic diagnosis accounting for UCA/SUD (5 cases) or noncosegregation of positive ajmaline response and arrhythmia (2 cases). The rate of confounding responses was significantly higher in positive ajmaline responses obtained at &gt;1 mg/kg than in those obtained at \u22641 mg/kg (7 of 48 vs. 0 of 41 individuals; Fisher's exact test: p = 0.014). Conclusions In line with previous, smaller studies, a positive ajmaline response was observed in a large proportion of UCA/SUD families. Importantly, our data emphasize the potential for confounding possibly false-positive ajmaline responses in this population, particularly at high doses, which could possibly lead to a misdiagnosis. Clinicians should consider all alternative causes in UCA/SUD and avoid ajmaline doses &gt;1 mg/kg.", "author" : [ { "dropping-particle" : "", "family" : "Tadros", "given" : "Rafik", "non-dropping-particle" : "", "parse-names" : false, "suffix" : "" }, { "dropping-particle" : "", "family" : "Nannenberg", "given" : "Eline A.", "non-dropping-particle" : "", "parse-names" : false, "suffix" : "" }, { "dropping-particle" : "V.", "family" : "Lieve", "given" : "Krystien", "non-dropping-particle" : "", "parse-names" : false, "suffix" : "" }, { "dropping-particle" : "", "family" : "\u0160kori\u0107-Milosavljevi\u0107", "given" : "Doris", "non-dropping-particle" : "", "parse-names" : false, "suffix" : "" }, { "dropping-particle" : "", "family" : "Lahrouchi", "given" : "Najim", "non-dropping-particle" : "", "parse-names" : false, "suffix" : "" }, { "dropping-particle" : "", "family" : "Lekanne Deprez", "given" : "Ronald H.", "non-dropping-particle" : "", "parse-names" : false, "suffix" : "" }, { "dropping-particle" : "", "family" : "Vendrik", "given" : "Jeroen", "non-dropping-particle" : "", "parse-names" : false, "suffix" : "" }, { "dropping-particle" : "", "family" : "Reckman", "given" : "Yolan J.", "non-dropping-particle" : "", "parse-names" : false, "suffix" : "" }, { "dropping-particle" : "", "family" : "Postema", "given" : "Pieter G.", "non-dropping-particle" : "", "parse-names" : false, "suffix" : "" }, { "dropping-particle" : "", "family" : "Amin", "given" : "Ahmad S.", "non-dropping-particle" : "", "parse-names" : false, "suffix" : "" }, { "dropping-particle" : "", "family" : "Bezzina", "given" : "Connie R.", "non-dropping-particle" : "", "parse-names" : false, "suffix" : "" }, { "dropping-particle" : "", "family" : "Wilde", "given" : "Arthur A.M.", "non-dropping-particle" : "", "parse-names" : false, "suffix" : "" }, { "dropping-particle" : "", "family" : "Tan", "given" : "Hanno L.", "non-dropping-particle" : "", "parse-names" : false, "suffix" : "" } ], "container-title" : "JACC: Clinical Electrophysiology", "id" : "ITEM-1", "issue" : "12", "issued" : { "date-parts" : [ [ "2017" ] ] }, "page" : "1400-1408", "title" : "Yield and Pitfalls of Ajmaline Testing in the Evaluation of Unexplained Cardiac Arrest and Sudden Unexplained Death: Single-Center Experience With 482 Families", "type" : "article-journal", "volume" : "3" }, "uris" : [ "http://www.mendeley.com/documents/?uuid=b68dd083-75c9-40ff-b47e-e4fafde1ded8" ] } ], "mendeley" : { "formattedCitation" : "&lt;sup&gt;31&lt;/sup&gt;", "plainTextFormattedCitation" : "31", "previouslyFormattedCitation" : "&lt;sup&gt;31&lt;/sup&gt;" }, "properties" : {  }, "schema" : "https://github.com/citation-style-language/schema/raw/master/csl-citation.json" }</w:instrText>
      </w:r>
      <w:r w:rsidR="00AA7DDA" w:rsidRPr="00566230">
        <w:rPr>
          <w:rFonts w:ascii="Times New Roman" w:hAnsi="Times New Roman" w:cs="Times New Roman"/>
          <w:sz w:val="24"/>
          <w:szCs w:val="24"/>
          <w:vertAlign w:val="superscript"/>
        </w:rPr>
        <w:fldChar w:fldCharType="separate"/>
      </w:r>
      <w:r w:rsidR="00553306" w:rsidRPr="00566230">
        <w:rPr>
          <w:rFonts w:ascii="Times New Roman" w:hAnsi="Times New Roman" w:cs="Times New Roman"/>
          <w:noProof/>
          <w:sz w:val="24"/>
          <w:szCs w:val="24"/>
          <w:vertAlign w:val="superscript"/>
        </w:rPr>
        <w:t>31</w:t>
      </w:r>
      <w:r w:rsidR="00AA7DDA" w:rsidRPr="00566230">
        <w:rPr>
          <w:rFonts w:ascii="Times New Roman" w:hAnsi="Times New Roman" w:cs="Times New Roman"/>
          <w:sz w:val="24"/>
          <w:szCs w:val="24"/>
          <w:vertAlign w:val="superscript"/>
        </w:rPr>
        <w:fldChar w:fldCharType="end"/>
      </w:r>
      <w:r w:rsidR="00AA7DDA" w:rsidRPr="00566230">
        <w:rPr>
          <w:rFonts w:ascii="Times New Roman" w:hAnsi="Times New Roman" w:cs="Times New Roman"/>
          <w:sz w:val="24"/>
          <w:szCs w:val="24"/>
        </w:rPr>
        <w:t xml:space="preserve">. This however is small and should not significantly alter the main findings. In addition, we also employed the Shanghai risk scoring system to support the diagnosis of </w:t>
      </w:r>
      <w:proofErr w:type="spellStart"/>
      <w:r w:rsidR="00AA7DDA" w:rsidRPr="00566230">
        <w:rPr>
          <w:rFonts w:ascii="Times New Roman" w:hAnsi="Times New Roman" w:cs="Times New Roman"/>
          <w:sz w:val="24"/>
          <w:szCs w:val="24"/>
        </w:rPr>
        <w:t>BrS</w:t>
      </w:r>
      <w:proofErr w:type="spellEnd"/>
      <w:r w:rsidR="00AA7DDA" w:rsidRPr="00566230">
        <w:rPr>
          <w:rFonts w:ascii="Times New Roman" w:hAnsi="Times New Roman" w:cs="Times New Roman"/>
          <w:sz w:val="24"/>
          <w:szCs w:val="24"/>
        </w:rPr>
        <w:t xml:space="preserve"> in this cohort of patients. </w:t>
      </w:r>
      <w:bookmarkEnd w:id="2"/>
      <w:r w:rsidRPr="00566230">
        <w:rPr>
          <w:rFonts w:ascii="Times New Roman" w:hAnsi="Times New Roman" w:cs="Times New Roman"/>
          <w:sz w:val="24"/>
          <w:szCs w:val="24"/>
        </w:rPr>
        <w:t xml:space="preserve">Another issue relates to the dynamic nature of the Type I pattern. It is plausible that there may have been periods in between ECG recordings on follow up where the pattern is manifest. Whilst previous studies have linked the presence of a fixed spontaneous Type I pattern with </w:t>
      </w:r>
      <w:r w:rsidR="00A2027C" w:rsidRPr="00566230">
        <w:rPr>
          <w:rFonts w:ascii="Times New Roman" w:hAnsi="Times New Roman" w:cs="Times New Roman"/>
          <w:sz w:val="24"/>
          <w:szCs w:val="24"/>
        </w:rPr>
        <w:t>SCA</w:t>
      </w:r>
      <w:r w:rsidR="003B365B" w:rsidRPr="00566230">
        <w:rPr>
          <w:rFonts w:ascii="Times New Roman" w:hAnsi="Times New Roman" w:cs="Times New Roman"/>
          <w:sz w:val="24"/>
          <w:szCs w:val="24"/>
        </w:rPr>
        <w:t xml:space="preserve"> </w:t>
      </w:r>
      <w:r w:rsidR="003B365B" w:rsidRPr="00566230">
        <w:rPr>
          <w:rFonts w:ascii="Times New Roman" w:hAnsi="Times New Roman" w:cs="Times New Roman"/>
          <w:sz w:val="24"/>
          <w:szCs w:val="24"/>
          <w:vertAlign w:val="superscript"/>
        </w:rPr>
        <w:t>1-3</w:t>
      </w:r>
      <w:r w:rsidR="003B365B" w:rsidRPr="00566230">
        <w:rPr>
          <w:rFonts w:ascii="Times New Roman" w:hAnsi="Times New Roman" w:cs="Times New Roman"/>
          <w:sz w:val="24"/>
          <w:szCs w:val="24"/>
          <w:vertAlign w:val="subscript"/>
        </w:rPr>
        <w:t>,</w:t>
      </w:r>
      <w:r w:rsidRPr="00566230">
        <w:rPr>
          <w:rFonts w:ascii="Times New Roman" w:hAnsi="Times New Roman" w:cs="Times New Roman"/>
          <w:sz w:val="24"/>
          <w:szCs w:val="24"/>
        </w:rPr>
        <w:t xml:space="preserve"> it is unclear if those with a dynamic Type I pattern carry a similar level of risk. </w:t>
      </w:r>
      <w:r w:rsidR="00CB72D1" w:rsidRPr="00566230">
        <w:rPr>
          <w:rFonts w:ascii="Times New Roman" w:hAnsi="Times New Roman" w:cs="Times New Roman"/>
          <w:sz w:val="24"/>
          <w:szCs w:val="24"/>
        </w:rPr>
        <w:t xml:space="preserve">However, </w:t>
      </w:r>
      <w:r w:rsidR="003D43BB" w:rsidRPr="00566230">
        <w:rPr>
          <w:rFonts w:ascii="Times New Roman" w:hAnsi="Times New Roman" w:cs="Times New Roman"/>
          <w:sz w:val="24"/>
          <w:szCs w:val="24"/>
        </w:rPr>
        <w:t>only one</w:t>
      </w:r>
      <w:r w:rsidR="00CB72D1" w:rsidRPr="00566230">
        <w:rPr>
          <w:rFonts w:ascii="Times New Roman" w:hAnsi="Times New Roman" w:cs="Times New Roman"/>
          <w:sz w:val="24"/>
          <w:szCs w:val="24"/>
        </w:rPr>
        <w:t xml:space="preserve"> of </w:t>
      </w:r>
      <w:r w:rsidR="00341284" w:rsidRPr="00566230">
        <w:rPr>
          <w:rFonts w:ascii="Times New Roman" w:hAnsi="Times New Roman" w:cs="Times New Roman"/>
          <w:sz w:val="24"/>
          <w:szCs w:val="24"/>
        </w:rPr>
        <w:t>our</w:t>
      </w:r>
      <w:r w:rsidR="00CB72D1" w:rsidRPr="00566230">
        <w:rPr>
          <w:rFonts w:ascii="Times New Roman" w:hAnsi="Times New Roman" w:cs="Times New Roman"/>
          <w:sz w:val="24"/>
          <w:szCs w:val="24"/>
        </w:rPr>
        <w:t xml:space="preserve"> </w:t>
      </w:r>
      <w:r w:rsidR="00A2027C" w:rsidRPr="00566230">
        <w:rPr>
          <w:rFonts w:ascii="Times New Roman" w:hAnsi="Times New Roman" w:cs="Times New Roman"/>
          <w:sz w:val="24"/>
          <w:szCs w:val="24"/>
        </w:rPr>
        <w:t>SCA</w:t>
      </w:r>
      <w:r w:rsidR="00341284" w:rsidRPr="00566230">
        <w:rPr>
          <w:rFonts w:ascii="Times New Roman" w:hAnsi="Times New Roman" w:cs="Times New Roman"/>
          <w:sz w:val="24"/>
          <w:szCs w:val="24"/>
        </w:rPr>
        <w:t xml:space="preserve"> </w:t>
      </w:r>
      <w:r w:rsidR="00CB72D1" w:rsidRPr="00566230">
        <w:rPr>
          <w:rFonts w:ascii="Times New Roman" w:hAnsi="Times New Roman" w:cs="Times New Roman"/>
          <w:sz w:val="24"/>
          <w:szCs w:val="24"/>
        </w:rPr>
        <w:t xml:space="preserve">patients showed evidence of </w:t>
      </w:r>
      <w:r w:rsidR="00341284" w:rsidRPr="00566230">
        <w:rPr>
          <w:rFonts w:ascii="Times New Roman" w:hAnsi="Times New Roman" w:cs="Times New Roman"/>
          <w:sz w:val="24"/>
          <w:szCs w:val="24"/>
        </w:rPr>
        <w:t xml:space="preserve">a </w:t>
      </w:r>
      <w:r w:rsidR="00CB72D1" w:rsidRPr="00566230">
        <w:rPr>
          <w:rFonts w:ascii="Times New Roman" w:hAnsi="Times New Roman" w:cs="Times New Roman"/>
          <w:sz w:val="24"/>
          <w:szCs w:val="24"/>
        </w:rPr>
        <w:t>type 1 pattern immediately after their event, or on multiple subsequent ECG</w:t>
      </w:r>
      <w:r w:rsidR="00341284" w:rsidRPr="00566230">
        <w:rPr>
          <w:rFonts w:ascii="Times New Roman" w:hAnsi="Times New Roman" w:cs="Times New Roman"/>
          <w:sz w:val="24"/>
          <w:szCs w:val="24"/>
        </w:rPr>
        <w:t>s.</w:t>
      </w:r>
      <w:r w:rsidR="00AA7DDA" w:rsidRPr="00566230">
        <w:rPr>
          <w:rFonts w:ascii="Times New Roman" w:hAnsi="Times New Roman" w:cs="Times New Roman"/>
          <w:sz w:val="24"/>
          <w:szCs w:val="24"/>
        </w:rPr>
        <w:t xml:space="preserve"> </w:t>
      </w:r>
      <w:bookmarkStart w:id="3" w:name="_Hlk524341894"/>
      <w:r w:rsidR="00CA718F" w:rsidRPr="00566230">
        <w:rPr>
          <w:rFonts w:ascii="Times New Roman" w:hAnsi="Times New Roman" w:cs="Times New Roman"/>
          <w:sz w:val="24"/>
          <w:szCs w:val="24"/>
        </w:rPr>
        <w:t xml:space="preserve">It should also be highlighted that the follow up time of ICD recipients was relatively limited, although it was comparable to the FINGER study. It is probable with longer follow up more </w:t>
      </w:r>
      <w:r w:rsidR="00A2027C" w:rsidRPr="00566230">
        <w:rPr>
          <w:rFonts w:ascii="Times New Roman" w:hAnsi="Times New Roman" w:cs="Times New Roman"/>
          <w:sz w:val="24"/>
          <w:szCs w:val="24"/>
        </w:rPr>
        <w:t>SCA</w:t>
      </w:r>
      <w:r w:rsidR="00CA718F" w:rsidRPr="00566230">
        <w:rPr>
          <w:rFonts w:ascii="Times New Roman" w:hAnsi="Times New Roman" w:cs="Times New Roman"/>
          <w:sz w:val="24"/>
          <w:szCs w:val="24"/>
        </w:rPr>
        <w:t xml:space="preserve"> equivalent events would occur altering the predictive value of these markers.</w:t>
      </w:r>
    </w:p>
    <w:bookmarkEnd w:id="3"/>
    <w:p w14:paraId="12D9BA5C" w14:textId="77777777" w:rsidR="00E775E3" w:rsidRPr="00566230" w:rsidRDefault="00E775E3" w:rsidP="00A47E84">
      <w:pPr>
        <w:spacing w:line="480" w:lineRule="auto"/>
        <w:rPr>
          <w:rFonts w:ascii="Times New Roman" w:hAnsi="Times New Roman" w:cs="Times New Roman"/>
          <w:b/>
          <w:sz w:val="24"/>
          <w:szCs w:val="24"/>
        </w:rPr>
      </w:pPr>
    </w:p>
    <w:p w14:paraId="20807E9C" w14:textId="042ECF77" w:rsidR="00A47E84" w:rsidRPr="00566230" w:rsidRDefault="00A47E84" w:rsidP="00A47E84">
      <w:pPr>
        <w:spacing w:line="480" w:lineRule="auto"/>
        <w:rPr>
          <w:rFonts w:ascii="Times New Roman" w:hAnsi="Times New Roman" w:cs="Times New Roman"/>
          <w:b/>
          <w:sz w:val="24"/>
          <w:szCs w:val="24"/>
        </w:rPr>
      </w:pPr>
      <w:r w:rsidRPr="00566230">
        <w:rPr>
          <w:rFonts w:ascii="Times New Roman" w:hAnsi="Times New Roman" w:cs="Times New Roman"/>
          <w:b/>
          <w:sz w:val="24"/>
          <w:szCs w:val="24"/>
        </w:rPr>
        <w:lastRenderedPageBreak/>
        <w:t>Conclusion</w:t>
      </w:r>
    </w:p>
    <w:p w14:paraId="7C85F651" w14:textId="1CC21DE0" w:rsidR="00A47E84" w:rsidRPr="00566230" w:rsidRDefault="00A47E84" w:rsidP="00A47E84">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A spontaneous Type I and/or syncope prior to their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 was not present in most of our </w:t>
      </w:r>
      <w:proofErr w:type="spellStart"/>
      <w:r w:rsidRPr="00566230">
        <w:rPr>
          <w:rFonts w:ascii="Times New Roman" w:hAnsi="Times New Roman" w:cs="Times New Roman"/>
          <w:sz w:val="24"/>
          <w:szCs w:val="24"/>
        </w:rPr>
        <w:t>BrS</w:t>
      </w:r>
      <w:proofErr w:type="spellEnd"/>
      <w:r w:rsidRPr="00566230">
        <w:rPr>
          <w:rFonts w:ascii="Times New Roman" w:hAnsi="Times New Roman" w:cs="Times New Roman"/>
          <w:sz w:val="24"/>
          <w:szCs w:val="24"/>
        </w:rPr>
        <w:t xml:space="preserve"> patients with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events. Conventional and newer markers of risk appear to only have limited ability to predict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highlighting the need for better risk stratification techniques.</w:t>
      </w:r>
    </w:p>
    <w:p w14:paraId="3A4784DA" w14:textId="77777777" w:rsidR="00C66215" w:rsidRPr="00566230" w:rsidRDefault="00C66215" w:rsidP="00A47E84">
      <w:pPr>
        <w:spacing w:line="480" w:lineRule="auto"/>
        <w:rPr>
          <w:sz w:val="24"/>
          <w:szCs w:val="24"/>
        </w:rPr>
      </w:pPr>
    </w:p>
    <w:p w14:paraId="7F0AB381" w14:textId="7C3B36FD" w:rsidR="003351FE" w:rsidRPr="00566230" w:rsidRDefault="003351FE" w:rsidP="003351FE">
      <w:pPr>
        <w:spacing w:line="480" w:lineRule="auto"/>
        <w:jc w:val="both"/>
        <w:rPr>
          <w:rFonts w:ascii="Times New Roman" w:hAnsi="Times New Roman" w:cs="Times New Roman"/>
          <w:sz w:val="24"/>
          <w:szCs w:val="24"/>
        </w:rPr>
      </w:pPr>
      <w:r w:rsidRPr="00566230">
        <w:rPr>
          <w:rFonts w:ascii="Times New Roman" w:hAnsi="Times New Roman" w:cs="Times New Roman"/>
          <w:b/>
          <w:sz w:val="24"/>
          <w:szCs w:val="24"/>
        </w:rPr>
        <w:t xml:space="preserve">Funding Sources: </w:t>
      </w:r>
      <w:r w:rsidR="00FA15F5" w:rsidRPr="00566230">
        <w:rPr>
          <w:rFonts w:ascii="Times New Roman" w:hAnsi="Times New Roman" w:cs="Times New Roman"/>
          <w:sz w:val="24"/>
          <w:szCs w:val="24"/>
        </w:rPr>
        <w:t>KL</w:t>
      </w:r>
      <w:r w:rsidRPr="00566230">
        <w:rPr>
          <w:rFonts w:ascii="Times New Roman" w:hAnsi="Times New Roman" w:cs="Times New Roman"/>
          <w:sz w:val="24"/>
          <w:szCs w:val="24"/>
        </w:rPr>
        <w:t xml:space="preserve"> was supported by a British Heart Foundation Grant (PG/15/20/31339)</w:t>
      </w:r>
      <w:r w:rsidR="00FA15F5" w:rsidRPr="00566230">
        <w:rPr>
          <w:rFonts w:ascii="Times New Roman" w:hAnsi="Times New Roman" w:cs="Times New Roman"/>
          <w:sz w:val="24"/>
          <w:szCs w:val="24"/>
        </w:rPr>
        <w:t xml:space="preserve">, </w:t>
      </w:r>
      <w:r w:rsidRPr="00566230">
        <w:rPr>
          <w:rFonts w:ascii="Times New Roman" w:hAnsi="Times New Roman" w:cs="Times New Roman"/>
          <w:sz w:val="24"/>
          <w:szCs w:val="24"/>
        </w:rPr>
        <w:t>The Dan Bagshaw Memorial Trust Fund</w:t>
      </w:r>
      <w:r w:rsidR="00FA15F5" w:rsidRPr="00566230">
        <w:rPr>
          <w:rFonts w:ascii="Times New Roman" w:hAnsi="Times New Roman" w:cs="Times New Roman"/>
          <w:sz w:val="24"/>
          <w:szCs w:val="24"/>
        </w:rPr>
        <w:t xml:space="preserve"> and the Coronary Flow Trust of Imperial College Healthcare NHS</w:t>
      </w:r>
      <w:r w:rsidRPr="00566230">
        <w:rPr>
          <w:rFonts w:ascii="Times New Roman" w:hAnsi="Times New Roman" w:cs="Times New Roman"/>
          <w:sz w:val="24"/>
          <w:szCs w:val="24"/>
        </w:rPr>
        <w:t xml:space="preserve">. </w:t>
      </w:r>
    </w:p>
    <w:p w14:paraId="06B98498" w14:textId="77777777" w:rsidR="0086127B" w:rsidRPr="00566230" w:rsidRDefault="0086127B" w:rsidP="003351FE">
      <w:pPr>
        <w:spacing w:line="480" w:lineRule="auto"/>
        <w:jc w:val="both"/>
        <w:rPr>
          <w:rFonts w:ascii="Times New Roman" w:hAnsi="Times New Roman" w:cs="Times New Roman"/>
          <w:sz w:val="24"/>
          <w:szCs w:val="24"/>
        </w:rPr>
      </w:pPr>
    </w:p>
    <w:p w14:paraId="2E65BE10" w14:textId="77777777" w:rsidR="0086127B" w:rsidRPr="00566230" w:rsidRDefault="0086127B" w:rsidP="0086127B">
      <w:pPr>
        <w:pStyle w:val="Heading1"/>
        <w:spacing w:line="360" w:lineRule="auto"/>
        <w:jc w:val="both"/>
        <w:rPr>
          <w:rFonts w:ascii="Times New Roman" w:hAnsi="Times New Roman" w:cs="Times New Roman"/>
          <w:b/>
          <w:color w:val="auto"/>
          <w:sz w:val="24"/>
          <w:szCs w:val="24"/>
        </w:rPr>
      </w:pPr>
      <w:r w:rsidRPr="00566230">
        <w:rPr>
          <w:rFonts w:ascii="Times New Roman" w:hAnsi="Times New Roman" w:cs="Times New Roman"/>
          <w:b/>
          <w:color w:val="auto"/>
          <w:sz w:val="24"/>
          <w:szCs w:val="24"/>
        </w:rPr>
        <w:t>Authorship contribution and acknowledgements</w:t>
      </w:r>
    </w:p>
    <w:p w14:paraId="4E36FBC6" w14:textId="64A7B483" w:rsidR="0086127B" w:rsidRPr="00566230" w:rsidRDefault="0086127B" w:rsidP="0086127B">
      <w:pPr>
        <w:spacing w:line="480" w:lineRule="auto"/>
        <w:jc w:val="both"/>
        <w:rPr>
          <w:rFonts w:ascii="Times New Roman" w:hAnsi="Times New Roman" w:cs="Times New Roman"/>
          <w:sz w:val="24"/>
          <w:szCs w:val="24"/>
        </w:rPr>
      </w:pPr>
      <w:r w:rsidRPr="00566230">
        <w:rPr>
          <w:rFonts w:ascii="Times New Roman" w:hAnsi="Times New Roman" w:cs="Times New Roman"/>
        </w:rPr>
        <w:t>The drafting of the manuscript and data analysis were performed by KL Data collection and interpretation of clinical investigations were performed by KL, JC, SJ, AV.  Recruitment of patients and critical revision of the manuscript for its content were provided by NL, ZW, MKW, NQ, PBL, DWD, NSP, FSN, AV and PK</w:t>
      </w:r>
    </w:p>
    <w:p w14:paraId="64C069BF" w14:textId="549C5EFE" w:rsidR="00C66215" w:rsidRPr="00566230" w:rsidRDefault="00C66215" w:rsidP="00A47E84">
      <w:pPr>
        <w:spacing w:line="480" w:lineRule="auto"/>
        <w:rPr>
          <w:sz w:val="24"/>
          <w:szCs w:val="24"/>
        </w:rPr>
      </w:pPr>
    </w:p>
    <w:p w14:paraId="0DF50C38" w14:textId="0CE280EF" w:rsidR="003F7CE9" w:rsidRPr="00566230" w:rsidRDefault="003F7CE9" w:rsidP="00A47E84">
      <w:pPr>
        <w:spacing w:line="480" w:lineRule="auto"/>
        <w:rPr>
          <w:sz w:val="24"/>
          <w:szCs w:val="24"/>
        </w:rPr>
      </w:pPr>
    </w:p>
    <w:p w14:paraId="68791A54" w14:textId="08F3E9A0" w:rsidR="003F7CE9" w:rsidRPr="00566230" w:rsidRDefault="003F7CE9" w:rsidP="00A47E84">
      <w:pPr>
        <w:spacing w:line="480" w:lineRule="auto"/>
        <w:rPr>
          <w:sz w:val="24"/>
          <w:szCs w:val="24"/>
        </w:rPr>
      </w:pPr>
    </w:p>
    <w:p w14:paraId="10566230" w14:textId="5D0194B7" w:rsidR="003F7CE9" w:rsidRPr="00566230" w:rsidRDefault="003F7CE9" w:rsidP="00A47E84">
      <w:pPr>
        <w:spacing w:line="480" w:lineRule="auto"/>
        <w:rPr>
          <w:sz w:val="24"/>
          <w:szCs w:val="24"/>
        </w:rPr>
      </w:pPr>
    </w:p>
    <w:p w14:paraId="20B3230C" w14:textId="77EE42F4" w:rsidR="003F7CE9" w:rsidRPr="00566230" w:rsidRDefault="003F7CE9" w:rsidP="00A47E84">
      <w:pPr>
        <w:spacing w:line="480" w:lineRule="auto"/>
        <w:rPr>
          <w:sz w:val="24"/>
          <w:szCs w:val="24"/>
        </w:rPr>
      </w:pPr>
    </w:p>
    <w:p w14:paraId="0A8B85D4" w14:textId="7F89F2CF" w:rsidR="00AC0B9B" w:rsidRPr="00566230" w:rsidRDefault="00AC0B9B" w:rsidP="00A47E84">
      <w:pPr>
        <w:spacing w:line="480" w:lineRule="auto"/>
        <w:rPr>
          <w:sz w:val="24"/>
          <w:szCs w:val="24"/>
        </w:rPr>
      </w:pPr>
    </w:p>
    <w:p w14:paraId="6A34FBD6" w14:textId="1208D3B4" w:rsidR="00AC0B9B" w:rsidRPr="00566230" w:rsidRDefault="00AC0B9B" w:rsidP="00A47E84">
      <w:pPr>
        <w:spacing w:line="480" w:lineRule="auto"/>
        <w:rPr>
          <w:sz w:val="24"/>
          <w:szCs w:val="24"/>
        </w:rPr>
      </w:pPr>
    </w:p>
    <w:p w14:paraId="7EDF6274" w14:textId="77777777" w:rsidR="00C66215" w:rsidRPr="00566230" w:rsidRDefault="003B365B" w:rsidP="000F4A95">
      <w:pPr>
        <w:spacing w:line="480" w:lineRule="auto"/>
        <w:jc w:val="both"/>
        <w:rPr>
          <w:rFonts w:ascii="Times New Roman" w:hAnsi="Times New Roman" w:cs="Times New Roman"/>
          <w:b/>
          <w:sz w:val="24"/>
          <w:szCs w:val="24"/>
        </w:rPr>
      </w:pPr>
      <w:r w:rsidRPr="00566230">
        <w:rPr>
          <w:rFonts w:ascii="Times New Roman" w:hAnsi="Times New Roman" w:cs="Times New Roman"/>
          <w:b/>
          <w:sz w:val="24"/>
          <w:szCs w:val="24"/>
        </w:rPr>
        <w:lastRenderedPageBreak/>
        <w:t>References</w:t>
      </w:r>
    </w:p>
    <w:p w14:paraId="2FDB7491" w14:textId="4F6D1901" w:rsidR="00FE2E73" w:rsidRPr="00566230" w:rsidRDefault="004B2479"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sz w:val="24"/>
          <w:szCs w:val="24"/>
        </w:rPr>
        <w:fldChar w:fldCharType="begin" w:fldLock="1"/>
      </w:r>
      <w:r w:rsidRPr="00566230">
        <w:rPr>
          <w:rFonts w:ascii="Times New Roman" w:hAnsi="Times New Roman" w:cs="Times New Roman"/>
          <w:sz w:val="24"/>
          <w:szCs w:val="24"/>
        </w:rPr>
        <w:instrText xml:space="preserve">ADDIN Mendeley Bibliography CSL_BIBLIOGRAPHY </w:instrText>
      </w:r>
      <w:r w:rsidRPr="00566230">
        <w:rPr>
          <w:rFonts w:ascii="Times New Roman" w:hAnsi="Times New Roman" w:cs="Times New Roman"/>
          <w:sz w:val="24"/>
          <w:szCs w:val="24"/>
        </w:rPr>
        <w:fldChar w:fldCharType="separate"/>
      </w:r>
      <w:r w:rsidR="00FE2E73" w:rsidRPr="00566230">
        <w:rPr>
          <w:rFonts w:ascii="Times New Roman" w:hAnsi="Times New Roman" w:cs="Times New Roman"/>
          <w:noProof/>
          <w:sz w:val="24"/>
          <w:szCs w:val="24"/>
        </w:rPr>
        <w:t xml:space="preserve">1. </w:t>
      </w:r>
      <w:r w:rsidR="00FE2E73" w:rsidRPr="00566230">
        <w:rPr>
          <w:rFonts w:ascii="Times New Roman" w:hAnsi="Times New Roman" w:cs="Times New Roman"/>
          <w:noProof/>
          <w:sz w:val="24"/>
          <w:szCs w:val="24"/>
        </w:rPr>
        <w:tab/>
        <w:t xml:space="preserve">Priori SG, Gasparini M, Napolitano C, et al. Risk stratification in brugada syndrome: Results of the PRELUDE (PRogrammed ELectrical stimUlation preDictive valuE) registry. </w:t>
      </w:r>
      <w:r w:rsidR="00FE2E73" w:rsidRPr="00566230">
        <w:rPr>
          <w:rFonts w:ascii="Times New Roman" w:hAnsi="Times New Roman" w:cs="Times New Roman"/>
          <w:i/>
          <w:iCs/>
          <w:noProof/>
          <w:sz w:val="24"/>
          <w:szCs w:val="24"/>
        </w:rPr>
        <w:t>J Am Coll Cardiol</w:t>
      </w:r>
      <w:r w:rsidR="00FE2E73" w:rsidRPr="00566230">
        <w:rPr>
          <w:rFonts w:ascii="Times New Roman" w:hAnsi="Times New Roman" w:cs="Times New Roman"/>
          <w:noProof/>
          <w:sz w:val="24"/>
          <w:szCs w:val="24"/>
        </w:rPr>
        <w:t>. 2012;59:37-45. doi:10.1016/j.jacc.2011.08.064</w:t>
      </w:r>
    </w:p>
    <w:p w14:paraId="1113B1D9"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 </w:t>
      </w:r>
      <w:r w:rsidRPr="00566230">
        <w:rPr>
          <w:rFonts w:ascii="Times New Roman" w:hAnsi="Times New Roman" w:cs="Times New Roman"/>
          <w:noProof/>
          <w:sz w:val="24"/>
          <w:szCs w:val="24"/>
        </w:rPr>
        <w:tab/>
        <w:t xml:space="preserve">Probst V, Veltmann C, Eckardt L, et al. Long-term prognosis of patients diagnosed with brugada syndrome: Results from the finger brugada syndrome registry. </w:t>
      </w:r>
      <w:r w:rsidRPr="00566230">
        <w:rPr>
          <w:rFonts w:ascii="Times New Roman" w:hAnsi="Times New Roman" w:cs="Times New Roman"/>
          <w:i/>
          <w:iCs/>
          <w:noProof/>
          <w:sz w:val="24"/>
          <w:szCs w:val="24"/>
        </w:rPr>
        <w:t>Circulation</w:t>
      </w:r>
      <w:r w:rsidRPr="00566230">
        <w:rPr>
          <w:rFonts w:ascii="Times New Roman" w:hAnsi="Times New Roman" w:cs="Times New Roman"/>
          <w:noProof/>
          <w:sz w:val="24"/>
          <w:szCs w:val="24"/>
        </w:rPr>
        <w:t>. 2010;121(5):635-643. doi:10.1161/CIRCULATIONAHA.109.887026</w:t>
      </w:r>
    </w:p>
    <w:p w14:paraId="3B9A9D23"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3. </w:t>
      </w:r>
      <w:r w:rsidRPr="00566230">
        <w:rPr>
          <w:rFonts w:ascii="Times New Roman" w:hAnsi="Times New Roman" w:cs="Times New Roman"/>
          <w:noProof/>
          <w:sz w:val="24"/>
          <w:szCs w:val="24"/>
        </w:rPr>
        <w:tab/>
        <w:t xml:space="preserve">Brugada J, Brugada R, Brugada P. Determinants of Sudden Cardiac Death in Individuals with the Electrocardiographic Pattern of Brugada Syndrome and No Previous Cardiac Arrest. </w:t>
      </w:r>
      <w:r w:rsidRPr="00566230">
        <w:rPr>
          <w:rFonts w:ascii="Times New Roman" w:hAnsi="Times New Roman" w:cs="Times New Roman"/>
          <w:i/>
          <w:iCs/>
          <w:noProof/>
          <w:sz w:val="24"/>
          <w:szCs w:val="24"/>
        </w:rPr>
        <w:t>Circulation</w:t>
      </w:r>
      <w:r w:rsidRPr="00566230">
        <w:rPr>
          <w:rFonts w:ascii="Times New Roman" w:hAnsi="Times New Roman" w:cs="Times New Roman"/>
          <w:noProof/>
          <w:sz w:val="24"/>
          <w:szCs w:val="24"/>
        </w:rPr>
        <w:t>. 2003;108(25):3092-3096. doi:10.1161/01.CIR.0000104568.13957.4F</w:t>
      </w:r>
    </w:p>
    <w:p w14:paraId="358B103F"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4. </w:t>
      </w:r>
      <w:r w:rsidRPr="00566230">
        <w:rPr>
          <w:rFonts w:ascii="Times New Roman" w:hAnsi="Times New Roman" w:cs="Times New Roman"/>
          <w:noProof/>
          <w:sz w:val="24"/>
          <w:szCs w:val="24"/>
        </w:rPr>
        <w:tab/>
        <w:t xml:space="preserve">Priori SG, Wilde AA, Horie M, et al. HRS/EHRA/APHRS Expert Consensus Statement on the Diagnosis and Management of Patients with Inherited Primary Arrhythmia Syndromes: Document endorsed by HRS, EHRA, and APHRS in May 2013 and by ACCF, AHA, PACES, and AEPC in June 2013. </w:t>
      </w:r>
      <w:r w:rsidRPr="00566230">
        <w:rPr>
          <w:rFonts w:ascii="Times New Roman" w:hAnsi="Times New Roman" w:cs="Times New Roman"/>
          <w:i/>
          <w:iCs/>
          <w:noProof/>
          <w:sz w:val="24"/>
          <w:szCs w:val="24"/>
        </w:rPr>
        <w:t>Hear Rhythm</w:t>
      </w:r>
      <w:r w:rsidRPr="00566230">
        <w:rPr>
          <w:rFonts w:ascii="Times New Roman" w:hAnsi="Times New Roman" w:cs="Times New Roman"/>
          <w:noProof/>
          <w:sz w:val="24"/>
          <w:szCs w:val="24"/>
        </w:rPr>
        <w:t>. 2013. doi:10.1016/j.hrthm.2013.05.014</w:t>
      </w:r>
    </w:p>
    <w:p w14:paraId="32FB1422"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5. </w:t>
      </w:r>
      <w:r w:rsidRPr="00566230">
        <w:rPr>
          <w:rFonts w:ascii="Times New Roman" w:hAnsi="Times New Roman" w:cs="Times New Roman"/>
          <w:noProof/>
          <w:sz w:val="24"/>
          <w:szCs w:val="24"/>
        </w:rPr>
        <w:tab/>
        <w:t xml:space="preserve">Priori SG, Blomström-Lundqvist C, Mazzanti A. 2015 ESC Guidelines for the management of patients with ventricular arrhythmias and the prevention of sudden cardiac death. </w:t>
      </w:r>
      <w:r w:rsidRPr="00566230">
        <w:rPr>
          <w:rFonts w:ascii="Times New Roman" w:hAnsi="Times New Roman" w:cs="Times New Roman"/>
          <w:i/>
          <w:iCs/>
          <w:noProof/>
          <w:sz w:val="24"/>
          <w:szCs w:val="24"/>
        </w:rPr>
        <w:t>Eur Heart J</w:t>
      </w:r>
      <w:r w:rsidRPr="00566230">
        <w:rPr>
          <w:rFonts w:ascii="Times New Roman" w:hAnsi="Times New Roman" w:cs="Times New Roman"/>
          <w:noProof/>
          <w:sz w:val="24"/>
          <w:szCs w:val="24"/>
        </w:rPr>
        <w:t>. 2015;8(9):746-837. doi:10.1093/europace/eul108</w:t>
      </w:r>
    </w:p>
    <w:p w14:paraId="65402E9F"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6. </w:t>
      </w:r>
      <w:r w:rsidRPr="00566230">
        <w:rPr>
          <w:rFonts w:ascii="Times New Roman" w:hAnsi="Times New Roman" w:cs="Times New Roman"/>
          <w:noProof/>
          <w:sz w:val="24"/>
          <w:szCs w:val="24"/>
        </w:rPr>
        <w:tab/>
        <w:t xml:space="preserve">Al-Khatib SM, Stevenson WG, Ackerman MJ, et al. 2017 AHA/ACC/HRS Guideline for Management of Patients With Ventricular Arrhythmias and the Prevention of Sudden Cardiac Death: Executive Summary. </w:t>
      </w:r>
      <w:r w:rsidRPr="00566230">
        <w:rPr>
          <w:rFonts w:ascii="Times New Roman" w:hAnsi="Times New Roman" w:cs="Times New Roman"/>
          <w:i/>
          <w:iCs/>
          <w:noProof/>
          <w:sz w:val="24"/>
          <w:szCs w:val="24"/>
        </w:rPr>
        <w:t>J Am Coll Cardiol</w:t>
      </w:r>
      <w:r w:rsidRPr="00566230">
        <w:rPr>
          <w:rFonts w:ascii="Times New Roman" w:hAnsi="Times New Roman" w:cs="Times New Roman"/>
          <w:noProof/>
          <w:sz w:val="24"/>
          <w:szCs w:val="24"/>
        </w:rPr>
        <w:t>. October 2017. doi:10.1016/j.jacc.2017.10.053</w:t>
      </w:r>
    </w:p>
    <w:p w14:paraId="6A497488"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lastRenderedPageBreak/>
        <w:t xml:space="preserve">7. </w:t>
      </w:r>
      <w:r w:rsidRPr="00566230">
        <w:rPr>
          <w:rFonts w:ascii="Times New Roman" w:hAnsi="Times New Roman" w:cs="Times New Roman"/>
          <w:noProof/>
          <w:sz w:val="24"/>
          <w:szCs w:val="24"/>
        </w:rPr>
        <w:tab/>
        <w:t xml:space="preserve">Sacher F, Probst V, Maury P, et al. Outcome After Implantation of a Cardioverter-Defibrillator in Patients With Brugada Syndrome: A Multicenter Study-Part 2. </w:t>
      </w:r>
      <w:r w:rsidRPr="00566230">
        <w:rPr>
          <w:rFonts w:ascii="Times New Roman" w:hAnsi="Times New Roman" w:cs="Times New Roman"/>
          <w:i/>
          <w:iCs/>
          <w:noProof/>
          <w:sz w:val="24"/>
          <w:szCs w:val="24"/>
        </w:rPr>
        <w:t>Circulation</w:t>
      </w:r>
      <w:r w:rsidRPr="00566230">
        <w:rPr>
          <w:rFonts w:ascii="Times New Roman" w:hAnsi="Times New Roman" w:cs="Times New Roman"/>
          <w:noProof/>
          <w:sz w:val="24"/>
          <w:szCs w:val="24"/>
        </w:rPr>
        <w:t>. 2013;128:1739-1747. doi:10.1161/CIRCULATIONAHA.113.001941</w:t>
      </w:r>
    </w:p>
    <w:p w14:paraId="1F087F64"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8. </w:t>
      </w:r>
      <w:r w:rsidRPr="00566230">
        <w:rPr>
          <w:rFonts w:ascii="Times New Roman" w:hAnsi="Times New Roman" w:cs="Times New Roman"/>
          <w:noProof/>
          <w:sz w:val="24"/>
          <w:szCs w:val="24"/>
        </w:rPr>
        <w:tab/>
        <w:t xml:space="preserve">Raju H, Papadakis M, Govindan M, et al. Low prevalence of risk markers in cases of sudden death due to Brugada syndrome relevance to risk stratification in Brugada syndrome. </w:t>
      </w:r>
      <w:r w:rsidRPr="00566230">
        <w:rPr>
          <w:rFonts w:ascii="Times New Roman" w:hAnsi="Times New Roman" w:cs="Times New Roman"/>
          <w:i/>
          <w:iCs/>
          <w:noProof/>
          <w:sz w:val="24"/>
          <w:szCs w:val="24"/>
        </w:rPr>
        <w:t>J Am Coll Cardiol</w:t>
      </w:r>
      <w:r w:rsidRPr="00566230">
        <w:rPr>
          <w:rFonts w:ascii="Times New Roman" w:hAnsi="Times New Roman" w:cs="Times New Roman"/>
          <w:noProof/>
          <w:sz w:val="24"/>
          <w:szCs w:val="24"/>
        </w:rPr>
        <w:t>. 2011;57:2340-2345. doi:10.1016/j.jacc.2010.11.067</w:t>
      </w:r>
    </w:p>
    <w:p w14:paraId="240BEE14"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9. </w:t>
      </w:r>
      <w:r w:rsidRPr="00566230">
        <w:rPr>
          <w:rFonts w:ascii="Times New Roman" w:hAnsi="Times New Roman" w:cs="Times New Roman"/>
          <w:noProof/>
          <w:sz w:val="24"/>
          <w:szCs w:val="24"/>
        </w:rPr>
        <w:tab/>
        <w:t xml:space="preserve">Adler A, Rosso R, Chorin E, Havakuk O, Antzelevitch C, Viskin S. Risk stratification in Brugada syndrome: Clinical characteristics, electrocardiographic parameters, and auxiliary testing. </w:t>
      </w:r>
      <w:r w:rsidRPr="00566230">
        <w:rPr>
          <w:rFonts w:ascii="Times New Roman" w:hAnsi="Times New Roman" w:cs="Times New Roman"/>
          <w:i/>
          <w:iCs/>
          <w:noProof/>
          <w:sz w:val="24"/>
          <w:szCs w:val="24"/>
        </w:rPr>
        <w:t>Hear Rhythm</w:t>
      </w:r>
      <w:r w:rsidRPr="00566230">
        <w:rPr>
          <w:rFonts w:ascii="Times New Roman" w:hAnsi="Times New Roman" w:cs="Times New Roman"/>
          <w:noProof/>
          <w:sz w:val="24"/>
          <w:szCs w:val="24"/>
        </w:rPr>
        <w:t>. 2016;13:299-310. doi:10.1016/j.hrthm.2015.08.038</w:t>
      </w:r>
    </w:p>
    <w:p w14:paraId="78B94B6E"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10. </w:t>
      </w:r>
      <w:r w:rsidRPr="00566230">
        <w:rPr>
          <w:rFonts w:ascii="Times New Roman" w:hAnsi="Times New Roman" w:cs="Times New Roman"/>
          <w:noProof/>
          <w:sz w:val="24"/>
          <w:szCs w:val="24"/>
        </w:rPr>
        <w:tab/>
        <w:t xml:space="preserve">Tokioka K, Kusano KF, Morita H, et al. Electrocardiographic Parameters and Fatal Arrhythmic Events in Patients With Brugada Syndrome Combination of Depolarization and. </w:t>
      </w:r>
      <w:r w:rsidRPr="00566230">
        <w:rPr>
          <w:rFonts w:ascii="Times New Roman" w:hAnsi="Times New Roman" w:cs="Times New Roman"/>
          <w:i/>
          <w:iCs/>
          <w:noProof/>
          <w:sz w:val="24"/>
          <w:szCs w:val="24"/>
        </w:rPr>
        <w:t>J Am Coll Cardiol</w:t>
      </w:r>
      <w:r w:rsidRPr="00566230">
        <w:rPr>
          <w:rFonts w:ascii="Times New Roman" w:hAnsi="Times New Roman" w:cs="Times New Roman"/>
          <w:noProof/>
          <w:sz w:val="24"/>
          <w:szCs w:val="24"/>
        </w:rPr>
        <w:t>. 2014;63:2131-2138. doi:10.1016/j.jacc.2014.01.072</w:t>
      </w:r>
    </w:p>
    <w:p w14:paraId="778FB6D0"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11. </w:t>
      </w:r>
      <w:r w:rsidRPr="00566230">
        <w:rPr>
          <w:rFonts w:ascii="Times New Roman" w:hAnsi="Times New Roman" w:cs="Times New Roman"/>
          <w:noProof/>
          <w:sz w:val="24"/>
          <w:szCs w:val="24"/>
        </w:rPr>
        <w:tab/>
        <w:t xml:space="preserve">Antzelevitch C, Yan G-X, Ackerman MJ, et al. J-Wave syndromes expert consensus conference report: Emerging concepts and gaps in knowledge. </w:t>
      </w:r>
      <w:r w:rsidRPr="00566230">
        <w:rPr>
          <w:rFonts w:ascii="Times New Roman" w:hAnsi="Times New Roman" w:cs="Times New Roman"/>
          <w:i/>
          <w:iCs/>
          <w:noProof/>
          <w:sz w:val="24"/>
          <w:szCs w:val="24"/>
        </w:rPr>
        <w:t>Hear Rhythm</w:t>
      </w:r>
      <w:r w:rsidRPr="00566230">
        <w:rPr>
          <w:rFonts w:ascii="Times New Roman" w:hAnsi="Times New Roman" w:cs="Times New Roman"/>
          <w:noProof/>
          <w:sz w:val="24"/>
          <w:szCs w:val="24"/>
        </w:rPr>
        <w:t>. 2016;13(10):e295-e324. doi:10.1016/j.hrthm.2016.05.024</w:t>
      </w:r>
    </w:p>
    <w:p w14:paraId="5F655381"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12. </w:t>
      </w:r>
      <w:r w:rsidRPr="00566230">
        <w:rPr>
          <w:rFonts w:ascii="Times New Roman" w:hAnsi="Times New Roman" w:cs="Times New Roman"/>
          <w:noProof/>
          <w:sz w:val="24"/>
          <w:szCs w:val="24"/>
        </w:rPr>
        <w:tab/>
        <w:t xml:space="preserve">Huang Z, Patel C, Li W, et al. Role of signal-averaged electrocardiograms in arrhythmic risk stratification of patients with Brugada syndrome: A prospective study. </w:t>
      </w:r>
      <w:r w:rsidRPr="00566230">
        <w:rPr>
          <w:rFonts w:ascii="Times New Roman" w:hAnsi="Times New Roman" w:cs="Times New Roman"/>
          <w:i/>
          <w:iCs/>
          <w:noProof/>
          <w:sz w:val="24"/>
          <w:szCs w:val="24"/>
        </w:rPr>
        <w:t>Hear Rhythm</w:t>
      </w:r>
      <w:r w:rsidRPr="00566230">
        <w:rPr>
          <w:rFonts w:ascii="Times New Roman" w:hAnsi="Times New Roman" w:cs="Times New Roman"/>
          <w:noProof/>
          <w:sz w:val="24"/>
          <w:szCs w:val="24"/>
        </w:rPr>
        <w:t>. 2009;6(8):1156-1162. doi:10.1016/j.hrthm.2009.05.007</w:t>
      </w:r>
    </w:p>
    <w:p w14:paraId="4D416523"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13. </w:t>
      </w:r>
      <w:r w:rsidRPr="00566230">
        <w:rPr>
          <w:rFonts w:ascii="Times New Roman" w:hAnsi="Times New Roman" w:cs="Times New Roman"/>
          <w:noProof/>
          <w:sz w:val="24"/>
          <w:szCs w:val="24"/>
        </w:rPr>
        <w:tab/>
        <w:t xml:space="preserve">Calò L, Giustetto C, Martino A, et al. A New Electrocardiographic Marker of Sudden Death in Brugada Syndrome: The S-Wave in Lead i. </w:t>
      </w:r>
      <w:r w:rsidRPr="00566230">
        <w:rPr>
          <w:rFonts w:ascii="Times New Roman" w:hAnsi="Times New Roman" w:cs="Times New Roman"/>
          <w:i/>
          <w:iCs/>
          <w:noProof/>
          <w:sz w:val="24"/>
          <w:szCs w:val="24"/>
        </w:rPr>
        <w:t>J Am Coll Cardiol</w:t>
      </w:r>
      <w:r w:rsidRPr="00566230">
        <w:rPr>
          <w:rFonts w:ascii="Times New Roman" w:hAnsi="Times New Roman" w:cs="Times New Roman"/>
          <w:noProof/>
          <w:sz w:val="24"/>
          <w:szCs w:val="24"/>
        </w:rPr>
        <w:t>. 2016;67(12):1427-1440. doi:10.1016/j.jacc.2016.01.024</w:t>
      </w:r>
    </w:p>
    <w:p w14:paraId="60D1D16B"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14. </w:t>
      </w:r>
      <w:r w:rsidRPr="00566230">
        <w:rPr>
          <w:rFonts w:ascii="Times New Roman" w:hAnsi="Times New Roman" w:cs="Times New Roman"/>
          <w:noProof/>
          <w:sz w:val="24"/>
          <w:szCs w:val="24"/>
        </w:rPr>
        <w:tab/>
        <w:t xml:space="preserve">Takagi M, Aonuma K, Sekiguchi Y, Yokoyama Y, Aihara N, Hiraoka M. The </w:t>
      </w:r>
      <w:r w:rsidRPr="00566230">
        <w:rPr>
          <w:rFonts w:ascii="Times New Roman" w:hAnsi="Times New Roman" w:cs="Times New Roman"/>
          <w:noProof/>
          <w:sz w:val="24"/>
          <w:szCs w:val="24"/>
        </w:rPr>
        <w:lastRenderedPageBreak/>
        <w:t xml:space="preserve">prognostic value of early repolarization (J wave) and ST-segment morphology after J wave in Brugada syndrome: Multicenter study in Japan. </w:t>
      </w:r>
      <w:r w:rsidRPr="00566230">
        <w:rPr>
          <w:rFonts w:ascii="Times New Roman" w:hAnsi="Times New Roman" w:cs="Times New Roman"/>
          <w:i/>
          <w:iCs/>
          <w:noProof/>
          <w:sz w:val="24"/>
          <w:szCs w:val="24"/>
        </w:rPr>
        <w:t>Hear Rhythm</w:t>
      </w:r>
      <w:r w:rsidRPr="00566230">
        <w:rPr>
          <w:rFonts w:ascii="Times New Roman" w:hAnsi="Times New Roman" w:cs="Times New Roman"/>
          <w:noProof/>
          <w:sz w:val="24"/>
          <w:szCs w:val="24"/>
        </w:rPr>
        <w:t>. 2013;10:533-539. doi:10.1016/j.hrthm.2012.12.023</w:t>
      </w:r>
    </w:p>
    <w:p w14:paraId="6C5BF0AD"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15. </w:t>
      </w:r>
      <w:r w:rsidRPr="00566230">
        <w:rPr>
          <w:rFonts w:ascii="Times New Roman" w:hAnsi="Times New Roman" w:cs="Times New Roman"/>
          <w:noProof/>
          <w:sz w:val="24"/>
          <w:szCs w:val="24"/>
        </w:rPr>
        <w:tab/>
        <w:t xml:space="preserve">Makimoto H, Nakagawa E, Takaki H, et al. Augmented ST-segment elevation during recovery from exercise predicts cardiac events in patients with Brugada syndrome. </w:t>
      </w:r>
      <w:r w:rsidRPr="00566230">
        <w:rPr>
          <w:rFonts w:ascii="Times New Roman" w:hAnsi="Times New Roman" w:cs="Times New Roman"/>
          <w:i/>
          <w:iCs/>
          <w:noProof/>
          <w:sz w:val="24"/>
          <w:szCs w:val="24"/>
        </w:rPr>
        <w:t>J Am Coll Cardiol</w:t>
      </w:r>
      <w:r w:rsidRPr="00566230">
        <w:rPr>
          <w:rFonts w:ascii="Times New Roman" w:hAnsi="Times New Roman" w:cs="Times New Roman"/>
          <w:noProof/>
          <w:sz w:val="24"/>
          <w:szCs w:val="24"/>
        </w:rPr>
        <w:t>. 2010. doi:S0735-1097(10)03637-5 [pii]\n10.1016/j.jacc.2010.06.033</w:t>
      </w:r>
    </w:p>
    <w:p w14:paraId="1E2D11E3"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16. </w:t>
      </w:r>
      <w:r w:rsidRPr="00566230">
        <w:rPr>
          <w:rFonts w:ascii="Times New Roman" w:hAnsi="Times New Roman" w:cs="Times New Roman"/>
          <w:noProof/>
          <w:sz w:val="24"/>
          <w:szCs w:val="24"/>
        </w:rPr>
        <w:tab/>
        <w:t xml:space="preserve">Antzelevitch C, Brugada P, Borggrefe M, et al. Brugada Syndrome: Report of the second consensus conference. </w:t>
      </w:r>
      <w:r w:rsidRPr="00566230">
        <w:rPr>
          <w:rFonts w:ascii="Times New Roman" w:hAnsi="Times New Roman" w:cs="Times New Roman"/>
          <w:i/>
          <w:iCs/>
          <w:noProof/>
          <w:sz w:val="24"/>
          <w:szCs w:val="24"/>
        </w:rPr>
        <w:t>Circulation</w:t>
      </w:r>
      <w:r w:rsidRPr="00566230">
        <w:rPr>
          <w:rFonts w:ascii="Times New Roman" w:hAnsi="Times New Roman" w:cs="Times New Roman"/>
          <w:noProof/>
          <w:sz w:val="24"/>
          <w:szCs w:val="24"/>
        </w:rPr>
        <w:t>. 2005;111(5):659-670. doi:10.1161/01.CIR.0000152479.54298.51</w:t>
      </w:r>
    </w:p>
    <w:p w14:paraId="421400D0"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17. </w:t>
      </w:r>
      <w:r w:rsidRPr="00566230">
        <w:rPr>
          <w:rFonts w:ascii="Times New Roman" w:hAnsi="Times New Roman" w:cs="Times New Roman"/>
          <w:noProof/>
          <w:sz w:val="24"/>
          <w:szCs w:val="24"/>
        </w:rPr>
        <w:tab/>
        <w:t xml:space="preserve">Yokokawa M, Okamura H, Noda T, et al. Neurally mediated syncope as a cause of syncope in patients with Brugada electrocardiogram. </w:t>
      </w:r>
      <w:r w:rsidRPr="00566230">
        <w:rPr>
          <w:rFonts w:ascii="Times New Roman" w:hAnsi="Times New Roman" w:cs="Times New Roman"/>
          <w:i/>
          <w:iCs/>
          <w:noProof/>
          <w:sz w:val="24"/>
          <w:szCs w:val="24"/>
        </w:rPr>
        <w:t>J Cardiovasc Electrophysiol</w:t>
      </w:r>
      <w:r w:rsidRPr="00566230">
        <w:rPr>
          <w:rFonts w:ascii="Times New Roman" w:hAnsi="Times New Roman" w:cs="Times New Roman"/>
          <w:noProof/>
          <w:sz w:val="24"/>
          <w:szCs w:val="24"/>
        </w:rPr>
        <w:t>. 2010;21:186-192. doi:10.1111/j.1540-8167.2009.01599.x</w:t>
      </w:r>
    </w:p>
    <w:p w14:paraId="1470131E"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18. </w:t>
      </w:r>
      <w:r w:rsidRPr="00566230">
        <w:rPr>
          <w:rFonts w:ascii="Times New Roman" w:hAnsi="Times New Roman" w:cs="Times New Roman"/>
          <w:noProof/>
          <w:sz w:val="24"/>
          <w:szCs w:val="24"/>
        </w:rPr>
        <w:tab/>
        <w:t xml:space="preserve">Matsuo K, Shimizu W, Kurita T, Inagaki M, Aihara N, Kamakura S. Dynamic changes of 12-lead electrocardiograms in a patient with Brugada syndrome. </w:t>
      </w:r>
      <w:r w:rsidRPr="00566230">
        <w:rPr>
          <w:rFonts w:ascii="Times New Roman" w:hAnsi="Times New Roman" w:cs="Times New Roman"/>
          <w:i/>
          <w:iCs/>
          <w:noProof/>
          <w:sz w:val="24"/>
          <w:szCs w:val="24"/>
        </w:rPr>
        <w:t>J Cardiovasc Electrophysiol</w:t>
      </w:r>
      <w:r w:rsidRPr="00566230">
        <w:rPr>
          <w:rFonts w:ascii="Times New Roman" w:hAnsi="Times New Roman" w:cs="Times New Roman"/>
          <w:noProof/>
          <w:sz w:val="24"/>
          <w:szCs w:val="24"/>
        </w:rPr>
        <w:t>. 1998.</w:t>
      </w:r>
    </w:p>
    <w:p w14:paraId="2A9A1A6D"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19. </w:t>
      </w:r>
      <w:r w:rsidRPr="00566230">
        <w:rPr>
          <w:rFonts w:ascii="Times New Roman" w:hAnsi="Times New Roman" w:cs="Times New Roman"/>
          <w:noProof/>
          <w:sz w:val="24"/>
          <w:szCs w:val="24"/>
        </w:rPr>
        <w:tab/>
        <w:t xml:space="preserve">Govindan M, Batchvarov VN, Raju H, et al. Utility of high and standard right precordial leads during ajmaline testing for the diagnosis of Brugada syndrome. </w:t>
      </w:r>
      <w:r w:rsidRPr="00566230">
        <w:rPr>
          <w:rFonts w:ascii="Times New Roman" w:hAnsi="Times New Roman" w:cs="Times New Roman"/>
          <w:i/>
          <w:iCs/>
          <w:noProof/>
          <w:sz w:val="24"/>
          <w:szCs w:val="24"/>
        </w:rPr>
        <w:t>Heart</w:t>
      </w:r>
      <w:r w:rsidRPr="00566230">
        <w:rPr>
          <w:rFonts w:ascii="Times New Roman" w:hAnsi="Times New Roman" w:cs="Times New Roman"/>
          <w:noProof/>
          <w:sz w:val="24"/>
          <w:szCs w:val="24"/>
        </w:rPr>
        <w:t>. 2010;96:1904-1908. doi:10.1136/hrt.2010.201244</w:t>
      </w:r>
    </w:p>
    <w:p w14:paraId="74F487BC"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20. </w:t>
      </w:r>
      <w:r w:rsidRPr="00566230">
        <w:rPr>
          <w:rFonts w:ascii="Times New Roman" w:hAnsi="Times New Roman" w:cs="Times New Roman"/>
          <w:noProof/>
          <w:sz w:val="24"/>
          <w:szCs w:val="24"/>
        </w:rPr>
        <w:tab/>
        <w:t xml:space="preserve">Sroubek J, Probst V, Mazzanti A, et al. </w:t>
      </w:r>
      <w:r w:rsidRPr="00566230">
        <w:rPr>
          <w:rFonts w:ascii="Times New Roman" w:hAnsi="Times New Roman" w:cs="Times New Roman"/>
          <w:i/>
          <w:iCs/>
          <w:noProof/>
          <w:sz w:val="24"/>
          <w:szCs w:val="24"/>
        </w:rPr>
        <w:t>Programmed Ventricular Stimulation for Risk Stratification in the Brugada Syndrome: A Pooled Analysis</w:t>
      </w:r>
      <w:r w:rsidRPr="00566230">
        <w:rPr>
          <w:rFonts w:ascii="Times New Roman" w:hAnsi="Times New Roman" w:cs="Times New Roman"/>
          <w:noProof/>
          <w:sz w:val="24"/>
          <w:szCs w:val="24"/>
        </w:rPr>
        <w:t>. Vol 133.; 2016. doi:10.1161/CIRCULATIONAHA.115.017885</w:t>
      </w:r>
    </w:p>
    <w:p w14:paraId="640823B7"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21. </w:t>
      </w:r>
      <w:r w:rsidRPr="00566230">
        <w:rPr>
          <w:rFonts w:ascii="Times New Roman" w:hAnsi="Times New Roman" w:cs="Times New Roman"/>
          <w:noProof/>
          <w:sz w:val="24"/>
          <w:szCs w:val="24"/>
        </w:rPr>
        <w:tab/>
        <w:t xml:space="preserve">Kamakura S, Ohe T, Nakazawa K, et al. Long-term prognosis of probands with brugada-pattern ST-elevation in leads V1-V3. </w:t>
      </w:r>
      <w:r w:rsidRPr="00566230">
        <w:rPr>
          <w:rFonts w:ascii="Times New Roman" w:hAnsi="Times New Roman" w:cs="Times New Roman"/>
          <w:i/>
          <w:iCs/>
          <w:noProof/>
          <w:sz w:val="24"/>
          <w:szCs w:val="24"/>
        </w:rPr>
        <w:t>Circ Arrhythmia Electrophysiol</w:t>
      </w:r>
      <w:r w:rsidRPr="00566230">
        <w:rPr>
          <w:rFonts w:ascii="Times New Roman" w:hAnsi="Times New Roman" w:cs="Times New Roman"/>
          <w:noProof/>
          <w:sz w:val="24"/>
          <w:szCs w:val="24"/>
        </w:rPr>
        <w:t xml:space="preserve">. </w:t>
      </w:r>
      <w:r w:rsidRPr="00566230">
        <w:rPr>
          <w:rFonts w:ascii="Times New Roman" w:hAnsi="Times New Roman" w:cs="Times New Roman"/>
          <w:noProof/>
          <w:sz w:val="24"/>
          <w:szCs w:val="24"/>
        </w:rPr>
        <w:lastRenderedPageBreak/>
        <w:t>2009;2(5):495-503. doi:10.1161/CIRCEP.108.816892</w:t>
      </w:r>
    </w:p>
    <w:p w14:paraId="274F1D64"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22. </w:t>
      </w:r>
      <w:r w:rsidRPr="00566230">
        <w:rPr>
          <w:rFonts w:ascii="Times New Roman" w:hAnsi="Times New Roman" w:cs="Times New Roman"/>
          <w:noProof/>
          <w:sz w:val="24"/>
          <w:szCs w:val="24"/>
        </w:rPr>
        <w:tab/>
        <w:t xml:space="preserve">Mizusawa Y, Wilde AAM. Brugada Syndrome. </w:t>
      </w:r>
      <w:r w:rsidRPr="00566230">
        <w:rPr>
          <w:rFonts w:ascii="Times New Roman" w:hAnsi="Times New Roman" w:cs="Times New Roman"/>
          <w:i/>
          <w:iCs/>
          <w:noProof/>
          <w:sz w:val="24"/>
          <w:szCs w:val="24"/>
        </w:rPr>
        <w:t>Circ Arrhythmia Electrophysiol</w:t>
      </w:r>
      <w:r w:rsidRPr="00566230">
        <w:rPr>
          <w:rFonts w:ascii="Times New Roman" w:hAnsi="Times New Roman" w:cs="Times New Roman"/>
          <w:noProof/>
          <w:sz w:val="24"/>
          <w:szCs w:val="24"/>
        </w:rPr>
        <w:t>. 2012;5(3):606-616. doi:10.1161/CIRCEP.111.964577</w:t>
      </w:r>
    </w:p>
    <w:p w14:paraId="21274D1D"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23. </w:t>
      </w:r>
      <w:r w:rsidRPr="00566230">
        <w:rPr>
          <w:rFonts w:ascii="Times New Roman" w:hAnsi="Times New Roman" w:cs="Times New Roman"/>
          <w:noProof/>
          <w:sz w:val="24"/>
          <w:szCs w:val="24"/>
        </w:rPr>
        <w:tab/>
        <w:t xml:space="preserve">Takigawa M, Noda T, Shimizu W, et al. Seasonal and circadian distributions of ventricular fibrillation in patients with Brugada syndrome. </w:t>
      </w:r>
      <w:r w:rsidRPr="00566230">
        <w:rPr>
          <w:rFonts w:ascii="Times New Roman" w:hAnsi="Times New Roman" w:cs="Times New Roman"/>
          <w:i/>
          <w:iCs/>
          <w:noProof/>
          <w:sz w:val="24"/>
          <w:szCs w:val="24"/>
        </w:rPr>
        <w:t>Hear Rhythm</w:t>
      </w:r>
      <w:r w:rsidRPr="00566230">
        <w:rPr>
          <w:rFonts w:ascii="Times New Roman" w:hAnsi="Times New Roman" w:cs="Times New Roman"/>
          <w:noProof/>
          <w:sz w:val="24"/>
          <w:szCs w:val="24"/>
        </w:rPr>
        <w:t>. 2008;5:1523-1527. doi:10.1016/j.hrthm.2008.08.022</w:t>
      </w:r>
    </w:p>
    <w:p w14:paraId="7BC60575"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24. </w:t>
      </w:r>
      <w:r w:rsidRPr="00566230">
        <w:rPr>
          <w:rFonts w:ascii="Times New Roman" w:hAnsi="Times New Roman" w:cs="Times New Roman"/>
          <w:noProof/>
          <w:sz w:val="24"/>
          <w:szCs w:val="24"/>
        </w:rPr>
        <w:tab/>
        <w:t xml:space="preserve">Amin AS, De Groot EAA, Ruijter JM, Wilde AAM, Tan HL. Exercise-induced ECG changes in brugada syndrome. </w:t>
      </w:r>
      <w:r w:rsidRPr="00566230">
        <w:rPr>
          <w:rFonts w:ascii="Times New Roman" w:hAnsi="Times New Roman" w:cs="Times New Roman"/>
          <w:i/>
          <w:iCs/>
          <w:noProof/>
          <w:sz w:val="24"/>
          <w:szCs w:val="24"/>
        </w:rPr>
        <w:t>Circ Arrhythmia Electrophysiol</w:t>
      </w:r>
      <w:r w:rsidRPr="00566230">
        <w:rPr>
          <w:rFonts w:ascii="Times New Roman" w:hAnsi="Times New Roman" w:cs="Times New Roman"/>
          <w:noProof/>
          <w:sz w:val="24"/>
          <w:szCs w:val="24"/>
        </w:rPr>
        <w:t>. 2009;2(5):531-539. doi:10.1161/CIRCEP.109.862441</w:t>
      </w:r>
    </w:p>
    <w:p w14:paraId="76CC54FC"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25. </w:t>
      </w:r>
      <w:r w:rsidRPr="00566230">
        <w:rPr>
          <w:rFonts w:ascii="Times New Roman" w:hAnsi="Times New Roman" w:cs="Times New Roman"/>
          <w:noProof/>
          <w:sz w:val="24"/>
          <w:szCs w:val="24"/>
        </w:rPr>
        <w:tab/>
        <w:t xml:space="preserve">Ikeda T, Abe A, Yusu S, et al. The full stomach test as a novel diagnostic technique for identifying patients at risk of Brugada syndrome. </w:t>
      </w:r>
      <w:r w:rsidRPr="00566230">
        <w:rPr>
          <w:rFonts w:ascii="Times New Roman" w:hAnsi="Times New Roman" w:cs="Times New Roman"/>
          <w:i/>
          <w:iCs/>
          <w:noProof/>
          <w:sz w:val="24"/>
          <w:szCs w:val="24"/>
        </w:rPr>
        <w:t>J Cardiovasc Electrophysiol</w:t>
      </w:r>
      <w:r w:rsidRPr="00566230">
        <w:rPr>
          <w:rFonts w:ascii="Times New Roman" w:hAnsi="Times New Roman" w:cs="Times New Roman"/>
          <w:noProof/>
          <w:sz w:val="24"/>
          <w:szCs w:val="24"/>
        </w:rPr>
        <w:t>. 2006;17:602-607. doi:JCE424 [pii]\r10.1111/j.1540-8167.2006.00424.x</w:t>
      </w:r>
    </w:p>
    <w:p w14:paraId="17E52E93"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26. </w:t>
      </w:r>
      <w:r w:rsidRPr="00566230">
        <w:rPr>
          <w:rFonts w:ascii="Times New Roman" w:hAnsi="Times New Roman" w:cs="Times New Roman"/>
          <w:noProof/>
          <w:sz w:val="24"/>
          <w:szCs w:val="24"/>
        </w:rPr>
        <w:tab/>
        <w:t xml:space="preserve">Nishizaki M, Sakurada H, Mizusawa Y, et al. Influence of meals on variations of ST segment elevation in patients with Brugada Syndrome. </w:t>
      </w:r>
      <w:r w:rsidRPr="00566230">
        <w:rPr>
          <w:rFonts w:ascii="Times New Roman" w:hAnsi="Times New Roman" w:cs="Times New Roman"/>
          <w:i/>
          <w:iCs/>
          <w:noProof/>
          <w:sz w:val="24"/>
          <w:szCs w:val="24"/>
        </w:rPr>
        <w:t>J Cardiovasc Electrophysiol</w:t>
      </w:r>
      <w:r w:rsidRPr="00566230">
        <w:rPr>
          <w:rFonts w:ascii="Times New Roman" w:hAnsi="Times New Roman" w:cs="Times New Roman"/>
          <w:noProof/>
          <w:sz w:val="24"/>
          <w:szCs w:val="24"/>
        </w:rPr>
        <w:t>. 2008;19:62-68. doi:10.1111/j.1540-8167.2007.00972.x</w:t>
      </w:r>
    </w:p>
    <w:p w14:paraId="4E388DF3"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27. </w:t>
      </w:r>
      <w:r w:rsidRPr="00566230">
        <w:rPr>
          <w:rFonts w:ascii="Times New Roman" w:hAnsi="Times New Roman" w:cs="Times New Roman"/>
          <w:noProof/>
          <w:sz w:val="24"/>
          <w:szCs w:val="24"/>
        </w:rPr>
        <w:tab/>
        <w:t xml:space="preserve">Kasanuki H, Ohnishi S, Ohtuka M, et al. Idiopathic Ventricular Fibrillation Induced With Vagal Activity in Patients Without Obvious Heart Disease. </w:t>
      </w:r>
      <w:r w:rsidRPr="00566230">
        <w:rPr>
          <w:rFonts w:ascii="Times New Roman" w:hAnsi="Times New Roman" w:cs="Times New Roman"/>
          <w:i/>
          <w:iCs/>
          <w:noProof/>
          <w:sz w:val="24"/>
          <w:szCs w:val="24"/>
        </w:rPr>
        <w:t>Circulation</w:t>
      </w:r>
      <w:r w:rsidRPr="00566230">
        <w:rPr>
          <w:rFonts w:ascii="Times New Roman" w:hAnsi="Times New Roman" w:cs="Times New Roman"/>
          <w:noProof/>
          <w:sz w:val="24"/>
          <w:szCs w:val="24"/>
        </w:rPr>
        <w:t>. 1997;95(9):2277-2285. doi:10.1161/01.CIR.95.9.2277</w:t>
      </w:r>
    </w:p>
    <w:p w14:paraId="6AAA873B"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28. </w:t>
      </w:r>
      <w:r w:rsidRPr="00566230">
        <w:rPr>
          <w:rFonts w:ascii="Times New Roman" w:hAnsi="Times New Roman" w:cs="Times New Roman"/>
          <w:noProof/>
          <w:sz w:val="24"/>
          <w:szCs w:val="24"/>
        </w:rPr>
        <w:tab/>
        <w:t xml:space="preserve">Leong KMW, Ng FS, Yao C, et al. ST-Elevation Magnitude Correlates With Right Ventricular Outflow Tract Conduction Delay in Type I Brugada ECG. </w:t>
      </w:r>
      <w:r w:rsidRPr="00566230">
        <w:rPr>
          <w:rFonts w:ascii="Times New Roman" w:hAnsi="Times New Roman" w:cs="Times New Roman"/>
          <w:i/>
          <w:iCs/>
          <w:noProof/>
          <w:sz w:val="24"/>
          <w:szCs w:val="24"/>
        </w:rPr>
        <w:t>Circ Arrhythmia Electrophysiol</w:t>
      </w:r>
      <w:r w:rsidRPr="00566230">
        <w:rPr>
          <w:rFonts w:ascii="Times New Roman" w:hAnsi="Times New Roman" w:cs="Times New Roman"/>
          <w:noProof/>
          <w:sz w:val="24"/>
          <w:szCs w:val="24"/>
        </w:rPr>
        <w:t>. 2017;10:e005107. doi:10.1161/CIRCEP.117.005107</w:t>
      </w:r>
    </w:p>
    <w:p w14:paraId="2B12C81D"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29. </w:t>
      </w:r>
      <w:r w:rsidRPr="00566230">
        <w:rPr>
          <w:rFonts w:ascii="Times New Roman" w:hAnsi="Times New Roman" w:cs="Times New Roman"/>
          <w:noProof/>
          <w:sz w:val="24"/>
          <w:szCs w:val="24"/>
        </w:rPr>
        <w:tab/>
        <w:t xml:space="preserve">Leong KMW, Ng FS, Roney C, et al. Repolarization abnormalities unmasked with exercise in sudden cardiac death survivors with structurally normal hearts. </w:t>
      </w:r>
      <w:r w:rsidRPr="00566230">
        <w:rPr>
          <w:rFonts w:ascii="Times New Roman" w:hAnsi="Times New Roman" w:cs="Times New Roman"/>
          <w:i/>
          <w:iCs/>
          <w:noProof/>
          <w:sz w:val="24"/>
          <w:szCs w:val="24"/>
        </w:rPr>
        <w:t xml:space="preserve">J </w:t>
      </w:r>
      <w:r w:rsidRPr="00566230">
        <w:rPr>
          <w:rFonts w:ascii="Times New Roman" w:hAnsi="Times New Roman" w:cs="Times New Roman"/>
          <w:i/>
          <w:iCs/>
          <w:noProof/>
          <w:sz w:val="24"/>
          <w:szCs w:val="24"/>
        </w:rPr>
        <w:lastRenderedPageBreak/>
        <w:t>Cardiovasc Electrophysiol</w:t>
      </w:r>
      <w:r w:rsidRPr="00566230">
        <w:rPr>
          <w:rFonts w:ascii="Times New Roman" w:hAnsi="Times New Roman" w:cs="Times New Roman"/>
          <w:noProof/>
          <w:sz w:val="24"/>
          <w:szCs w:val="24"/>
        </w:rPr>
        <w:t>. 2018;29:115-126. doi:10.1111/jce.13375</w:t>
      </w:r>
    </w:p>
    <w:p w14:paraId="0A93C6AC"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szCs w:val="24"/>
        </w:rPr>
      </w:pPr>
      <w:r w:rsidRPr="00566230">
        <w:rPr>
          <w:rFonts w:ascii="Times New Roman" w:hAnsi="Times New Roman" w:cs="Times New Roman"/>
          <w:noProof/>
          <w:sz w:val="24"/>
          <w:szCs w:val="24"/>
        </w:rPr>
        <w:t xml:space="preserve">30. </w:t>
      </w:r>
      <w:r w:rsidRPr="00566230">
        <w:rPr>
          <w:rFonts w:ascii="Times New Roman" w:hAnsi="Times New Roman" w:cs="Times New Roman"/>
          <w:noProof/>
          <w:sz w:val="24"/>
          <w:szCs w:val="24"/>
        </w:rPr>
        <w:tab/>
        <w:t xml:space="preserve">Viskin S, Fish R, Eldar M, et al. Prevalence of the Brugada sign in idiopathic ventricular fibrillation and healthy controls. </w:t>
      </w:r>
      <w:r w:rsidRPr="00566230">
        <w:rPr>
          <w:rFonts w:ascii="Times New Roman" w:hAnsi="Times New Roman" w:cs="Times New Roman"/>
          <w:i/>
          <w:iCs/>
          <w:noProof/>
          <w:sz w:val="24"/>
          <w:szCs w:val="24"/>
        </w:rPr>
        <w:t>Heart</w:t>
      </w:r>
      <w:r w:rsidRPr="00566230">
        <w:rPr>
          <w:rFonts w:ascii="Times New Roman" w:hAnsi="Times New Roman" w:cs="Times New Roman"/>
          <w:noProof/>
          <w:sz w:val="24"/>
          <w:szCs w:val="24"/>
        </w:rPr>
        <w:t>. 2000;84(1):31-36. doi:10.1136/heart.84.1.31</w:t>
      </w:r>
    </w:p>
    <w:p w14:paraId="6239688F" w14:textId="77777777" w:rsidR="00FE2E73" w:rsidRPr="00566230" w:rsidRDefault="00FE2E73" w:rsidP="00FE2E73">
      <w:pPr>
        <w:widowControl w:val="0"/>
        <w:autoSpaceDE w:val="0"/>
        <w:autoSpaceDN w:val="0"/>
        <w:adjustRightInd w:val="0"/>
        <w:spacing w:line="480" w:lineRule="auto"/>
        <w:ind w:left="640" w:hanging="640"/>
        <w:rPr>
          <w:rFonts w:ascii="Times New Roman" w:hAnsi="Times New Roman" w:cs="Times New Roman"/>
          <w:noProof/>
          <w:sz w:val="24"/>
        </w:rPr>
      </w:pPr>
      <w:r w:rsidRPr="00566230">
        <w:rPr>
          <w:rFonts w:ascii="Times New Roman" w:hAnsi="Times New Roman" w:cs="Times New Roman"/>
          <w:noProof/>
          <w:sz w:val="24"/>
          <w:szCs w:val="24"/>
        </w:rPr>
        <w:t xml:space="preserve">31. </w:t>
      </w:r>
      <w:r w:rsidRPr="00566230">
        <w:rPr>
          <w:rFonts w:ascii="Times New Roman" w:hAnsi="Times New Roman" w:cs="Times New Roman"/>
          <w:noProof/>
          <w:sz w:val="24"/>
          <w:szCs w:val="24"/>
        </w:rPr>
        <w:tab/>
        <w:t xml:space="preserve">Tadros R, Nannenberg EA, Lieve K V., et al. Yield and Pitfalls of Ajmaline Testing in the Evaluation of Unexplained Cardiac Arrest and Sudden Unexplained Death: Single-Center Experience With 482 Families. </w:t>
      </w:r>
      <w:r w:rsidRPr="00566230">
        <w:rPr>
          <w:rFonts w:ascii="Times New Roman" w:hAnsi="Times New Roman" w:cs="Times New Roman"/>
          <w:i/>
          <w:iCs/>
          <w:noProof/>
          <w:sz w:val="24"/>
          <w:szCs w:val="24"/>
        </w:rPr>
        <w:t>JACC Clin Electrophysiol</w:t>
      </w:r>
      <w:r w:rsidRPr="00566230">
        <w:rPr>
          <w:rFonts w:ascii="Times New Roman" w:hAnsi="Times New Roman" w:cs="Times New Roman"/>
          <w:noProof/>
          <w:sz w:val="24"/>
          <w:szCs w:val="24"/>
        </w:rPr>
        <w:t>. 2017;3(12):1400-1408. doi:10.1016/j.jacep.2017.04.005</w:t>
      </w:r>
    </w:p>
    <w:p w14:paraId="3EACE6CC" w14:textId="77777777" w:rsidR="00C66215" w:rsidRPr="00566230" w:rsidRDefault="004B2479" w:rsidP="000F4A95">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fldChar w:fldCharType="end"/>
      </w:r>
    </w:p>
    <w:p w14:paraId="0A1F0591" w14:textId="010E680E" w:rsidR="00C66215" w:rsidRPr="00566230" w:rsidRDefault="00C66215">
      <w:pPr>
        <w:rPr>
          <w:rFonts w:ascii="Times New Roman" w:hAnsi="Times New Roman" w:cs="Times New Roman"/>
          <w:sz w:val="24"/>
          <w:szCs w:val="24"/>
        </w:rPr>
      </w:pPr>
    </w:p>
    <w:p w14:paraId="20BA9FA7" w14:textId="328B96D9" w:rsidR="000F4A95" w:rsidRPr="00566230" w:rsidRDefault="000F4A95">
      <w:pPr>
        <w:rPr>
          <w:rFonts w:ascii="Times New Roman" w:hAnsi="Times New Roman" w:cs="Times New Roman"/>
          <w:sz w:val="24"/>
          <w:szCs w:val="24"/>
        </w:rPr>
      </w:pPr>
    </w:p>
    <w:p w14:paraId="3026C542" w14:textId="5A6A3C92" w:rsidR="000F4A95" w:rsidRPr="00566230" w:rsidRDefault="000F4A95">
      <w:pPr>
        <w:rPr>
          <w:rFonts w:ascii="Times New Roman" w:hAnsi="Times New Roman" w:cs="Times New Roman"/>
          <w:sz w:val="24"/>
          <w:szCs w:val="24"/>
        </w:rPr>
      </w:pPr>
    </w:p>
    <w:p w14:paraId="38A28917" w14:textId="4E7203A2" w:rsidR="000F4A95" w:rsidRPr="00566230" w:rsidRDefault="000F4A95">
      <w:pPr>
        <w:rPr>
          <w:rFonts w:ascii="Times New Roman" w:hAnsi="Times New Roman" w:cs="Times New Roman"/>
          <w:sz w:val="24"/>
          <w:szCs w:val="24"/>
        </w:rPr>
      </w:pPr>
    </w:p>
    <w:p w14:paraId="0702343F" w14:textId="7A9B18EB" w:rsidR="000F4A95" w:rsidRPr="00566230" w:rsidRDefault="000F4A95">
      <w:pPr>
        <w:rPr>
          <w:rFonts w:ascii="Times New Roman" w:hAnsi="Times New Roman" w:cs="Times New Roman"/>
          <w:sz w:val="24"/>
          <w:szCs w:val="24"/>
        </w:rPr>
      </w:pPr>
    </w:p>
    <w:p w14:paraId="2B17ECE1" w14:textId="4FE730CE" w:rsidR="000F4A95" w:rsidRPr="00566230" w:rsidRDefault="000F4A95">
      <w:pPr>
        <w:rPr>
          <w:rFonts w:ascii="Times New Roman" w:hAnsi="Times New Roman" w:cs="Times New Roman"/>
          <w:sz w:val="24"/>
          <w:szCs w:val="24"/>
        </w:rPr>
      </w:pPr>
    </w:p>
    <w:p w14:paraId="73482A19" w14:textId="3283E410" w:rsidR="000F4A95" w:rsidRPr="00566230" w:rsidRDefault="000F4A95">
      <w:pPr>
        <w:rPr>
          <w:rFonts w:ascii="Times New Roman" w:hAnsi="Times New Roman" w:cs="Times New Roman"/>
          <w:sz w:val="24"/>
          <w:szCs w:val="24"/>
        </w:rPr>
      </w:pPr>
    </w:p>
    <w:p w14:paraId="08D111B5" w14:textId="57A102B3" w:rsidR="000F4A95" w:rsidRPr="00566230" w:rsidRDefault="000F4A95">
      <w:pPr>
        <w:rPr>
          <w:rFonts w:ascii="Times New Roman" w:hAnsi="Times New Roman" w:cs="Times New Roman"/>
          <w:sz w:val="24"/>
          <w:szCs w:val="24"/>
        </w:rPr>
      </w:pPr>
    </w:p>
    <w:p w14:paraId="56F184D6" w14:textId="0A81F098" w:rsidR="000F4A95" w:rsidRPr="00566230" w:rsidRDefault="000F4A95">
      <w:pPr>
        <w:rPr>
          <w:rFonts w:ascii="Times New Roman" w:hAnsi="Times New Roman" w:cs="Times New Roman"/>
          <w:sz w:val="24"/>
          <w:szCs w:val="24"/>
        </w:rPr>
      </w:pPr>
    </w:p>
    <w:p w14:paraId="35F7AB72" w14:textId="138A3046" w:rsidR="000F4A95" w:rsidRPr="00566230" w:rsidRDefault="000F4A95">
      <w:pPr>
        <w:rPr>
          <w:rFonts w:ascii="Times New Roman" w:hAnsi="Times New Roman" w:cs="Times New Roman"/>
          <w:sz w:val="24"/>
          <w:szCs w:val="24"/>
        </w:rPr>
      </w:pPr>
    </w:p>
    <w:p w14:paraId="376A99B7" w14:textId="3B150E94" w:rsidR="00AC0B9B" w:rsidRPr="00566230" w:rsidRDefault="00AC0B9B">
      <w:pPr>
        <w:rPr>
          <w:rFonts w:ascii="Times New Roman" w:hAnsi="Times New Roman" w:cs="Times New Roman"/>
          <w:sz w:val="24"/>
          <w:szCs w:val="24"/>
        </w:rPr>
      </w:pPr>
    </w:p>
    <w:p w14:paraId="31DD227A" w14:textId="6861BC42" w:rsidR="00AC0B9B" w:rsidRPr="00566230" w:rsidRDefault="00AC0B9B">
      <w:pPr>
        <w:rPr>
          <w:rFonts w:ascii="Times New Roman" w:hAnsi="Times New Roman" w:cs="Times New Roman"/>
          <w:sz w:val="24"/>
          <w:szCs w:val="24"/>
        </w:rPr>
      </w:pPr>
    </w:p>
    <w:p w14:paraId="088029D0" w14:textId="39514E96" w:rsidR="00AC0B9B" w:rsidRPr="00566230" w:rsidRDefault="00AC0B9B">
      <w:pPr>
        <w:rPr>
          <w:rFonts w:ascii="Times New Roman" w:hAnsi="Times New Roman" w:cs="Times New Roman"/>
          <w:sz w:val="24"/>
          <w:szCs w:val="24"/>
        </w:rPr>
      </w:pPr>
    </w:p>
    <w:p w14:paraId="7F40AB87" w14:textId="6CFA5C4E" w:rsidR="00AC0B9B" w:rsidRPr="00566230" w:rsidRDefault="00AC0B9B">
      <w:pPr>
        <w:rPr>
          <w:rFonts w:ascii="Times New Roman" w:hAnsi="Times New Roman" w:cs="Times New Roman"/>
          <w:sz w:val="24"/>
          <w:szCs w:val="24"/>
        </w:rPr>
      </w:pPr>
    </w:p>
    <w:p w14:paraId="5BB40589" w14:textId="4E55052D" w:rsidR="00AC0B9B" w:rsidRPr="00566230" w:rsidRDefault="00AC0B9B">
      <w:pPr>
        <w:rPr>
          <w:rFonts w:ascii="Times New Roman" w:hAnsi="Times New Roman" w:cs="Times New Roman"/>
          <w:sz w:val="24"/>
          <w:szCs w:val="24"/>
        </w:rPr>
      </w:pPr>
    </w:p>
    <w:p w14:paraId="2EB47F11" w14:textId="77777777" w:rsidR="00AC0B9B" w:rsidRPr="00566230" w:rsidRDefault="00AC0B9B">
      <w:pPr>
        <w:rPr>
          <w:rFonts w:ascii="Times New Roman" w:hAnsi="Times New Roman" w:cs="Times New Roman"/>
          <w:sz w:val="24"/>
          <w:szCs w:val="24"/>
        </w:rPr>
      </w:pPr>
    </w:p>
    <w:p w14:paraId="31DD1F8A" w14:textId="0B0FC32F" w:rsidR="000F4A95" w:rsidRPr="00566230" w:rsidRDefault="000F4A95">
      <w:pPr>
        <w:rPr>
          <w:rFonts w:ascii="Times New Roman" w:hAnsi="Times New Roman" w:cs="Times New Roman"/>
          <w:sz w:val="24"/>
          <w:szCs w:val="24"/>
        </w:rPr>
      </w:pPr>
    </w:p>
    <w:p w14:paraId="76BF9193" w14:textId="2E40BAC0" w:rsidR="000F4A95" w:rsidRPr="00566230" w:rsidRDefault="000F4A95">
      <w:pPr>
        <w:rPr>
          <w:rFonts w:ascii="Times New Roman" w:hAnsi="Times New Roman" w:cs="Times New Roman"/>
          <w:sz w:val="24"/>
          <w:szCs w:val="24"/>
        </w:rPr>
      </w:pPr>
    </w:p>
    <w:p w14:paraId="7E5945E0" w14:textId="77777777" w:rsidR="00C66215" w:rsidRPr="00566230" w:rsidRDefault="00C66215">
      <w:pPr>
        <w:rPr>
          <w:rFonts w:ascii="Times New Roman" w:hAnsi="Times New Roman" w:cs="Times New Roman"/>
          <w:b/>
          <w:sz w:val="24"/>
          <w:szCs w:val="24"/>
        </w:rPr>
      </w:pPr>
      <w:r w:rsidRPr="00566230">
        <w:rPr>
          <w:rFonts w:ascii="Times New Roman" w:hAnsi="Times New Roman" w:cs="Times New Roman"/>
          <w:b/>
          <w:sz w:val="24"/>
          <w:szCs w:val="24"/>
        </w:rPr>
        <w:lastRenderedPageBreak/>
        <w:t>Figure Legends</w:t>
      </w:r>
    </w:p>
    <w:p w14:paraId="41DAACFE" w14:textId="77777777" w:rsidR="00A51A46" w:rsidRPr="00566230" w:rsidRDefault="00A51A46" w:rsidP="00A51A46">
      <w:pPr>
        <w:spacing w:line="480" w:lineRule="auto"/>
        <w:jc w:val="both"/>
        <w:rPr>
          <w:rFonts w:ascii="Times New Roman" w:hAnsi="Times New Roman" w:cs="Times New Roman"/>
          <w:sz w:val="24"/>
          <w:szCs w:val="24"/>
        </w:rPr>
      </w:pPr>
    </w:p>
    <w:p w14:paraId="7D2B679C" w14:textId="09330595" w:rsidR="00A51A46" w:rsidRPr="00566230" w:rsidRDefault="00C66215" w:rsidP="00A51A46">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Figure </w:t>
      </w:r>
      <w:r w:rsidR="00A51A46" w:rsidRPr="00566230">
        <w:rPr>
          <w:rFonts w:ascii="Times New Roman" w:hAnsi="Times New Roman" w:cs="Times New Roman"/>
          <w:sz w:val="24"/>
          <w:szCs w:val="24"/>
        </w:rPr>
        <w:t>1 -</w:t>
      </w:r>
      <w:r w:rsidRPr="00566230">
        <w:rPr>
          <w:rFonts w:ascii="Times New Roman" w:hAnsi="Times New Roman" w:cs="Times New Roman"/>
          <w:sz w:val="24"/>
          <w:szCs w:val="24"/>
        </w:rPr>
        <w:t xml:space="preserve"> Proportional representation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and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patients by </w:t>
      </w:r>
      <w:r w:rsidR="00A51A46" w:rsidRPr="00566230">
        <w:rPr>
          <w:rFonts w:ascii="Times New Roman" w:hAnsi="Times New Roman" w:cs="Times New Roman"/>
          <w:sz w:val="24"/>
          <w:szCs w:val="24"/>
        </w:rPr>
        <w:t xml:space="preserve">conventional risk factor </w:t>
      </w:r>
      <w:proofErr w:type="gramStart"/>
      <w:r w:rsidR="00A51A46" w:rsidRPr="00566230">
        <w:rPr>
          <w:rFonts w:ascii="Times New Roman" w:hAnsi="Times New Roman" w:cs="Times New Roman"/>
          <w:sz w:val="24"/>
          <w:szCs w:val="24"/>
        </w:rPr>
        <w:t>profiles:-</w:t>
      </w:r>
      <w:proofErr w:type="gramEnd"/>
      <w:r w:rsidR="00A51A46" w:rsidRPr="00566230">
        <w:rPr>
          <w:rFonts w:ascii="Times New Roman" w:hAnsi="Times New Roman" w:cs="Times New Roman"/>
          <w:sz w:val="24"/>
          <w:szCs w:val="24"/>
        </w:rPr>
        <w:t xml:space="preserve"> </w:t>
      </w:r>
      <w:proofErr w:type="spellStart"/>
      <w:r w:rsidR="00A51A46" w:rsidRPr="00566230">
        <w:rPr>
          <w:rFonts w:ascii="Times New Roman" w:hAnsi="Times New Roman" w:cs="Times New Roman"/>
          <w:sz w:val="24"/>
          <w:szCs w:val="24"/>
        </w:rPr>
        <w:t>i</w:t>
      </w:r>
      <w:proofErr w:type="spellEnd"/>
      <w:r w:rsidR="00A51A46" w:rsidRPr="00566230">
        <w:rPr>
          <w:rFonts w:ascii="Times New Roman" w:hAnsi="Times New Roman" w:cs="Times New Roman"/>
          <w:sz w:val="24"/>
          <w:szCs w:val="24"/>
        </w:rPr>
        <w:t>) Syncope and spontaneous Type I pattern, ii) Syncope only, iii) Spontaneous Type I pattern only, iv) absence of syncope and spontaneous Type I pattern</w:t>
      </w:r>
    </w:p>
    <w:p w14:paraId="0532B5A0" w14:textId="77777777" w:rsidR="00A51A46" w:rsidRPr="00566230" w:rsidRDefault="00A51A46" w:rsidP="00A51A46">
      <w:pPr>
        <w:spacing w:line="480" w:lineRule="auto"/>
        <w:jc w:val="both"/>
        <w:rPr>
          <w:rFonts w:ascii="Times New Roman" w:hAnsi="Times New Roman" w:cs="Times New Roman"/>
          <w:sz w:val="24"/>
          <w:szCs w:val="24"/>
        </w:rPr>
      </w:pPr>
    </w:p>
    <w:p w14:paraId="056E689C" w14:textId="6272F64B" w:rsidR="00C66215" w:rsidRPr="00566230" w:rsidRDefault="00A51A46" w:rsidP="00A51A46">
      <w:pPr>
        <w:spacing w:line="480" w:lineRule="auto"/>
        <w:jc w:val="both"/>
        <w:rPr>
          <w:rFonts w:ascii="Times New Roman" w:hAnsi="Times New Roman" w:cs="Times New Roman"/>
          <w:sz w:val="24"/>
          <w:szCs w:val="24"/>
        </w:rPr>
      </w:pPr>
      <w:r w:rsidRPr="00566230">
        <w:rPr>
          <w:rFonts w:ascii="Times New Roman" w:hAnsi="Times New Roman" w:cs="Times New Roman"/>
          <w:sz w:val="24"/>
          <w:szCs w:val="24"/>
        </w:rPr>
        <w:t xml:space="preserve">Figure 2 - Proportional representation of </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and non-</w:t>
      </w:r>
      <w:r w:rsidR="00A2027C" w:rsidRPr="00566230">
        <w:rPr>
          <w:rFonts w:ascii="Times New Roman" w:hAnsi="Times New Roman" w:cs="Times New Roman"/>
          <w:sz w:val="24"/>
          <w:szCs w:val="24"/>
        </w:rPr>
        <w:t>SCA</w:t>
      </w:r>
      <w:r w:rsidRPr="00566230">
        <w:rPr>
          <w:rFonts w:ascii="Times New Roman" w:hAnsi="Times New Roman" w:cs="Times New Roman"/>
          <w:sz w:val="24"/>
          <w:szCs w:val="24"/>
        </w:rPr>
        <w:t xml:space="preserve"> patients by the presence of </w:t>
      </w:r>
      <w:r w:rsidR="00C66215" w:rsidRPr="00566230">
        <w:rPr>
          <w:rFonts w:ascii="Times New Roman" w:hAnsi="Times New Roman" w:cs="Times New Roman"/>
          <w:sz w:val="24"/>
          <w:szCs w:val="24"/>
        </w:rPr>
        <w:t xml:space="preserve">other </w:t>
      </w:r>
      <w:r w:rsidRPr="00566230">
        <w:rPr>
          <w:rFonts w:ascii="Times New Roman" w:hAnsi="Times New Roman" w:cs="Times New Roman"/>
          <w:sz w:val="24"/>
          <w:szCs w:val="24"/>
        </w:rPr>
        <w:t xml:space="preserve">and newer </w:t>
      </w:r>
      <w:r w:rsidR="00C66215" w:rsidRPr="00566230">
        <w:rPr>
          <w:rFonts w:ascii="Times New Roman" w:hAnsi="Times New Roman" w:cs="Times New Roman"/>
          <w:sz w:val="24"/>
          <w:szCs w:val="24"/>
        </w:rPr>
        <w:t>types of risk markers</w:t>
      </w:r>
      <w:r w:rsidRPr="00566230">
        <w:rPr>
          <w:rFonts w:ascii="Times New Roman" w:hAnsi="Times New Roman" w:cs="Times New Roman"/>
          <w:sz w:val="24"/>
          <w:szCs w:val="24"/>
        </w:rPr>
        <w:t xml:space="preserve">: </w:t>
      </w:r>
      <w:proofErr w:type="spellStart"/>
      <w:r w:rsidRPr="00566230">
        <w:rPr>
          <w:rFonts w:ascii="Times New Roman" w:hAnsi="Times New Roman" w:cs="Times New Roman"/>
          <w:sz w:val="24"/>
          <w:szCs w:val="24"/>
        </w:rPr>
        <w:t>i</w:t>
      </w:r>
      <w:proofErr w:type="spellEnd"/>
      <w:r w:rsidRPr="00566230">
        <w:rPr>
          <w:rFonts w:ascii="Times New Roman" w:hAnsi="Times New Roman" w:cs="Times New Roman"/>
          <w:sz w:val="24"/>
          <w:szCs w:val="24"/>
        </w:rPr>
        <w:t xml:space="preserve">) Late potentials on signal-averaged ECG, ii) Significant S wave in lead I, iii) </w:t>
      </w:r>
      <w:proofErr w:type="spellStart"/>
      <w:r w:rsidRPr="00566230">
        <w:rPr>
          <w:rFonts w:ascii="Times New Roman" w:hAnsi="Times New Roman" w:cs="Times New Roman"/>
          <w:sz w:val="24"/>
          <w:szCs w:val="24"/>
        </w:rPr>
        <w:t>fQRS</w:t>
      </w:r>
      <w:proofErr w:type="spellEnd"/>
      <w:r w:rsidRPr="00566230">
        <w:rPr>
          <w:rFonts w:ascii="Times New Roman" w:hAnsi="Times New Roman" w:cs="Times New Roman"/>
          <w:sz w:val="24"/>
          <w:szCs w:val="24"/>
        </w:rPr>
        <w:t>, iv) ER pattern</w:t>
      </w:r>
    </w:p>
    <w:p w14:paraId="77AFE5F6" w14:textId="77777777" w:rsidR="00A51A46" w:rsidRPr="00566230" w:rsidRDefault="00A51A46" w:rsidP="00C66215">
      <w:pPr>
        <w:spacing w:line="480" w:lineRule="auto"/>
        <w:rPr>
          <w:rFonts w:ascii="Times New Roman" w:hAnsi="Times New Roman" w:cs="Times New Roman"/>
          <w:sz w:val="24"/>
          <w:szCs w:val="24"/>
        </w:rPr>
      </w:pPr>
    </w:p>
    <w:p w14:paraId="3215FE89" w14:textId="77777777" w:rsidR="00A51A46" w:rsidRPr="00566230" w:rsidRDefault="00A51A46" w:rsidP="00C66215">
      <w:pPr>
        <w:spacing w:line="480" w:lineRule="auto"/>
        <w:rPr>
          <w:rFonts w:ascii="Times New Roman" w:hAnsi="Times New Roman" w:cs="Times New Roman"/>
          <w:sz w:val="24"/>
          <w:szCs w:val="24"/>
        </w:rPr>
      </w:pPr>
    </w:p>
    <w:p w14:paraId="10D2A477" w14:textId="77777777" w:rsidR="00A51A46" w:rsidRPr="00566230" w:rsidRDefault="00A51A46" w:rsidP="00C66215">
      <w:pPr>
        <w:spacing w:line="480" w:lineRule="auto"/>
        <w:rPr>
          <w:rFonts w:ascii="Times New Roman" w:hAnsi="Times New Roman" w:cs="Times New Roman"/>
          <w:sz w:val="24"/>
          <w:szCs w:val="24"/>
        </w:rPr>
      </w:pPr>
    </w:p>
    <w:p w14:paraId="7BFC22C6" w14:textId="77777777" w:rsidR="00A51A46" w:rsidRPr="00566230" w:rsidRDefault="00A51A46" w:rsidP="00C66215">
      <w:pPr>
        <w:spacing w:line="480" w:lineRule="auto"/>
        <w:rPr>
          <w:rFonts w:ascii="Times New Roman" w:hAnsi="Times New Roman" w:cs="Times New Roman"/>
          <w:sz w:val="24"/>
          <w:szCs w:val="24"/>
        </w:rPr>
      </w:pPr>
    </w:p>
    <w:p w14:paraId="12CEF2F4" w14:textId="77777777" w:rsidR="00A51A46" w:rsidRPr="00566230" w:rsidRDefault="00A51A46" w:rsidP="00C66215">
      <w:pPr>
        <w:spacing w:line="480" w:lineRule="auto"/>
        <w:rPr>
          <w:rFonts w:ascii="Times New Roman" w:hAnsi="Times New Roman" w:cs="Times New Roman"/>
          <w:sz w:val="24"/>
          <w:szCs w:val="24"/>
        </w:rPr>
      </w:pPr>
    </w:p>
    <w:p w14:paraId="284B3935" w14:textId="77777777" w:rsidR="00A51A46" w:rsidRPr="00566230" w:rsidRDefault="00A51A46" w:rsidP="00C66215">
      <w:pPr>
        <w:spacing w:line="480" w:lineRule="auto"/>
        <w:rPr>
          <w:rFonts w:ascii="Times New Roman" w:hAnsi="Times New Roman" w:cs="Times New Roman"/>
          <w:sz w:val="24"/>
          <w:szCs w:val="24"/>
        </w:rPr>
      </w:pPr>
    </w:p>
    <w:p w14:paraId="68DE736E" w14:textId="77777777" w:rsidR="00A51A46" w:rsidRPr="00566230" w:rsidRDefault="00A51A46" w:rsidP="00C66215">
      <w:pPr>
        <w:spacing w:line="480" w:lineRule="auto"/>
        <w:rPr>
          <w:rFonts w:ascii="Times New Roman" w:hAnsi="Times New Roman" w:cs="Times New Roman"/>
          <w:sz w:val="24"/>
          <w:szCs w:val="24"/>
        </w:rPr>
      </w:pPr>
    </w:p>
    <w:p w14:paraId="38FF203F" w14:textId="77777777" w:rsidR="00A51A46" w:rsidRPr="00566230" w:rsidRDefault="00A51A46" w:rsidP="00C66215">
      <w:pPr>
        <w:spacing w:line="480" w:lineRule="auto"/>
        <w:rPr>
          <w:rFonts w:ascii="Times New Roman" w:hAnsi="Times New Roman" w:cs="Times New Roman"/>
          <w:sz w:val="24"/>
          <w:szCs w:val="24"/>
        </w:rPr>
      </w:pPr>
    </w:p>
    <w:p w14:paraId="2E84F032" w14:textId="77777777" w:rsidR="00A51A46" w:rsidRPr="00566230" w:rsidRDefault="00A51A46" w:rsidP="00C66215">
      <w:pPr>
        <w:spacing w:line="480" w:lineRule="auto"/>
        <w:rPr>
          <w:rFonts w:ascii="Times New Roman" w:hAnsi="Times New Roman" w:cs="Times New Roman"/>
          <w:sz w:val="24"/>
          <w:szCs w:val="24"/>
        </w:rPr>
      </w:pPr>
    </w:p>
    <w:p w14:paraId="3CFF89CD" w14:textId="77777777" w:rsidR="00A51A46" w:rsidRPr="00566230" w:rsidRDefault="00A51A46" w:rsidP="00C66215">
      <w:pPr>
        <w:spacing w:line="480" w:lineRule="auto"/>
        <w:rPr>
          <w:rFonts w:ascii="Times New Roman" w:hAnsi="Times New Roman" w:cs="Times New Roman"/>
          <w:sz w:val="24"/>
          <w:szCs w:val="24"/>
        </w:rPr>
      </w:pPr>
    </w:p>
    <w:p w14:paraId="32565CEF" w14:textId="77777777" w:rsidR="00A51A46" w:rsidRPr="00566230" w:rsidRDefault="00A51A46" w:rsidP="00C66215">
      <w:pPr>
        <w:spacing w:line="480" w:lineRule="auto"/>
        <w:rPr>
          <w:rFonts w:ascii="Times New Roman" w:hAnsi="Times New Roman" w:cs="Times New Roman"/>
          <w:sz w:val="24"/>
          <w:szCs w:val="24"/>
        </w:rPr>
      </w:pPr>
    </w:p>
    <w:p w14:paraId="36380009" w14:textId="1A419179" w:rsidR="00A51A46" w:rsidRDefault="00A51A46" w:rsidP="00C66215">
      <w:pPr>
        <w:spacing w:line="480" w:lineRule="auto"/>
        <w:rPr>
          <w:rFonts w:ascii="Times New Roman" w:hAnsi="Times New Roman" w:cs="Times New Roman"/>
          <w:sz w:val="24"/>
          <w:szCs w:val="24"/>
        </w:rPr>
      </w:pPr>
    </w:p>
    <w:p w14:paraId="59935038" w14:textId="77777777" w:rsidR="009F53C5" w:rsidRPr="008B1AA6" w:rsidRDefault="009F53C5" w:rsidP="009F53C5">
      <w:pPr>
        <w:spacing w:line="480" w:lineRule="auto"/>
        <w:rPr>
          <w:rFonts w:ascii="Times New Roman" w:hAnsi="Times New Roman" w:cs="Times New Roman"/>
          <w:b/>
          <w:sz w:val="24"/>
          <w:szCs w:val="24"/>
        </w:rPr>
      </w:pPr>
      <w:r w:rsidRPr="008B1AA6">
        <w:rPr>
          <w:rFonts w:ascii="Times New Roman" w:hAnsi="Times New Roman" w:cs="Times New Roman"/>
          <w:b/>
          <w:sz w:val="24"/>
          <w:szCs w:val="24"/>
        </w:rPr>
        <w:lastRenderedPageBreak/>
        <w:t>Figure 1</w:t>
      </w:r>
    </w:p>
    <w:p w14:paraId="0379474B" w14:textId="77777777" w:rsidR="009F53C5" w:rsidRDefault="009F53C5" w:rsidP="009F53C5">
      <w:pPr>
        <w:spacing w:line="480" w:lineRule="auto"/>
        <w:rPr>
          <w:rFonts w:ascii="Times New Roman" w:hAnsi="Times New Roman" w:cs="Times New Roman"/>
          <w:sz w:val="24"/>
          <w:szCs w:val="24"/>
        </w:rPr>
      </w:pPr>
      <w:r w:rsidRPr="003833DA">
        <w:rPr>
          <w:rFonts w:ascii="Times New Roman" w:hAnsi="Times New Roman" w:cs="Times New Roman"/>
          <w:noProof/>
          <w:sz w:val="24"/>
          <w:szCs w:val="24"/>
        </w:rPr>
        <w:drawing>
          <wp:inline distT="0" distB="0" distL="0" distR="0" wp14:anchorId="6E97F1A4" wp14:editId="561E0DF9">
            <wp:extent cx="5731510" cy="3960495"/>
            <wp:effectExtent l="0" t="0" r="2540" b="1905"/>
            <wp:docPr id="7" name="Picture 6">
              <a:extLst xmlns:a="http://schemas.openxmlformats.org/drawingml/2006/main">
                <a:ext uri="{FF2B5EF4-FFF2-40B4-BE49-F238E27FC236}">
                  <a16:creationId xmlns:a16="http://schemas.microsoft.com/office/drawing/2014/main" id="{40274A11-DC0F-4399-8461-48AAFF2BE1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0274A11-DC0F-4399-8461-48AAFF2BE14D}"/>
                        </a:ext>
                      </a:extLst>
                    </pic:cNvPr>
                    <pic:cNvPicPr>
                      <a:picLocks noChangeAspect="1"/>
                    </pic:cNvPicPr>
                  </pic:nvPicPr>
                  <pic:blipFill>
                    <a:blip r:embed="rId7"/>
                    <a:stretch>
                      <a:fillRect/>
                    </a:stretch>
                  </pic:blipFill>
                  <pic:spPr>
                    <a:xfrm>
                      <a:off x="0" y="0"/>
                      <a:ext cx="5731510" cy="3960495"/>
                    </a:xfrm>
                    <a:prstGeom prst="rect">
                      <a:avLst/>
                    </a:prstGeom>
                  </pic:spPr>
                </pic:pic>
              </a:graphicData>
            </a:graphic>
          </wp:inline>
        </w:drawing>
      </w:r>
    </w:p>
    <w:p w14:paraId="5EB0BEA4" w14:textId="77777777" w:rsidR="009F53C5" w:rsidRDefault="009F53C5" w:rsidP="009F53C5">
      <w:pPr>
        <w:rPr>
          <w:rFonts w:ascii="Times New Roman" w:hAnsi="Times New Roman" w:cs="Times New Roman"/>
          <w:sz w:val="24"/>
          <w:szCs w:val="24"/>
        </w:rPr>
      </w:pPr>
    </w:p>
    <w:p w14:paraId="3D8E94D6" w14:textId="77777777" w:rsidR="009F53C5" w:rsidRDefault="009F53C5" w:rsidP="009F53C5">
      <w:pPr>
        <w:rPr>
          <w:rFonts w:ascii="Times New Roman" w:hAnsi="Times New Roman" w:cs="Times New Roman"/>
          <w:sz w:val="24"/>
          <w:szCs w:val="24"/>
        </w:rPr>
      </w:pPr>
    </w:p>
    <w:p w14:paraId="21F0A7DE" w14:textId="77777777" w:rsidR="009F53C5" w:rsidRDefault="009F53C5" w:rsidP="009F53C5">
      <w:pPr>
        <w:rPr>
          <w:rFonts w:ascii="Times New Roman" w:hAnsi="Times New Roman" w:cs="Times New Roman"/>
          <w:sz w:val="24"/>
          <w:szCs w:val="24"/>
        </w:rPr>
      </w:pPr>
    </w:p>
    <w:p w14:paraId="2864A620" w14:textId="77777777" w:rsidR="009F53C5" w:rsidRDefault="009F53C5" w:rsidP="009F53C5">
      <w:pPr>
        <w:rPr>
          <w:rFonts w:ascii="Times New Roman" w:hAnsi="Times New Roman" w:cs="Times New Roman"/>
          <w:sz w:val="24"/>
          <w:szCs w:val="24"/>
        </w:rPr>
      </w:pPr>
    </w:p>
    <w:p w14:paraId="3845CF20" w14:textId="77777777" w:rsidR="009F53C5" w:rsidRDefault="009F53C5" w:rsidP="009F53C5">
      <w:pPr>
        <w:rPr>
          <w:rFonts w:ascii="Times New Roman" w:hAnsi="Times New Roman" w:cs="Times New Roman"/>
          <w:sz w:val="24"/>
          <w:szCs w:val="24"/>
        </w:rPr>
      </w:pPr>
    </w:p>
    <w:p w14:paraId="6927CCA0" w14:textId="77777777" w:rsidR="009F53C5" w:rsidRDefault="009F53C5" w:rsidP="009F53C5">
      <w:pPr>
        <w:rPr>
          <w:rFonts w:ascii="Times New Roman" w:hAnsi="Times New Roman" w:cs="Times New Roman"/>
          <w:sz w:val="24"/>
          <w:szCs w:val="24"/>
        </w:rPr>
      </w:pPr>
    </w:p>
    <w:p w14:paraId="36E1F356" w14:textId="77777777" w:rsidR="009F53C5" w:rsidRDefault="009F53C5" w:rsidP="009F53C5">
      <w:pPr>
        <w:rPr>
          <w:rFonts w:ascii="Times New Roman" w:hAnsi="Times New Roman" w:cs="Times New Roman"/>
          <w:sz w:val="24"/>
          <w:szCs w:val="24"/>
        </w:rPr>
      </w:pPr>
    </w:p>
    <w:p w14:paraId="15410296" w14:textId="77777777" w:rsidR="009F53C5" w:rsidRDefault="009F53C5" w:rsidP="009F53C5">
      <w:pPr>
        <w:rPr>
          <w:rFonts w:ascii="Times New Roman" w:hAnsi="Times New Roman" w:cs="Times New Roman"/>
          <w:sz w:val="24"/>
          <w:szCs w:val="24"/>
        </w:rPr>
      </w:pPr>
    </w:p>
    <w:p w14:paraId="7A0CEDE2" w14:textId="77777777" w:rsidR="009F53C5" w:rsidRDefault="009F53C5" w:rsidP="009F53C5">
      <w:pPr>
        <w:rPr>
          <w:rFonts w:ascii="Times New Roman" w:hAnsi="Times New Roman" w:cs="Times New Roman"/>
          <w:sz w:val="24"/>
          <w:szCs w:val="24"/>
        </w:rPr>
      </w:pPr>
    </w:p>
    <w:p w14:paraId="5D0EFC8C" w14:textId="77777777" w:rsidR="009F53C5" w:rsidRDefault="009F53C5" w:rsidP="009F53C5">
      <w:pPr>
        <w:rPr>
          <w:rFonts w:ascii="Times New Roman" w:hAnsi="Times New Roman" w:cs="Times New Roman"/>
          <w:sz w:val="24"/>
          <w:szCs w:val="24"/>
        </w:rPr>
      </w:pPr>
    </w:p>
    <w:p w14:paraId="22FB7408" w14:textId="77777777" w:rsidR="009F53C5" w:rsidRDefault="009F53C5" w:rsidP="009F53C5">
      <w:pPr>
        <w:rPr>
          <w:rFonts w:ascii="Times New Roman" w:hAnsi="Times New Roman" w:cs="Times New Roman"/>
          <w:sz w:val="24"/>
          <w:szCs w:val="24"/>
        </w:rPr>
      </w:pPr>
    </w:p>
    <w:p w14:paraId="239F2356" w14:textId="77777777" w:rsidR="009F53C5" w:rsidRDefault="009F53C5" w:rsidP="009F53C5">
      <w:pPr>
        <w:rPr>
          <w:rFonts w:ascii="Times New Roman" w:hAnsi="Times New Roman" w:cs="Times New Roman"/>
          <w:sz w:val="24"/>
          <w:szCs w:val="24"/>
        </w:rPr>
      </w:pPr>
    </w:p>
    <w:p w14:paraId="2B1B5836" w14:textId="77777777" w:rsidR="009F53C5" w:rsidRDefault="009F53C5" w:rsidP="009F53C5">
      <w:pPr>
        <w:rPr>
          <w:rFonts w:ascii="Times New Roman" w:hAnsi="Times New Roman" w:cs="Times New Roman"/>
          <w:sz w:val="24"/>
          <w:szCs w:val="24"/>
        </w:rPr>
      </w:pPr>
    </w:p>
    <w:p w14:paraId="5313CB69" w14:textId="77777777" w:rsidR="009F53C5" w:rsidRDefault="009F53C5" w:rsidP="009F53C5">
      <w:pPr>
        <w:rPr>
          <w:rFonts w:ascii="Times New Roman" w:hAnsi="Times New Roman" w:cs="Times New Roman"/>
          <w:sz w:val="24"/>
          <w:szCs w:val="24"/>
        </w:rPr>
      </w:pPr>
    </w:p>
    <w:p w14:paraId="396F5309" w14:textId="77777777" w:rsidR="009F53C5" w:rsidRPr="008B1AA6" w:rsidRDefault="009F53C5" w:rsidP="009F53C5">
      <w:pPr>
        <w:rPr>
          <w:rFonts w:ascii="Times New Roman" w:hAnsi="Times New Roman" w:cs="Times New Roman"/>
          <w:b/>
          <w:sz w:val="24"/>
          <w:szCs w:val="24"/>
        </w:rPr>
      </w:pPr>
      <w:r w:rsidRPr="008B1AA6">
        <w:rPr>
          <w:rFonts w:ascii="Times New Roman" w:hAnsi="Times New Roman" w:cs="Times New Roman"/>
          <w:b/>
          <w:sz w:val="24"/>
          <w:szCs w:val="24"/>
        </w:rPr>
        <w:lastRenderedPageBreak/>
        <w:t>Figure 2</w:t>
      </w:r>
    </w:p>
    <w:p w14:paraId="7ED15C94" w14:textId="77777777" w:rsidR="009F53C5" w:rsidRPr="00C66215" w:rsidRDefault="009F53C5" w:rsidP="009F53C5">
      <w:pPr>
        <w:rPr>
          <w:rFonts w:ascii="Times New Roman" w:hAnsi="Times New Roman" w:cs="Times New Roman"/>
          <w:sz w:val="24"/>
          <w:szCs w:val="24"/>
        </w:rPr>
      </w:pPr>
      <w:r w:rsidRPr="003833DA">
        <w:rPr>
          <w:rFonts w:ascii="Times New Roman" w:hAnsi="Times New Roman" w:cs="Times New Roman"/>
          <w:noProof/>
          <w:sz w:val="24"/>
          <w:szCs w:val="24"/>
        </w:rPr>
        <w:drawing>
          <wp:inline distT="0" distB="0" distL="0" distR="0" wp14:anchorId="5A0AEACA" wp14:editId="6FDE1F59">
            <wp:extent cx="5514975" cy="4133850"/>
            <wp:effectExtent l="0" t="0" r="9525" b="0"/>
            <wp:docPr id="1" name="Picture 6">
              <a:extLst xmlns:a="http://schemas.openxmlformats.org/drawingml/2006/main">
                <a:ext uri="{FF2B5EF4-FFF2-40B4-BE49-F238E27FC236}">
                  <a16:creationId xmlns:a16="http://schemas.microsoft.com/office/drawing/2014/main" id="{42038BD4-604A-4505-A9DC-A9F43FB7E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2038BD4-604A-4505-A9DC-A9F43FB7EB08}"/>
                        </a:ext>
                      </a:extLst>
                    </pic:cNvPr>
                    <pic:cNvPicPr>
                      <a:picLocks noChangeAspect="1"/>
                    </pic:cNvPicPr>
                  </pic:nvPicPr>
                  <pic:blipFill>
                    <a:blip r:embed="rId8"/>
                    <a:stretch>
                      <a:fillRect/>
                    </a:stretch>
                  </pic:blipFill>
                  <pic:spPr>
                    <a:xfrm>
                      <a:off x="0" y="0"/>
                      <a:ext cx="5514975" cy="4133850"/>
                    </a:xfrm>
                    <a:prstGeom prst="rect">
                      <a:avLst/>
                    </a:prstGeom>
                  </pic:spPr>
                </pic:pic>
              </a:graphicData>
            </a:graphic>
          </wp:inline>
        </w:drawing>
      </w:r>
    </w:p>
    <w:p w14:paraId="40D99194" w14:textId="77777777" w:rsidR="009F53C5" w:rsidRDefault="009F53C5" w:rsidP="009F53C5">
      <w:pPr>
        <w:rPr>
          <w:rFonts w:ascii="Times New Roman" w:hAnsi="Times New Roman" w:cs="Times New Roman"/>
          <w:sz w:val="24"/>
          <w:szCs w:val="24"/>
        </w:rPr>
      </w:pPr>
    </w:p>
    <w:p w14:paraId="75B29F52" w14:textId="77777777" w:rsidR="009F53C5" w:rsidRDefault="009F53C5" w:rsidP="009F53C5">
      <w:pPr>
        <w:rPr>
          <w:rFonts w:ascii="Times New Roman" w:hAnsi="Times New Roman" w:cs="Times New Roman"/>
          <w:sz w:val="24"/>
          <w:szCs w:val="24"/>
        </w:rPr>
      </w:pPr>
    </w:p>
    <w:p w14:paraId="609714B5" w14:textId="77777777" w:rsidR="009F53C5" w:rsidRDefault="009F53C5" w:rsidP="009F53C5">
      <w:pPr>
        <w:rPr>
          <w:rFonts w:ascii="Times New Roman" w:hAnsi="Times New Roman" w:cs="Times New Roman"/>
          <w:sz w:val="24"/>
          <w:szCs w:val="24"/>
        </w:rPr>
      </w:pPr>
    </w:p>
    <w:p w14:paraId="1F0250C7" w14:textId="77777777" w:rsidR="009F53C5" w:rsidRDefault="009F53C5" w:rsidP="009F53C5">
      <w:pPr>
        <w:rPr>
          <w:rFonts w:ascii="Times New Roman" w:hAnsi="Times New Roman" w:cs="Times New Roman"/>
          <w:sz w:val="24"/>
          <w:szCs w:val="24"/>
        </w:rPr>
      </w:pPr>
    </w:p>
    <w:p w14:paraId="36E1A0C9" w14:textId="77777777" w:rsidR="009F53C5" w:rsidRDefault="009F53C5" w:rsidP="009F53C5">
      <w:pPr>
        <w:rPr>
          <w:rFonts w:ascii="Times New Roman" w:hAnsi="Times New Roman" w:cs="Times New Roman"/>
          <w:sz w:val="24"/>
          <w:szCs w:val="24"/>
        </w:rPr>
      </w:pPr>
    </w:p>
    <w:p w14:paraId="08E2053B" w14:textId="77777777" w:rsidR="009F53C5" w:rsidRDefault="009F53C5" w:rsidP="009F53C5">
      <w:pPr>
        <w:rPr>
          <w:rFonts w:ascii="Times New Roman" w:hAnsi="Times New Roman" w:cs="Times New Roman"/>
          <w:sz w:val="24"/>
          <w:szCs w:val="24"/>
        </w:rPr>
      </w:pPr>
    </w:p>
    <w:p w14:paraId="61EF637A" w14:textId="77777777" w:rsidR="009F53C5" w:rsidRDefault="009F53C5" w:rsidP="009F53C5">
      <w:pPr>
        <w:rPr>
          <w:rFonts w:ascii="Times New Roman" w:hAnsi="Times New Roman" w:cs="Times New Roman"/>
          <w:sz w:val="24"/>
          <w:szCs w:val="24"/>
        </w:rPr>
      </w:pPr>
    </w:p>
    <w:p w14:paraId="37C81E41" w14:textId="77777777" w:rsidR="009F53C5" w:rsidRDefault="009F53C5" w:rsidP="009F53C5">
      <w:pPr>
        <w:rPr>
          <w:rFonts w:ascii="Times New Roman" w:hAnsi="Times New Roman" w:cs="Times New Roman"/>
          <w:sz w:val="24"/>
          <w:szCs w:val="24"/>
        </w:rPr>
      </w:pPr>
    </w:p>
    <w:p w14:paraId="133D82C6" w14:textId="77777777" w:rsidR="009F53C5" w:rsidRDefault="009F53C5" w:rsidP="009F53C5">
      <w:pPr>
        <w:spacing w:line="480" w:lineRule="auto"/>
        <w:rPr>
          <w:rFonts w:ascii="Times New Roman" w:hAnsi="Times New Roman" w:cs="Times New Roman"/>
          <w:i/>
          <w:sz w:val="24"/>
          <w:szCs w:val="24"/>
        </w:rPr>
      </w:pPr>
      <w:r>
        <w:rPr>
          <w:rFonts w:ascii="Times New Roman" w:hAnsi="Times New Roman" w:cs="Times New Roman"/>
          <w:i/>
          <w:noProof/>
          <w:sz w:val="24"/>
          <w:szCs w:val="24"/>
          <w:lang w:eastAsia="en-GB"/>
        </w:rPr>
        <w:lastRenderedPageBreak/>
        <w:drawing>
          <wp:inline distT="0" distB="0" distL="0" distR="0" wp14:anchorId="37657C9D" wp14:editId="4B6A6070">
            <wp:extent cx="5722620" cy="27051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2620" cy="2705100"/>
                    </a:xfrm>
                    <a:prstGeom prst="rect">
                      <a:avLst/>
                    </a:prstGeom>
                    <a:noFill/>
                    <a:ln>
                      <a:noFill/>
                    </a:ln>
                  </pic:spPr>
                </pic:pic>
              </a:graphicData>
            </a:graphic>
          </wp:inline>
        </w:drawing>
      </w:r>
    </w:p>
    <w:p w14:paraId="39CEB3A2" w14:textId="77777777" w:rsidR="009F53C5" w:rsidRPr="008B1AA6" w:rsidRDefault="009F53C5" w:rsidP="009F53C5">
      <w:pPr>
        <w:spacing w:line="480" w:lineRule="auto"/>
        <w:rPr>
          <w:rFonts w:ascii="Times New Roman" w:hAnsi="Times New Roman" w:cs="Times New Roman"/>
          <w:b/>
          <w:sz w:val="24"/>
          <w:szCs w:val="24"/>
        </w:rPr>
      </w:pPr>
      <w:r w:rsidRPr="008B1AA6">
        <w:rPr>
          <w:rFonts w:ascii="Times New Roman" w:hAnsi="Times New Roman" w:cs="Times New Roman"/>
          <w:b/>
          <w:sz w:val="24"/>
          <w:szCs w:val="24"/>
        </w:rPr>
        <w:t>Table 1 Characteristics of patients with previous aborted SC</w:t>
      </w:r>
      <w:r>
        <w:rPr>
          <w:rFonts w:ascii="Times New Roman" w:hAnsi="Times New Roman" w:cs="Times New Roman"/>
          <w:b/>
          <w:sz w:val="24"/>
          <w:szCs w:val="24"/>
        </w:rPr>
        <w:t>A</w:t>
      </w:r>
      <w:r w:rsidRPr="008B1AA6">
        <w:rPr>
          <w:rFonts w:ascii="Times New Roman" w:hAnsi="Times New Roman" w:cs="Times New Roman"/>
          <w:b/>
          <w:sz w:val="24"/>
          <w:szCs w:val="24"/>
        </w:rPr>
        <w:t xml:space="preserve"> event</w:t>
      </w:r>
    </w:p>
    <w:p w14:paraId="49CE0F30" w14:textId="77777777" w:rsidR="009F53C5" w:rsidRDefault="009F53C5" w:rsidP="009F53C5">
      <w:pPr>
        <w:spacing w:line="480" w:lineRule="auto"/>
        <w:rPr>
          <w:rFonts w:ascii="Times New Roman" w:hAnsi="Times New Roman" w:cs="Times New Roman"/>
          <w:sz w:val="24"/>
          <w:szCs w:val="24"/>
        </w:rPr>
      </w:pPr>
    </w:p>
    <w:p w14:paraId="01298D44" w14:textId="77777777" w:rsidR="009F53C5" w:rsidRDefault="009F53C5" w:rsidP="009F53C5">
      <w:pPr>
        <w:spacing w:line="480" w:lineRule="auto"/>
        <w:rPr>
          <w:rFonts w:ascii="Times New Roman" w:hAnsi="Times New Roman" w:cs="Times New Roman"/>
          <w:sz w:val="24"/>
          <w:szCs w:val="24"/>
        </w:rPr>
      </w:pPr>
    </w:p>
    <w:p w14:paraId="321D219A" w14:textId="77777777" w:rsidR="009F53C5" w:rsidRDefault="009F53C5" w:rsidP="009F53C5">
      <w:pPr>
        <w:spacing w:line="480" w:lineRule="auto"/>
        <w:rPr>
          <w:rFonts w:ascii="Times New Roman" w:hAnsi="Times New Roman" w:cs="Times New Roman"/>
          <w:sz w:val="24"/>
          <w:szCs w:val="24"/>
        </w:rPr>
      </w:pPr>
    </w:p>
    <w:p w14:paraId="229ED7C1" w14:textId="77777777" w:rsidR="009F53C5" w:rsidRDefault="009F53C5" w:rsidP="009F53C5">
      <w:pPr>
        <w:spacing w:line="480" w:lineRule="auto"/>
        <w:rPr>
          <w:rFonts w:ascii="Times New Roman" w:hAnsi="Times New Roman" w:cs="Times New Roman"/>
          <w:sz w:val="24"/>
          <w:szCs w:val="24"/>
        </w:rPr>
      </w:pPr>
    </w:p>
    <w:p w14:paraId="42C7DF0B" w14:textId="77777777" w:rsidR="009F53C5" w:rsidRDefault="009F53C5" w:rsidP="009F53C5">
      <w:pPr>
        <w:spacing w:line="480" w:lineRule="auto"/>
        <w:rPr>
          <w:rFonts w:ascii="Times New Roman" w:hAnsi="Times New Roman" w:cs="Times New Roman"/>
          <w:sz w:val="24"/>
          <w:szCs w:val="24"/>
        </w:rPr>
      </w:pPr>
    </w:p>
    <w:p w14:paraId="08C4759D" w14:textId="77777777" w:rsidR="009F53C5" w:rsidRDefault="009F53C5" w:rsidP="009F53C5">
      <w:pPr>
        <w:spacing w:line="480" w:lineRule="auto"/>
        <w:rPr>
          <w:rFonts w:ascii="Times New Roman" w:hAnsi="Times New Roman" w:cs="Times New Roman"/>
          <w:sz w:val="24"/>
          <w:szCs w:val="24"/>
        </w:rPr>
      </w:pPr>
    </w:p>
    <w:p w14:paraId="73E0C446" w14:textId="77777777" w:rsidR="009F53C5" w:rsidRDefault="009F53C5" w:rsidP="009F53C5">
      <w:pPr>
        <w:spacing w:line="480" w:lineRule="auto"/>
        <w:rPr>
          <w:rFonts w:ascii="Times New Roman" w:hAnsi="Times New Roman" w:cs="Times New Roman"/>
          <w:sz w:val="24"/>
          <w:szCs w:val="24"/>
        </w:rPr>
      </w:pPr>
    </w:p>
    <w:p w14:paraId="10D6B322" w14:textId="77777777" w:rsidR="009F53C5" w:rsidRDefault="009F53C5" w:rsidP="009F53C5">
      <w:pPr>
        <w:spacing w:line="480" w:lineRule="auto"/>
        <w:rPr>
          <w:rFonts w:ascii="Times New Roman" w:hAnsi="Times New Roman" w:cs="Times New Roman"/>
          <w:sz w:val="24"/>
          <w:szCs w:val="24"/>
        </w:rPr>
      </w:pPr>
    </w:p>
    <w:p w14:paraId="17A2E304" w14:textId="77777777" w:rsidR="009F53C5" w:rsidRDefault="009F53C5" w:rsidP="009F53C5">
      <w:pPr>
        <w:spacing w:line="480" w:lineRule="auto"/>
        <w:rPr>
          <w:rFonts w:ascii="Times New Roman" w:hAnsi="Times New Roman" w:cs="Times New Roman"/>
          <w:sz w:val="24"/>
          <w:szCs w:val="24"/>
        </w:rPr>
      </w:pPr>
    </w:p>
    <w:p w14:paraId="5EEBC4C0" w14:textId="77777777" w:rsidR="009F53C5" w:rsidRDefault="009F53C5" w:rsidP="009F53C5">
      <w:pPr>
        <w:spacing w:line="480" w:lineRule="auto"/>
        <w:rPr>
          <w:rFonts w:ascii="Times New Roman" w:hAnsi="Times New Roman" w:cs="Times New Roman"/>
          <w:sz w:val="24"/>
          <w:szCs w:val="24"/>
        </w:rPr>
      </w:pPr>
    </w:p>
    <w:p w14:paraId="15E7F1B7" w14:textId="77777777" w:rsidR="009F53C5" w:rsidRDefault="009F53C5" w:rsidP="009F53C5">
      <w:pPr>
        <w:spacing w:line="480" w:lineRule="auto"/>
        <w:rPr>
          <w:rFonts w:ascii="Times New Roman" w:hAnsi="Times New Roman" w:cs="Times New Roman"/>
          <w:sz w:val="24"/>
          <w:szCs w:val="24"/>
        </w:rPr>
      </w:pPr>
    </w:p>
    <w:p w14:paraId="7E30A589" w14:textId="77777777" w:rsidR="009F53C5" w:rsidRDefault="009F53C5" w:rsidP="009F53C5">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464"/>
        <w:gridCol w:w="2246"/>
        <w:gridCol w:w="2290"/>
        <w:gridCol w:w="2016"/>
      </w:tblGrid>
      <w:tr w:rsidR="009F53C5" w14:paraId="32245C06" w14:textId="77777777" w:rsidTr="00AD1AC9">
        <w:tc>
          <w:tcPr>
            <w:tcW w:w="2464" w:type="dxa"/>
          </w:tcPr>
          <w:p w14:paraId="2B4B717B" w14:textId="77777777" w:rsidR="009F53C5" w:rsidRDefault="009F53C5" w:rsidP="00AD1AC9">
            <w:pPr>
              <w:spacing w:line="276" w:lineRule="auto"/>
              <w:rPr>
                <w:rFonts w:ascii="Times New Roman" w:hAnsi="Times New Roman" w:cs="Times New Roman"/>
                <w:sz w:val="24"/>
                <w:szCs w:val="24"/>
              </w:rPr>
            </w:pPr>
          </w:p>
        </w:tc>
        <w:tc>
          <w:tcPr>
            <w:tcW w:w="2246" w:type="dxa"/>
          </w:tcPr>
          <w:p w14:paraId="084D4724"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SCA group</w:t>
            </w:r>
          </w:p>
          <w:p w14:paraId="17AEE02F"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(n=10)</w:t>
            </w:r>
          </w:p>
        </w:tc>
        <w:tc>
          <w:tcPr>
            <w:tcW w:w="2290" w:type="dxa"/>
          </w:tcPr>
          <w:p w14:paraId="2ADB3614"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Non-SCA group</w:t>
            </w:r>
          </w:p>
          <w:p w14:paraId="36B67049"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(n=123)</w:t>
            </w:r>
          </w:p>
        </w:tc>
        <w:tc>
          <w:tcPr>
            <w:tcW w:w="2016" w:type="dxa"/>
          </w:tcPr>
          <w:p w14:paraId="0FFE8441"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P value</w:t>
            </w:r>
          </w:p>
        </w:tc>
      </w:tr>
      <w:tr w:rsidR="009F53C5" w14:paraId="5796CF9E" w14:textId="77777777" w:rsidTr="00AD1AC9">
        <w:tc>
          <w:tcPr>
            <w:tcW w:w="2464" w:type="dxa"/>
          </w:tcPr>
          <w:p w14:paraId="37EB24AD"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Age at diagnosis (years)</w:t>
            </w:r>
          </w:p>
        </w:tc>
        <w:tc>
          <w:tcPr>
            <w:tcW w:w="2246" w:type="dxa"/>
          </w:tcPr>
          <w:p w14:paraId="52EADA29"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38±12</w:t>
            </w:r>
          </w:p>
        </w:tc>
        <w:tc>
          <w:tcPr>
            <w:tcW w:w="2290" w:type="dxa"/>
          </w:tcPr>
          <w:p w14:paraId="16C04484"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45±15</w:t>
            </w:r>
          </w:p>
        </w:tc>
        <w:tc>
          <w:tcPr>
            <w:tcW w:w="2016" w:type="dxa"/>
          </w:tcPr>
          <w:p w14:paraId="69114BD3"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68EE4444" w14:textId="77777777" w:rsidTr="00AD1AC9">
        <w:tc>
          <w:tcPr>
            <w:tcW w:w="2464" w:type="dxa"/>
          </w:tcPr>
          <w:p w14:paraId="4FA7C4CD" w14:textId="77777777" w:rsidR="009F53C5" w:rsidRDefault="009F53C5" w:rsidP="00AD1AC9">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Male:Female</w:t>
            </w:r>
            <w:proofErr w:type="spellEnd"/>
            <w:r>
              <w:rPr>
                <w:rFonts w:ascii="Times New Roman" w:hAnsi="Times New Roman" w:cs="Times New Roman"/>
                <w:sz w:val="24"/>
                <w:szCs w:val="24"/>
              </w:rPr>
              <w:t xml:space="preserve"> ratio</w:t>
            </w:r>
          </w:p>
        </w:tc>
        <w:tc>
          <w:tcPr>
            <w:tcW w:w="2246" w:type="dxa"/>
          </w:tcPr>
          <w:p w14:paraId="7235D598"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9:1</w:t>
            </w:r>
          </w:p>
        </w:tc>
        <w:tc>
          <w:tcPr>
            <w:tcW w:w="2290" w:type="dxa"/>
          </w:tcPr>
          <w:p w14:paraId="1650225B"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2:1</w:t>
            </w:r>
          </w:p>
        </w:tc>
        <w:tc>
          <w:tcPr>
            <w:tcW w:w="2016" w:type="dxa"/>
          </w:tcPr>
          <w:p w14:paraId="1B42B389"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0.04</w:t>
            </w:r>
          </w:p>
        </w:tc>
      </w:tr>
      <w:tr w:rsidR="009F53C5" w14:paraId="23309BF4" w14:textId="77777777" w:rsidTr="00AD1AC9">
        <w:tc>
          <w:tcPr>
            <w:tcW w:w="2464" w:type="dxa"/>
          </w:tcPr>
          <w:p w14:paraId="17BDD912" w14:textId="77777777" w:rsidR="009F53C5" w:rsidRPr="008E678F" w:rsidRDefault="009F53C5" w:rsidP="00AD1AC9">
            <w:pPr>
              <w:spacing w:line="276" w:lineRule="auto"/>
              <w:rPr>
                <w:rFonts w:ascii="Times New Roman" w:hAnsi="Times New Roman" w:cs="Times New Roman"/>
                <w:b/>
                <w:sz w:val="24"/>
                <w:szCs w:val="24"/>
              </w:rPr>
            </w:pPr>
            <w:r w:rsidRPr="008E678F">
              <w:rPr>
                <w:rFonts w:ascii="Times New Roman" w:hAnsi="Times New Roman" w:cs="Times New Roman"/>
                <w:b/>
                <w:sz w:val="24"/>
                <w:szCs w:val="24"/>
              </w:rPr>
              <w:t>Clinical Parameters</w:t>
            </w:r>
          </w:p>
        </w:tc>
        <w:tc>
          <w:tcPr>
            <w:tcW w:w="2246" w:type="dxa"/>
          </w:tcPr>
          <w:p w14:paraId="693D3E62" w14:textId="77777777" w:rsidR="009F53C5" w:rsidRDefault="009F53C5" w:rsidP="00AD1AC9">
            <w:pPr>
              <w:spacing w:line="276" w:lineRule="auto"/>
              <w:rPr>
                <w:rFonts w:ascii="Times New Roman" w:hAnsi="Times New Roman" w:cs="Times New Roman"/>
                <w:sz w:val="24"/>
                <w:szCs w:val="24"/>
              </w:rPr>
            </w:pPr>
          </w:p>
        </w:tc>
        <w:tc>
          <w:tcPr>
            <w:tcW w:w="2290" w:type="dxa"/>
          </w:tcPr>
          <w:p w14:paraId="6D8F344E" w14:textId="77777777" w:rsidR="009F53C5" w:rsidRDefault="009F53C5" w:rsidP="00AD1AC9">
            <w:pPr>
              <w:spacing w:line="276" w:lineRule="auto"/>
              <w:rPr>
                <w:rFonts w:ascii="Times New Roman" w:hAnsi="Times New Roman" w:cs="Times New Roman"/>
                <w:sz w:val="24"/>
                <w:szCs w:val="24"/>
              </w:rPr>
            </w:pPr>
          </w:p>
        </w:tc>
        <w:tc>
          <w:tcPr>
            <w:tcW w:w="2016" w:type="dxa"/>
          </w:tcPr>
          <w:p w14:paraId="29D67419" w14:textId="77777777" w:rsidR="009F53C5" w:rsidRDefault="009F53C5" w:rsidP="00AD1AC9">
            <w:pPr>
              <w:spacing w:line="276" w:lineRule="auto"/>
              <w:rPr>
                <w:rFonts w:ascii="Times New Roman" w:hAnsi="Times New Roman" w:cs="Times New Roman"/>
                <w:sz w:val="24"/>
                <w:szCs w:val="24"/>
              </w:rPr>
            </w:pPr>
          </w:p>
        </w:tc>
      </w:tr>
      <w:tr w:rsidR="009F53C5" w14:paraId="20DD2CA8" w14:textId="77777777" w:rsidTr="00AD1AC9">
        <w:tc>
          <w:tcPr>
            <w:tcW w:w="2464" w:type="dxa"/>
          </w:tcPr>
          <w:p w14:paraId="1ADBB450"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Spontaneous Type I ECG and Syncope</w:t>
            </w:r>
          </w:p>
        </w:tc>
        <w:tc>
          <w:tcPr>
            <w:tcW w:w="2246" w:type="dxa"/>
          </w:tcPr>
          <w:p w14:paraId="79A11E47"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0</w:t>
            </w:r>
          </w:p>
        </w:tc>
        <w:tc>
          <w:tcPr>
            <w:tcW w:w="2290" w:type="dxa"/>
          </w:tcPr>
          <w:p w14:paraId="351372FE"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6 (5%)</w:t>
            </w:r>
          </w:p>
        </w:tc>
        <w:tc>
          <w:tcPr>
            <w:tcW w:w="2016" w:type="dxa"/>
          </w:tcPr>
          <w:p w14:paraId="462F5503"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0ED3D0EF" w14:textId="77777777" w:rsidTr="00AD1AC9">
        <w:tc>
          <w:tcPr>
            <w:tcW w:w="2464" w:type="dxa"/>
          </w:tcPr>
          <w:p w14:paraId="6006F754"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 xml:space="preserve">Spontaneous Type I </w:t>
            </w:r>
            <w:proofErr w:type="spellStart"/>
            <w:r>
              <w:rPr>
                <w:rFonts w:ascii="Times New Roman" w:hAnsi="Times New Roman" w:cs="Times New Roman"/>
                <w:sz w:val="24"/>
                <w:szCs w:val="24"/>
              </w:rPr>
              <w:t>BrS</w:t>
            </w:r>
            <w:proofErr w:type="spellEnd"/>
            <w:r>
              <w:rPr>
                <w:rFonts w:ascii="Times New Roman" w:hAnsi="Times New Roman" w:cs="Times New Roman"/>
                <w:sz w:val="24"/>
                <w:szCs w:val="24"/>
              </w:rPr>
              <w:t xml:space="preserve"> ECG only</w:t>
            </w:r>
          </w:p>
        </w:tc>
        <w:tc>
          <w:tcPr>
            <w:tcW w:w="2246" w:type="dxa"/>
          </w:tcPr>
          <w:p w14:paraId="064B4A9B"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1 (10%)</w:t>
            </w:r>
          </w:p>
        </w:tc>
        <w:tc>
          <w:tcPr>
            <w:tcW w:w="2290" w:type="dxa"/>
          </w:tcPr>
          <w:p w14:paraId="1179BDCE"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32 (26%)</w:t>
            </w:r>
          </w:p>
        </w:tc>
        <w:tc>
          <w:tcPr>
            <w:tcW w:w="2016" w:type="dxa"/>
          </w:tcPr>
          <w:p w14:paraId="067342BC"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05218C3E" w14:textId="77777777" w:rsidTr="00AD1AC9">
        <w:tc>
          <w:tcPr>
            <w:tcW w:w="2464" w:type="dxa"/>
          </w:tcPr>
          <w:p w14:paraId="6F0321DC"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Syncope only</w:t>
            </w:r>
          </w:p>
        </w:tc>
        <w:tc>
          <w:tcPr>
            <w:tcW w:w="2246" w:type="dxa"/>
          </w:tcPr>
          <w:p w14:paraId="6636E83C"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0</w:t>
            </w:r>
          </w:p>
        </w:tc>
        <w:tc>
          <w:tcPr>
            <w:tcW w:w="2290" w:type="dxa"/>
          </w:tcPr>
          <w:p w14:paraId="6378349D"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31 (25%)</w:t>
            </w:r>
          </w:p>
        </w:tc>
        <w:tc>
          <w:tcPr>
            <w:tcW w:w="2016" w:type="dxa"/>
          </w:tcPr>
          <w:p w14:paraId="15875DAE"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087C7F03" w14:textId="77777777" w:rsidTr="00AD1AC9">
        <w:tc>
          <w:tcPr>
            <w:tcW w:w="2464" w:type="dxa"/>
          </w:tcPr>
          <w:p w14:paraId="730DEA8E"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Family history of sudden cardiac death</w:t>
            </w:r>
          </w:p>
        </w:tc>
        <w:tc>
          <w:tcPr>
            <w:tcW w:w="2246" w:type="dxa"/>
          </w:tcPr>
          <w:p w14:paraId="77EC4716"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 (30%)</w:t>
            </w:r>
          </w:p>
        </w:tc>
        <w:tc>
          <w:tcPr>
            <w:tcW w:w="2290" w:type="dxa"/>
          </w:tcPr>
          <w:p w14:paraId="3E7020C9"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38 (31%)</w:t>
            </w:r>
          </w:p>
        </w:tc>
        <w:tc>
          <w:tcPr>
            <w:tcW w:w="2016" w:type="dxa"/>
          </w:tcPr>
          <w:p w14:paraId="6EA69A5B"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3B77678F" w14:textId="77777777" w:rsidTr="00AD1AC9">
        <w:tc>
          <w:tcPr>
            <w:tcW w:w="2464" w:type="dxa"/>
          </w:tcPr>
          <w:p w14:paraId="2B214393"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 xml:space="preserve">Family history of </w:t>
            </w:r>
            <w:proofErr w:type="spellStart"/>
            <w:r>
              <w:rPr>
                <w:rFonts w:ascii="Times New Roman" w:hAnsi="Times New Roman" w:cs="Times New Roman"/>
                <w:sz w:val="24"/>
                <w:szCs w:val="24"/>
              </w:rPr>
              <w:t>BrS</w:t>
            </w:r>
            <w:proofErr w:type="spellEnd"/>
          </w:p>
        </w:tc>
        <w:tc>
          <w:tcPr>
            <w:tcW w:w="2246" w:type="dxa"/>
          </w:tcPr>
          <w:p w14:paraId="362A1BB2"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2 (22%)</w:t>
            </w:r>
          </w:p>
        </w:tc>
        <w:tc>
          <w:tcPr>
            <w:tcW w:w="2290" w:type="dxa"/>
          </w:tcPr>
          <w:p w14:paraId="08754579"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44 (36%)</w:t>
            </w:r>
          </w:p>
        </w:tc>
        <w:tc>
          <w:tcPr>
            <w:tcW w:w="2016" w:type="dxa"/>
          </w:tcPr>
          <w:p w14:paraId="15F6E337"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599EDC55" w14:textId="77777777" w:rsidTr="00AD1AC9">
        <w:tc>
          <w:tcPr>
            <w:tcW w:w="2464" w:type="dxa"/>
          </w:tcPr>
          <w:p w14:paraId="6ECCA3BA" w14:textId="77777777" w:rsidR="009F53C5" w:rsidRPr="008E678F" w:rsidRDefault="009F53C5" w:rsidP="00AD1AC9">
            <w:pPr>
              <w:spacing w:line="276" w:lineRule="auto"/>
              <w:rPr>
                <w:rFonts w:ascii="Times New Roman" w:hAnsi="Times New Roman" w:cs="Times New Roman"/>
                <w:b/>
                <w:sz w:val="24"/>
                <w:szCs w:val="24"/>
              </w:rPr>
            </w:pPr>
            <w:r w:rsidRPr="008E678F">
              <w:rPr>
                <w:rFonts w:ascii="Times New Roman" w:hAnsi="Times New Roman" w:cs="Times New Roman"/>
                <w:b/>
                <w:sz w:val="24"/>
                <w:szCs w:val="24"/>
              </w:rPr>
              <w:t>ECG parameters</w:t>
            </w:r>
          </w:p>
        </w:tc>
        <w:tc>
          <w:tcPr>
            <w:tcW w:w="2246" w:type="dxa"/>
          </w:tcPr>
          <w:p w14:paraId="3BB1FB0D" w14:textId="77777777" w:rsidR="009F53C5" w:rsidRDefault="009F53C5" w:rsidP="00AD1AC9">
            <w:pPr>
              <w:spacing w:line="276" w:lineRule="auto"/>
              <w:rPr>
                <w:rFonts w:ascii="Times New Roman" w:hAnsi="Times New Roman" w:cs="Times New Roman"/>
                <w:sz w:val="24"/>
                <w:szCs w:val="24"/>
              </w:rPr>
            </w:pPr>
          </w:p>
        </w:tc>
        <w:tc>
          <w:tcPr>
            <w:tcW w:w="2290" w:type="dxa"/>
          </w:tcPr>
          <w:p w14:paraId="35F8EB87" w14:textId="77777777" w:rsidR="009F53C5" w:rsidRDefault="009F53C5" w:rsidP="00AD1AC9">
            <w:pPr>
              <w:spacing w:line="276" w:lineRule="auto"/>
              <w:rPr>
                <w:rFonts w:ascii="Times New Roman" w:hAnsi="Times New Roman" w:cs="Times New Roman"/>
                <w:sz w:val="24"/>
                <w:szCs w:val="24"/>
              </w:rPr>
            </w:pPr>
          </w:p>
        </w:tc>
        <w:tc>
          <w:tcPr>
            <w:tcW w:w="2016" w:type="dxa"/>
          </w:tcPr>
          <w:p w14:paraId="297070A9" w14:textId="77777777" w:rsidR="009F53C5" w:rsidRDefault="009F53C5" w:rsidP="00AD1AC9">
            <w:pPr>
              <w:spacing w:line="276" w:lineRule="auto"/>
              <w:rPr>
                <w:rFonts w:ascii="Times New Roman" w:hAnsi="Times New Roman" w:cs="Times New Roman"/>
                <w:sz w:val="24"/>
                <w:szCs w:val="24"/>
              </w:rPr>
            </w:pPr>
          </w:p>
        </w:tc>
      </w:tr>
      <w:tr w:rsidR="009F53C5" w14:paraId="35E3B2AD" w14:textId="77777777" w:rsidTr="00AD1AC9">
        <w:tc>
          <w:tcPr>
            <w:tcW w:w="2464" w:type="dxa"/>
          </w:tcPr>
          <w:p w14:paraId="3E779A05" w14:textId="77777777" w:rsidR="009F53C5" w:rsidRDefault="009F53C5" w:rsidP="00AD1AC9">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fQRS</w:t>
            </w:r>
            <w:proofErr w:type="spellEnd"/>
          </w:p>
        </w:tc>
        <w:tc>
          <w:tcPr>
            <w:tcW w:w="2246" w:type="dxa"/>
          </w:tcPr>
          <w:p w14:paraId="0D5C964C"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1 (10%)</w:t>
            </w:r>
          </w:p>
        </w:tc>
        <w:tc>
          <w:tcPr>
            <w:tcW w:w="2290" w:type="dxa"/>
          </w:tcPr>
          <w:p w14:paraId="33FEAB57"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7 (6%)</w:t>
            </w:r>
          </w:p>
        </w:tc>
        <w:tc>
          <w:tcPr>
            <w:tcW w:w="2016" w:type="dxa"/>
          </w:tcPr>
          <w:p w14:paraId="4BFFF841"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5406B03E" w14:textId="77777777" w:rsidTr="00AD1AC9">
        <w:tc>
          <w:tcPr>
            <w:tcW w:w="2464" w:type="dxa"/>
          </w:tcPr>
          <w:p w14:paraId="7B4A6140"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Late potentials on SAECG</w:t>
            </w:r>
          </w:p>
        </w:tc>
        <w:tc>
          <w:tcPr>
            <w:tcW w:w="2246" w:type="dxa"/>
          </w:tcPr>
          <w:p w14:paraId="6F81BC3F"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1/6 (17%)</w:t>
            </w:r>
          </w:p>
        </w:tc>
        <w:tc>
          <w:tcPr>
            <w:tcW w:w="2290" w:type="dxa"/>
          </w:tcPr>
          <w:p w14:paraId="5F1FC195"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30/78 (38%)</w:t>
            </w:r>
          </w:p>
        </w:tc>
        <w:tc>
          <w:tcPr>
            <w:tcW w:w="2016" w:type="dxa"/>
          </w:tcPr>
          <w:p w14:paraId="60526557"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4028F0B4" w14:textId="77777777" w:rsidTr="00AD1AC9">
        <w:tc>
          <w:tcPr>
            <w:tcW w:w="2464" w:type="dxa"/>
          </w:tcPr>
          <w:p w14:paraId="1FA41B1C"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Significant S wave (lead I)</w:t>
            </w:r>
          </w:p>
        </w:tc>
        <w:tc>
          <w:tcPr>
            <w:tcW w:w="2246" w:type="dxa"/>
          </w:tcPr>
          <w:p w14:paraId="75B0B9D1"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2 (20%)</w:t>
            </w:r>
          </w:p>
        </w:tc>
        <w:tc>
          <w:tcPr>
            <w:tcW w:w="2290" w:type="dxa"/>
          </w:tcPr>
          <w:p w14:paraId="17D56D0E"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30 (24%)</w:t>
            </w:r>
          </w:p>
        </w:tc>
        <w:tc>
          <w:tcPr>
            <w:tcW w:w="2016" w:type="dxa"/>
          </w:tcPr>
          <w:p w14:paraId="71C57BBD"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683BA3B2" w14:textId="77777777" w:rsidTr="00AD1AC9">
        <w:tc>
          <w:tcPr>
            <w:tcW w:w="2464" w:type="dxa"/>
          </w:tcPr>
          <w:p w14:paraId="7DA70AB8"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ER pattern</w:t>
            </w:r>
          </w:p>
        </w:tc>
        <w:tc>
          <w:tcPr>
            <w:tcW w:w="2246" w:type="dxa"/>
          </w:tcPr>
          <w:p w14:paraId="0C53332D"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1 (10%)</w:t>
            </w:r>
          </w:p>
        </w:tc>
        <w:tc>
          <w:tcPr>
            <w:tcW w:w="2290" w:type="dxa"/>
          </w:tcPr>
          <w:p w14:paraId="6EDF0269"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4 (3%)</w:t>
            </w:r>
          </w:p>
        </w:tc>
        <w:tc>
          <w:tcPr>
            <w:tcW w:w="2016" w:type="dxa"/>
          </w:tcPr>
          <w:p w14:paraId="7C6C77C4"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r w:rsidR="009F53C5" w14:paraId="14C7870E" w14:textId="77777777" w:rsidTr="00AD1AC9">
        <w:tc>
          <w:tcPr>
            <w:tcW w:w="2464" w:type="dxa"/>
          </w:tcPr>
          <w:p w14:paraId="5303C97E"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PES study</w:t>
            </w:r>
          </w:p>
        </w:tc>
        <w:tc>
          <w:tcPr>
            <w:tcW w:w="2246" w:type="dxa"/>
          </w:tcPr>
          <w:p w14:paraId="5355BAD8"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1/4 (25%)</w:t>
            </w:r>
          </w:p>
        </w:tc>
        <w:tc>
          <w:tcPr>
            <w:tcW w:w="2290" w:type="dxa"/>
          </w:tcPr>
          <w:p w14:paraId="1AEDC2AB"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11/59 (19%)</w:t>
            </w:r>
          </w:p>
        </w:tc>
        <w:tc>
          <w:tcPr>
            <w:tcW w:w="2016" w:type="dxa"/>
          </w:tcPr>
          <w:p w14:paraId="2E51D790" w14:textId="77777777" w:rsidR="009F53C5" w:rsidRDefault="009F53C5" w:rsidP="00AD1AC9">
            <w:pPr>
              <w:spacing w:line="276" w:lineRule="auto"/>
              <w:rPr>
                <w:rFonts w:ascii="Times New Roman" w:hAnsi="Times New Roman" w:cs="Times New Roman"/>
                <w:sz w:val="24"/>
                <w:szCs w:val="24"/>
              </w:rPr>
            </w:pPr>
            <w:r>
              <w:rPr>
                <w:rFonts w:ascii="Times New Roman" w:hAnsi="Times New Roman" w:cs="Times New Roman"/>
                <w:sz w:val="24"/>
                <w:szCs w:val="24"/>
              </w:rPr>
              <w:t>ns</w:t>
            </w:r>
          </w:p>
        </w:tc>
      </w:tr>
    </w:tbl>
    <w:p w14:paraId="4594F276" w14:textId="77777777" w:rsidR="009F53C5" w:rsidRDefault="009F53C5" w:rsidP="009F53C5">
      <w:pPr>
        <w:spacing w:line="480" w:lineRule="auto"/>
        <w:rPr>
          <w:rFonts w:ascii="Times New Roman" w:hAnsi="Times New Roman" w:cs="Times New Roman"/>
          <w:b/>
          <w:sz w:val="24"/>
          <w:szCs w:val="24"/>
        </w:rPr>
      </w:pPr>
      <w:r w:rsidRPr="008B1AA6">
        <w:rPr>
          <w:rFonts w:ascii="Times New Roman" w:hAnsi="Times New Roman" w:cs="Times New Roman"/>
          <w:b/>
          <w:sz w:val="24"/>
          <w:szCs w:val="24"/>
        </w:rPr>
        <w:t>Table 2 Risk profile of SC</w:t>
      </w:r>
      <w:r>
        <w:rPr>
          <w:rFonts w:ascii="Times New Roman" w:hAnsi="Times New Roman" w:cs="Times New Roman"/>
          <w:b/>
          <w:sz w:val="24"/>
          <w:szCs w:val="24"/>
        </w:rPr>
        <w:t>A</w:t>
      </w:r>
      <w:r w:rsidRPr="008B1AA6">
        <w:rPr>
          <w:rFonts w:ascii="Times New Roman" w:hAnsi="Times New Roman" w:cs="Times New Roman"/>
          <w:b/>
          <w:sz w:val="24"/>
          <w:szCs w:val="24"/>
        </w:rPr>
        <w:t xml:space="preserve"> and non-SC</w:t>
      </w:r>
      <w:r>
        <w:rPr>
          <w:rFonts w:ascii="Times New Roman" w:hAnsi="Times New Roman" w:cs="Times New Roman"/>
          <w:b/>
          <w:sz w:val="24"/>
          <w:szCs w:val="24"/>
        </w:rPr>
        <w:t>A</w:t>
      </w:r>
      <w:r w:rsidRPr="008B1AA6">
        <w:rPr>
          <w:rFonts w:ascii="Times New Roman" w:hAnsi="Times New Roman" w:cs="Times New Roman"/>
          <w:b/>
          <w:sz w:val="24"/>
          <w:szCs w:val="24"/>
        </w:rPr>
        <w:t xml:space="preserve"> groups. ns – not significant</w:t>
      </w:r>
    </w:p>
    <w:p w14:paraId="7E26728E" w14:textId="77777777" w:rsidR="009F53C5" w:rsidRDefault="009F53C5" w:rsidP="009F53C5">
      <w:pPr>
        <w:spacing w:line="480" w:lineRule="auto"/>
        <w:rPr>
          <w:rFonts w:ascii="Times New Roman" w:hAnsi="Times New Roman" w:cs="Times New Roman"/>
          <w:b/>
          <w:sz w:val="24"/>
          <w:szCs w:val="24"/>
        </w:rPr>
      </w:pPr>
    </w:p>
    <w:p w14:paraId="24059BB0" w14:textId="77777777" w:rsidR="009F53C5" w:rsidRDefault="009F53C5" w:rsidP="009F53C5">
      <w:pPr>
        <w:spacing w:line="480" w:lineRule="auto"/>
        <w:rPr>
          <w:rFonts w:ascii="Times New Roman" w:hAnsi="Times New Roman" w:cs="Times New Roman"/>
          <w:b/>
          <w:sz w:val="24"/>
          <w:szCs w:val="24"/>
        </w:rPr>
      </w:pPr>
    </w:p>
    <w:p w14:paraId="06326A36" w14:textId="77777777" w:rsidR="009F53C5" w:rsidRDefault="009F53C5" w:rsidP="009F53C5">
      <w:pPr>
        <w:spacing w:line="480" w:lineRule="auto"/>
        <w:rPr>
          <w:rFonts w:ascii="Times New Roman" w:hAnsi="Times New Roman" w:cs="Times New Roman"/>
          <w:b/>
          <w:sz w:val="24"/>
          <w:szCs w:val="24"/>
        </w:rPr>
      </w:pPr>
    </w:p>
    <w:p w14:paraId="572140BB" w14:textId="77777777" w:rsidR="009F53C5" w:rsidRDefault="009F53C5" w:rsidP="009F53C5">
      <w:pPr>
        <w:spacing w:line="480" w:lineRule="auto"/>
        <w:rPr>
          <w:rFonts w:ascii="Times New Roman" w:hAnsi="Times New Roman" w:cs="Times New Roman"/>
          <w:b/>
          <w:sz w:val="24"/>
          <w:szCs w:val="24"/>
        </w:rPr>
      </w:pPr>
    </w:p>
    <w:p w14:paraId="31BD18BB" w14:textId="77777777" w:rsidR="009F53C5" w:rsidRDefault="009F53C5" w:rsidP="009F53C5">
      <w:pPr>
        <w:spacing w:line="480" w:lineRule="auto"/>
        <w:rPr>
          <w:rFonts w:ascii="Times New Roman" w:hAnsi="Times New Roman" w:cs="Times New Roman"/>
          <w:sz w:val="24"/>
          <w:szCs w:val="24"/>
        </w:rPr>
      </w:pPr>
    </w:p>
    <w:p w14:paraId="3E6A8CC2" w14:textId="77777777" w:rsidR="009F53C5" w:rsidRDefault="009F53C5" w:rsidP="009F53C5">
      <w:pPr>
        <w:spacing w:line="480" w:lineRule="auto"/>
        <w:rPr>
          <w:rFonts w:ascii="Times New Roman" w:hAnsi="Times New Roman" w:cs="Times New Roman"/>
          <w:sz w:val="24"/>
          <w:szCs w:val="24"/>
        </w:rPr>
      </w:pPr>
    </w:p>
    <w:p w14:paraId="18A6CB9D" w14:textId="77777777" w:rsidR="009F53C5" w:rsidRDefault="009F53C5" w:rsidP="009F53C5">
      <w:pPr>
        <w:spacing w:line="480" w:lineRule="auto"/>
        <w:rPr>
          <w:rFonts w:ascii="Times New Roman" w:hAnsi="Times New Roman" w:cs="Times New Roman"/>
          <w:sz w:val="24"/>
          <w:szCs w:val="24"/>
        </w:rPr>
      </w:pPr>
    </w:p>
    <w:p w14:paraId="51DE1768" w14:textId="77777777" w:rsidR="009F53C5" w:rsidRDefault="009F53C5" w:rsidP="009F53C5">
      <w:pPr>
        <w:spacing w:line="480" w:lineRule="auto"/>
        <w:rPr>
          <w:rFonts w:ascii="Times New Roman" w:hAnsi="Times New Roman" w:cs="Times New Roman"/>
          <w:sz w:val="24"/>
          <w:szCs w:val="24"/>
        </w:rPr>
      </w:pPr>
    </w:p>
    <w:p w14:paraId="5034D4A9" w14:textId="77777777" w:rsidR="009F53C5" w:rsidRDefault="009F53C5" w:rsidP="009F53C5">
      <w:pPr>
        <w:spacing w:line="480" w:lineRule="auto"/>
        <w:rPr>
          <w:rFonts w:ascii="Times New Roman" w:hAnsi="Times New Roman" w:cs="Times New Roman"/>
          <w:sz w:val="24"/>
          <w:szCs w:val="24"/>
        </w:rPr>
      </w:pPr>
    </w:p>
    <w:tbl>
      <w:tblPr>
        <w:tblStyle w:val="PlainTable5"/>
        <w:tblW w:w="0" w:type="auto"/>
        <w:tblLook w:val="04A0" w:firstRow="1" w:lastRow="0" w:firstColumn="1" w:lastColumn="0" w:noHBand="0" w:noVBand="1"/>
      </w:tblPr>
      <w:tblGrid>
        <w:gridCol w:w="469"/>
        <w:gridCol w:w="5338"/>
        <w:gridCol w:w="851"/>
        <w:gridCol w:w="850"/>
        <w:gridCol w:w="765"/>
        <w:gridCol w:w="743"/>
      </w:tblGrid>
      <w:tr w:rsidR="009F53C5" w:rsidRPr="00856EBD" w14:paraId="49806125" w14:textId="77777777" w:rsidTr="00AD1AC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9" w:type="dxa"/>
            <w:tcBorders>
              <w:top w:val="single" w:sz="4" w:space="0" w:color="auto"/>
            </w:tcBorders>
          </w:tcPr>
          <w:p w14:paraId="15CF361B" w14:textId="77777777" w:rsidR="009F53C5" w:rsidRPr="00856EBD" w:rsidRDefault="009F53C5" w:rsidP="00AD1AC9">
            <w:pPr>
              <w:spacing w:line="480" w:lineRule="auto"/>
              <w:rPr>
                <w:rFonts w:ascii="Times New Roman" w:hAnsi="Times New Roman" w:cs="Times New Roman"/>
                <w:sz w:val="24"/>
                <w:szCs w:val="24"/>
              </w:rPr>
            </w:pPr>
          </w:p>
        </w:tc>
        <w:tc>
          <w:tcPr>
            <w:tcW w:w="5338" w:type="dxa"/>
            <w:tcBorders>
              <w:top w:val="single" w:sz="4" w:space="0" w:color="auto"/>
            </w:tcBorders>
          </w:tcPr>
          <w:p w14:paraId="495B7410" w14:textId="77777777" w:rsidR="009F53C5" w:rsidRPr="00856EBD" w:rsidRDefault="009F53C5" w:rsidP="00AD1AC9">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856EBD">
              <w:rPr>
                <w:rFonts w:ascii="Times New Roman" w:hAnsi="Times New Roman" w:cs="Times New Roman"/>
                <w:b/>
                <w:sz w:val="24"/>
                <w:szCs w:val="24"/>
              </w:rPr>
              <w:t>Individual risk markers</w:t>
            </w:r>
          </w:p>
        </w:tc>
        <w:tc>
          <w:tcPr>
            <w:tcW w:w="851" w:type="dxa"/>
            <w:tcBorders>
              <w:top w:val="single" w:sz="4" w:space="0" w:color="auto"/>
            </w:tcBorders>
          </w:tcPr>
          <w:p w14:paraId="548063E0" w14:textId="77777777" w:rsidR="009F53C5" w:rsidRPr="00856EBD" w:rsidRDefault="009F53C5" w:rsidP="00AD1A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NPV</w:t>
            </w:r>
          </w:p>
        </w:tc>
        <w:tc>
          <w:tcPr>
            <w:tcW w:w="850" w:type="dxa"/>
            <w:tcBorders>
              <w:top w:val="single" w:sz="4" w:space="0" w:color="auto"/>
            </w:tcBorders>
          </w:tcPr>
          <w:p w14:paraId="5C846EF3" w14:textId="77777777" w:rsidR="009F53C5" w:rsidRPr="00856EBD" w:rsidRDefault="009F53C5" w:rsidP="00AD1A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PPV</w:t>
            </w:r>
          </w:p>
        </w:tc>
        <w:tc>
          <w:tcPr>
            <w:tcW w:w="765" w:type="dxa"/>
            <w:tcBorders>
              <w:top w:val="single" w:sz="4" w:space="0" w:color="auto"/>
            </w:tcBorders>
          </w:tcPr>
          <w:p w14:paraId="5FA153AA" w14:textId="77777777" w:rsidR="009F53C5" w:rsidRPr="00856EBD" w:rsidRDefault="009F53C5" w:rsidP="00AD1AC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Sens.</w:t>
            </w:r>
          </w:p>
        </w:tc>
        <w:tc>
          <w:tcPr>
            <w:tcW w:w="743" w:type="dxa"/>
            <w:tcBorders>
              <w:top w:val="single" w:sz="4" w:space="0" w:color="auto"/>
            </w:tcBorders>
          </w:tcPr>
          <w:p w14:paraId="4B139678" w14:textId="77777777" w:rsidR="009F53C5" w:rsidRPr="00856EBD" w:rsidRDefault="009F53C5" w:rsidP="00AD1AC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Spec.</w:t>
            </w:r>
          </w:p>
        </w:tc>
      </w:tr>
      <w:tr w:rsidR="009F53C5" w:rsidRPr="00856EBD" w14:paraId="21EAE371"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5D1BA354"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A</w:t>
            </w:r>
          </w:p>
        </w:tc>
        <w:tc>
          <w:tcPr>
            <w:tcW w:w="5338" w:type="dxa"/>
          </w:tcPr>
          <w:p w14:paraId="0855B405"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Spontaneous Type I</w:t>
            </w:r>
          </w:p>
        </w:tc>
        <w:tc>
          <w:tcPr>
            <w:tcW w:w="851" w:type="dxa"/>
          </w:tcPr>
          <w:p w14:paraId="5AE7E9DF"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91%</w:t>
            </w:r>
          </w:p>
        </w:tc>
        <w:tc>
          <w:tcPr>
            <w:tcW w:w="850" w:type="dxa"/>
          </w:tcPr>
          <w:p w14:paraId="0E0409D9"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3%</w:t>
            </w:r>
          </w:p>
        </w:tc>
        <w:tc>
          <w:tcPr>
            <w:tcW w:w="765" w:type="dxa"/>
          </w:tcPr>
          <w:p w14:paraId="4BFA8AA5"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10%</w:t>
            </w:r>
          </w:p>
        </w:tc>
        <w:tc>
          <w:tcPr>
            <w:tcW w:w="743" w:type="dxa"/>
          </w:tcPr>
          <w:p w14:paraId="65A5BA59"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74%</w:t>
            </w:r>
          </w:p>
        </w:tc>
      </w:tr>
      <w:tr w:rsidR="009F53C5" w:rsidRPr="00856EBD" w14:paraId="654D98DF" w14:textId="77777777" w:rsidTr="00AD1AC9">
        <w:tc>
          <w:tcPr>
            <w:cnfStyle w:val="001000000000" w:firstRow="0" w:lastRow="0" w:firstColumn="1" w:lastColumn="0" w:oddVBand="0" w:evenVBand="0" w:oddHBand="0" w:evenHBand="0" w:firstRowFirstColumn="0" w:firstRowLastColumn="0" w:lastRowFirstColumn="0" w:lastRowLastColumn="0"/>
            <w:tcW w:w="469" w:type="dxa"/>
          </w:tcPr>
          <w:p w14:paraId="4B242A3C"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B</w:t>
            </w:r>
          </w:p>
        </w:tc>
        <w:tc>
          <w:tcPr>
            <w:tcW w:w="5338" w:type="dxa"/>
          </w:tcPr>
          <w:p w14:paraId="457524E0"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Syncope</w:t>
            </w:r>
          </w:p>
        </w:tc>
        <w:tc>
          <w:tcPr>
            <w:tcW w:w="851" w:type="dxa"/>
          </w:tcPr>
          <w:p w14:paraId="3A14807D"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90%</w:t>
            </w:r>
          </w:p>
        </w:tc>
        <w:tc>
          <w:tcPr>
            <w:tcW w:w="850" w:type="dxa"/>
          </w:tcPr>
          <w:p w14:paraId="3F921074"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65" w:type="dxa"/>
          </w:tcPr>
          <w:p w14:paraId="618E1232"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43" w:type="dxa"/>
          </w:tcPr>
          <w:p w14:paraId="225D0320"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75%</w:t>
            </w:r>
          </w:p>
        </w:tc>
      </w:tr>
      <w:tr w:rsidR="009F53C5" w:rsidRPr="00856EBD" w14:paraId="3825306F"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6CEE9054"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C</w:t>
            </w:r>
          </w:p>
        </w:tc>
        <w:tc>
          <w:tcPr>
            <w:tcW w:w="5338" w:type="dxa"/>
          </w:tcPr>
          <w:p w14:paraId="1723E73F"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Fractionated QRS</w:t>
            </w:r>
          </w:p>
        </w:tc>
        <w:tc>
          <w:tcPr>
            <w:tcW w:w="851" w:type="dxa"/>
          </w:tcPr>
          <w:p w14:paraId="576B11C2"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93%</w:t>
            </w:r>
          </w:p>
        </w:tc>
        <w:tc>
          <w:tcPr>
            <w:tcW w:w="850" w:type="dxa"/>
          </w:tcPr>
          <w:p w14:paraId="41953052"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13%</w:t>
            </w:r>
          </w:p>
        </w:tc>
        <w:tc>
          <w:tcPr>
            <w:tcW w:w="765" w:type="dxa"/>
          </w:tcPr>
          <w:p w14:paraId="136B8266"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10%</w:t>
            </w:r>
          </w:p>
        </w:tc>
        <w:tc>
          <w:tcPr>
            <w:tcW w:w="743" w:type="dxa"/>
          </w:tcPr>
          <w:p w14:paraId="1E7636E8"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94%</w:t>
            </w:r>
          </w:p>
        </w:tc>
      </w:tr>
      <w:tr w:rsidR="009F53C5" w:rsidRPr="00856EBD" w14:paraId="3B7E4CF2" w14:textId="77777777" w:rsidTr="00AD1AC9">
        <w:tc>
          <w:tcPr>
            <w:cnfStyle w:val="001000000000" w:firstRow="0" w:lastRow="0" w:firstColumn="1" w:lastColumn="0" w:oddVBand="0" w:evenVBand="0" w:oddHBand="0" w:evenHBand="0" w:firstRowFirstColumn="0" w:firstRowLastColumn="0" w:lastRowFirstColumn="0" w:lastRowLastColumn="0"/>
            <w:tcW w:w="469" w:type="dxa"/>
          </w:tcPr>
          <w:p w14:paraId="05BFD71D"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D</w:t>
            </w:r>
          </w:p>
        </w:tc>
        <w:tc>
          <w:tcPr>
            <w:tcW w:w="5338" w:type="dxa"/>
          </w:tcPr>
          <w:p w14:paraId="2BAC1D46"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Early repolarisation</w:t>
            </w:r>
          </w:p>
        </w:tc>
        <w:tc>
          <w:tcPr>
            <w:tcW w:w="851" w:type="dxa"/>
          </w:tcPr>
          <w:p w14:paraId="04EBC094"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93%</w:t>
            </w:r>
          </w:p>
        </w:tc>
        <w:tc>
          <w:tcPr>
            <w:tcW w:w="850" w:type="dxa"/>
          </w:tcPr>
          <w:p w14:paraId="63479F71"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20%</w:t>
            </w:r>
          </w:p>
        </w:tc>
        <w:tc>
          <w:tcPr>
            <w:tcW w:w="765" w:type="dxa"/>
          </w:tcPr>
          <w:p w14:paraId="4DBC9C4C"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10%</w:t>
            </w:r>
          </w:p>
        </w:tc>
        <w:tc>
          <w:tcPr>
            <w:tcW w:w="743" w:type="dxa"/>
          </w:tcPr>
          <w:p w14:paraId="57C4FF2D"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97%</w:t>
            </w:r>
          </w:p>
        </w:tc>
      </w:tr>
      <w:tr w:rsidR="009F53C5" w:rsidRPr="00856EBD" w14:paraId="059FEE23"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775AB375"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E</w:t>
            </w:r>
          </w:p>
        </w:tc>
        <w:tc>
          <w:tcPr>
            <w:tcW w:w="5338" w:type="dxa"/>
          </w:tcPr>
          <w:p w14:paraId="6DA37DA5"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Deep S wave</w:t>
            </w:r>
          </w:p>
        </w:tc>
        <w:tc>
          <w:tcPr>
            <w:tcW w:w="851" w:type="dxa"/>
          </w:tcPr>
          <w:p w14:paraId="341823BF"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92%</w:t>
            </w:r>
          </w:p>
        </w:tc>
        <w:tc>
          <w:tcPr>
            <w:tcW w:w="850" w:type="dxa"/>
          </w:tcPr>
          <w:p w14:paraId="1D201328"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6%</w:t>
            </w:r>
          </w:p>
        </w:tc>
        <w:tc>
          <w:tcPr>
            <w:tcW w:w="765" w:type="dxa"/>
          </w:tcPr>
          <w:p w14:paraId="728BA4EB"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20%</w:t>
            </w:r>
          </w:p>
        </w:tc>
        <w:tc>
          <w:tcPr>
            <w:tcW w:w="743" w:type="dxa"/>
          </w:tcPr>
          <w:p w14:paraId="7242BED5"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76%</w:t>
            </w:r>
          </w:p>
        </w:tc>
      </w:tr>
      <w:tr w:rsidR="009F53C5" w:rsidRPr="00856EBD" w14:paraId="515FA752" w14:textId="77777777" w:rsidTr="00AD1AC9">
        <w:tc>
          <w:tcPr>
            <w:cnfStyle w:val="001000000000" w:firstRow="0" w:lastRow="0" w:firstColumn="1" w:lastColumn="0" w:oddVBand="0" w:evenVBand="0" w:oddHBand="0" w:evenHBand="0" w:firstRowFirstColumn="0" w:firstRowLastColumn="0" w:lastRowFirstColumn="0" w:lastRowLastColumn="0"/>
            <w:tcW w:w="469" w:type="dxa"/>
          </w:tcPr>
          <w:p w14:paraId="637F78D3"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F</w:t>
            </w:r>
          </w:p>
        </w:tc>
        <w:tc>
          <w:tcPr>
            <w:tcW w:w="5338" w:type="dxa"/>
          </w:tcPr>
          <w:p w14:paraId="2C4B14C4"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Signal averaged ECG (SAECG)*</w:t>
            </w:r>
          </w:p>
        </w:tc>
        <w:tc>
          <w:tcPr>
            <w:tcW w:w="851" w:type="dxa"/>
          </w:tcPr>
          <w:p w14:paraId="57685C13"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91%</w:t>
            </w:r>
          </w:p>
        </w:tc>
        <w:tc>
          <w:tcPr>
            <w:tcW w:w="850" w:type="dxa"/>
          </w:tcPr>
          <w:p w14:paraId="59A11992"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3%</w:t>
            </w:r>
          </w:p>
        </w:tc>
        <w:tc>
          <w:tcPr>
            <w:tcW w:w="765" w:type="dxa"/>
          </w:tcPr>
          <w:p w14:paraId="145ED99F"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17%</w:t>
            </w:r>
          </w:p>
        </w:tc>
        <w:tc>
          <w:tcPr>
            <w:tcW w:w="743" w:type="dxa"/>
          </w:tcPr>
          <w:p w14:paraId="15CF6B9A"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62%</w:t>
            </w:r>
          </w:p>
        </w:tc>
      </w:tr>
      <w:tr w:rsidR="009F53C5" w:rsidRPr="00856EBD" w14:paraId="11E60316"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5DA2CD5A"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G</w:t>
            </w:r>
          </w:p>
        </w:tc>
        <w:tc>
          <w:tcPr>
            <w:tcW w:w="5338" w:type="dxa"/>
          </w:tcPr>
          <w:p w14:paraId="49ACEA5C"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Programmed electrical stimulation (PES)*</w:t>
            </w:r>
          </w:p>
        </w:tc>
        <w:tc>
          <w:tcPr>
            <w:tcW w:w="851" w:type="dxa"/>
          </w:tcPr>
          <w:p w14:paraId="09A79E25"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92%</w:t>
            </w:r>
          </w:p>
        </w:tc>
        <w:tc>
          <w:tcPr>
            <w:tcW w:w="850" w:type="dxa"/>
          </w:tcPr>
          <w:p w14:paraId="7E6AB94B"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8%</w:t>
            </w:r>
          </w:p>
        </w:tc>
        <w:tc>
          <w:tcPr>
            <w:tcW w:w="765" w:type="dxa"/>
          </w:tcPr>
          <w:p w14:paraId="5F5379DD"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20%</w:t>
            </w:r>
          </w:p>
        </w:tc>
        <w:tc>
          <w:tcPr>
            <w:tcW w:w="743" w:type="dxa"/>
          </w:tcPr>
          <w:p w14:paraId="20770ACC"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81%</w:t>
            </w:r>
          </w:p>
        </w:tc>
      </w:tr>
      <w:tr w:rsidR="009F53C5" w:rsidRPr="00856EBD" w14:paraId="224F1796" w14:textId="77777777" w:rsidTr="00AD1AC9">
        <w:tc>
          <w:tcPr>
            <w:cnfStyle w:val="001000000000" w:firstRow="0" w:lastRow="0" w:firstColumn="1" w:lastColumn="0" w:oddVBand="0" w:evenVBand="0" w:oddHBand="0" w:evenHBand="0" w:firstRowFirstColumn="0" w:firstRowLastColumn="0" w:lastRowFirstColumn="0" w:lastRowLastColumn="0"/>
            <w:tcW w:w="469" w:type="dxa"/>
            <w:tcBorders>
              <w:bottom w:val="single" w:sz="4" w:space="0" w:color="auto"/>
            </w:tcBorders>
          </w:tcPr>
          <w:p w14:paraId="401127B4" w14:textId="77777777" w:rsidR="009F53C5" w:rsidRPr="00856EBD" w:rsidRDefault="009F53C5" w:rsidP="00AD1AC9">
            <w:pPr>
              <w:spacing w:line="480" w:lineRule="auto"/>
              <w:rPr>
                <w:rFonts w:ascii="Times New Roman" w:hAnsi="Times New Roman" w:cs="Times New Roman"/>
                <w:sz w:val="24"/>
                <w:szCs w:val="24"/>
              </w:rPr>
            </w:pPr>
          </w:p>
        </w:tc>
        <w:tc>
          <w:tcPr>
            <w:tcW w:w="5338" w:type="dxa"/>
            <w:tcBorders>
              <w:bottom w:val="single" w:sz="4" w:space="0" w:color="auto"/>
            </w:tcBorders>
          </w:tcPr>
          <w:p w14:paraId="6D2CED85"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51" w:type="dxa"/>
            <w:tcBorders>
              <w:bottom w:val="single" w:sz="4" w:space="0" w:color="auto"/>
            </w:tcBorders>
          </w:tcPr>
          <w:p w14:paraId="6FA0EBF1"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
        </w:tc>
        <w:tc>
          <w:tcPr>
            <w:tcW w:w="850" w:type="dxa"/>
            <w:tcBorders>
              <w:bottom w:val="single" w:sz="4" w:space="0" w:color="auto"/>
            </w:tcBorders>
          </w:tcPr>
          <w:p w14:paraId="0B887AA9"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
        </w:tc>
        <w:tc>
          <w:tcPr>
            <w:tcW w:w="765" w:type="dxa"/>
            <w:tcBorders>
              <w:bottom w:val="single" w:sz="4" w:space="0" w:color="auto"/>
            </w:tcBorders>
          </w:tcPr>
          <w:p w14:paraId="0DD64D7C"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
        </w:tc>
        <w:tc>
          <w:tcPr>
            <w:tcW w:w="743" w:type="dxa"/>
            <w:tcBorders>
              <w:bottom w:val="single" w:sz="4" w:space="0" w:color="auto"/>
            </w:tcBorders>
          </w:tcPr>
          <w:p w14:paraId="71674857"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
        </w:tc>
      </w:tr>
      <w:tr w:rsidR="009F53C5" w:rsidRPr="00856EBD" w14:paraId="04F75954"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Borders>
              <w:top w:val="single" w:sz="4" w:space="0" w:color="auto"/>
              <w:bottom w:val="single" w:sz="4" w:space="0" w:color="auto"/>
            </w:tcBorders>
          </w:tcPr>
          <w:p w14:paraId="4F489136" w14:textId="77777777" w:rsidR="009F53C5" w:rsidRPr="00856EBD" w:rsidRDefault="009F53C5" w:rsidP="00AD1AC9">
            <w:pPr>
              <w:spacing w:line="480" w:lineRule="auto"/>
              <w:rPr>
                <w:rFonts w:ascii="Times New Roman" w:hAnsi="Times New Roman" w:cs="Times New Roman"/>
                <w:sz w:val="24"/>
                <w:szCs w:val="24"/>
              </w:rPr>
            </w:pPr>
          </w:p>
        </w:tc>
        <w:tc>
          <w:tcPr>
            <w:tcW w:w="5338" w:type="dxa"/>
            <w:tcBorders>
              <w:top w:val="single" w:sz="4" w:space="0" w:color="auto"/>
              <w:bottom w:val="single" w:sz="4" w:space="0" w:color="auto"/>
            </w:tcBorders>
          </w:tcPr>
          <w:p w14:paraId="2DF7958B"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856EBD">
              <w:rPr>
                <w:rFonts w:ascii="Times New Roman" w:hAnsi="Times New Roman" w:cs="Times New Roman"/>
                <w:b/>
                <w:i/>
                <w:sz w:val="24"/>
                <w:szCs w:val="24"/>
              </w:rPr>
              <w:t>Aggregate of risk markers</w:t>
            </w:r>
          </w:p>
        </w:tc>
        <w:tc>
          <w:tcPr>
            <w:tcW w:w="851" w:type="dxa"/>
            <w:tcBorders>
              <w:top w:val="single" w:sz="4" w:space="0" w:color="auto"/>
              <w:bottom w:val="single" w:sz="4" w:space="0" w:color="auto"/>
            </w:tcBorders>
          </w:tcPr>
          <w:p w14:paraId="0E30AF92"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i/>
                <w:sz w:val="24"/>
                <w:szCs w:val="24"/>
              </w:rPr>
              <w:t>NPV</w:t>
            </w:r>
          </w:p>
        </w:tc>
        <w:tc>
          <w:tcPr>
            <w:tcW w:w="850" w:type="dxa"/>
            <w:tcBorders>
              <w:top w:val="single" w:sz="4" w:space="0" w:color="auto"/>
              <w:bottom w:val="single" w:sz="4" w:space="0" w:color="auto"/>
            </w:tcBorders>
          </w:tcPr>
          <w:p w14:paraId="7CCC1EBF"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i/>
                <w:sz w:val="24"/>
                <w:szCs w:val="24"/>
              </w:rPr>
              <w:t>PPV</w:t>
            </w:r>
          </w:p>
        </w:tc>
        <w:tc>
          <w:tcPr>
            <w:tcW w:w="765" w:type="dxa"/>
            <w:tcBorders>
              <w:top w:val="single" w:sz="4" w:space="0" w:color="auto"/>
              <w:bottom w:val="single" w:sz="4" w:space="0" w:color="auto"/>
            </w:tcBorders>
          </w:tcPr>
          <w:p w14:paraId="3DC473C2"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i/>
                <w:sz w:val="24"/>
                <w:szCs w:val="24"/>
              </w:rPr>
              <w:t>Sens.</w:t>
            </w:r>
          </w:p>
        </w:tc>
        <w:tc>
          <w:tcPr>
            <w:tcW w:w="743" w:type="dxa"/>
            <w:tcBorders>
              <w:top w:val="single" w:sz="4" w:space="0" w:color="auto"/>
              <w:bottom w:val="single" w:sz="4" w:space="0" w:color="auto"/>
            </w:tcBorders>
          </w:tcPr>
          <w:p w14:paraId="3499A262"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i/>
                <w:sz w:val="24"/>
                <w:szCs w:val="24"/>
              </w:rPr>
              <w:t>Spec.</w:t>
            </w:r>
          </w:p>
        </w:tc>
      </w:tr>
      <w:tr w:rsidR="009F53C5" w:rsidRPr="00856EBD" w14:paraId="5629E3ED" w14:textId="77777777" w:rsidTr="00AD1AC9">
        <w:tc>
          <w:tcPr>
            <w:cnfStyle w:val="001000000000" w:firstRow="0" w:lastRow="0" w:firstColumn="1" w:lastColumn="0" w:oddVBand="0" w:evenVBand="0" w:oddHBand="0" w:evenHBand="0" w:firstRowFirstColumn="0" w:firstRowLastColumn="0" w:lastRowFirstColumn="0" w:lastRowLastColumn="0"/>
            <w:tcW w:w="469" w:type="dxa"/>
            <w:tcBorders>
              <w:top w:val="single" w:sz="4" w:space="0" w:color="auto"/>
            </w:tcBorders>
          </w:tcPr>
          <w:p w14:paraId="202AA92F"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1</w:t>
            </w:r>
          </w:p>
        </w:tc>
        <w:tc>
          <w:tcPr>
            <w:tcW w:w="5338" w:type="dxa"/>
            <w:tcBorders>
              <w:top w:val="single" w:sz="4" w:space="0" w:color="auto"/>
            </w:tcBorders>
          </w:tcPr>
          <w:p w14:paraId="1FA9365C"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A+B</w:t>
            </w:r>
          </w:p>
        </w:tc>
        <w:tc>
          <w:tcPr>
            <w:tcW w:w="851" w:type="dxa"/>
            <w:tcBorders>
              <w:top w:val="single" w:sz="4" w:space="0" w:color="auto"/>
            </w:tcBorders>
          </w:tcPr>
          <w:p w14:paraId="3997296F"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92%</w:t>
            </w:r>
          </w:p>
        </w:tc>
        <w:tc>
          <w:tcPr>
            <w:tcW w:w="850" w:type="dxa"/>
            <w:tcBorders>
              <w:top w:val="single" w:sz="4" w:space="0" w:color="auto"/>
            </w:tcBorders>
          </w:tcPr>
          <w:p w14:paraId="771D6222"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65" w:type="dxa"/>
            <w:tcBorders>
              <w:top w:val="single" w:sz="4" w:space="0" w:color="auto"/>
            </w:tcBorders>
          </w:tcPr>
          <w:p w14:paraId="3D4AB840"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43" w:type="dxa"/>
            <w:tcBorders>
              <w:top w:val="single" w:sz="4" w:space="0" w:color="auto"/>
            </w:tcBorders>
          </w:tcPr>
          <w:p w14:paraId="768B3980"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95%</w:t>
            </w:r>
          </w:p>
        </w:tc>
      </w:tr>
      <w:tr w:rsidR="009F53C5" w:rsidRPr="00856EBD" w14:paraId="5DFCEE40"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2019E1D4"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2</w:t>
            </w:r>
          </w:p>
        </w:tc>
        <w:tc>
          <w:tcPr>
            <w:tcW w:w="5338" w:type="dxa"/>
          </w:tcPr>
          <w:p w14:paraId="1BF9369E"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A or B</w:t>
            </w:r>
          </w:p>
        </w:tc>
        <w:tc>
          <w:tcPr>
            <w:tcW w:w="851" w:type="dxa"/>
          </w:tcPr>
          <w:p w14:paraId="42B11281"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88%</w:t>
            </w:r>
          </w:p>
        </w:tc>
        <w:tc>
          <w:tcPr>
            <w:tcW w:w="850" w:type="dxa"/>
          </w:tcPr>
          <w:p w14:paraId="1E1FC72A"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2%</w:t>
            </w:r>
          </w:p>
        </w:tc>
        <w:tc>
          <w:tcPr>
            <w:tcW w:w="765" w:type="dxa"/>
          </w:tcPr>
          <w:p w14:paraId="44286A1A"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10%</w:t>
            </w:r>
          </w:p>
        </w:tc>
        <w:tc>
          <w:tcPr>
            <w:tcW w:w="743" w:type="dxa"/>
          </w:tcPr>
          <w:p w14:paraId="5D7B4B19"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54%</w:t>
            </w:r>
          </w:p>
        </w:tc>
      </w:tr>
      <w:tr w:rsidR="009F53C5" w:rsidRPr="00856EBD" w14:paraId="388F02DA" w14:textId="77777777" w:rsidTr="00AD1AC9">
        <w:tc>
          <w:tcPr>
            <w:cnfStyle w:val="001000000000" w:firstRow="0" w:lastRow="0" w:firstColumn="1" w:lastColumn="0" w:oddVBand="0" w:evenVBand="0" w:oddHBand="0" w:evenHBand="0" w:firstRowFirstColumn="0" w:firstRowLastColumn="0" w:lastRowFirstColumn="0" w:lastRowLastColumn="0"/>
            <w:tcW w:w="469" w:type="dxa"/>
          </w:tcPr>
          <w:p w14:paraId="4B4CE3DE"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3</w:t>
            </w:r>
          </w:p>
        </w:tc>
        <w:tc>
          <w:tcPr>
            <w:tcW w:w="5338" w:type="dxa"/>
          </w:tcPr>
          <w:p w14:paraId="5FCE9496"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A or B + any 1 other risk marker (C/D/E)</w:t>
            </w:r>
          </w:p>
        </w:tc>
        <w:tc>
          <w:tcPr>
            <w:tcW w:w="851" w:type="dxa"/>
          </w:tcPr>
          <w:p w14:paraId="13272FA3"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91%</w:t>
            </w:r>
          </w:p>
        </w:tc>
        <w:tc>
          <w:tcPr>
            <w:tcW w:w="850" w:type="dxa"/>
          </w:tcPr>
          <w:p w14:paraId="615B3E54"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65" w:type="dxa"/>
          </w:tcPr>
          <w:p w14:paraId="04730C9D"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43" w:type="dxa"/>
          </w:tcPr>
          <w:p w14:paraId="4CB78C52"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86%</w:t>
            </w:r>
          </w:p>
        </w:tc>
      </w:tr>
      <w:tr w:rsidR="009F53C5" w:rsidRPr="00856EBD" w14:paraId="303CB417"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616D2F99"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4</w:t>
            </w:r>
          </w:p>
        </w:tc>
        <w:tc>
          <w:tcPr>
            <w:tcW w:w="5338" w:type="dxa"/>
          </w:tcPr>
          <w:p w14:paraId="34C7E895"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A or B + any 2 other risk markers (C/D/E)</w:t>
            </w:r>
          </w:p>
        </w:tc>
        <w:tc>
          <w:tcPr>
            <w:tcW w:w="851" w:type="dxa"/>
          </w:tcPr>
          <w:p w14:paraId="74327A76"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92%</w:t>
            </w:r>
          </w:p>
        </w:tc>
        <w:tc>
          <w:tcPr>
            <w:tcW w:w="850" w:type="dxa"/>
          </w:tcPr>
          <w:p w14:paraId="4F90F501"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65" w:type="dxa"/>
          </w:tcPr>
          <w:p w14:paraId="07141630"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0%</w:t>
            </w:r>
          </w:p>
        </w:tc>
        <w:tc>
          <w:tcPr>
            <w:tcW w:w="743" w:type="dxa"/>
          </w:tcPr>
          <w:p w14:paraId="28A3D55A"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98%</w:t>
            </w:r>
          </w:p>
        </w:tc>
      </w:tr>
      <w:tr w:rsidR="009F53C5" w:rsidRPr="00856EBD" w14:paraId="443D702E" w14:textId="77777777" w:rsidTr="00AD1AC9">
        <w:tc>
          <w:tcPr>
            <w:cnfStyle w:val="001000000000" w:firstRow="0" w:lastRow="0" w:firstColumn="1" w:lastColumn="0" w:oddVBand="0" w:evenVBand="0" w:oddHBand="0" w:evenHBand="0" w:firstRowFirstColumn="0" w:firstRowLastColumn="0" w:lastRowFirstColumn="0" w:lastRowLastColumn="0"/>
            <w:tcW w:w="469" w:type="dxa"/>
          </w:tcPr>
          <w:p w14:paraId="23D59A64"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5</w:t>
            </w:r>
          </w:p>
        </w:tc>
        <w:tc>
          <w:tcPr>
            <w:tcW w:w="5338" w:type="dxa"/>
          </w:tcPr>
          <w:p w14:paraId="5490C578"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Presence of any 1 of other risk markers (C/D/E)</w:t>
            </w:r>
          </w:p>
        </w:tc>
        <w:tc>
          <w:tcPr>
            <w:tcW w:w="851" w:type="dxa"/>
          </w:tcPr>
          <w:p w14:paraId="50F46FF3"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92%</w:t>
            </w:r>
          </w:p>
        </w:tc>
        <w:tc>
          <w:tcPr>
            <w:tcW w:w="850" w:type="dxa"/>
          </w:tcPr>
          <w:p w14:paraId="4C779192"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8%</w:t>
            </w:r>
          </w:p>
        </w:tc>
        <w:tc>
          <w:tcPr>
            <w:tcW w:w="765" w:type="dxa"/>
          </w:tcPr>
          <w:p w14:paraId="22187524"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30%</w:t>
            </w:r>
          </w:p>
        </w:tc>
        <w:tc>
          <w:tcPr>
            <w:tcW w:w="743" w:type="dxa"/>
          </w:tcPr>
          <w:p w14:paraId="1F52BD86"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70%</w:t>
            </w:r>
          </w:p>
        </w:tc>
      </w:tr>
      <w:tr w:rsidR="009F53C5" w:rsidRPr="00856EBD" w14:paraId="151A05B1" w14:textId="77777777" w:rsidTr="00AD1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04057EE3" w14:textId="77777777" w:rsidR="009F53C5" w:rsidRPr="00856EBD" w:rsidRDefault="009F53C5" w:rsidP="00AD1AC9">
            <w:pPr>
              <w:spacing w:line="480" w:lineRule="auto"/>
              <w:rPr>
                <w:rFonts w:ascii="Times New Roman" w:hAnsi="Times New Roman" w:cs="Times New Roman"/>
                <w:sz w:val="24"/>
                <w:szCs w:val="24"/>
              </w:rPr>
            </w:pPr>
            <w:r w:rsidRPr="00856EBD">
              <w:rPr>
                <w:rFonts w:ascii="Times New Roman" w:hAnsi="Times New Roman" w:cs="Times New Roman"/>
                <w:sz w:val="24"/>
                <w:szCs w:val="24"/>
              </w:rPr>
              <w:t>6</w:t>
            </w:r>
          </w:p>
        </w:tc>
        <w:tc>
          <w:tcPr>
            <w:tcW w:w="5338" w:type="dxa"/>
          </w:tcPr>
          <w:p w14:paraId="61E18CB3" w14:textId="77777777" w:rsidR="009F53C5" w:rsidRPr="00856EBD" w:rsidRDefault="009F53C5" w:rsidP="00AD1AC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Presence of any 2 of other risk marker</w:t>
            </w:r>
            <w:r>
              <w:rPr>
                <w:rFonts w:ascii="Times New Roman" w:hAnsi="Times New Roman" w:cs="Times New Roman"/>
                <w:sz w:val="24"/>
                <w:szCs w:val="24"/>
              </w:rPr>
              <w:t>s</w:t>
            </w:r>
            <w:r w:rsidRPr="00856EBD">
              <w:rPr>
                <w:rFonts w:ascii="Times New Roman" w:hAnsi="Times New Roman" w:cs="Times New Roman"/>
                <w:sz w:val="24"/>
                <w:szCs w:val="24"/>
              </w:rPr>
              <w:t xml:space="preserve"> (C/D/E)</w:t>
            </w:r>
          </w:p>
        </w:tc>
        <w:tc>
          <w:tcPr>
            <w:tcW w:w="851" w:type="dxa"/>
          </w:tcPr>
          <w:p w14:paraId="24DF9EBF"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93%</w:t>
            </w:r>
          </w:p>
        </w:tc>
        <w:tc>
          <w:tcPr>
            <w:tcW w:w="850" w:type="dxa"/>
          </w:tcPr>
          <w:p w14:paraId="31D9D88F"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20%</w:t>
            </w:r>
          </w:p>
        </w:tc>
        <w:tc>
          <w:tcPr>
            <w:tcW w:w="765" w:type="dxa"/>
          </w:tcPr>
          <w:p w14:paraId="0D55B141"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10%</w:t>
            </w:r>
          </w:p>
        </w:tc>
        <w:tc>
          <w:tcPr>
            <w:tcW w:w="743" w:type="dxa"/>
          </w:tcPr>
          <w:p w14:paraId="2B7DD325" w14:textId="77777777" w:rsidR="009F53C5" w:rsidRPr="00856EBD" w:rsidRDefault="009F53C5" w:rsidP="00AD1AC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6EBD">
              <w:rPr>
                <w:rFonts w:ascii="Times New Roman" w:hAnsi="Times New Roman" w:cs="Times New Roman"/>
                <w:sz w:val="24"/>
                <w:szCs w:val="24"/>
              </w:rPr>
              <w:t>97%</w:t>
            </w:r>
          </w:p>
        </w:tc>
      </w:tr>
      <w:tr w:rsidR="009F53C5" w:rsidRPr="00856EBD" w14:paraId="6BC33FD7" w14:textId="77777777" w:rsidTr="00AD1AC9">
        <w:tc>
          <w:tcPr>
            <w:cnfStyle w:val="001000000000" w:firstRow="0" w:lastRow="0" w:firstColumn="1" w:lastColumn="0" w:oddVBand="0" w:evenVBand="0" w:oddHBand="0" w:evenHBand="0" w:firstRowFirstColumn="0" w:firstRowLastColumn="0" w:lastRowFirstColumn="0" w:lastRowLastColumn="0"/>
            <w:tcW w:w="469" w:type="dxa"/>
            <w:tcBorders>
              <w:bottom w:val="single" w:sz="4" w:space="0" w:color="auto"/>
            </w:tcBorders>
          </w:tcPr>
          <w:p w14:paraId="22590336" w14:textId="77777777" w:rsidR="009F53C5" w:rsidRPr="00856EBD" w:rsidRDefault="009F53C5" w:rsidP="00AD1AC9">
            <w:pPr>
              <w:spacing w:line="480" w:lineRule="auto"/>
              <w:rPr>
                <w:rFonts w:ascii="Times New Roman" w:hAnsi="Times New Roman" w:cs="Times New Roman"/>
                <w:sz w:val="24"/>
                <w:szCs w:val="24"/>
              </w:rPr>
            </w:pPr>
            <w:r>
              <w:rPr>
                <w:rFonts w:ascii="Times New Roman" w:hAnsi="Times New Roman" w:cs="Times New Roman"/>
                <w:sz w:val="24"/>
                <w:szCs w:val="24"/>
              </w:rPr>
              <w:t>7</w:t>
            </w:r>
          </w:p>
        </w:tc>
        <w:tc>
          <w:tcPr>
            <w:tcW w:w="5338" w:type="dxa"/>
            <w:tcBorders>
              <w:bottom w:val="single" w:sz="4" w:space="0" w:color="auto"/>
            </w:tcBorders>
          </w:tcPr>
          <w:p w14:paraId="4BDCF307" w14:textId="77777777" w:rsidR="009F53C5" w:rsidRPr="00856EBD" w:rsidRDefault="009F53C5" w:rsidP="00AD1AC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Presence of any 2 of other risk markers (C/D/E) in the absence of A+B</w:t>
            </w:r>
          </w:p>
        </w:tc>
        <w:tc>
          <w:tcPr>
            <w:tcW w:w="851" w:type="dxa"/>
            <w:tcBorders>
              <w:bottom w:val="single" w:sz="4" w:space="0" w:color="auto"/>
            </w:tcBorders>
          </w:tcPr>
          <w:p w14:paraId="76642729"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c>
          <w:tcPr>
            <w:tcW w:w="850" w:type="dxa"/>
            <w:tcBorders>
              <w:bottom w:val="single" w:sz="4" w:space="0" w:color="auto"/>
            </w:tcBorders>
          </w:tcPr>
          <w:p w14:paraId="7B3F4501"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tc>
        <w:tc>
          <w:tcPr>
            <w:tcW w:w="765" w:type="dxa"/>
            <w:tcBorders>
              <w:bottom w:val="single" w:sz="4" w:space="0" w:color="auto"/>
            </w:tcBorders>
          </w:tcPr>
          <w:p w14:paraId="454733F8"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c>
          <w:tcPr>
            <w:tcW w:w="743" w:type="dxa"/>
            <w:tcBorders>
              <w:bottom w:val="single" w:sz="4" w:space="0" w:color="auto"/>
            </w:tcBorders>
          </w:tcPr>
          <w:p w14:paraId="57A18DA1" w14:textId="77777777" w:rsidR="009F53C5" w:rsidRPr="00856EBD" w:rsidRDefault="009F53C5" w:rsidP="00AD1AC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w:t>
            </w:r>
          </w:p>
        </w:tc>
      </w:tr>
    </w:tbl>
    <w:p w14:paraId="3C74F997" w14:textId="77777777" w:rsidR="009F53C5" w:rsidRPr="00856EBD" w:rsidRDefault="009F53C5" w:rsidP="009F53C5">
      <w:pPr>
        <w:spacing w:line="480" w:lineRule="auto"/>
        <w:jc w:val="both"/>
      </w:pPr>
      <w:r w:rsidRPr="00856EBD">
        <w:rPr>
          <w:rFonts w:ascii="Times New Roman" w:hAnsi="Times New Roman" w:cs="Times New Roman"/>
          <w:b/>
          <w:sz w:val="24"/>
          <w:szCs w:val="24"/>
        </w:rPr>
        <w:t>Table 3</w:t>
      </w:r>
      <w:r w:rsidRPr="00856EBD">
        <w:rPr>
          <w:rFonts w:ascii="Times New Roman" w:hAnsi="Times New Roman" w:cs="Times New Roman"/>
          <w:sz w:val="24"/>
          <w:szCs w:val="24"/>
        </w:rPr>
        <w:t xml:space="preserve"> </w:t>
      </w:r>
      <w:r w:rsidRPr="00856EBD">
        <w:rPr>
          <w:rFonts w:ascii="Times New Roman" w:hAnsi="Times New Roman" w:cs="Times New Roman"/>
          <w:b/>
          <w:sz w:val="24"/>
          <w:szCs w:val="24"/>
        </w:rPr>
        <w:t>Negative predictive value (NPV), positive predictive value (PPV), sensitivity (</w:t>
      </w:r>
      <w:proofErr w:type="spellStart"/>
      <w:r w:rsidRPr="00856EBD">
        <w:rPr>
          <w:rFonts w:ascii="Times New Roman" w:hAnsi="Times New Roman" w:cs="Times New Roman"/>
          <w:b/>
          <w:sz w:val="24"/>
          <w:szCs w:val="24"/>
        </w:rPr>
        <w:t>sens.</w:t>
      </w:r>
      <w:proofErr w:type="spellEnd"/>
      <w:r w:rsidRPr="00856EBD">
        <w:rPr>
          <w:rFonts w:ascii="Times New Roman" w:hAnsi="Times New Roman" w:cs="Times New Roman"/>
          <w:b/>
          <w:sz w:val="24"/>
          <w:szCs w:val="24"/>
        </w:rPr>
        <w:t>) and specificity (spec.) of conventional and newer risk markers and on aggregate. No patient had all 3 of the non-conventional risk markers (C/D/E) *SAECG and PES not included in aggregate analysis as not performed in all patients.</w:t>
      </w:r>
      <w:r w:rsidRPr="00856EBD">
        <w:rPr>
          <w:rFonts w:ascii="Times New Roman" w:hAnsi="Times New Roman" w:cs="Times New Roman"/>
          <w:sz w:val="24"/>
          <w:szCs w:val="24"/>
        </w:rPr>
        <w:t xml:space="preserve"> </w:t>
      </w:r>
    </w:p>
    <w:p w14:paraId="607695FD" w14:textId="77777777" w:rsidR="009F53C5" w:rsidRPr="00566230" w:rsidRDefault="009F53C5" w:rsidP="00C66215">
      <w:pPr>
        <w:spacing w:line="480" w:lineRule="auto"/>
        <w:rPr>
          <w:rFonts w:ascii="Times New Roman" w:hAnsi="Times New Roman" w:cs="Times New Roman"/>
          <w:sz w:val="24"/>
          <w:szCs w:val="24"/>
        </w:rPr>
      </w:pPr>
      <w:bookmarkStart w:id="4" w:name="_GoBack"/>
      <w:bookmarkEnd w:id="4"/>
    </w:p>
    <w:sectPr w:rsidR="009F53C5" w:rsidRPr="00566230" w:rsidSect="007C51FF">
      <w:footerReference w:type="default" r:id="rId10"/>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6BCD6" w14:textId="77777777" w:rsidR="00322740" w:rsidRDefault="00322740" w:rsidP="001900EC">
      <w:pPr>
        <w:spacing w:after="0" w:line="240" w:lineRule="auto"/>
      </w:pPr>
      <w:r>
        <w:separator/>
      </w:r>
    </w:p>
  </w:endnote>
  <w:endnote w:type="continuationSeparator" w:id="0">
    <w:p w14:paraId="3B339C25" w14:textId="77777777" w:rsidR="00322740" w:rsidRDefault="00322740" w:rsidP="00190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OTd2cf1899+30">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4934534"/>
      <w:docPartObj>
        <w:docPartGallery w:val="Page Numbers (Bottom of Page)"/>
        <w:docPartUnique/>
      </w:docPartObj>
    </w:sdtPr>
    <w:sdtEndPr>
      <w:rPr>
        <w:noProof/>
      </w:rPr>
    </w:sdtEndPr>
    <w:sdtContent>
      <w:p w14:paraId="4395B011" w14:textId="1CA264BB" w:rsidR="001900EC" w:rsidRDefault="001900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925F36" w14:textId="77777777" w:rsidR="001900EC" w:rsidRDefault="00190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795077" w14:textId="77777777" w:rsidR="00322740" w:rsidRDefault="00322740" w:rsidP="001900EC">
      <w:pPr>
        <w:spacing w:after="0" w:line="240" w:lineRule="auto"/>
      </w:pPr>
      <w:r>
        <w:separator/>
      </w:r>
    </w:p>
  </w:footnote>
  <w:footnote w:type="continuationSeparator" w:id="0">
    <w:p w14:paraId="2D29DBAA" w14:textId="77777777" w:rsidR="00322740" w:rsidRDefault="00322740" w:rsidP="001900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6D5"/>
    <w:rsid w:val="00002C81"/>
    <w:rsid w:val="00014931"/>
    <w:rsid w:val="00060D67"/>
    <w:rsid w:val="000E634D"/>
    <w:rsid w:val="000F4A95"/>
    <w:rsid w:val="0010370E"/>
    <w:rsid w:val="00135B37"/>
    <w:rsid w:val="00171039"/>
    <w:rsid w:val="001900EC"/>
    <w:rsid w:val="00190C24"/>
    <w:rsid w:val="001943E1"/>
    <w:rsid w:val="00195542"/>
    <w:rsid w:val="001A6A15"/>
    <w:rsid w:val="001C567D"/>
    <w:rsid w:val="001E0C7E"/>
    <w:rsid w:val="001E7562"/>
    <w:rsid w:val="002021D4"/>
    <w:rsid w:val="00274375"/>
    <w:rsid w:val="002952A2"/>
    <w:rsid w:val="002B28F1"/>
    <w:rsid w:val="0031534D"/>
    <w:rsid w:val="003201A4"/>
    <w:rsid w:val="00322740"/>
    <w:rsid w:val="00323784"/>
    <w:rsid w:val="0033291B"/>
    <w:rsid w:val="003351FE"/>
    <w:rsid w:val="00341284"/>
    <w:rsid w:val="003B365B"/>
    <w:rsid w:val="003D43BB"/>
    <w:rsid w:val="003E1DF5"/>
    <w:rsid w:val="003F7C65"/>
    <w:rsid w:val="003F7CE9"/>
    <w:rsid w:val="0041611C"/>
    <w:rsid w:val="0044143C"/>
    <w:rsid w:val="00491679"/>
    <w:rsid w:val="004B2479"/>
    <w:rsid w:val="004F0B60"/>
    <w:rsid w:val="00502BF2"/>
    <w:rsid w:val="00540195"/>
    <w:rsid w:val="00540985"/>
    <w:rsid w:val="00553144"/>
    <w:rsid w:val="00553306"/>
    <w:rsid w:val="0056233F"/>
    <w:rsid w:val="00566230"/>
    <w:rsid w:val="00591269"/>
    <w:rsid w:val="005A0CF3"/>
    <w:rsid w:val="005B3177"/>
    <w:rsid w:val="005C0B25"/>
    <w:rsid w:val="005C7F91"/>
    <w:rsid w:val="005D6754"/>
    <w:rsid w:val="005E6F5B"/>
    <w:rsid w:val="006303A0"/>
    <w:rsid w:val="006442A6"/>
    <w:rsid w:val="00660192"/>
    <w:rsid w:val="00660643"/>
    <w:rsid w:val="00670611"/>
    <w:rsid w:val="00694FD3"/>
    <w:rsid w:val="006A3B0D"/>
    <w:rsid w:val="006B2018"/>
    <w:rsid w:val="006D5083"/>
    <w:rsid w:val="006D56D5"/>
    <w:rsid w:val="006D6BA1"/>
    <w:rsid w:val="00704D46"/>
    <w:rsid w:val="00716619"/>
    <w:rsid w:val="0072560E"/>
    <w:rsid w:val="007652C3"/>
    <w:rsid w:val="00781ADA"/>
    <w:rsid w:val="007C51FF"/>
    <w:rsid w:val="007C5351"/>
    <w:rsid w:val="007E209B"/>
    <w:rsid w:val="0086127B"/>
    <w:rsid w:val="00882C1A"/>
    <w:rsid w:val="008B22D4"/>
    <w:rsid w:val="008C634A"/>
    <w:rsid w:val="008D0556"/>
    <w:rsid w:val="00905D4E"/>
    <w:rsid w:val="00915A3B"/>
    <w:rsid w:val="00920867"/>
    <w:rsid w:val="00933C36"/>
    <w:rsid w:val="00984849"/>
    <w:rsid w:val="009C3842"/>
    <w:rsid w:val="009F53C5"/>
    <w:rsid w:val="00A2027C"/>
    <w:rsid w:val="00A33279"/>
    <w:rsid w:val="00A47E84"/>
    <w:rsid w:val="00A51A46"/>
    <w:rsid w:val="00A74433"/>
    <w:rsid w:val="00A87C05"/>
    <w:rsid w:val="00AA7DDA"/>
    <w:rsid w:val="00AB174A"/>
    <w:rsid w:val="00AC0B9B"/>
    <w:rsid w:val="00AF2B4C"/>
    <w:rsid w:val="00B41F9F"/>
    <w:rsid w:val="00B94188"/>
    <w:rsid w:val="00BC37EF"/>
    <w:rsid w:val="00BC54FD"/>
    <w:rsid w:val="00BD026D"/>
    <w:rsid w:val="00BD25F5"/>
    <w:rsid w:val="00BF2567"/>
    <w:rsid w:val="00C275D1"/>
    <w:rsid w:val="00C66215"/>
    <w:rsid w:val="00C81C98"/>
    <w:rsid w:val="00CA68DB"/>
    <w:rsid w:val="00CA718F"/>
    <w:rsid w:val="00CB72D1"/>
    <w:rsid w:val="00CC1FB7"/>
    <w:rsid w:val="00D57D41"/>
    <w:rsid w:val="00DD6B73"/>
    <w:rsid w:val="00E27CC5"/>
    <w:rsid w:val="00E73CC4"/>
    <w:rsid w:val="00E775E3"/>
    <w:rsid w:val="00ED7039"/>
    <w:rsid w:val="00F0542A"/>
    <w:rsid w:val="00F13383"/>
    <w:rsid w:val="00F36DD3"/>
    <w:rsid w:val="00F41B5B"/>
    <w:rsid w:val="00F50822"/>
    <w:rsid w:val="00F82431"/>
    <w:rsid w:val="00FA1561"/>
    <w:rsid w:val="00FA15F5"/>
    <w:rsid w:val="00FC0589"/>
    <w:rsid w:val="00FE2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CF61A"/>
  <w15:chartTrackingRefBased/>
  <w15:docId w15:val="{DF046BD8-1DDD-42E4-A3FC-C26BC803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6D56D5"/>
  </w:style>
  <w:style w:type="paragraph" w:styleId="Heading1">
    <w:name w:val="heading 1"/>
    <w:basedOn w:val="Normal"/>
    <w:next w:val="Normal"/>
    <w:link w:val="Heading1Char"/>
    <w:uiPriority w:val="9"/>
    <w:qFormat/>
    <w:rsid w:val="0086127B"/>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56D5"/>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D56D5"/>
  </w:style>
  <w:style w:type="character" w:customStyle="1" w:styleId="spellingerror">
    <w:name w:val="spellingerror"/>
    <w:basedOn w:val="DefaultParagraphFont"/>
    <w:rsid w:val="006D56D5"/>
  </w:style>
  <w:style w:type="character" w:customStyle="1" w:styleId="paragraph">
    <w:name w:val="paragraph"/>
    <w:basedOn w:val="DefaultParagraphFont"/>
    <w:rsid w:val="006303A0"/>
  </w:style>
  <w:style w:type="paragraph" w:styleId="BalloonText">
    <w:name w:val="Balloon Text"/>
    <w:basedOn w:val="Normal"/>
    <w:link w:val="BalloonTextChar"/>
    <w:uiPriority w:val="99"/>
    <w:semiHidden/>
    <w:unhideWhenUsed/>
    <w:rsid w:val="005C0B2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C0B25"/>
    <w:rPr>
      <w:rFonts w:ascii="Times New Roman" w:hAnsi="Times New Roman" w:cs="Times New Roman"/>
      <w:sz w:val="18"/>
      <w:szCs w:val="18"/>
    </w:rPr>
  </w:style>
  <w:style w:type="paragraph" w:styleId="Header">
    <w:name w:val="header"/>
    <w:basedOn w:val="Normal"/>
    <w:link w:val="HeaderChar"/>
    <w:uiPriority w:val="99"/>
    <w:unhideWhenUsed/>
    <w:rsid w:val="001900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0EC"/>
  </w:style>
  <w:style w:type="paragraph" w:styleId="Footer">
    <w:name w:val="footer"/>
    <w:basedOn w:val="Normal"/>
    <w:link w:val="FooterChar"/>
    <w:uiPriority w:val="99"/>
    <w:unhideWhenUsed/>
    <w:rsid w:val="001900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0EC"/>
  </w:style>
  <w:style w:type="character" w:customStyle="1" w:styleId="Heading1Char">
    <w:name w:val="Heading 1 Char"/>
    <w:basedOn w:val="DefaultParagraphFont"/>
    <w:link w:val="Heading1"/>
    <w:uiPriority w:val="9"/>
    <w:rsid w:val="0086127B"/>
    <w:rPr>
      <w:rFonts w:asciiTheme="majorHAnsi" w:eastAsiaTheme="majorEastAsia" w:hAnsiTheme="majorHAnsi" w:cstheme="majorBidi"/>
      <w:color w:val="2F5496" w:themeColor="accent1" w:themeShade="BF"/>
      <w:sz w:val="32"/>
      <w:szCs w:val="32"/>
    </w:rPr>
  </w:style>
  <w:style w:type="character" w:styleId="LineNumber">
    <w:name w:val="line number"/>
    <w:basedOn w:val="DefaultParagraphFont"/>
    <w:uiPriority w:val="99"/>
    <w:semiHidden/>
    <w:unhideWhenUsed/>
    <w:rsid w:val="00AF2B4C"/>
  </w:style>
  <w:style w:type="table" w:styleId="PlainTable5">
    <w:name w:val="Plain Table 5"/>
    <w:basedOn w:val="TableNormal"/>
    <w:uiPriority w:val="45"/>
    <w:rsid w:val="009F53C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4F12E-1359-4A1C-93BC-C22FDE2F3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38437</Words>
  <Characters>219091</Characters>
  <Application>Microsoft Office Word</Application>
  <DocSecurity>0</DocSecurity>
  <Lines>1825</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Leong</dc:creator>
  <cp:keywords/>
  <dc:description/>
  <cp:lastModifiedBy>Leong, Kevin M W</cp:lastModifiedBy>
  <cp:revision>3</cp:revision>
  <cp:lastPrinted>2018-03-02T12:54:00Z</cp:lastPrinted>
  <dcterms:created xsi:type="dcterms:W3CDTF">2019-12-04T11:30:00Z</dcterms:created>
  <dcterms:modified xsi:type="dcterms:W3CDTF">2019-12-04T11:30:00Z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http://www.zotero.org/styles/american-medical-association</vt:lpwstr>
  </property>
  <property fmtid="{D5CDD505-2E9C-101B-9397-08002B2CF9AE}" pid="24" name="Mendeley Unique User Id_1">
    <vt:lpwstr>c5cdc4a7-46ff-34e0-9a75-c198b741f874</vt:lpwstr>
  </property>
</Properties>
</file>