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734" w:rsidRPr="00AD3AB6" w:rsidRDefault="00792734" w:rsidP="00AB34C5">
      <w:pPr>
        <w:pStyle w:val="BBAuthorName"/>
        <w:jc w:val="left"/>
        <w:rPr>
          <w:rFonts w:ascii="Times New Roman" w:hAnsi="Times New Roman"/>
          <w:i w:val="0"/>
          <w:sz w:val="44"/>
        </w:rPr>
      </w:pPr>
      <w:bookmarkStart w:id="0" w:name="_GoBack"/>
      <w:r w:rsidRPr="00AD3AB6">
        <w:rPr>
          <w:rFonts w:ascii="Times New Roman" w:hAnsi="Times New Roman"/>
          <w:i w:val="0"/>
          <w:sz w:val="44"/>
        </w:rPr>
        <w:t>Highly controlled open vessel RAFT polymerizations by enzyme degassing</w:t>
      </w:r>
    </w:p>
    <w:bookmarkEnd w:id="0"/>
    <w:p w:rsidR="00792734" w:rsidRPr="00AD3AB6" w:rsidRDefault="00792734" w:rsidP="00AB34C5">
      <w:pPr>
        <w:pStyle w:val="BBAuthorName"/>
        <w:jc w:val="left"/>
      </w:pPr>
      <w:r w:rsidRPr="00AD3AB6">
        <w:t>Robert Chapman</w:t>
      </w:r>
      <w:r w:rsidRPr="00AD3AB6">
        <w:rPr>
          <w:vertAlign w:val="superscript"/>
        </w:rPr>
        <w:t>‡</w:t>
      </w:r>
      <w:r w:rsidRPr="00AD3AB6">
        <w:t>, Adam J. Gormley</w:t>
      </w:r>
      <w:r w:rsidRPr="00AD3AB6">
        <w:rPr>
          <w:vertAlign w:val="superscript"/>
        </w:rPr>
        <w:t>‡</w:t>
      </w:r>
      <w:r w:rsidRPr="00AD3AB6">
        <w:t>, Karla-Luise Herpoldt, and Molly M. Stevens</w:t>
      </w:r>
      <w:r w:rsidR="0027122C" w:rsidRPr="00AD3AB6">
        <w:rPr>
          <w:vertAlign w:val="superscript"/>
        </w:rPr>
        <w:t>*</w:t>
      </w:r>
    </w:p>
    <w:p w:rsidR="009246AD" w:rsidRPr="00AD3AB6" w:rsidRDefault="00792734" w:rsidP="00AB34C5">
      <w:pPr>
        <w:pStyle w:val="BCAuthorAddress"/>
        <w:jc w:val="left"/>
      </w:pPr>
      <w:r w:rsidRPr="00AD3AB6">
        <w:t>Department of Materials, Department of Bioengineering, and Institute for Biomedical Engineering, Imperial College London, London, United Kingdom</w:t>
      </w:r>
    </w:p>
    <w:p w:rsidR="0041244A" w:rsidRPr="00AD3AB6" w:rsidRDefault="00792734" w:rsidP="0041244A">
      <w:pPr>
        <w:pStyle w:val="FACorrespondingAuthorFootnote"/>
        <w:spacing w:after="0"/>
        <w:jc w:val="left"/>
      </w:pPr>
      <w:r w:rsidRPr="00AD3AB6">
        <w:t>KEYWORDS: Polymerization, RAFT, glucose oxidase, enzyme, degassing</w:t>
      </w:r>
    </w:p>
    <w:p w:rsidR="000C05CC" w:rsidRPr="00AD3AB6" w:rsidRDefault="000C05CC" w:rsidP="00324128">
      <w:pPr>
        <w:pStyle w:val="FACorrespondingAuthorFootnote"/>
        <w:spacing w:after="240"/>
        <w:jc w:val="left"/>
      </w:pPr>
    </w:p>
    <w:p w:rsidR="00792734" w:rsidRPr="00AD3AB6" w:rsidRDefault="00792734" w:rsidP="00792734">
      <w:pPr>
        <w:pStyle w:val="TAMainText"/>
        <w:ind w:firstLine="0"/>
        <w:jc w:val="left"/>
      </w:pPr>
      <w:r w:rsidRPr="00AD3AB6">
        <w:rPr>
          <w:b/>
        </w:rPr>
        <w:t>ABSTRACT:</w:t>
      </w:r>
      <w:r w:rsidRPr="00AD3AB6">
        <w:t xml:space="preserve"> Intolerance to oxygen is a key limitation in many reactions, and particularly in controlled radical polymerizations. Here we introduce the use of enzymes such as glucose oxidase (GOx) to deoxygenate reversible addition-fragmentation chain transfer polymerizations (Enz-RAFT), facilitating the preparation of highly controlled polymers in vessels open to ambient oxygen. Because the removal of oxygen is so efficient</w:t>
      </w:r>
      <w:r w:rsidR="00CB4E11" w:rsidRPr="00AD3AB6">
        <w:t>,</w:t>
      </w:r>
      <w:r w:rsidRPr="00AD3AB6">
        <w:t xml:space="preserve"> very low concentrations of GOx and initiator can be used, enabling excellent control which is demonstrated by pseudo living polymerization kinetics and the preparation of multi-block copolymers with narrow molecular weight distributions (</w:t>
      </w:r>
      <w:r w:rsidRPr="00AD3AB6">
        <w:rPr>
          <w:i/>
        </w:rPr>
        <w:t>M</w:t>
      </w:r>
      <w:r w:rsidRPr="00AD3AB6">
        <w:rPr>
          <w:vertAlign w:val="subscript"/>
        </w:rPr>
        <w:t>w</w:t>
      </w:r>
      <w:r w:rsidRPr="00AD3AB6">
        <w:t>/</w:t>
      </w:r>
      <w:r w:rsidRPr="00AD3AB6">
        <w:rPr>
          <w:i/>
        </w:rPr>
        <w:t>M</w:t>
      </w:r>
      <w:r w:rsidRPr="00AD3AB6">
        <w:rPr>
          <w:vertAlign w:val="subscript"/>
        </w:rPr>
        <w:t>n</w:t>
      </w:r>
      <w:r w:rsidRPr="00AD3AB6">
        <w:t xml:space="preserve"> &lt; 1.15). GOx retains sufficient activity to facilitate polymerization not just in aqueous solutions, but also in a range of water / organic solvent mixtures, and we demonstrate the use of this technique to perform open vessel Enz-RAFT polymerizations in various methanol and dioxane / water mixtures.</w:t>
      </w:r>
      <w:r w:rsidRPr="00AD3AB6">
        <w:br w:type="page"/>
      </w:r>
    </w:p>
    <w:p w:rsidR="00AC03FD" w:rsidRPr="00AD3AB6" w:rsidRDefault="00792734" w:rsidP="00792734">
      <w:pPr>
        <w:pStyle w:val="TAMainText"/>
      </w:pPr>
      <w:r w:rsidRPr="00AD3AB6">
        <w:lastRenderedPageBreak/>
        <w:t>Controlled radical polymerization (CRP) techniques such as atom transfer radical polymerization (ATRP),</w:t>
      </w:r>
      <w:r w:rsidRPr="00AD3AB6">
        <w:fldChar w:fldCharType="begin" w:fldLock="1"/>
      </w:r>
      <w:r w:rsidR="004C7450" w:rsidRPr="00AD3AB6">
        <w:instrText>ADDIN CSL_CITATION { "citationItems" : [ { "id" : "ITEM-1", "itemData" : { "DOI" : "10.1021/ma3001719", "ISBN" : "0024-9297", "abstract" : "Current status and future perspectives in atom transfer radical polymerization (ATRP) are presented. Special emphasis is placed on mechanistic understanding of ATRP, recent synthetic and process development, and new controlled polymer architectures enabled by ATRP. New hybrid materials based on organic/inorganic systems and natural/synthetic polymers are presented. Some current and forthcoming applications are described.", "author" : [ { "dropping-particle" : "", "family" : "Matyjaszewski", "given" : "Krzysztof", "non-dropping-particle" : "", "parse-names" : false, "suffix" : "" } ], "container-title" : "Macromolecules", "id" : "ITEM-1", "issue" : "10", "issued" : { "date-parts" : [ [ "2012" ] ] }, "page" : "4015\u20134039", "publisher" : "American Chemical Society", "title" : "Atom Transfer Radical Polymerization (ATRP): Current Status and Future Perspectives", "type" : "article-journal", "volume" : "45" }, "uris" : [ "http://www.mendeley.com/documents/?uuid=818954e0-e017-4593-9ef2-a94515bdd036" ] } ], "mendeley" : { "previouslyFormattedCitation" : "&lt;sup&gt;1&lt;/sup&gt;" }, "properties" : { "noteIndex" : 0 }, "schema" : "https://github.com/citation-style-language/schema/raw/master/csl-citation.json" }</w:instrText>
      </w:r>
      <w:r w:rsidRPr="00AD3AB6">
        <w:fldChar w:fldCharType="separate"/>
      </w:r>
      <w:r w:rsidR="004C7450" w:rsidRPr="00AD3AB6">
        <w:rPr>
          <w:noProof/>
          <w:vertAlign w:val="superscript"/>
        </w:rPr>
        <w:t>1</w:t>
      </w:r>
      <w:r w:rsidRPr="00AD3AB6">
        <w:fldChar w:fldCharType="end"/>
      </w:r>
      <w:r w:rsidRPr="00AD3AB6">
        <w:t xml:space="preserve"> and RAFT,</w:t>
      </w:r>
      <w:r w:rsidRPr="00AD3AB6">
        <w:fldChar w:fldCharType="begin" w:fldLock="1"/>
      </w:r>
      <w:r w:rsidR="004C7450" w:rsidRPr="00AD3AB6">
        <w:instrText>ADDIN CSL_CITATION { "citationItems" : [ { "id" : "ITEM-1", "itemData" : { "DOI" : "10.1002/pola.20986", "ISBN" : "0887-624X", "ISSN" : "0887-624X", "abstract" : "Among the living radical polymerization techniques, reversible addition-fragmentation chain transfer (RAFT) and macromolecular design via the interchange of xanthates (MADIX) polymerizations appear to be the most versatile processes in terms of the reaction conditions, the variety of monomers for which polymerization can be controlled, tolerance to functionalities, and the range of polymeric architectures that can be produced. This review highlights the progress made in RAFT/MADIX polymerization since the first report in 1998. It addresses, in turn, the mechanism and kinetics of the process, examines the various components of the system, including the synthesis paths of the thiocarbonyl-thio compounds used as chain-transfer agents, and the conditions of polymerization, and gives an account of the wide range of monomers that have been successfully polymerized to date, as well as the various polymeric architectures that have been produced. In the last section, this review describes the future challenges that the process will face and shows its opening to a wider scientific community as a synthetic tool for the production of functional macromolecules and materials. (c) 2005 Wiley Periodicals, Inc.", "author" : [ { "dropping-particle" : "", "family" : "Perrier", "given" : "S\u00e9bastien", "non-dropping-particle" : "", "parse-names" : false, "suffix" : "" }, { "dropping-particle" : "", "family" : "Takolpuckdee", "given" : "Pittaya", "non-dropping-particle" : "", "parse-names" : false, "suffix" : "" } ], "container-title" : "Journal of Polymer Science Part A: Polymer Chemistry", "id" : "ITEM-1", "issue" : "22", "issued" : { "date-parts" : [ [ "2005", "11", "15" ] ] }, "note" : "\n        From Duplicate 1 ( \n        \n        \n          Macromolecular design via reversible addition-fragmentation chain transfer (RAFT) / Xanthates (MADIX) polymerization\n        \n        \n         - Perrier, S; Takolpuckdee, P )\n\n        \n        \nISI Document Delivery No.: 979OH\nTimes Cited: 414\nCited Reference Count: 355\nJOHN WILEY &amp; SONS INC\n\n        \n\n      ", "page" : "5347-5393", "title" : "Macromolecular design via reversible addition-fragmentation chain transfer (RAFT) / Xanthates (MADIX) polymerization", "type" : "article-journal", "volume" : "43" }, "uris" : [ "http://www.mendeley.com/documents/?uuid=3d053fd0-d051-41c5-8c1d-96150c335e1b" ] }, { "id" : "ITEM-2", "itemData" : { "DOI" : "10.1071/ch06250", "ISBN" : "0004-9425", "abstract" : "This paper provides a first update to the review of living radical polymerization achieved with thiocarbonylthio compounds (ZC(= S) SR) by a mechanism of Reversible Addition - Fragmentation chain Transfer ( RAFT) published in June 2005. The time since that publication has witnessed an increased rate of publication on the topic with the appearance of well over 200 papers covering various aspects of RAFT polymerization ranging over reagent synthesis and properties, kinetics, and mechanism of polymerization, novel polymer syntheses, and diverse applications.", "author" : [ { "dropping-particle" : "", "family" : "Moad", "given" : "G", "non-dropping-particle" : "", "parse-names" : false, "suffix" : "" }, { "dropping-particle" : "", "family" : "Rizzardo", "given" : "E", "non-dropping-particle" : "", "parse-names" : false, "suffix" : "" }, { "dropping-particle" : "", "family" : "Thang", "given" : "S H", "non-dropping-particle" : "", "parse-names" : false, "suffix" : "" } ], "container-title" : "Australian Journal of Chemistry", "id" : "ITEM-2", "issue" : "10", "issued" : { "date-parts" : [ [ "2006" ] ] }, "note" : "ISI Document Delivery No.: 099IP\nTimes Cited: 196\nCited Reference Count: 255\nMoad, Graeme Rizzardo, Ezio Thang, San H.\nCSIRO PUBLISHING", "page" : "669-692", "title" : "Living radical polymerization by the RAFT process - A first update", "type" : "article-journal", "volume" : "59" }, "uris" : [ "http://www.mendeley.com/documents/?uuid=ee6d8ebf-5ab5-436d-a017-c6706231a791" ] }, { "id" : "ITEM-3", "itemData" : { "DOI" : "10.1071/ch09311", "ISBN" : "0004-9425", "abstract" : "This paper provides a second update to the review of reversible deactivation radical polymerization achieved with thiocarbonylthio compounds (ZC(=S)SR) by a mechanism of reversible addition-fragmentation chain transfer (RAFT) that was published in June 2005 (Aust. J. Chem. 2005, 58, 379-410). The first update was published in November 2006 (Aust. J. Chem. 2006, 59, 669-692). This review cites over 500 papers that appeared during the period mid-2006 to mid-2009 covering various aspects of RAFT polymerization ranging from reagent synthesis and properties, kinetics and mechanism of polymerization, novel polymer syntheses and a diverse range of applications. Significant developments have occurred, particularly in the areas of novel RAFT agents, techniques for end-group removal and transformation, the production of micro/nanoparticles and modified surfaces, and biopolymer conjugates both for therapeutic and diagnostic applications.", "author" : [ { "dropping-particle" : "", "family" : "Moad", "given" : "G", "non-dropping-particle" : "", "parse-names" : false, "suffix" : "" }, { "dropping-particle" : "", "family" : "Rizzardo", "given" : "E", "non-dropping-particle" : "", "parse-names" : false, "suffix" : "" }, { "dropping-particle" : "", "family" : "Thang", "given" : "S H", "non-dropping-particle" : "", "parse-names" : false, "suffix" : "" } ], "container-title" : "Australian Journal of Chemistry", "id" : "ITEM-3", "issue" : "11", "issued" : { "date-parts" : [ [ "2009" ] ] }, "note" : "ISI Document Delivery No.: 522CX\nTimes Cited: 58\nCited Reference Count: 551\nMoad, Graeme Rizzardo, Ezio Thang, San H.\nCsiro publishing\nCollingwood", "page" : "1402-1472", "title" : "Living Radical Polymerization by the RAFT Process - A Second Update", "type" : "article-journal", "volume" : "62" }, "uris" : [ "http://www.mendeley.com/documents/?uuid=5f4726af-a744-4230-905b-292196658b3c" ] } ], "mendeley" : { "previouslyFormattedCitation" : "&lt;sup&gt;2\u20134&lt;/sup&gt;" }, "properties" : { "noteIndex" : 0 }, "schema" : "https://github.com/citation-style-language/schema/raw/master/csl-citation.json" }</w:instrText>
      </w:r>
      <w:r w:rsidRPr="00AD3AB6">
        <w:fldChar w:fldCharType="separate"/>
      </w:r>
      <w:r w:rsidR="004C7450" w:rsidRPr="00AD3AB6">
        <w:rPr>
          <w:noProof/>
          <w:vertAlign w:val="superscript"/>
        </w:rPr>
        <w:t>2–4</w:t>
      </w:r>
      <w:r w:rsidRPr="00AD3AB6">
        <w:fldChar w:fldCharType="end"/>
      </w:r>
      <w:r w:rsidRPr="00AD3AB6">
        <w:t xml:space="preserve"> have revolutionized the field of polymer synthesis in the past two decades by enabling the preparation of precisely defined macromolecules. One of the key limitations of all CRPs, however, is their intolerance to oxygen. Oxygen is an excellent radical scavenger and will therefore quench the propagating center in any radical polymerization and neutralize the catalyst in any ATRP-type reaction. The inherent intolerance of RAFT to oxygen not only makes polymerizations more </w:t>
      </w:r>
      <w:r w:rsidR="00F3218B" w:rsidRPr="00AD3AB6">
        <w:t>challenging</w:t>
      </w:r>
      <w:r w:rsidR="00AC03FD" w:rsidRPr="00AD3AB6">
        <w:t xml:space="preserve"> to conduct in a high throughput, or an </w:t>
      </w:r>
      <w:r w:rsidRPr="00AD3AB6">
        <w:t xml:space="preserve">industrial </w:t>
      </w:r>
      <w:r w:rsidR="00AC03FD" w:rsidRPr="00AD3AB6">
        <w:t>setting</w:t>
      </w:r>
      <w:r w:rsidRPr="00AD3AB6">
        <w:t>,</w:t>
      </w:r>
      <w:r w:rsidR="00AC03FD" w:rsidRPr="00AD3AB6">
        <w:fldChar w:fldCharType="begin" w:fldLock="1"/>
      </w:r>
      <w:r w:rsidR="004C7450" w:rsidRPr="00AD3AB6">
        <w:instrText>ADDIN CSL_CITATION { "citationItems" : [ { "id" : "ITEM-1", "itemData" : { "DOI" : "10.1021/co300044w", "ISSN" : "2156-8944", "PMID" : "22709484", "abstract" : "An automated and parallel freeze-evacuate-thaw degassing method in a commercially available synthesizer is disclosed and tested for its applicability to reversible addition-fragmentation chain transfer (RAFT) polymerization. The effectiveness of this method to eliminate oxygen in polymerization reactions is demonstrated by directly comparing it against experiments performed using conventional laboratory techniques. Apart from the demonstrated accuracy, the proposed method has also shown significant precision when performing RAFT polymerizations. The reported experimental technique can be easily adapted to other chemical systems where the removal of oxygen is mandatory. This new high-throughput method has the potential to significantly increase the productivity and/or research outcomes in laboratories where oxygen-sensitive reactions are carried out.", "author" : [ { "dropping-particle" : "", "family" : "Guerrero-Sanchez", "given" : "Carlos", "non-dropping-particle" : "", "parse-names" : false, "suffix" : "" }, { "dropping-particle" : "", "family" : "Keddie", "given" : "Daniel J", "non-dropping-particle" : "", "parse-names" : false, "suffix" : "" }, { "dropping-particle" : "", "family" : "Saubern", "given" : "Simon", "non-dropping-particle" : "", "parse-names" : false, "suffix" : "" }, { "dropping-particle" : "", "family" : "Chiefari", "given" : "John", "non-dropping-particle" : "", "parse-names" : false, "suffix" : "" } ], "container-title" : "ACS combinatorial science", "id" : "ITEM-1", "issue" : "7", "issued" : { "date-parts" : [ [ "2012", "7", "9" ] ] }, "page" : "389-94", "title" : "Automated parallel freeze-evacuate-thaw degassing method for oxygen-sensitive reactions: RAFT polymerization.", "type" : "article-journal", "volume" : "14" }, "uris" : [ "http://www.mendeley.com/documents/?uuid=29e9e238-0d73-47b0-ac2e-f11a69605eb5" ] } ], "mendeley" : { "previouslyFormattedCitation" : "&lt;sup&gt;5&lt;/sup&gt;" }, "properties" : { "noteIndex" : 0 }, "schema" : "https://github.com/citation-style-language/schema/raw/master/csl-citation.json" }</w:instrText>
      </w:r>
      <w:r w:rsidR="00AC03FD" w:rsidRPr="00AD3AB6">
        <w:fldChar w:fldCharType="separate"/>
      </w:r>
      <w:r w:rsidR="004C7450" w:rsidRPr="00AD3AB6">
        <w:rPr>
          <w:noProof/>
          <w:vertAlign w:val="superscript"/>
        </w:rPr>
        <w:t>5</w:t>
      </w:r>
      <w:r w:rsidR="00AC03FD" w:rsidRPr="00AD3AB6">
        <w:fldChar w:fldCharType="end"/>
      </w:r>
      <w:r w:rsidRPr="00AD3AB6">
        <w:t xml:space="preserve"> but also limits the ability to gain fine control in a laboratory setting. This is because the fidelity of the polymer end groups is entirely dependent on the ratio of chain transfer agent (CTA) to initiator used. Every initiating radical introduced to the reaction will either consume oxygen or terminate, producing a dead chain devoid of the RAFT end group. In order to access highly controlled polymers, therefore, a low concentration of initiator relative to RAFT agent is required. The power of RAFT at high CTA / initiator ratios has recently been demonstrated by Gody </w:t>
      </w:r>
      <w:r w:rsidRPr="00AD3AB6">
        <w:rPr>
          <w:i/>
        </w:rPr>
        <w:t>et al.</w:t>
      </w:r>
      <w:r w:rsidRPr="00AD3AB6">
        <w:t>, who were able to synthesize various 12 to 20-block copolymers with dispersities (</w:t>
      </w:r>
      <w:r w:rsidRPr="00AD3AB6">
        <w:rPr>
          <w:i/>
        </w:rPr>
        <w:t>Ð =</w:t>
      </w:r>
      <w:r w:rsidRPr="00AD3AB6">
        <w:t xml:space="preserve"> </w:t>
      </w:r>
      <w:r w:rsidRPr="00AD3AB6">
        <w:rPr>
          <w:i/>
        </w:rPr>
        <w:t>M</w:t>
      </w:r>
      <w:r w:rsidRPr="00AD3AB6">
        <w:rPr>
          <w:vertAlign w:val="subscript"/>
        </w:rPr>
        <w:t>w</w:t>
      </w:r>
      <w:r w:rsidRPr="00AD3AB6">
        <w:t>/</w:t>
      </w:r>
      <w:r w:rsidRPr="00AD3AB6">
        <w:rPr>
          <w:i/>
        </w:rPr>
        <w:t>M</w:t>
      </w:r>
      <w:r w:rsidRPr="00AD3AB6">
        <w:rPr>
          <w:vertAlign w:val="subscript"/>
        </w:rPr>
        <w:t>n</w:t>
      </w:r>
      <w:r w:rsidRPr="00AD3AB6">
        <w:t>) as low as 1.4.</w:t>
      </w:r>
      <w:r w:rsidRPr="00AD3AB6">
        <w:fldChar w:fldCharType="begin" w:fldLock="1"/>
      </w:r>
      <w:r w:rsidR="004C7450" w:rsidRPr="00AD3AB6">
        <w:instrText>ADDIN CSL_CITATION { "citationItems" : [ { "id" : "ITEM-1", "itemData" : { "DOI" : "10.1021/ma402435n", "ISSN" : "0024-9297", "author" : [ { "dropping-particle" : "", "family" : "Gody", "given" : "Guillaume", "non-dropping-particle" : "", "parse-names" : false, "suffix" : "" }, { "dropping-particle" : "", "family" : "Maschmeyer", "given" : "Thomas", "non-dropping-particle" : "", "parse-names" : false, "suffix" : "" }, { "dropping-particle" : "", "family" : "Zetterlund", "given" : "Per B.", "non-dropping-particle" : "", "parse-names" : false, "suffix" : "" }, { "dropping-particle" : "", "family" : "Perrier", "given" : "S\u00e9bastien", "non-dropping-particle" : "", "parse-names" : false, "suffix" : "" } ], "container-title" : "Macromolecules", "id" : "ITEM-1", "issue" : "10", "issued" : { "date-parts" : [ [ "2014", "5", "27" ] ] }, "page" : "3451-3460", "title" : "Pushing the Limit of the RAFT Process: Multiblock Copolymers by One-Pot Rapid Multiple Chain Extensions at Full Monomer Conversion", "type" : "article-journal", "volume" : "47" }, "uris" : [ "http://www.mendeley.com/documents/?uuid=660ddcda-7be7-43af-88a9-dc99a64a01f3" ] }, { "id" : "ITEM-2", "itemData" : { "DOI" : "10.1038/ncomms3505", "ISSN" : "2041-1723", "author" : [ { "dropping-particle" : "", "family" : "Gody", "given" : "Guillaume", "non-dropping-particle" : "", "parse-names" : false, "suffix" : "" }, { "dropping-particle" : "", "family" : "Maschmeyer", "given" : "Thomas", "non-dropping-particle" : "", "parse-names" : false, "suffix" : "" }, { "dropping-particle" : "", "family" : "Zetterlund", "given" : "Per B.", "non-dropping-particle" : "", "parse-names" : false, "suffix" : "" }, { "dropping-particle" : "", "family" : "Perrier", "given" : "S\u00e9bastien", "non-dropping-particle" : "", "parse-names" : false, "suffix" : "" } ], "container-title" : "Nature Communications", "id" : "ITEM-2", "issued" : { "date-parts" : [ [ "2013", "9", "30" ] ] }, "page" : "1-9", "title" : "Rapid and quantitative one-pot synthesis of sequence-controlled polymers by radical polymerization", "type" : "article-journal", "volume" : "4" }, "uris" : [ "http://www.mendeley.com/documents/?uuid=30f6825d-7dd0-41f0-b8c0-dee45eb58efe" ] } ], "mendeley" : { "previouslyFormattedCitation" : "&lt;sup&gt;6,7&lt;/sup&gt;" }, "properties" : { "noteIndex" : 0 }, "schema" : "https://github.com/citation-style-language/schema/raw/master/csl-citation.json" }</w:instrText>
      </w:r>
      <w:r w:rsidRPr="00AD3AB6">
        <w:fldChar w:fldCharType="separate"/>
      </w:r>
      <w:r w:rsidR="004C7450" w:rsidRPr="00AD3AB6">
        <w:rPr>
          <w:noProof/>
          <w:vertAlign w:val="superscript"/>
        </w:rPr>
        <w:t>6,7</w:t>
      </w:r>
      <w:r w:rsidRPr="00AD3AB6">
        <w:fldChar w:fldCharType="end"/>
      </w:r>
      <w:r w:rsidRPr="00AD3AB6">
        <w:t xml:space="preserve"> This unparalleled level of control was possible in their case because the block length was small allowing the use relatively low initiator concentrations. </w:t>
      </w:r>
    </w:p>
    <w:p w:rsidR="009A6B43" w:rsidRPr="00AD3AB6" w:rsidRDefault="009A6B43" w:rsidP="00792734">
      <w:pPr>
        <w:pStyle w:val="TAMainText"/>
      </w:pPr>
      <w:r w:rsidRPr="00AD3AB6">
        <w:t>In the past decade a few methods have been developed which enable CRPs to be conducted in sealed reaction vessels, in the presence of a limited amount of oxygen. In ATRP reactions, oxygen can be removed either by means of a reducing agent, as in activators regenerated by electron transfer (ARGET) ATRP,</w:t>
      </w:r>
      <w:r w:rsidRPr="00AD3AB6">
        <w:fldChar w:fldCharType="begin" w:fldLock="1"/>
      </w:r>
      <w:r w:rsidR="004C7450" w:rsidRPr="00AD3AB6">
        <w:instrText>ADDIN CSL_CITATION { "citationItems" : [ { "id" : "ITEM-1", "itemData" : { "DOI" : "10.1021/ma0522716", "ISSN" : "0024-9297", "author" : [ { "dropping-particle" : "", "family" : "Jakubowski", "given" : "Wojciech", "non-dropping-particle" : "", "parse-names" : false, "suffix" : "" }, { "dropping-particle" : "", "family" : "Min", "given" : "Ke", "non-dropping-particle" : "", "parse-names" : false, "suffix" : "" }, { "dropping-particle" : "", "family" : "Matyjaszewski", "given" : "Krzysztof", "non-dropping-particle" : "", "parse-names" : false, "suffix" : "" } ], "container-title" : "Macromolecules", "id" : "ITEM-1", "issue" : "1", "issued" : { "date-parts" : [ [ "2006", "1" ] ] }, "page" : "39-45", "title" : "Activators Regenerated by Electron Transfer for Atom Transfer Radical Polymerization of Styrene", "type" : "article-journal", "volume" : "39" }, "uris" : [ "http://www.mendeley.com/documents/?uuid=0ddc2fc7-3ee8-4f4f-b42e-d80e655d5c44" ] }, { "id" : "ITEM-2", "itemData" : { "DOI" : "10.1002/anie.200600272", "ISSN" : "1433-7851", "PMID" : "16770821", "author" : [ { "dropping-particle" : "", "family" : "Jakubowski", "given" : "Wojciech", "non-dropping-particle" : "", "parse-names" : false, "suffix" : "" }, { "dropping-particle" : "", "family" : "Matyjaszewski", "given" : "Krzysztof", "non-dropping-particle" : "", "parse-names" : false, "suffix" : "" } ], "container-title" : "Angewandte Chemie (International ed. in English)", "id" : "ITEM-2", "issue" : "27", "issued" : { "date-parts" : [ [ "2006", "7", "3" ] ] }, "page" : "4482-6", "title" : "Activators regenerated by electron transfer for atom-transfer radical polymerization of (meth)acrylates and related block copolymers.", "type" : "article-journal", "volume" : "45" }, "uris" : [ "http://www.mendeley.com/documents/?uuid=eddfd7b0-a0d1-4dba-97ce-ee77514d60b1" ] } ], "mendeley" : { "previouslyFormattedCitation" : "&lt;sup&gt;8,9&lt;/sup&gt;" }, "properties" : { "noteIndex" : 0 }, "schema" : "https://github.com/citation-style-language/schema/raw/master/csl-citation.json" }</w:instrText>
      </w:r>
      <w:r w:rsidRPr="00AD3AB6">
        <w:fldChar w:fldCharType="separate"/>
      </w:r>
      <w:r w:rsidR="004C7450" w:rsidRPr="00AD3AB6">
        <w:rPr>
          <w:noProof/>
          <w:vertAlign w:val="superscript"/>
        </w:rPr>
        <w:t>8,9</w:t>
      </w:r>
      <w:r w:rsidRPr="00AD3AB6">
        <w:fldChar w:fldCharType="end"/>
      </w:r>
      <w:r w:rsidRPr="00AD3AB6">
        <w:t xml:space="preserve"> or by free radicals, as in initiators for continuous activator regeneration (ICAR) ATRP.</w:t>
      </w:r>
      <w:r w:rsidRPr="00AD3AB6">
        <w:fldChar w:fldCharType="begin" w:fldLock="1"/>
      </w:r>
      <w:r w:rsidR="004C7450" w:rsidRPr="00AD3AB6">
        <w:instrText>ADDIN CSL_CITATION { "citationItems" : [ { "id" : "ITEM-1", "itemData" : { "ISBN" : "0602675103", "author" : [ { "dropping-particle" : "", "family" : "Matyjaszewski", "given" : "Krzysztof", "non-dropping-particle" : "", "parse-names" : false, "suffix" : "" }, { "dropping-particle" : "", "family" : "Jakubowski", "given" : "Wojciech", "non-dropping-particle" : "", "parse-names" : false, "suffix" : "" }, { "dropping-particle" : "", "family" : "Min", "given" : "Ke", "non-dropping-particle" : "", "parse-names" : false, "suffix" : "" }, { "dropping-particle" : "", "family" : "Tang", "given" : "Wei", "non-dropping-particle" : "", "parse-names" : false, "suffix" : "" }, { "dropping-particle" : "", "family" : "Huang", "given" : "Jinyu", "non-dropping-particle" : "", "parse-names" : false, "suffix" : "" }, { "dropping-particle" : "", "family" : "Braunecker", "given" : "Wade A", "non-dropping-particle" : "", "parse-names" : false, "suffix" : "" }, { "dropping-particle" : "V", "family" : "Tsarevsky", "given" : "Nicolay", "non-dropping-particle" : "", "parse-names" : false, "suffix" : "" } ], "container-title" : "Proceedings of the National Academy of Sciences", "id" : "ITEM-1", "issue" : "42", "issued" : { "date-parts" : [ [ "2006" ] ] }, "page" : "15309-15314", "title" : "Diminishing catalyst concentration in atom transfer radical polymerization with reducing agents SPECIAL FEATURE", "type" : "article-journal", "volume" : "103" }, "uris" : [ "http://www.mendeley.com/documents/?uuid=19d8c992-147f-42e0-b3d8-fb6da70fb664" ] } ], "mendeley" : { "previouslyFormattedCitation" : "&lt;sup&gt;10&lt;/sup&gt;" }, "properties" : { "noteIndex" : 0 }, "schema" : "https://github.com/citation-style-language/schema/raw/master/csl-citation.json" }</w:instrText>
      </w:r>
      <w:r w:rsidRPr="00AD3AB6">
        <w:fldChar w:fldCharType="separate"/>
      </w:r>
      <w:r w:rsidR="004C7450" w:rsidRPr="00AD3AB6">
        <w:rPr>
          <w:noProof/>
          <w:vertAlign w:val="superscript"/>
        </w:rPr>
        <w:t>10</w:t>
      </w:r>
      <w:r w:rsidRPr="00AD3AB6">
        <w:fldChar w:fldCharType="end"/>
      </w:r>
      <w:r w:rsidRPr="00AD3AB6">
        <w:t xml:space="preserve"> Photo-initiators have been widely used to enable free radical polymerizations to be conducted in aerated media,</w:t>
      </w:r>
      <w:r w:rsidR="002329BB" w:rsidRPr="00AD3AB6">
        <w:fldChar w:fldCharType="begin" w:fldLock="1"/>
      </w:r>
      <w:r w:rsidR="004C7450" w:rsidRPr="00AD3AB6">
        <w:instrText>ADDIN CSL_CITATION { "citationItems" : [ { "id" : "ITEM-1", "itemData" : { "author" : [ { "dropping-particle" : "", "family" : "Zhang", "given" : "Jing", "non-dropping-particle" : "", "parse-names" : false, "suffix" : "" }, { "dropping-particle" : "", "family" : "Frigoli", "given" : "Michel", "non-dropping-particle" : "", "parse-names" : false, "suffix" : "" }, { "dropping-particle" : "", "family" : "Xiao", "given" : "Pu", "non-dropping-particle" : "", "parse-names" : false, "suffix" : "" }, { "dropping-particle" : "", "family" : "Ronchi", "given" : "Laura", "non-dropping-particle" : "", "parse-names" : false, "suffix" : "" }, { "dropping-particle" : "", "family" : "Gra", "given" : "Bernadette", "non-dropping-particle" : "", "parse-names" : false, "suffix" : "" }, { "dropping-particle" : "", "family" : "Morlet-savary", "given" : "Fabrice", "non-dropping-particle" : "", "parse-names" : false, "suffix" : "" }, { "dropping-particle" : "", "family" : "Fouassier", "given" : "Jean Pierre", "non-dropping-particle" : "", "parse-names" : false, "suffix" : "" }, { "dropping-particle" : "", "family" : "Gigmes", "given" : "Didier", "non-dropping-particle" : "", "parse-names" : false, "suffix" : "" }, { "dropping-particle" : "", "family" : "Laleve", "given" : "Jacques", "non-dropping-particle" : "", "parse-names" : false, "suffix" : "" }, { "dropping-particle" : "", "family" : "Ism", "given" : "De Mulhouse", "non-dropping-particle" : "", "parse-names" : false, "suffix" : "" }, { "dropping-particle" : "", "family" : "Starcky", "given" : "Jean", "non-dropping-particle" : "", "parse-names" : false, "suffix" : "" } ], "container-title" : "Macromolecules", "id" : "ITEM-1", "issued" : { "date-parts" : [ [ "2014" ] ] }, "page" : "2811-2819", "title" : "Design of Novel Photoinitiators for Radical and Cationic Photopolymerizations under Near UV and Visible LEDs (385, 395, and 405 nm).", "type" : "article-journal", "volume" : "47" }, "uris" : [ "http://www.mendeley.com/documents/?uuid=4f62ff76-1768-4c46-8700-e3b38248a3c9" ] }, { "id" : "ITEM-2", "itemData" : { "DOI" : "10.1002/pola.22535", "ISSN" : "0887624X", "author" : [ { "dropping-particle" : "", "family" : "Lalev\u00e9e", "given" : "Jacques", "non-dropping-particle" : "", "parse-names" : false, "suffix" : "" }, { "dropping-particle" : "", "family" : "El-Roz", "given" : "Mohamad", "non-dropping-particle" : "", "parse-names" : false, "suffix" : "" }, { "dropping-particle" : "", "family" : "Allonas", "given" : "Xavier", "non-dropping-particle" : "", "parse-names" : false, "suffix" : "" }, { "dropping-particle" : "", "family" : "Pierre Fouassier", "given" : "Jean", "non-dropping-particle" : "", "parse-names" : false, "suffix" : "" } ], "container-title" : "Journal of Polymer Science Part A: Polymer Chemistry", "id" : "ITEM-2", "issue" : "6", "issued" : { "date-parts" : [ [ "2008", "3", "15" ] ] }, "page" : "2008-2014", "title" : "Free-radical-promoted cationic photopolymerization under visible light in aerated media: New and highly efficient silane-containing initiating systems", "type" : "article-journal", "volume" : "46" }, "uris" : [ "http://www.mendeley.com/documents/?uuid=639c76c5-07a3-41d7-b30a-d593cf90ad4d" ] }, { "id" : "ITEM-3", "itemData" : { "DOI" : "10.1002/pola.22005", "ISSN" : "0887624X", "author" : [ { "dropping-particle" : "", "family" : "Lalev\u00e9e", "given" : "J.", "non-dropping-particle" : "", "parse-names" : false, "suffix" : "" }, { "dropping-particle" : "", "family" : "El-Roz", "given" : "M.", "non-dropping-particle" : "", "parse-names" : false, "suffix" : "" }, { "dropping-particle" : "", "family" : "Allonas", "given" : "X.", "non-dropping-particle" : "", "parse-names" : false, "suffix" : "" }, { "dropping-particle" : "", "family" : "Fouassier", "given" : "J. P.", "non-dropping-particle" : "", "parse-names" : false, "suffix" : "" } ], "container-title" : "Journal of Polymer Science Part A: Polymer Chemistry", "id" : "ITEM-3", "issue" : "12", "issued" : { "date-parts" : [ [ "2007", "6", "15" ] ] }, "page" : "2436-2442", "title" : "Controlled photopolymerization reactions: The reactivity of new photoiniferters", "type" : "article-journal", "volume" : "45" }, "uris" : [ "http://www.mendeley.com/documents/?uuid=414d8116-3fae-4bef-8445-522b8fad5848" ] }, { "id" : "ITEM-4", "itemData" : { "DOI" : "10.1016/S0300-9440(03)00011-0", "ISSN" : "03009440", "author" : [ { "dropping-particle" : "", "family" : "Fouassier", "given" : "J.P", "non-dropping-particle" : "", "parse-names" : false, "suffix" : "" }, { "dropping-particle" : "", "family" : "Allonas", "given" : "X", "non-dropping-particle" : "", "parse-names" : false, "suffix" : "" }, { "dropping-particle" : "", "family" : "Burget", "given" : "D", "non-dropping-particle" : "", "parse-names" : false, "suffix" : "" } ], "container-title" : "Progress in Organic Coatings", "id" : "ITEM-4", "issue" : "1", "issued" : { "date-parts" : [ [ "2003", "7" ] ] }, "page" : "16-36", "title" : "Photopolymerization reactions under visible lights: principle, mechanisms and examples of applications", "type" : "article-journal", "volume" : "47" }, "uris" : [ "http://www.mendeley.com/documents/?uuid=8ed27ed3-60a6-4f1b-85ce-0ff75d283847" ] } ], "mendeley" : { "previouslyFormattedCitation" : "&lt;sup&gt;11\u201314&lt;/sup&gt;" }, "properties" : { "noteIndex" : 0 }, "schema" : "https://github.com/citation-style-language/schema/raw/master/csl-citation.json" }</w:instrText>
      </w:r>
      <w:r w:rsidR="002329BB" w:rsidRPr="00AD3AB6">
        <w:fldChar w:fldCharType="separate"/>
      </w:r>
      <w:r w:rsidR="004C7450" w:rsidRPr="00AD3AB6">
        <w:rPr>
          <w:noProof/>
          <w:vertAlign w:val="superscript"/>
        </w:rPr>
        <w:t>11–14</w:t>
      </w:r>
      <w:r w:rsidR="002329BB" w:rsidRPr="00AD3AB6">
        <w:fldChar w:fldCharType="end"/>
      </w:r>
      <w:r w:rsidRPr="00AD3AB6">
        <w:t xml:space="preserve"> but because the generated free radicals are </w:t>
      </w:r>
      <w:r w:rsidRPr="00AD3AB6">
        <w:lastRenderedPageBreak/>
        <w:t>used to both quench oxygen and initiate polymerization</w:t>
      </w:r>
      <w:r w:rsidR="00597C91" w:rsidRPr="00AD3AB6">
        <w:t>,</w:t>
      </w:r>
      <w:r w:rsidRPr="00AD3AB6">
        <w:t xml:space="preserve"> obtaining high control is very difficult. Boyer and co-workers have recently shown the use of photo initiators to conduct </w:t>
      </w:r>
      <w:r w:rsidR="002329BB" w:rsidRPr="00AD3AB6">
        <w:t xml:space="preserve">well controlled </w:t>
      </w:r>
      <w:r w:rsidRPr="00AD3AB6">
        <w:t>RAFT polymerizations in sealed vessels</w:t>
      </w:r>
      <w:r w:rsidR="002329BB" w:rsidRPr="00AD3AB6">
        <w:t xml:space="preserve"> (which they term PET-RAFT).</w:t>
      </w:r>
      <w:r w:rsidR="002329BB" w:rsidRPr="00AD3AB6">
        <w:fldChar w:fldCharType="begin" w:fldLock="1"/>
      </w:r>
      <w:r w:rsidR="004C7450" w:rsidRPr="00AD3AB6">
        <w:instrText>ADDIN CSL_CITATION { "citationItems" : [ { "id" : "ITEM-1", "itemData" : { "DOI" : "10.1021/ja501745g", "ISSN" : "1520-5126", "PMID" : "24689993", "abstract" : "Controlled/living radical polymerization techniques have transformed polymer chemistry in the last few decades, affording the production of polymers with precise control over both molecular weights and architectures. It is now possible to synthesize almost an infinite variety of macromolecules using nonspecialized equipment, finding applications in high-tech industry. However, they have several shortcomings. Until recently, living radical polymerizations could not be controlled by an external stimulus, such as visible light, pH, mechanical, chemical, etc. Moreover, they are usually sensitive to trace amounts of oxygen in the system. In this Article, we report a photoinduced living polymerization technique, which is able to polymerize a large range of monomers, including conjugated and unconjugated monomers, using ultralow concentrations of an iridium-based photoredox catalyst (typically 1 ppm to monomers) and a low energy visible LED as the light source (1-4.8 W, \u03bb(max) = 435 nm). The synthesis of homopolymers with molecular weights ranging from 1000 to 2,000,000 g/mol was successfully achieved with narrow molecular weight distributions (M(w)/M(n) &lt; 1.3). In addition, chain extensions of poly(methacrylate)s, poly(styrene), poly(N-vinyl pyrrolidinone), poly(vinyl ester)s, and poly(acrylate)s were performed to prepare diblock copolymers. The reusability of the catalyst was demonstrated by the synthesis of a decablock polymer by multiple chain extensions. Most importantly, this process was employed to prepare well-defined polymers and multiblock copolymers in the presence of air.", "author" : [ { "dropping-particle" : "", "family" : "Xu", "given" : "Jiangtao", "non-dropping-particle" : "", "parse-names" : false, "suffix" : "" }, { "dropping-particle" : "", "family" : "Jung", "given" : "Kenward", "non-dropping-particle" : "", "parse-names" : false, "suffix" : "" }, { "dropping-particle" : "", "family" : "Atme", "given" : "Amir", "non-dropping-particle" : "", "parse-names" : false, "suffix" : "" }, { "dropping-particle" : "", "family" : "Shanmugam", "given" : "Sivaprakash", "non-dropping-particle" : "", "parse-names" : false, "suffix" : "" }, { "dropping-particle" : "", "family" : "Boyer", "given" : "Cyrille", "non-dropping-particle" : "", "parse-names" : false, "suffix" : "" } ], "container-title" : "Journal of the American Chemical Society", "id" : "ITEM-1", "issue" : "14", "issued" : { "date-parts" : [ [ "2014", "4", "9" ] ] }, "page" : "5508-19", "title" : "A robust and versatile photoinduced living polymerization of conjugated and unconjugated monomers and its oxygen tolerance.", "type" : "article-journal", "volume" : "136" }, "uris" : [ "http://www.mendeley.com/documents/?uuid=3547a820-9559-49b6-801e-818b84a651fc" ] } ], "mendeley" : { "previouslyFormattedCitation" : "&lt;sup&gt;15&lt;/sup&gt;" }, "properties" : { "noteIndex" : 0 }, "schema" : "https://github.com/citation-style-language/schema/raw/master/csl-citation.json" }</w:instrText>
      </w:r>
      <w:r w:rsidR="002329BB" w:rsidRPr="00AD3AB6">
        <w:fldChar w:fldCharType="separate"/>
      </w:r>
      <w:r w:rsidR="004C7450" w:rsidRPr="00AD3AB6">
        <w:rPr>
          <w:noProof/>
          <w:vertAlign w:val="superscript"/>
        </w:rPr>
        <w:t>15</w:t>
      </w:r>
      <w:r w:rsidR="002329BB" w:rsidRPr="00AD3AB6">
        <w:fldChar w:fldCharType="end"/>
      </w:r>
      <w:r w:rsidR="002329BB" w:rsidRPr="00AD3AB6">
        <w:t xml:space="preserve"> In their system</w:t>
      </w:r>
      <w:r w:rsidRPr="00AD3AB6">
        <w:t xml:space="preserve"> radicals generated by photo-irradiation of an iridium catalyst are used to consume excess oxygen prior to polymerization. </w:t>
      </w:r>
      <w:r w:rsidR="002329BB" w:rsidRPr="00AD3AB6">
        <w:t>However, as with the ATRP based systems,</w:t>
      </w:r>
      <w:r w:rsidR="00792734" w:rsidRPr="00AD3AB6">
        <w:t xml:space="preserve"> the</w:t>
      </w:r>
      <w:r w:rsidR="002329BB" w:rsidRPr="00AD3AB6">
        <w:t xml:space="preserve"> polymerizations will only</w:t>
      </w:r>
      <w:r w:rsidR="00792734" w:rsidRPr="00AD3AB6">
        <w:t xml:space="preserve"> work in sealed vessels </w:t>
      </w:r>
      <w:r w:rsidR="002329BB" w:rsidRPr="00AD3AB6">
        <w:t>as</w:t>
      </w:r>
      <w:r w:rsidR="00792734" w:rsidRPr="00AD3AB6">
        <w:t xml:space="preserve"> </w:t>
      </w:r>
      <w:r w:rsidR="002329BB" w:rsidRPr="00AD3AB6">
        <w:t xml:space="preserve">they </w:t>
      </w:r>
      <w:r w:rsidR="00792734" w:rsidRPr="00AD3AB6">
        <w:t>rely on the use of addition radicals to scrub the oxygen before the polymerization can proceed.</w:t>
      </w:r>
    </w:p>
    <w:p w:rsidR="00AC03FD" w:rsidRPr="00AD3AB6" w:rsidRDefault="00792734" w:rsidP="00AC03FD">
      <w:pPr>
        <w:pStyle w:val="TAMainText"/>
      </w:pPr>
      <w:r w:rsidRPr="00AD3AB6">
        <w:t xml:space="preserve">Most often in nature de-oxygenation is achieved by the use of enzymes. Glucose oxidase (GOx) is a highly efficient example, which consumes oxygen and generates hydrogen peroxide through the oxidation of glucose into </w:t>
      </w:r>
      <w:r w:rsidRPr="00AD3AB6">
        <w:rPr>
          <w:smallCaps/>
        </w:rPr>
        <w:t>d</w:t>
      </w:r>
      <w:r w:rsidRPr="00AD3AB6">
        <w:t>-glucono-δ-lactone. GOx has predominantly been exploited in polymerization reactions as a source of initiation rather than as a mechanism for oxygen consumption, by using the Fenton reaction to degrade hydrogen peroxide into hydroxyl radicals.</w:t>
      </w:r>
      <w:r w:rsidRPr="00AD3AB6">
        <w:fldChar w:fldCharType="begin" w:fldLock="1"/>
      </w:r>
      <w:r w:rsidR="004C7450" w:rsidRPr="00AD3AB6">
        <w:instrText>ADDIN CSL_CITATION { "citationItems" : [ { "id" : "ITEM-1", "itemData" : { "DOI" : "10.1002/bit.23101", "ISSN" : "1097-0290", "PMID" : "21337335", "abstract" : "We report the first use of a polymerization-based ELISA substrate solution employing enzymatically mediated radical polymerization as a dual-mode amplification strategy. Enzymes are selectively coupled to surfaces to generate radicals that subsequently lead to polymerization-based amplification (PBA) and biodetection. Sensitivity and amplification of the polymerization-based detection system were optimized in a microwell strip format using a biotinylated microwell surface with a glucose oxidase (GOx)-avidin conjugate. The immobilized GOx is used to initiate polymerization, enabling the detection of the biorecognition event visually or through the use of a plate reader. Assay response is compared to that of an enzymatic substrate utilizing nitroblue tetrazolium in a simplified assay using biotinylated wells. The polymerization substrate exhibits equivalent sensitivity (2 \u00b5g/mL of GOx-avidin) and over three times greater signal amplification than this traditional enzymatic substrate since each radical that is enzymatically generated leads to a large number of polymerization events. Enzyme-mediated polymerization proceeds in an ambient atmosphere without the need for external energy sources, which is an improvement upon previous PBA platforms. Substrate formulations are highly sensitive to both glucose and iron concentrations at the lowest enzyme concentrations. Increases in amplification time correspond to higher assay sensitivities with no increase in non-specific signal. Finally, the polymerization substrate generated a signal to noise ratio of 14 at the detection limit (156 ng/mL) in an assay of transforming growth factor-beta.", "author" : [ { "dropping-particle" : "", "family" : "Berron", "given" : "Brad J", "non-dropping-particle" : "", "parse-names" : false, "suffix" : "" }, { "dropping-particle" : "", "family" : "Johnson", "given" : "Leah M", "non-dropping-particle" : "", "parse-names" : false, "suffix" : "" }, { "dropping-particle" : "", "family" : "Ba", "given" : "Xiao", "non-dropping-particle" : "", "parse-names" : false, "suffix" : "" }, { "dropping-particle" : "", "family" : "McCall", "given" : "Joshua D", "non-dropping-particle" : "", "parse-names" : false, "suffix" : "" }, { "dropping-particle" : "", "family" : "Alvey", "given" : "Nicholas J", "non-dropping-particle" : "", "parse-names" : false, "suffix" : "" }, { "dropping-particle" : "", "family" : "Anseth", "given" : "Kristi S", "non-dropping-particle" : "", "parse-names" : false, "suffix" : "" }, { "dropping-particle" : "", "family" : "Bowman", "given" : "Christopher N", "non-dropping-particle" : "", "parse-names" : false, "suffix" : "" } ], "container-title" : "Biotechnology and bioengineering", "id" : "ITEM-1", "issue" : "7", "issued" : { "date-parts" : [ [ "2011", "7" ] ] }, "page" : "1521-8", "title" : "Glucose oxidase-mediated polymerization as a platform for dual-mode signal amplification and biodetection.", "type" : "article-journal", "volume" : "108" }, "uris" : [ "http://www.mendeley.com/documents/?uuid=5562df6f-5da0-4ffb-b6fb-119721af239e" ] }, { "id" : "ITEM-2", "itemData" : { "DOI" : "10.1021/cm303913f", "ISSN" : "0897-4756", "PMID" : "23503321", "abstract" : "A unique design paradigm to form core-shell particles based on interfacial radical polymerization is described. The interfacial initiation system is comprised of an enzymatic reaction between glucose and glucose oxidase (GOx) to generate hydrogen peroxide, which, in the presence of iron (Fe(2+)), generates hydroxyl radicals that initiate polymerization. Shell formation on prefabricated polymeric cores is achieved by localizing the initiation reaction to the interface of the core and a surrounding aqueous monomer formulation into which it is immersed. The interfacially confined initiation reaction is accomplished by incorporating one or more of the initiating species in the particle core and the remainder of the complementary initiating components in the surrounding media such that interactions and the resulting initiation reaction occur at the interface. This work is focused on engineering the reaction behavior and mass transport processes to promote interfacially confined polymerization, controlling the rate of shell formation, and manipulating the structure of the core-shell particle. Specifically, incorporating GOx in the precursor solution used to fabricate cores ranging from 100 to 200 \u03bcm, and the remainder of the complementary initiating components and monomer in the bulk solution prior to interfacial polymerization yielded shells whose average thickness was 20 \u03bcm after 4 min of immersion and at a bulk iron concentration of 12.5 mM. When the locations of glucose and GOx are interchanged, the average thickness of the shell was 15 or 100 \u03bcm for bulk iron concentrations of 45 and 12.5 mM, respectively. The initial locations of glucose and GOx also determine the degree of interpenetration of the core and the shell. Specifically, for a bulk iron concentration of 45 mM, the thickness of the interpenetrating layer averaged 12 \u03bcm when GOx was initially within the core, whereas no interpenetrating layer was observed when glucose was incorporated in the core. The polymeric shell formed by this technique is also demonstrated to be self-supporting following core degradation. This behavior is accomplished by fabricating the particle core hydrogel from monomers possessing degradable groups that can be irreversibly cleaved by light exposure following shell formation. When the coated particle was exposed to light, the shell remained intact while the core degraded as evidenced by a dramatic change in diffusion coefficient of fluorescent beads immobilized within th\u2026", "author" : [ { "dropping-particle" : "", "family" : "Shenoy", "given" : "Raveesh", "non-dropping-particle" : "", "parse-names" : false, "suffix" : "" }, { "dropping-particle" : "", "family" : "Tibbitt", "given" : "Mark W", "non-dropping-particle" : "", "parse-names" : false, "suffix" : "" }, { "dropping-particle" : "", "family" : "Anseth", "given" : "Kristi S", "non-dropping-particle" : "", "parse-names" : false, "suffix" : "" }, { "dropping-particle" : "", "family" : "Bowman", "given" : "Christopher N", "non-dropping-particle" : "", "parse-names" : false, "suffix" : "" } ], "container-title" : "Chemistry of Materials", "id" : "ITEM-2", "issue" : "5", "issued" : { "date-parts" : [ [ "2013", "3", "12" ] ] }, "page" : "761-767", "title" : "Formation of Core-Shell Particles by Interfacial Radical Polymerization Initiated by a Glucose Oxidase-Mediated Redox System.", "type" : "article-journal", "volume" : "25" }, "uris" : [ "http://www.mendeley.com/documents/?uuid=723f1941-4370-447f-934a-f4134b0e6e03" ] }, { "id" : "ITEM-3", "itemData" : { "DOI" : "10.1016/j.biomaterials.2011.04.049", "ISSN" : "1878-5905", "PMID" : "21658759", "abstract" : "Influencing the host immune system via implantable cell-delivery devices has the potential to reduce inflammation at the transplant site and increase the likelihood of tissue acceptance. Towards this goal, an enzymatically-initiated, dip-coating technique is adapted to fabricate conformal hydrogel layers and to create immunoactive polymer coatings on cell-laden poly(ethylene glycol) (PEG) hydrogels. Glucose oxidase (GOx)-initiated dip coatings enable the rapid formation of uniform, PEG-based coatings on the surfaces of PEG hydrogels, with thicknesses up to 500 \u03bcm where the thickness is proportional to the reaction time. Biofunctional coatings were fabricated by thiolating biomolecules that were subsequently covalently incorporated into the coating layer via thiol-acrylate copolymerization. The presence of these proteins was verified via fluorescent confocal microscopy and a modified ELISA, which indicated IgG concentrations as high as 13 \u00b1 1 ng/coated cm\u00b2 were achievable. Anti-Fas antibody, known to induce T cell apoptosis, was incorporated into coatings, with or without the addition of ICAM-1 to promote T cell interaction with the functionalized coating. Jurkat T cells were seeded atop functionalized coatings and the induction of apoptosis was measured as an indicator of coating bioactivity. After 48 h of interaction with the functionalized coatings, 61 \u00b1 9% of all cells were either apoptotic or dead, compared to only 18 \u00b1 5% of T cells on non-functionalized coatings. Finally, the cytocompatibility of the surface-initiated GOx coating process was confirmed by modifying gels with either encapsulated \u03b2-cells or 3T3 fibroblasts within a gel that contained a PEG methacrylate coating.", "author" : [ { "dropping-particle" : "", "family" : "Hume", "given" : "Patrick S", "non-dropping-particle" : "", "parse-names" : false, "suffix" : "" }, { "dropping-particle" : "", "family" : "Bowman", "given" : "Christopher N", "non-dropping-particle" : "", "parse-names" : false, "suffix" : "" }, { "dropping-particle" : "", "family" : "Anseth", "given" : "Kristi S", "non-dropping-particle" : "", "parse-names" : false, "suffix" : "" } ], "container-title" : "Biomaterials", "id" : "ITEM-3", "issue" : "26", "issued" : { "date-parts" : [ [ "2011", "9" ] ] }, "page" : "6204-12", "publisher" : "Elsevier Ltd", "title" : "Functionalized PEG hydrogels through reactive dip-coating for the formation of immunoactive barriers.", "type" : "article-journal", "volume" : "32" }, "uris" : [ "http://www.mendeley.com/documents/?uuid=7bae52ba-fd68-45a3-ad3b-e1aab82f212a" ] }, { "id" : "ITEM-4", "itemData" : { "DOI" : "10.1016/j.biomaterials.2012.06.014", "ISSN" : "1878-5905", "PMID" : "22795542", "abstract" : "The reaction and coating kinetics for the glucose oxidase initiated interfacial polymerization are elaborated. The interfacial film grows rapidly and linearly with time, producing time-dependent controllable conformal coating thicknesses of up to a millimeter in less than 4 min. Bulk polymerization was only observed when the immersing media was stirred to induce higher mass transport rates. The dramatically different film thicknesses observed between different concentrations of glucose in the hydrogel and iron in the bulk media are demonstrated to be a result of an initial rapid growth phase following which the film grows at the same rate nearly independent of either the glucose or iron concentration. The polymerization rate and hence the thickness growth rate in this initial phase saturate at glucose and iron concentrations above 0.8 M and 0.63 mM, respectively. At iron concentrations above 0.05 mM, the film thickness at the end of 3 h of reaction monotonically decreased with increasing iron concentration from 5.7 mm to 4.2 mm. The glucose oxidase is trapped by the growing polymerization front and can be used as the sole enzymatic precursor to coat a second polymeric layer. However, the rate of film growth of the second layer is 14-fold lower than the rate of film growth when bulk enzyme is present during the second stage coating process.", "author" : [ { "dropping-particle" : "", "family" : "Shenoy", "given" : "Raveesh", "non-dropping-particle" : "", "parse-names" : false, "suffix" : "" }, { "dropping-particle" : "", "family" : "Bowman", "given" : "Christopher N", "non-dropping-particle" : "", "parse-names" : false, "suffix" : "" } ], "container-title" : "Biomaterials", "id" : "ITEM-4", "issue" : "29", "issued" : { "date-parts" : [ [ "2012", "10" ] ] }, "page" : "6909-14", "publisher" : "Elsevier Ltd", "title" : "Kinetics of interfacial radical polymerization initiated by a glucose-oxidase mediated redox system.", "type" : "article-journal", "volume" : "33" }, "uris" : [ "http://www.mendeley.com/documents/?uuid=4ad4c105-4f39-48f7-a322-c0da785e596d" ] }, { "id" : "ITEM-5", "itemData" : { "DOI" : "10.1021/bm900846m", "ISSN" : "1526-4602", "PMID" : "19821604", "abstract" : "A rapid, water-soluble enzyme-mediated radical chain initiation system involving glucose oxidase and Fe(2+) generated hydrogels within minutes at 25 degrees C and in ambient oxygen. The initiation components were evaluated for their effect on polymerization rates of hydroxyethyl acrylate-poly(ethylene glycol)(575) diacrylate comonomer solutions using near-infrared spectroscopy. Increasing glucose concentration increased polymerization rates until reaching a rate plateau above 1 x 10(-3) M of glucose. A square root dependence of the initial polymerization rate on Fe(2+) concentration was observed between 1.0 x 10(-4) M and 5.0 x 10(-4) M of Fe(2+), whereupon excess Fe(2+) reduced final acrylate conversions. The glucose oxidase-mediated initiation system was employed for encapsulation of fibroblasts (NIH3T3s) into a poly(ethylene glycol) tetra-acrylate (M(n) approximately 20000) hydrogel scaffold demonstrating 96% (+/-3%) viability at 24 h postencapsulation. This first use of enzyme-mediated redox radical chain initiation for cellular encapsulation demonstrates polymerization of hydrogels in situ with kinetic control, minimal oxygen inhibition issues, and utilization of low initiator concentrations.", "author" : [ { "dropping-particle" : "", "family" : "Johnson", "given" : "Leah M", "non-dropping-particle" : "", "parse-names" : false, "suffix" : "" }, { "dropping-particle" : "", "family" : "Fairbanks", "given" : "Benjamin D", "non-dropping-particle" : "", "parse-names" : false, "suffix" : "" }, { "dropping-particle" : "", "family" : "Anseth", "given" : "Kristi S", "non-dropping-particle" : "", "parse-names" : false, "suffix" : "" }, { "dropping-particle" : "", "family" : "Bowman", "given" : "Christopher N", "non-dropping-particle" : "", "parse-names" : false, "suffix" : "" } ], "container-title" : "Biomacromolecules", "id" : "ITEM-5", "issue" : "11", "issued" : { "date-parts" : [ [ "2009", "11", "9" ] ] }, "page" : "3114-21", "title" : "Enzyme-mediated redox initiation for hydrogel generation and cellular encapsulation.", "type" : "article-journal", "volume" : "10" }, "uris" : [ "http://www.mendeley.com/documents/?uuid=63df2da9-60ec-42cc-aa27-b9e73ee28d9a" ] } ], "mendeley" : { "previouslyFormattedCitation" : "&lt;sup&gt;16\u201320&lt;/sup&gt;" }, "properties" : { "noteIndex" : 0 }, "schema" : "https://github.com/citation-style-language/schema/raw/master/csl-citation.json" }</w:instrText>
      </w:r>
      <w:r w:rsidRPr="00AD3AB6">
        <w:fldChar w:fldCharType="separate"/>
      </w:r>
      <w:r w:rsidR="004C7450" w:rsidRPr="00AD3AB6">
        <w:rPr>
          <w:noProof/>
          <w:vertAlign w:val="superscript"/>
        </w:rPr>
        <w:t>16–20</w:t>
      </w:r>
      <w:r w:rsidRPr="00AD3AB6">
        <w:fldChar w:fldCharType="end"/>
      </w:r>
      <w:r w:rsidRPr="00AD3AB6">
        <w:t xml:space="preserve"> In a recent study by our group, we observed that a very low concentration of GOx (200 nM) was able to entirely deoxygenate media allowing for the use of polymer based amplification in nanoparticle-based biosensing applications.</w:t>
      </w:r>
      <w:r w:rsidR="00221932" w:rsidRPr="00AD3AB6">
        <w:fldChar w:fldCharType="begin" w:fldLock="1"/>
      </w:r>
      <w:r w:rsidR="004C7450" w:rsidRPr="00AD3AB6">
        <w:instrText>ADDIN CSL_CITATION { "citationItems" : [ { "id" : "ITEM-1", "itemData" : { "author" : [ { "dropping-particle" : "", "family" : "Gormley", "given" : "Adam J", "non-dropping-particle" : "", "parse-names" : false, "suffix" : "" }, { "dropping-particle" : "", "family" : "Chapman", "given" : "Robert", "non-dropping-particle" : "", "parse-names" : false, "suffix" : "" }, { "dropping-particle" : "", "family" : "Stevens", "given" : "Molly M", "non-dropping-particle" : "", "parse-names" : false, "suffix" : "" } ], "container-title" : "Nano letters", "id" : "ITEM-1", "issued" : { "date-parts" : [ [ "2014" ] ] }, "page" : "DOI: 10.1021/nl502840h", "title" : "Polymerization Amplified Detection for Nanoparticle-Based Biosensing", "type" : "article-journal" }, "uris" : [ "http://www.mendeley.com/documents/?uuid=7f74cdbb-6ec3-40d9-9344-20a565bce1b3" ] } ], "mendeley" : { "previouslyFormattedCitation" : "&lt;sup&gt;21&lt;/sup&gt;" }, "properties" : { "noteIndex" : 0 }, "schema" : "https://github.com/citation-style-language/schema/raw/master/csl-citation.json" }</w:instrText>
      </w:r>
      <w:r w:rsidR="00221932" w:rsidRPr="00AD3AB6">
        <w:fldChar w:fldCharType="separate"/>
      </w:r>
      <w:r w:rsidR="004C7450" w:rsidRPr="00AD3AB6">
        <w:rPr>
          <w:noProof/>
          <w:vertAlign w:val="superscript"/>
        </w:rPr>
        <w:t>21</w:t>
      </w:r>
      <w:r w:rsidR="00221932" w:rsidRPr="00AD3AB6">
        <w:fldChar w:fldCharType="end"/>
      </w:r>
      <w:r w:rsidRPr="00AD3AB6">
        <w:t xml:space="preserve"> This observation led us to consider using this enzyme degassing system for RAFT polymerizations (which we term Enz-RAFT), where low oxygen concentrations are desirable (Figure 1). GOx is a particularly attractive enzyme to use due to its high activity and compatibility with organic solvents</w:t>
      </w:r>
      <w:r w:rsidR="001E3AC8" w:rsidRPr="00AD3AB6">
        <w:t>,</w:t>
      </w:r>
      <w:r w:rsidRPr="00AD3AB6">
        <w:fldChar w:fldCharType="begin" w:fldLock="1"/>
      </w:r>
      <w:r w:rsidR="004C7450" w:rsidRPr="00AD3AB6">
        <w:instrText>ADDIN CSL_CITATION { "citationItems" : [ { "id" : "ITEM-1", "itemData" : { "DOI" : "10.1016/j.msec.2004.03.001", "ISSN" : "09284931", "author" : [ { "dropping-particle" : "", "family" : "Vasileva", "given" : "N.", "non-dropping-particle" : "", "parse-names" : false, "suffix" : "" }, { "dropping-particle" : "", "family" : "Godjevargova", "given" : "Ts.", "non-dropping-particle" : "", "parse-names" : false, "suffix" : "" } ], "container-title" : "Materials Science and Engineering: C", "id" : "ITEM-1", "issue" : "1", "issued" : { "date-parts" : [ [ "2005", "1" ] ] }, "page" : "17-21", "title" : "Study of the effect of some organic solvents on the activity and stability of glucose oxidase", "type" : "article-journal", "volume" : "25" }, "uris" : [ "http://www.mendeley.com/documents/?uuid=b6e8dbde-ec7f-47b5-b873-28a095b04897" ] } ], "mendeley" : { "previouslyFormattedCitation" : "&lt;sup&gt;22&lt;/sup&gt;" }, "properties" : { "noteIndex" : 0 }, "schema" : "https://github.com/citation-style-language/schema/raw/master/csl-citation.json" }</w:instrText>
      </w:r>
      <w:r w:rsidRPr="00AD3AB6">
        <w:fldChar w:fldCharType="separate"/>
      </w:r>
      <w:r w:rsidR="004C7450" w:rsidRPr="00AD3AB6">
        <w:rPr>
          <w:noProof/>
          <w:vertAlign w:val="superscript"/>
        </w:rPr>
        <w:t>22</w:t>
      </w:r>
      <w:r w:rsidRPr="00AD3AB6">
        <w:fldChar w:fldCharType="end"/>
      </w:r>
      <w:r w:rsidRPr="00AD3AB6">
        <w:t xml:space="preserve"> </w:t>
      </w:r>
      <w:r w:rsidR="001E3AC8" w:rsidRPr="00AD3AB6">
        <w:t>and its good thermal stability.</w:t>
      </w:r>
      <w:r w:rsidR="001E3AC8" w:rsidRPr="00AD3AB6">
        <w:fldChar w:fldCharType="begin" w:fldLock="1"/>
      </w:r>
      <w:r w:rsidR="004C7450" w:rsidRPr="00AD3AB6">
        <w:instrText>ADDIN CSL_CITATION { "citationItems" : [ { "id" : "ITEM-1", "itemData" : { "author" : [ { "dropping-particle" : "", "family" : "Malley", "given" : "James J O", "non-dropping-particle" : "", "parse-names" : false, "suffix" : "" }, { "dropping-particle" : "", "family" : "Ulmer", "given" : "Robert W", "non-dropping-particle" : "", "parse-names" : false, "suffix" : "" } ], "container-title" : "Biotechnology and bioengineering", "id" : "ITEM-1", "issued" : { "date-parts" : [ [ "1973" ] ] }, "page" : "917-925", "title" : "Thermal stability of glucose oxidase and its admixtures with synthetic polymers", "type" : "article-journal", "volume" : "15" }, "uris" : [ "http://www.mendeley.com/documents/?uuid=10aef7bd-608d-4045-9b11-d375748e54c4" ] } ], "mendeley" : { "previouslyFormattedCitation" : "&lt;sup&gt;23&lt;/sup&gt;" }, "properties" : { "noteIndex" : 0 }, "schema" : "https://github.com/citation-style-language/schema/raw/master/csl-citation.json" }</w:instrText>
      </w:r>
      <w:r w:rsidR="001E3AC8" w:rsidRPr="00AD3AB6">
        <w:fldChar w:fldCharType="separate"/>
      </w:r>
      <w:r w:rsidR="004C7450" w:rsidRPr="00AD3AB6">
        <w:rPr>
          <w:noProof/>
          <w:vertAlign w:val="superscript"/>
        </w:rPr>
        <w:t>23</w:t>
      </w:r>
      <w:r w:rsidR="001E3AC8" w:rsidRPr="00AD3AB6">
        <w:fldChar w:fldCharType="end"/>
      </w:r>
      <w:r w:rsidR="001E3AC8" w:rsidRPr="00AD3AB6">
        <w:t xml:space="preserve"> </w:t>
      </w:r>
      <w:r w:rsidRPr="00AD3AB6">
        <w:t>GOx is also cheap and readily available in large quantities as it is isolated from a fungus (</w:t>
      </w:r>
      <w:r w:rsidRPr="00AD3AB6">
        <w:rPr>
          <w:i/>
        </w:rPr>
        <w:t>Aspergillus niger</w:t>
      </w:r>
      <w:r w:rsidRPr="00AD3AB6">
        <w:t xml:space="preserve">) rather than </w:t>
      </w:r>
      <w:r w:rsidRPr="00AD3AB6">
        <w:rPr>
          <w:i/>
        </w:rPr>
        <w:t>via</w:t>
      </w:r>
      <w:r w:rsidRPr="00AD3AB6">
        <w:t xml:space="preserve"> recombinant synthesis. Unlike PET-RAFT, ARGET- and ICAR-ATRP, this mechanism for oxygen scrubbing is decoupled from the polymerization mechanism so it should be possible to polymerize both in an open vessel and at low concentrations of initiator, facilitating high control.</w:t>
      </w:r>
      <w:r w:rsidR="009615B5" w:rsidRPr="00AD3AB6">
        <w:t xml:space="preserve"> </w:t>
      </w:r>
      <w:r w:rsidR="00AC03FD" w:rsidRPr="00AD3AB6">
        <w:t xml:space="preserve">We expect that enzyme degassing could </w:t>
      </w:r>
      <w:r w:rsidR="00AC03FD" w:rsidRPr="00AD3AB6">
        <w:lastRenderedPageBreak/>
        <w:t>significantly boost the synthetic power of RAFT, particularly if combined with high-throughput polymer synthesis where reliable degassing mechanisms are challenging to find.</w:t>
      </w:r>
      <w:r w:rsidR="00AC03FD" w:rsidRPr="00AD3AB6">
        <w:fldChar w:fldCharType="begin" w:fldLock="1"/>
      </w:r>
      <w:r w:rsidR="004C7450" w:rsidRPr="00AD3AB6">
        <w:instrText>ADDIN CSL_CITATION { "citationItems" : [ { "id" : "ITEM-1", "itemData" : { "DOI" : "10.1039/C4PY00496E", "ISSN" : "1759-9954", "author" : [ { "dropping-particle" : "", "family" : "Haven", "given" : "Joris J.", "non-dropping-particle" : "", "parse-names" : false, "suffix" : "" }, { "dropping-particle" : "", "family" : "Guerrero-Sanchez", "given" : "Carlos", "non-dropping-particle" : "", "parse-names" : false, "suffix" : "" }, { "dropping-particle" : "", "family" : "Keddie", "given" : "Daniel J.", "non-dropping-particle" : "", "parse-names" : false, "suffix" : "" }, { "dropping-particle" : "", "family" : "Moad", "given" : "Graeme", "non-dropping-particle" : "", "parse-names" : false, "suffix" : "" }, { "dropping-particle" : "", "family" : "Thang", "given" : "San H.", "non-dropping-particle" : "", "parse-names" : false, "suffix" : "" }, { "dropping-particle" : "", "family" : "Schubert", "given" : "Ulrich S.", "non-dropping-particle" : "", "parse-names" : false, "suffix" : "" } ], "container-title" : "Polymer Chemistry", "id" : "ITEM-1", "issue" : "18", "issued" : { "date-parts" : [ [ "2014", "5", "16" ] ] }, "page" : "5236", "publisher" : "Royal Society of Chemistry", "title" : "One pot synthesis of higher order quasi-block copolymer libraries via sequential RAFT polymerization in an automated synthesizer", "type" : "article-journal", "volume" : "5" }, "uris" : [ "http://www.mendeley.com/documents/?uuid=1d7bc4a6-effa-4214-b6ac-7e47dc30507d" ] }, { "id" : "ITEM-2", "itemData" : { "DOI" : "10.1002/marc.201300459", "ISSN" : "1521-3927", "PMID" : "23996895", "abstract" : "A versatile, cost-effective approach to the rapid, fully unattended preparation of systematic quasi-diblock copolymer libraries via sequential RAFT polymerization in an automated synthesizer is reported. The procedure is demonstrated with the synthesis of a 23 member library of low dispersity poly(butyl methacrylate)-quasiblock-poly(methyl methacrylate) covering a wide (fivefold) range of molar mass for the second block in a one-pot, sequential, RAFT polymerization.", "author" : [ { "dropping-particle" : "", "family" : "Haven", "given" : "Joris J", "non-dropping-particle" : "", "parse-names" : false, "suffix" : "" }, { "dropping-particle" : "", "family" : "Guerrero-Sanchez", "given" : "Carlos", "non-dropping-particle" : "", "parse-names" : false, "suffix" : "" }, { "dropping-particle" : "", "family" : "Keddie", "given" : "Daniel J", "non-dropping-particle" : "", "parse-names" : false, "suffix" : "" }, { "dropping-particle" : "", "family" : "Moad", "given" : "Graeme", "non-dropping-particle" : "", "parse-names" : false, "suffix" : "" } ], "container-title" : "Macromolecular rapid communications", "id" : "ITEM-2", "issue" : "4", "issued" : { "date-parts" : [ [ "2014", "2" ] ] }, "page" : "492-7", "title" : "Rapid and systematic access to quasi-diblock copolymer libraries covering a comprehensive composition range by sequential RAFT polymerization in an Automated synthesizer.", "type" : "article-journal", "volume" : "35" }, "uris" : [ "http://www.mendeley.com/documents/?uuid=8661675f-9139-4448-9813-a8e07e232bc1" ] }, { "id" : "ITEM-3", "itemData" : { "DOI" : "10.1021/co300044w", "ISSN" : "2156-8944", "PMID" : "22709484", "abstract" : "An automated and parallel freeze-evacuate-thaw degassing method in a commercially available synthesizer is disclosed and tested for its applicability to reversible addition-fragmentation chain transfer (RAFT) polymerization. The effectiveness of this method to eliminate oxygen in polymerization reactions is demonstrated by directly comparing it against experiments performed using conventional laboratory techniques. Apart from the demonstrated accuracy, the proposed method has also shown significant precision when performing RAFT polymerizations. The reported experimental technique can be easily adapted to other chemical systems where the removal of oxygen is mandatory. This new high-throughput method has the potential to significantly increase the productivity and/or research outcomes in laboratories where oxygen-sensitive reactions are carried out.", "author" : [ { "dropping-particle" : "", "family" : "Guerrero-Sanchez", "given" : "Carlos", "non-dropping-particle" : "", "parse-names" : false, "suffix" : "" }, { "dropping-particle" : "", "family" : "Keddie", "given" : "Daniel J", "non-dropping-particle" : "", "parse-names" : false, "suffix" : "" }, { "dropping-particle" : "", "family" : "Saubern", "given" : "Simon", "non-dropping-particle" : "", "parse-names" : false, "suffix" : "" }, { "dropping-particle" : "", "family" : "Chiefari", "given" : "John", "non-dropping-particle" : "", "parse-names" : false, "suffix" : "" } ], "container-title" : "ACS combinatorial science", "id" : "ITEM-3", "issue" : "7", "issued" : { "date-parts" : [ [ "2012", "7", "9" ] ] }, "page" : "389-94", "title" : "Automated parallel freeze-evacuate-thaw degassing method for oxygen-sensitive reactions: RAFT polymerization.", "type" : "article-journal", "volume" : "14" }, "uris" : [ "http://www.mendeley.com/documents/?uuid=29e9e238-0d73-47b0-ac2e-f11a69605eb5" ] } ], "mendeley" : { "previouslyFormattedCitation" : "&lt;sup&gt;5,24,25&lt;/sup&gt;" }, "properties" : { "noteIndex" : 0 }, "schema" : "https://github.com/citation-style-language/schema/raw/master/csl-citation.json" }</w:instrText>
      </w:r>
      <w:r w:rsidR="00AC03FD" w:rsidRPr="00AD3AB6">
        <w:fldChar w:fldCharType="separate"/>
      </w:r>
      <w:r w:rsidR="004C7450" w:rsidRPr="00AD3AB6">
        <w:rPr>
          <w:noProof/>
          <w:vertAlign w:val="superscript"/>
        </w:rPr>
        <w:t>5,24,25</w:t>
      </w:r>
      <w:r w:rsidR="00AC03FD" w:rsidRPr="00AD3AB6">
        <w:fldChar w:fldCharType="end"/>
      </w:r>
    </w:p>
    <w:p w:rsidR="00792734" w:rsidRPr="00AD3AB6" w:rsidRDefault="00792734" w:rsidP="00792734">
      <w:pPr>
        <w:pStyle w:val="TAMainText"/>
      </w:pPr>
    </w:p>
    <w:p w:rsidR="00792734" w:rsidRPr="00AD3AB6" w:rsidRDefault="00344562" w:rsidP="00344562">
      <w:pPr>
        <w:pStyle w:val="VAFigureCaption"/>
      </w:pPr>
      <w:r w:rsidRPr="00AD3AB6">
        <w:rPr>
          <w:noProof/>
          <w:lang w:val="en-GB" w:eastAsia="en-GB"/>
        </w:rPr>
        <w:drawing>
          <wp:inline distT="0" distB="0" distL="0" distR="0" wp14:anchorId="5C1B5189" wp14:editId="1F13CDA3">
            <wp:extent cx="3911261" cy="12231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4299" cy="1227235"/>
                    </a:xfrm>
                    <a:prstGeom prst="rect">
                      <a:avLst/>
                    </a:prstGeom>
                    <a:noFill/>
                  </pic:spPr>
                </pic:pic>
              </a:graphicData>
            </a:graphic>
          </wp:inline>
        </w:drawing>
      </w:r>
    </w:p>
    <w:p w:rsidR="00344562" w:rsidRPr="00AD3AB6" w:rsidRDefault="00344562" w:rsidP="00344562">
      <w:pPr>
        <w:pStyle w:val="VAFigureCaption"/>
      </w:pPr>
      <w:r w:rsidRPr="00AD3AB6">
        <w:rPr>
          <w:b/>
        </w:rPr>
        <w:t xml:space="preserve">Figure </w:t>
      </w:r>
      <w:r w:rsidRPr="00AD3AB6">
        <w:rPr>
          <w:b/>
        </w:rPr>
        <w:fldChar w:fldCharType="begin"/>
      </w:r>
      <w:r w:rsidRPr="00AD3AB6">
        <w:rPr>
          <w:b/>
        </w:rPr>
        <w:instrText xml:space="preserve"> SEQ Figure \* ARABIC </w:instrText>
      </w:r>
      <w:r w:rsidRPr="00AD3AB6">
        <w:rPr>
          <w:b/>
        </w:rPr>
        <w:fldChar w:fldCharType="separate"/>
      </w:r>
      <w:r w:rsidR="0038105B" w:rsidRPr="00AD3AB6">
        <w:rPr>
          <w:b/>
          <w:noProof/>
        </w:rPr>
        <w:t>1</w:t>
      </w:r>
      <w:r w:rsidRPr="00AD3AB6">
        <w:rPr>
          <w:b/>
        </w:rPr>
        <w:fldChar w:fldCharType="end"/>
      </w:r>
      <w:r w:rsidRPr="00AD3AB6">
        <w:rPr>
          <w:b/>
        </w:rPr>
        <w:t>.</w:t>
      </w:r>
      <w:r w:rsidRPr="00AD3AB6">
        <w:t xml:space="preserve"> Schematic for open vessel RAFT polymerizations showing the chain transfer agent (CTA) 2-(propylthio-carbonothioyl-thio)-2-methylpropionoic acid </w:t>
      </w:r>
      <w:r w:rsidRPr="00AD3AB6">
        <w:rPr>
          <w:b/>
        </w:rPr>
        <w:t>1</w:t>
      </w:r>
      <w:r w:rsidRPr="00AD3AB6">
        <w:t>. Glucose oxidase (GOx) is used to remove the oxygen from the solution allowing polymerization to proceed in an open vessel.</w:t>
      </w:r>
    </w:p>
    <w:p w:rsidR="00344562" w:rsidRPr="00AD3AB6" w:rsidRDefault="00344562" w:rsidP="00792734">
      <w:pPr>
        <w:pStyle w:val="TAMainText"/>
        <w:ind w:firstLine="0"/>
        <w:jc w:val="left"/>
        <w:rPr>
          <w:iCs/>
        </w:rPr>
      </w:pPr>
    </w:p>
    <w:p w:rsidR="00792734" w:rsidRPr="00AD3AB6" w:rsidRDefault="00792734" w:rsidP="00B35CBE">
      <w:pPr>
        <w:pStyle w:val="StyleTAMainTextBoldLeftFirstline0cm"/>
      </w:pPr>
      <w:r w:rsidRPr="00AD3AB6">
        <w:t>EXPERIMENTAL</w:t>
      </w:r>
    </w:p>
    <w:p w:rsidR="00792734" w:rsidRPr="00AD3AB6" w:rsidRDefault="00792734" w:rsidP="001B6D03">
      <w:pPr>
        <w:pStyle w:val="TAMainText"/>
      </w:pPr>
      <w:r w:rsidRPr="00AD3AB6">
        <w:rPr>
          <w:b/>
        </w:rPr>
        <w:t>Materials:</w:t>
      </w:r>
      <w:r w:rsidR="001B6D03" w:rsidRPr="00AD3AB6">
        <w:t xml:space="preserve"> </w:t>
      </w:r>
      <w:r w:rsidRPr="00AD3AB6">
        <w:t xml:space="preserve">Glucose oxidase (GOx) from </w:t>
      </w:r>
      <w:r w:rsidRPr="00AD3AB6">
        <w:rPr>
          <w:i/>
        </w:rPr>
        <w:t>Aspergillus niger</w:t>
      </w:r>
      <w:r w:rsidRPr="00AD3AB6">
        <w:t xml:space="preserve"> was purchased from Sigma Aldrich as a lyophilized powder, dissolved in phosphate buffered saline (PBS) and stored in aliquots at -20°C to avoid successive freeze-thaw cycles. 2-hydroxyethyl acrylate (HEA), methacrylic acid (MA), </w:t>
      </w:r>
      <w:r w:rsidRPr="00AD3AB6">
        <w:rPr>
          <w:i/>
        </w:rPr>
        <w:t>N,N</w:t>
      </w:r>
      <w:r w:rsidRPr="00AD3AB6">
        <w:t>-dimethyl acrylamide (DMAm) and 2-hydroxypropyl methacrylamide (HPMA) were purchased from Sigma Aldrich and de-inhibited prior to use by passing it over a short column of inhibitor removal beads (for removal of MEHQ). VA-044 was purchased from Wako chemicals and used as received. All water was deionized prior to use. All other reagents and solvents were purchased from Sigma-Aldrich and used as received. Peroxide concentration was determined using the Pierce xylenol orange aqueous quantitative peroxide assay from Thermo Scientific.</w:t>
      </w:r>
    </w:p>
    <w:p w:rsidR="001B6D03" w:rsidRPr="00AD3AB6" w:rsidRDefault="001B6D03" w:rsidP="001B6D03">
      <w:pPr>
        <w:pStyle w:val="TAMainText"/>
      </w:pPr>
      <w:r w:rsidRPr="00AD3AB6">
        <w:rPr>
          <w:rFonts w:eastAsia="MS Mincho"/>
          <w:b/>
        </w:rPr>
        <w:lastRenderedPageBreak/>
        <w:t>Modelling of GOx kinetics:</w:t>
      </w:r>
      <w:r w:rsidRPr="00AD3AB6">
        <w:t xml:space="preserve"> The concentration of oxygen within the reaction was modelled as a function of time and GOx concentration. Fick’s law was used to determine the rate of oxygen diffusion and the rate of oxygen consumption by the enzyme was accounted for by Michaelis–Menten kinetics, in a similar way to our previous work.</w:t>
      </w:r>
      <w:r w:rsidR="006C73CA" w:rsidRPr="00AD3AB6">
        <w:fldChar w:fldCharType="begin" w:fldLock="1"/>
      </w:r>
      <w:r w:rsidR="004C7450" w:rsidRPr="00AD3AB6">
        <w:instrText>ADDIN CSL_CITATION { "citationItems" : [ { "id" : "ITEM-1", "itemData" : { "author" : [ { "dropping-particle" : "", "family" : "Gormley", "given" : "Adam J", "non-dropping-particle" : "", "parse-names" : false, "suffix" : "" }, { "dropping-particle" : "", "family" : "Chapman", "given" : "Robert", "non-dropping-particle" : "", "parse-names" : false, "suffix" : "" }, { "dropping-particle" : "", "family" : "Stevens", "given" : "Molly M", "non-dropping-particle" : "", "parse-names" : false, "suffix" : "" } ], "container-title" : "Nano letters", "id" : "ITEM-1", "issued" : { "date-parts" : [ [ "2014" ] ] }, "page" : "DOI: 10.1021/nl502840h", "title" : "Polymerization Amplified Detection for Nanoparticle-Based Biosensing", "type" : "article-journal" }, "uris" : [ "http://www.mendeley.com/documents/?uuid=7f74cdbb-6ec3-40d9-9344-20a565bce1b3" ] } ], "mendeley" : { "previouslyFormattedCitation" : "&lt;sup&gt;21&lt;/sup&gt;" }, "properties" : { "noteIndex" : 0 }, "schema" : "https://github.com/citation-style-language/schema/raw/master/csl-citation.json" }</w:instrText>
      </w:r>
      <w:r w:rsidR="006C73CA" w:rsidRPr="00AD3AB6">
        <w:fldChar w:fldCharType="separate"/>
      </w:r>
      <w:r w:rsidR="004C7450" w:rsidRPr="00AD3AB6">
        <w:rPr>
          <w:noProof/>
          <w:vertAlign w:val="superscript"/>
        </w:rPr>
        <w:t>21</w:t>
      </w:r>
      <w:r w:rsidR="006C73CA" w:rsidRPr="00AD3AB6">
        <w:fldChar w:fldCharType="end"/>
      </w:r>
      <w:r w:rsidRPr="00AD3AB6">
        <w:t xml:space="preserve"> A detailed description of the equations used is given in the </w:t>
      </w:r>
      <w:r w:rsidR="003A4639" w:rsidRPr="00AD3AB6">
        <w:t xml:space="preserve">supporting </w:t>
      </w:r>
      <w:r w:rsidRPr="00AD3AB6">
        <w:t xml:space="preserve">information. Briefly, two scenarios were considered. In the first, molecular diffusion was assumed to be the only mass transport process, resembling an unstirred vial. In this case, the oxygen concentration over time was modelled as a function of depth from the solution surface (z = 0) for various GOx concentrations. The depth was split into slices of 25 </w:t>
      </w:r>
      <w:r w:rsidRPr="00AD3AB6">
        <w:rPr>
          <w:rFonts w:ascii="Constantia" w:hAnsi="Constantia"/>
        </w:rPr>
        <w:t>μm and at</w:t>
      </w:r>
      <w:r w:rsidRPr="00AD3AB6">
        <w:t xml:space="preserve"> each height, oxygen diffusion in and out, and consumption of oxygen by GOx were considered. The analysis of diffusion in only one-dimension allows us to neglect the effect of the surface area of the reaction vessel. Due to the complexities of calculating an oxygen diffusion coefficient which takes into account the binary nature of the solvent (methanol and water) and the addition of glucose and ionic species, we assume the diffusion coefficient to be that of O</w:t>
      </w:r>
      <w:r w:rsidRPr="00AD3AB6">
        <w:rPr>
          <w:vertAlign w:val="subscript"/>
        </w:rPr>
        <w:t>2</w:t>
      </w:r>
      <w:r w:rsidRPr="00AD3AB6">
        <w:t xml:space="preserve"> diffusing into H</w:t>
      </w:r>
      <w:r w:rsidRPr="00AD3AB6">
        <w:rPr>
          <w:vertAlign w:val="subscript"/>
        </w:rPr>
        <w:t>2</w:t>
      </w:r>
      <w:r w:rsidRPr="00AD3AB6">
        <w:t>O. Measurements in the literature of the effect of the presence of glucose,</w:t>
      </w:r>
      <w:r w:rsidRPr="00AD3AB6">
        <w:fldChar w:fldCharType="begin" w:fldLock="1"/>
      </w:r>
      <w:r w:rsidR="004C7450" w:rsidRPr="00AD3AB6">
        <w:instrText>ADDIN CSL_CITATION { "citationItems" : [ { "id" : "ITEM-1", "itemData" : { "author" : [ { "dropping-particle" : "", "family" : "Tsao", "given" : "George T", "non-dropping-particle" : "", "parse-names" : false, "suffix" : "" } ], "container-title" : "Biotechnology and bioengineering", "id" : "ITEM-1", "issued" : { "date-parts" : [ [ "1968" ] ] }, "page" : "765-785", "title" : "Simultaneous Gas-Liquid Interfacial Oxygen Absorption and Biochemical Oxidation", "type" : "article-journal", "volume" : "X" }, "uris" : [ "http://www.mendeley.com/documents/?uuid=95a17d0b-71a3-42b2-ba85-e0a082e8b855" ] } ], "mendeley" : { "previouslyFormattedCitation" : "&lt;sup&gt;26&lt;/sup&gt;" }, "properties" : { "noteIndex" : 0 }, "schema" : "https://github.com/citation-style-language/schema/raw/master/csl-citation.json" }</w:instrText>
      </w:r>
      <w:r w:rsidRPr="00AD3AB6">
        <w:fldChar w:fldCharType="separate"/>
      </w:r>
      <w:r w:rsidR="004C7450" w:rsidRPr="00AD3AB6">
        <w:rPr>
          <w:noProof/>
          <w:vertAlign w:val="superscript"/>
        </w:rPr>
        <w:t>26</w:t>
      </w:r>
      <w:r w:rsidRPr="00AD3AB6">
        <w:fldChar w:fldCharType="end"/>
      </w:r>
      <w:r w:rsidRPr="00AD3AB6">
        <w:t xml:space="preserve"> and of a methanol in aqueous solutions,</w:t>
      </w:r>
      <w:r w:rsidRPr="00AD3AB6">
        <w:fldChar w:fldCharType="begin" w:fldLock="1"/>
      </w:r>
      <w:r w:rsidR="004C7450" w:rsidRPr="00AD3AB6">
        <w:instrText>ADDIN CSL_CITATION { "citationItems" : [ { "id" : "ITEM-1", "itemData" : { "DOI" : "10.1002/aic.690310333", "ISSN" : "1547-5905", "author" : [ { "dropping-particle" : "", "family" : "Cussler", "given" : "E. L", "non-dropping-particle" : "", "parse-names" : false, "suffix" : "" } ], "container-title" : "AIChE Journal", "edition" : "3rd", "id" : "ITEM-1", "issue" : "3", "issued" : { "date-parts" : [ [ "2009" ] ] }, "publisher" : "Cambridge University Press", "title" : "Diffusion: Mass transfer in fluid systems", "type" : "book", "volume" : "31" }, "uris" : [ "http://www.mendeley.com/documents/?uuid=03167183-dd9c-48a0-8987-e47790cff078" ] }, { "id" : "ITEM-2", "itemData" : { "author" : [ { "dropping-particle" : "", "family" : "Noda", "given" : "Katsuji", "non-dropping-particle" : "", "parse-names" : false, "suffix" : "" }, { "dropping-particle" : "", "family" : "Ohashi", "given" : "Mitsuhisa", "non-dropping-particle" : "", "parse-names" : false, "suffix" : "" }, { "dropping-particle" : "", "family" : "Ishida", "given" : "Kiyoharu", "non-dropping-particle" : "", "parse-names" : false, "suffix" : "" } ], "container-title" : "Journal of Chemical Engineering Data", "id" : "ITEM-2", "issued" : { "date-parts" : [ [ "1982" ] ] }, "page" : "326-328", "title" : "Viscosities and densities at 298.15 K for mixtures of methanol, acetone, and water", "type" : "article-journal", "volume" : "27" }, "uris" : [ "http://www.mendeley.com/documents/?uuid=70736757-f07c-4bdf-a4ce-f6abedf59a91" ] } ], "mendeley" : { "previouslyFormattedCitation" : "&lt;sup&gt;27,28&lt;/sup&gt;" }, "properties" : { "noteIndex" : 0 }, "schema" : "https://github.com/citation-style-language/schema/raw/master/csl-citation.json" }</w:instrText>
      </w:r>
      <w:r w:rsidRPr="00AD3AB6">
        <w:fldChar w:fldCharType="separate"/>
      </w:r>
      <w:r w:rsidR="004C7450" w:rsidRPr="00AD3AB6">
        <w:rPr>
          <w:noProof/>
          <w:vertAlign w:val="superscript"/>
        </w:rPr>
        <w:t>27,28</w:t>
      </w:r>
      <w:r w:rsidRPr="00AD3AB6">
        <w:fldChar w:fldCharType="end"/>
      </w:r>
      <w:r w:rsidRPr="00AD3AB6">
        <w:t xml:space="preserve"> have shown the effect on the diffusion coefficient to be &lt; 20% and this level of accuracy was considered sufficient for the purposes of the model. In the second scenario, the Whitman two film model for oxygen transport was used.</w:t>
      </w:r>
      <w:r w:rsidRPr="00AD3AB6">
        <w:fldChar w:fldCharType="begin" w:fldLock="1"/>
      </w:r>
      <w:r w:rsidR="004C7450" w:rsidRPr="00AD3AB6">
        <w:instrText>ADDIN CSL_CITATION { "citationItems" : [ { "id" : "ITEM-1", "itemData" : { "author" : [ { "dropping-particle" : "", "family" : "Whitman", "given" : "W. G.", "non-dropping-particle" : "", "parse-names" : false, "suffix" : "" } ], "container-title" : "Chemical and Metallurgical Engineering", "id" : "ITEM-1", "issued" : { "date-parts" : [ [ "1923" ] ] }, "page" : "146-148", "title" : "The two-film theory of gas absorption", "type" : "article-journal", "volume" : "29" }, "uris" : [ "http://www.mendeley.com/documents/?uuid=0bf1944d-d7ba-47cb-aefb-9573b35d8908" ] } ], "mendeley" : { "previouslyFormattedCitation" : "&lt;sup&gt;29&lt;/sup&gt;" }, "properties" : { "noteIndex" : 0 }, "schema" : "https://github.com/citation-style-language/schema/raw/master/csl-citation.json" }</w:instrText>
      </w:r>
      <w:r w:rsidRPr="00AD3AB6">
        <w:fldChar w:fldCharType="separate"/>
      </w:r>
      <w:r w:rsidR="004C7450" w:rsidRPr="00AD3AB6">
        <w:rPr>
          <w:noProof/>
          <w:vertAlign w:val="superscript"/>
        </w:rPr>
        <w:t>29</w:t>
      </w:r>
      <w:r w:rsidRPr="00AD3AB6">
        <w:fldChar w:fldCharType="end"/>
      </w:r>
      <w:r w:rsidRPr="00AD3AB6">
        <w:t xml:space="preserve"> This assumes the presence of an oxygenated thin film above a well-mixed bulk solution. For a small vessel mixed at high frequency (rpm &gt; 200) we can assume the bulk solution to be well-mixed, creating a homogenous oxygen concentration and removing the depth dependence seen in the first model.</w:t>
      </w:r>
      <w:r w:rsidRPr="00AD3AB6">
        <w:fldChar w:fldCharType="begin" w:fldLock="1"/>
      </w:r>
      <w:r w:rsidR="004C7450" w:rsidRPr="00AD3AB6">
        <w:instrText>ADDIN CSL_CITATION { "citationItems" : [ { "id" : "ITEM-1", "itemData" : { "author" : [ { "dropping-particle" : "", "family" : "Hanhart", "given" : "J.", "non-dropping-particle" : "", "parse-names" : false, "suffix" : "" }, { "dropping-particle" : "", "family" : "Kramers", "given" : "H.", "non-dropping-particle" : "", "parse-names" : false, "suffix" : "" }, { "dropping-particle" : "", "family" : "Westerterp", "given" : "KR", "non-dropping-particle" : "", "parse-names" : false, "suffix" : "" } ], "container-title" : "Chemical Engineering Science", "id" : "ITEM-1", "issued" : { "date-parts" : [ [ "1963" ] ] }, "page" : "503-509", "title" : "The residence time distribution of the gas in an agitated gas-liquid contactor", "type" : "article-journal", "volume" : "18" }, "uris" : [ "http://www.mendeley.com/documents/?uuid=d78b9ecd-afcb-4853-8035-f41e10f5aac3" ] }, { "id" : "ITEM-2", "itemData" : { "DOI" : "10.1016/S0009-2509(02)00604-8", "ISSN" : "00092509", "author" : [ { "dropping-particle" : "", "family" : "Lamping", "given" : "S.R", "non-dropping-particle" : "", "parse-names" : false, "suffix" : "" }, { "dropping-particle" : "", "family" : "Zhang", "given" : "H", "non-dropping-particle" : "", "parse-names" : false, "suffix" : "" }, { "dropping-particle" : "", "family" : "Allen", "given" : "B", "non-dropping-particle" : "", "parse-names" : false, "suffix" : "" }, { "dropping-particle" : "", "family" : "Ayazi Shamlou", "given" : "P", "non-dropping-particle" : "", "parse-names" : false, "suffix" : "" } ], "container-title" : "Chemical Engineering Science", "id" : "ITEM-2", "issue" : "3-6", "issued" : { "date-parts" : [ [ "2003", "2" ] ] }, "page" : "747-758", "title" : "Design of a prototype miniature bioreactor for high throughput automated bioprocessing", "type" : "article-journal", "volume" : "58" }, "uris" : [ "http://www.mendeley.com/documents/?uuid=0d66cb07-5bf9-4b8b-867d-e45aee55e3df" ] } ], "mendeley" : { "previouslyFormattedCitation" : "&lt;sup&gt;30,31&lt;/sup&gt;" }, "properties" : { "noteIndex" : 0 }, "schema" : "https://github.com/citation-style-language/schema/raw/master/csl-citation.json" }</w:instrText>
      </w:r>
      <w:r w:rsidRPr="00AD3AB6">
        <w:fldChar w:fldCharType="separate"/>
      </w:r>
      <w:r w:rsidR="004C7450" w:rsidRPr="00AD3AB6">
        <w:rPr>
          <w:noProof/>
          <w:vertAlign w:val="superscript"/>
        </w:rPr>
        <w:t>30,31</w:t>
      </w:r>
      <w:r w:rsidRPr="00AD3AB6">
        <w:fldChar w:fldCharType="end"/>
      </w:r>
      <w:r w:rsidRPr="00AD3AB6">
        <w:t xml:space="preserve"> In this instance, only diffusion of oxygen into the bulk, and consumption of oxygen by GOx were considered, and the bulk concentration of oxygen was modelled with respect only to time and GOx concentration. </w:t>
      </w:r>
    </w:p>
    <w:p w:rsidR="00792734" w:rsidRPr="00AD3AB6" w:rsidRDefault="00792734" w:rsidP="001B6D03">
      <w:pPr>
        <w:pStyle w:val="TAMainText"/>
      </w:pPr>
      <w:r w:rsidRPr="00AD3AB6">
        <w:rPr>
          <w:rStyle w:val="FAAuthorInfoSubtitleChar"/>
        </w:rPr>
        <w:lastRenderedPageBreak/>
        <w:t>Preparation of the RAFT agent (1):</w:t>
      </w:r>
      <w:r w:rsidRPr="00AD3AB6">
        <w:t xml:space="preserve"> 2-(propylthio-carbonothioyl-thio)-2-methylpropionoic acid 1 was synthesized following a similar protocol to literature.</w:t>
      </w:r>
      <w:r w:rsidRPr="00AD3AB6">
        <w:fldChar w:fldCharType="begin" w:fldLock="1"/>
      </w:r>
      <w:r w:rsidR="004C7450" w:rsidRPr="00AD3AB6">
        <w:instrText>ADDIN CSL_CITATION { "citationItems" : [ { "id" : "ITEM-1", "itemData" : { "DOI" : "10.1021/ja407381f", "ISSN" : "1520-5126", "PMID" : "23930776", "abstract" : "Cyclic brush polymers represent an exciting new macromolecular topology. For the first time, this new topology has been combined with metallo-supramolecular interactions to construct novel cyclic brush polymers. Here, ring-expansion metathesis polymerization was used to synthesize a universal cyclic template with a polynorbornene backbone, which was further modified with the metal-chelating synthon terpyridine. The terpyridine side chains served as the key supramolecular unit for the creation of cyclic polymer brushes and gels. This metallo-supramolecular functionality allowed direct visualization of the cyclic brush polymers by transmission electron microscopy for the first time. This demonstration should open a new area in which supramolecular interactions are used to build an array of novel cyclic brush copolymers as well as other cyclic-polymer-based architectures generating new materials.", "author" : [ { "dropping-particle" : "", "family" : "Zhang", "given" : "Ke", "non-dropping-particle" : "", "parse-names" : false, "suffix" : "" }, { "dropping-particle" : "", "family" : "Zha", "given" : "Yongping", "non-dropping-particle" : "", "parse-names" : false, "suffix" : "" }, { "dropping-particle" : "", "family" : "Peng", "given" : "Bo", "non-dropping-particle" : "", "parse-names" : false, "suffix" : "" }, { "dropping-particle" : "", "family" : "Chen", "given" : "Yongming", "non-dropping-particle" : "", "parse-names" : false, "suffix" : "" }, { "dropping-particle" : "", "family" : "Tew", "given" : "Gregory N", "non-dropping-particle" : "", "parse-names" : false, "suffix" : "" } ], "container-title" : "Journal of the American Chemical Society", "id" : "ITEM-1", "issue" : "43", "issued" : { "date-parts" : [ [ "2013", "8", "20" ] ] }, "page" : "15994-15997", "title" : "Metallo-Supramolecular Cyclic Polymers", "type" : "article-journal", "volume" : "135" }, "uris" : [ "http://www.mendeley.com/documents/?uuid=04da026e-8d64-4c27-a48a-d9948cbef807" ] } ], "mendeley" : { "manualFormatting" : "[19]", "previouslyFormattedCitation" : "&lt;sup&gt;32&lt;/sup&gt;" }, "properties" : { "noteIndex" : 0 }, "schema" : "https://github.com/citation-style-language/schema/raw/master/csl-citation.json" }</w:instrText>
      </w:r>
      <w:r w:rsidRPr="00AD3AB6">
        <w:fldChar w:fldCharType="separate"/>
      </w:r>
      <w:r w:rsidRPr="00AD3AB6">
        <w:rPr>
          <w:noProof/>
          <w:vertAlign w:val="superscript"/>
        </w:rPr>
        <w:t>[19]</w:t>
      </w:r>
      <w:r w:rsidRPr="00AD3AB6">
        <w:fldChar w:fldCharType="end"/>
      </w:r>
      <w:r w:rsidRPr="00AD3AB6">
        <w:t xml:space="preserve"> 1-Propanethiol (3.04 g, 40 mmol) was added into a stirred solution of potassium hydroxide (4.48 g, 80 mmol) in a water / acetone mixture (2:1 v/v, 50 ml). Carbon disulphide (CS</w:t>
      </w:r>
      <w:r w:rsidRPr="00AD3AB6">
        <w:rPr>
          <w:vertAlign w:val="subscript"/>
        </w:rPr>
        <w:t>2</w:t>
      </w:r>
      <w:r w:rsidRPr="00AD3AB6">
        <w:t>, 6.39 g, 84 mmol) was then added drop</w:t>
      </w:r>
      <w:r w:rsidR="003A4639" w:rsidRPr="00AD3AB6">
        <w:t>-</w:t>
      </w:r>
      <w:r w:rsidRPr="00AD3AB6">
        <w:t>wise. After stirring for 3 h at RT, 2-bromo-2-methylpropionic acid (6.68 g, 40 mmol) was added drop</w:t>
      </w:r>
      <w:r w:rsidR="003A4639" w:rsidRPr="00AD3AB6">
        <w:t>-</w:t>
      </w:r>
      <w:r w:rsidRPr="00AD3AB6">
        <w:t>wise and the mixture was left to stir overnight. After removal of the acetone, the aqueous solution was acidified to pH 2 with HCl and extracted with CH2Cl3 (2 x 50 ml). The combined organic fractions were washed with water (2 x 50 ml), brine (1 x 50 ml), and then dried over MgSO</w:t>
      </w:r>
      <w:r w:rsidRPr="00AD3AB6">
        <w:rPr>
          <w:vertAlign w:val="subscript"/>
        </w:rPr>
        <w:t>4</w:t>
      </w:r>
      <w:r w:rsidRPr="00AD3AB6">
        <w:t xml:space="preserve">. The crude product was purified over a silica column (1:4 EtOAc : Hexane, 1% acetic acid), yielding the product as a dark orange solid (3.96 g, 16.6 mmol, 42 %).  </w:t>
      </w:r>
      <w:r w:rsidRPr="00AD3AB6">
        <w:rPr>
          <w:vertAlign w:val="superscript"/>
        </w:rPr>
        <w:t>1</w:t>
      </w:r>
      <w:r w:rsidRPr="00AD3AB6">
        <w:t xml:space="preserve">H-NMR (400 MHz, CDCl3) δ (ppm): 3.26 (t, J = 7.4 Hz, 2H), 1.77 – 1.65 (m, 8H), 1.00 (t, J = 7.4 Hz, 3H). </w:t>
      </w:r>
      <w:r w:rsidRPr="00AD3AB6">
        <w:rPr>
          <w:vertAlign w:val="superscript"/>
        </w:rPr>
        <w:t xml:space="preserve"> 13</w:t>
      </w:r>
      <w:r w:rsidRPr="00AD3AB6">
        <w:t>C-NMR (100 MHz, CDCl3) δ (ppm): 220.91 (C=S), 179.18 (C=O), 55.73 (S-C</w:t>
      </w:r>
      <w:r w:rsidRPr="00AD3AB6">
        <w:rPr>
          <w:vertAlign w:val="subscript"/>
        </w:rPr>
        <w:t>q</w:t>
      </w:r>
      <w:r w:rsidRPr="00AD3AB6">
        <w:t>-), 38.93 (S-CH</w:t>
      </w:r>
      <w:r w:rsidRPr="00AD3AB6">
        <w:rPr>
          <w:vertAlign w:val="subscript"/>
        </w:rPr>
        <w:t>2</w:t>
      </w:r>
      <w:r w:rsidRPr="00AD3AB6">
        <w:t>-), 25.31 (CH</w:t>
      </w:r>
      <w:r w:rsidRPr="00AD3AB6">
        <w:rPr>
          <w:vertAlign w:val="subscript"/>
        </w:rPr>
        <w:t>3</w:t>
      </w:r>
      <w:r w:rsidRPr="00AD3AB6">
        <w:t>-</w:t>
      </w:r>
      <w:r w:rsidRPr="00AD3AB6">
        <w:rPr>
          <w:u w:val="single"/>
        </w:rPr>
        <w:t>C</w:t>
      </w:r>
      <w:r w:rsidRPr="00AD3AB6">
        <w:t>H</w:t>
      </w:r>
      <w:r w:rsidRPr="00AD3AB6">
        <w:rPr>
          <w:vertAlign w:val="subscript"/>
        </w:rPr>
        <w:t>2</w:t>
      </w:r>
      <w:r w:rsidRPr="00AD3AB6">
        <w:t>-), 21.51 (</w:t>
      </w:r>
      <w:r w:rsidRPr="00AD3AB6">
        <w:rPr>
          <w:u w:val="single"/>
        </w:rPr>
        <w:t>C</w:t>
      </w:r>
      <w:r w:rsidRPr="00AD3AB6">
        <w:t>H</w:t>
      </w:r>
      <w:r w:rsidRPr="00AD3AB6">
        <w:rPr>
          <w:vertAlign w:val="subscript"/>
        </w:rPr>
        <w:t>3</w:t>
      </w:r>
      <w:r w:rsidRPr="00AD3AB6">
        <w:t>-CH</w:t>
      </w:r>
      <w:r w:rsidRPr="00AD3AB6">
        <w:rPr>
          <w:vertAlign w:val="subscript"/>
        </w:rPr>
        <w:t>2</w:t>
      </w:r>
      <w:r w:rsidRPr="00AD3AB6">
        <w:t>-), 13.60 (</w:t>
      </w:r>
      <w:r w:rsidRPr="00AD3AB6">
        <w:rPr>
          <w:u w:val="single"/>
        </w:rPr>
        <w:t>C</w:t>
      </w:r>
      <w:r w:rsidRPr="00AD3AB6">
        <w:t>H</w:t>
      </w:r>
      <w:r w:rsidRPr="00AD3AB6">
        <w:rPr>
          <w:vertAlign w:val="subscript"/>
        </w:rPr>
        <w:t>3</w:t>
      </w:r>
      <w:r w:rsidRPr="00AD3AB6">
        <w:t>-C</w:t>
      </w:r>
      <w:r w:rsidRPr="00AD3AB6">
        <w:rPr>
          <w:vertAlign w:val="subscript"/>
        </w:rPr>
        <w:t>q</w:t>
      </w:r>
      <w:r w:rsidRPr="00AD3AB6">
        <w:t>-).</w:t>
      </w:r>
    </w:p>
    <w:p w:rsidR="00792734" w:rsidRPr="00AD3AB6" w:rsidRDefault="00792734" w:rsidP="001B6D03">
      <w:pPr>
        <w:pStyle w:val="TAMainText"/>
      </w:pPr>
      <w:r w:rsidRPr="00AD3AB6">
        <w:rPr>
          <w:b/>
        </w:rPr>
        <w:t>General polymerization protocol:</w:t>
      </w:r>
      <w:r w:rsidRPr="00AD3AB6">
        <w:t xml:space="preserve"> A stock solution of the RAFT agent </w:t>
      </w:r>
      <w:r w:rsidRPr="00AD3AB6">
        <w:rPr>
          <w:b/>
        </w:rPr>
        <w:t>1</w:t>
      </w:r>
      <w:r w:rsidRPr="00AD3AB6">
        <w:t xml:space="preserve"> in a mixture of methanol / phosphate buffered saline (PBS) (30% v/v, 200 mg/ml) was prepared and the pH was adjusted to 7. In a typical polymerization, the RAFT agent (32 mg, 0.134 mmol) was added to de-inhibited HEA (0.390 g, 3.36 mmol, 25 eq. to </w:t>
      </w:r>
      <w:r w:rsidRPr="00AD3AB6">
        <w:rPr>
          <w:b/>
        </w:rPr>
        <w:t>1</w:t>
      </w:r>
      <w:r w:rsidRPr="00AD3AB6">
        <w:t xml:space="preserve">). Glucose (30 mg, 1.68 mmol, 100 mM final concentration) and VA-044 (2.2 mg, 6.71 µmol, 0.05 eq. to </w:t>
      </w:r>
      <w:r w:rsidRPr="00AD3AB6">
        <w:rPr>
          <w:b/>
        </w:rPr>
        <w:t>1</w:t>
      </w:r>
      <w:r w:rsidRPr="00AD3AB6">
        <w:t xml:space="preserve">) were added in PBS, and the solution was made up to a final monomer concentration of 2 M with methanol and PBS such that the final ratio of methanol : PBS was 1 : 4. In control polymerizations this solution was deoxygenated by bubbling with argon for 10 min before heating at 45°C. Samples were taken under inert conditions. For GOx degassed polymerizations, a solution of GOx in PBS (100 mM, 16 mg/ml, 16.8 µl) was added and the solution was left at room temperature for 10 min to degas </w:t>
      </w:r>
      <w:r w:rsidRPr="00AD3AB6">
        <w:lastRenderedPageBreak/>
        <w:t>before heating at 45°C. Samples in these cases were taken by simply removing the lid and pipetting out 30 µl of solution. In the case of the dimethyl acrylamide polymerizations, the pH of the solution was adjusted to 7 before addition of the GOx.</w:t>
      </w:r>
    </w:p>
    <w:p w:rsidR="00792734" w:rsidRPr="00AD3AB6" w:rsidRDefault="00792734" w:rsidP="001B6D03">
      <w:pPr>
        <w:pStyle w:val="TAMainText"/>
      </w:pPr>
      <w:r w:rsidRPr="00AD3AB6">
        <w:rPr>
          <w:b/>
        </w:rPr>
        <w:t>NMR kinetics:</w:t>
      </w:r>
      <w:r w:rsidRPr="00AD3AB6">
        <w:t xml:space="preserve"> In situ conversion kinetics were monitored in a 400 MHz NMR spectrometer at 45°C by scaling the general polymerization protocol above down to a total volume of 0.63 ml and replacing the PBS with PBS in D</w:t>
      </w:r>
      <w:r w:rsidRPr="00AD3AB6">
        <w:rPr>
          <w:vertAlign w:val="subscript"/>
        </w:rPr>
        <w:t>2</w:t>
      </w:r>
      <w:r w:rsidRPr="00AD3AB6">
        <w:t>O. Single scan spectra were collected every 1 minute.</w:t>
      </w:r>
    </w:p>
    <w:p w:rsidR="00792734" w:rsidRPr="00AD3AB6" w:rsidRDefault="00792734" w:rsidP="001B6D03">
      <w:pPr>
        <w:pStyle w:val="TAMainText"/>
      </w:pPr>
      <w:r w:rsidRPr="00AD3AB6">
        <w:rPr>
          <w:b/>
        </w:rPr>
        <w:t>Determination of GOx activity:</w:t>
      </w:r>
      <w:r w:rsidRPr="00AD3AB6">
        <w:t xml:space="preserve"> A solution of glucose in PBS (1M, 30 µl) was diluted with PBS and either methanol, </w:t>
      </w:r>
      <w:r w:rsidRPr="00AD3AB6">
        <w:rPr>
          <w:i/>
        </w:rPr>
        <w:t>tert</w:t>
      </w:r>
      <w:r w:rsidRPr="00AD3AB6">
        <w:t>-butanol, acetonitrile, DMSO, or dioxane to a total volume of 270 µl, and such that the final solvent concentrations would be 20, 40, 60 or 80% (v/v) in 1.75 ml glass vials. GOx in PBS (2 mM, 30 µl) was then added to start the reaction and the sealed vials were placed in a heating block at 45°C for exactly 20 min before being diluted 40-fold into PBS. In parallel, a standard curve of GOx in PBS (50, 100, 150, 200 nM) was prepared and heated in the same way. Peroxide concentration was measured using a by adding 10 µl of the diluted solution to 100 µl of the xylenol orange assay buffer (1:100 of reagent A:B) and measuring the absorbance at 595 nm after 20 min.</w:t>
      </w:r>
    </w:p>
    <w:p w:rsidR="00792734" w:rsidRPr="00AD3AB6" w:rsidRDefault="00792734" w:rsidP="001B6D03">
      <w:pPr>
        <w:pStyle w:val="TAMainText"/>
      </w:pPr>
      <w:r w:rsidRPr="00AD3AB6">
        <w:rPr>
          <w:b/>
        </w:rPr>
        <w:t>Characterization:</w:t>
      </w:r>
      <w:r w:rsidRPr="00AD3AB6">
        <w:t xml:space="preserve"> Conversion was determined by </w:t>
      </w:r>
      <w:r w:rsidRPr="00AD3AB6">
        <w:rPr>
          <w:vertAlign w:val="superscript"/>
        </w:rPr>
        <w:t>1</w:t>
      </w:r>
      <w:r w:rsidRPr="00AD3AB6">
        <w:t xml:space="preserve">H-NMR, by integration of the monomer peak at 6.3 ppm relative to the O-CH2 group on the side chain at 4.1 ppm. In the case of dioxane polymerizations, conversion was determined by the change in monomer signal relative to a trioxane reference peak. Spectra were collected on a 400 MHz Bruker NMR spectrometer in </w:t>
      </w:r>
      <w:r w:rsidRPr="00AD3AB6">
        <w:rPr>
          <w:i/>
        </w:rPr>
        <w:t>d6</w:t>
      </w:r>
      <w:r w:rsidRPr="00AD3AB6">
        <w:t xml:space="preserve">-DMSO. The molecular weight distributions of the polymers were characterized using </w:t>
      </w:r>
      <w:r w:rsidR="00775C69" w:rsidRPr="00AD3AB6">
        <w:t>size exclusion</w:t>
      </w:r>
      <w:r w:rsidRPr="00AD3AB6">
        <w:t xml:space="preserve"> chromatography (</w:t>
      </w:r>
      <w:r w:rsidR="00775C69" w:rsidRPr="00AD3AB6">
        <w:t>SEC</w:t>
      </w:r>
      <w:r w:rsidRPr="00AD3AB6">
        <w:t xml:space="preserve">) over two PSS GRAM columns in series using DMF (+ 0.075% w/v LiBr) as the eluent. Retention times were normalised using water as a flow rate marker. </w:t>
      </w:r>
      <w:r w:rsidRPr="00AD3AB6">
        <w:lastRenderedPageBreak/>
        <w:t>Molecular weights were calculated relative to a set of narrow polystyrene standards and corrected using the Mark-Houwink (MH) parameters for polyethyelene oxide (K = 55 x 10</w:t>
      </w:r>
      <w:r w:rsidRPr="00AD3AB6">
        <w:rPr>
          <w:vertAlign w:val="superscript"/>
        </w:rPr>
        <w:t>-5</w:t>
      </w:r>
      <w:r w:rsidRPr="00AD3AB6">
        <w:t xml:space="preserve"> dL/g, α = 0.643)</w:t>
      </w:r>
      <w:r w:rsidRPr="00AD3AB6">
        <w:fldChar w:fldCharType="begin" w:fldLock="1"/>
      </w:r>
      <w:r w:rsidR="004C7450" w:rsidRPr="00AD3AB6">
        <w:instrText>ADDIN CSL_CITATION { "citationItems" : [ { "id" : "ITEM-1", "itemData" : { "DOI" : "10.1002/masy.19860020118", "ISSN" : "1521-3900", "author" : [ { "dropping-particle" : "", "family" : "Azuma", "given" : "Chiaki", "non-dropping-particle" : "", "parse-names" : false, "suffix" : "" }, { "dropping-particle" : "", "family" : "Dias", "given" : "Marcos L", "non-dropping-particle" : "", "parse-names" : false, "suffix" : "" }, { "dropping-particle" : "", "family" : "Mano", "given" : "Eloisa B", "non-dropping-particle" : "", "parse-names" : false, "suffix" : "" } ], "container-title" : "Makromolekulare Chemie. Macromolecular Symposia", "id" : "ITEM-1", "issue" : "1", "issued" : { "date-parts" : [ [ "1986" ] ] }, "page" : "169-178", "publisher" : "H\u00fcthig &amp; Wepf Verlag", "title" : "Molecular weight determination of acrylonitrile polymers by gel permeation chromatography in N,N-dimethylformamide", "type" : "article-journal", "volume" : "2" }, "uris" : [ "http://www.mendeley.com/documents/?uuid=1abd8775-decd-46b0-9da3-d8c7a2b2558c" ] } ], "mendeley" : { "manualFormatting" : "[20]", "previouslyFormattedCitation" : "&lt;sup&gt;33&lt;/sup&gt;" }, "properties" : { "noteIndex" : 0 }, "schema" : "https://github.com/citation-style-language/schema/raw/master/csl-citation.json" }</w:instrText>
      </w:r>
      <w:r w:rsidRPr="00AD3AB6">
        <w:fldChar w:fldCharType="separate"/>
      </w:r>
      <w:r w:rsidRPr="00AD3AB6">
        <w:rPr>
          <w:noProof/>
          <w:vertAlign w:val="superscript"/>
        </w:rPr>
        <w:t>[20]</w:t>
      </w:r>
      <w:r w:rsidRPr="00AD3AB6">
        <w:fldChar w:fldCharType="end"/>
      </w:r>
      <w:r w:rsidRPr="00AD3AB6">
        <w:t xml:space="preserve"> in the absence of any available literature for pHEA in DMF.</w:t>
      </w:r>
    </w:p>
    <w:p w:rsidR="00520B55" w:rsidRPr="00AD3AB6" w:rsidRDefault="00520B55" w:rsidP="00B35CBE">
      <w:pPr>
        <w:pStyle w:val="StyleTAMainTextBoldLeftFirstline0cm"/>
      </w:pPr>
    </w:p>
    <w:p w:rsidR="001B6D03" w:rsidRPr="00AD3AB6" w:rsidRDefault="001B6D03" w:rsidP="00B35CBE">
      <w:pPr>
        <w:pStyle w:val="StyleTAMainTextBoldLeftFirstline0cm"/>
      </w:pPr>
      <w:r w:rsidRPr="00AD3AB6">
        <w:t>RESULTS AND DISCUSSION</w:t>
      </w:r>
    </w:p>
    <w:p w:rsidR="00792734" w:rsidRPr="00AD3AB6" w:rsidRDefault="00464979" w:rsidP="00B35CBE">
      <w:pPr>
        <w:pStyle w:val="TAMainText"/>
      </w:pPr>
      <w:r w:rsidRPr="00AD3AB6">
        <w:rPr>
          <w:b/>
          <w:bCs/>
        </w:rPr>
        <w:t>Optimization</w:t>
      </w:r>
      <w:r w:rsidR="001B6D03" w:rsidRPr="00AD3AB6">
        <w:rPr>
          <w:b/>
          <w:bCs/>
        </w:rPr>
        <w:t xml:space="preserve"> of </w:t>
      </w:r>
      <w:r w:rsidRPr="00AD3AB6">
        <w:rPr>
          <w:b/>
          <w:bCs/>
        </w:rPr>
        <w:t>enzyme</w:t>
      </w:r>
      <w:r w:rsidR="001B6D03" w:rsidRPr="00AD3AB6">
        <w:rPr>
          <w:b/>
          <w:bCs/>
        </w:rPr>
        <w:t xml:space="preserve"> concentration</w:t>
      </w:r>
      <w:r w:rsidR="00B35CBE" w:rsidRPr="00AD3AB6">
        <w:rPr>
          <w:b/>
          <w:bCs/>
        </w:rPr>
        <w:t>.</w:t>
      </w:r>
      <w:r w:rsidR="001B6D03" w:rsidRPr="00AD3AB6">
        <w:t xml:space="preserve"> Before using glucose oxidase (GOx) in a RAFT polymerization we first sought to estimate the concentration of the enzyme that would be </w:t>
      </w:r>
      <w:r w:rsidR="00792734" w:rsidRPr="00AD3AB6">
        <w:t>required to sufficiently degas the polymerization solution</w:t>
      </w:r>
      <w:r w:rsidR="001B6D03" w:rsidRPr="00AD3AB6">
        <w:t xml:space="preserve"> by </w:t>
      </w:r>
      <w:r w:rsidR="00792734" w:rsidRPr="00AD3AB6">
        <w:t>modell</w:t>
      </w:r>
      <w:r w:rsidR="001B6D03" w:rsidRPr="00AD3AB6">
        <w:t>ing the system</w:t>
      </w:r>
      <w:r w:rsidR="00792734" w:rsidRPr="00AD3AB6">
        <w:t>, building upon our previous work.</w:t>
      </w:r>
      <w:r w:rsidR="00792734" w:rsidRPr="00AD3AB6">
        <w:fldChar w:fldCharType="begin" w:fldLock="1"/>
      </w:r>
      <w:r w:rsidR="004C7450" w:rsidRPr="00AD3AB6">
        <w:instrText>ADDIN CSL_CITATION { "citationItems" : [ { "id" : "ITEM-1", "itemData" : { "author" : [ { "dropping-particle" : "", "family" : "Gormley", "given" : "Adam J", "non-dropping-particle" : "", "parse-names" : false, "suffix" : "" }, { "dropping-particle" : "", "family" : "Chapman", "given" : "Robert", "non-dropping-particle" : "", "parse-names" : false, "suffix" : "" }, { "dropping-particle" : "", "family" : "Stevens", "given" : "Molly M", "non-dropping-particle" : "", "parse-names" : false, "suffix" : "" } ], "container-title" : "Nano letters", "id" : "ITEM-1", "issued" : { "date-parts" : [ [ "2014" ] ] }, "page" : "DOI: 10.1021/nl502840h", "title" : "Polymerization Amplified Detection for Nanoparticle-Based Biosensing", "type" : "article-journal" }, "uris" : [ "http://www.mendeley.com/documents/?uuid=7f74cdbb-6ec3-40d9-9344-20a565bce1b3" ] } ], "mendeley" : { "previouslyFormattedCitation" : "&lt;sup&gt;21&lt;/sup&gt;" }, "properties" : { "noteIndex" : 0 }, "schema" : "https://github.com/citation-style-language/schema/raw/master/csl-citation.json" }</w:instrText>
      </w:r>
      <w:r w:rsidR="00792734" w:rsidRPr="00AD3AB6">
        <w:fldChar w:fldCharType="separate"/>
      </w:r>
      <w:r w:rsidR="004C7450" w:rsidRPr="00AD3AB6">
        <w:rPr>
          <w:noProof/>
          <w:vertAlign w:val="superscript"/>
        </w:rPr>
        <w:t>21</w:t>
      </w:r>
      <w:r w:rsidR="00792734" w:rsidRPr="00AD3AB6">
        <w:fldChar w:fldCharType="end"/>
      </w:r>
      <w:r w:rsidR="00792734" w:rsidRPr="00AD3AB6">
        <w:t xml:space="preserve"> Both unstirred and stirred solutions were considered. In the unstirred case only transport of oxygen (O</w:t>
      </w:r>
      <w:r w:rsidR="00792734" w:rsidRPr="00AD3AB6">
        <w:rPr>
          <w:vertAlign w:val="subscript"/>
        </w:rPr>
        <w:t>2</w:t>
      </w:r>
      <w:r w:rsidR="00792734" w:rsidRPr="00AD3AB6">
        <w:t xml:space="preserve">) </w:t>
      </w:r>
      <w:r w:rsidR="00792734" w:rsidRPr="00AD3AB6">
        <w:rPr>
          <w:i/>
        </w:rPr>
        <w:t>via</w:t>
      </w:r>
      <w:r w:rsidR="00792734" w:rsidRPr="00AD3AB6">
        <w:t xml:space="preserve"> diffusion from the surface was considered, resulting in an oxygen gradient with depth. In the stirred case a homogenous concentration of oxygen throughout the bulk solution was assumed, resulting in faster rates of diffusion</w:t>
      </w:r>
      <w:r w:rsidR="009B6887" w:rsidRPr="00AD3AB6">
        <w:t>. Oxygen transfer from gas to liquid phase in both stirred and non-stirred vessels has been well studied due to its relevance in fermentation and bioreactor design. The models presented here describe a simple first approximation to understanding the role of diffusion of oxygen on polymerization. For a more detailed description, excellent reviews on the mathematics involved can be found in the literature.</w:t>
      </w:r>
      <w:r w:rsidR="009B6887" w:rsidRPr="00AD3AB6">
        <w:fldChar w:fldCharType="begin" w:fldLock="1"/>
      </w:r>
      <w:r w:rsidR="004C7450" w:rsidRPr="00AD3AB6">
        <w:instrText>ADDIN CSL_CITATION { "citationItems" : [ { "id" : "ITEM-1", "itemData" : { "DOI" : "10.1002/aic.690310333", "ISSN" : "1547-5905", "author" : [ { "dropping-particle" : "", "family" : "Cussler", "given" : "E. L", "non-dropping-particle" : "", "parse-names" : false, "suffix" : "" } ], "container-title" : "AIChE Journal", "edition" : "3rd", "id" : "ITEM-1", "issue" : "3", "issued" : { "date-parts" : [ [ "2009" ] ] }, "publisher" : "Cambridge University Press", "title" : "Diffusion: Mass transfer in fluid systems", "type" : "book", "volume" : "31" }, "uris" : [ "http://www.mendeley.com/documents/?uuid=03167183-dd9c-48a0-8987-e47790cff078" ] }, { "id" : "ITEM-2", "itemData" : { "DOI" : "10.1016/j.biotechadv.2008.10.006", "ISSN" : "1873-1899", "PMID" : "19041387", "abstract" : "In aerobic bioprocesses, oxygen is a key substrate; due to its low solubility in broths (aqueous solutions), a continuous supply is needed. The oxygen transfer rate (OTR) must be known, and if possible predicted to achieve an optimum design operation and scale-up of bioreactors. Many studies have been conducted to enhance the efficiency of oxygen transfer. The dissolved oxygen concentration in a suspension of aerobic microorganisms depends on the rate of oxygen transfer from the gas phase to the liquid, on the rate at which oxygen is transported into the cells (where it is consumed), and on the oxygen uptake rate (OUR) by the microorganism for growth, maintenance and production. The gas-liquid mass transfer in a bioprocess is strongly influenced by the hydrodynamic conditions in the bioreactors. These conditions are known to be a function of energy dissipation that depends on the operational conditions, the physicochemical properties of the culture, the geometrical parameters of the bioreactor and also on the presence of oxygen consuming cells. Stirred tank and bubble column (of various types) bioreactors are widely used in a large variety of bioprocesses (such as aerobic fermentation and biological wastewater treatments, among others). Stirred tanks bioreactors provide high values of mass and heat transfer rates and excellent mixing. In these systems, a high number of variables affect the mass transfer and mixing, but the most important among them are stirrer speed, type and number of stirrers and gas flow rate used. In bubble columns and airlifts, the low-shear environment compared to the stirred tanks has enabled successful cultivation of shear sensitive and filamentous cells. Oxygen transfer is often the rate-limiting step in the aerobic bioprocess due to the low solubility of oxygen in the medium. The correct measurement and/or prediction of the volumetric mass transfer coefficient, (k(L)a), is a crucial step in the design, operation and scale-up of bioreactors. The present work is aimed at the reviewing of the oxygen transfer rate (OTR) in bioprocesses to provide a better knowledge about the selection, design, scale-up and development of bioreactors. First, the most used measuring methods are revised; then the main empirical equations, including those using dimensionless numbers, are considered. The possible increasing on OTR due to the oxygen consumption by the cells is taken into account through the use of the biological enhancement factor. Theo\u2026", "author" : [ { "dropping-particle" : "", "family" : "Garcia-Ochoa", "given" : "Felix", "non-dropping-particle" : "", "parse-names" : false, "suffix" : "" }, { "dropping-particle" : "", "family" : "Gomez", "given" : "Emilio", "non-dropping-particle" : "", "parse-names" : false, "suffix" : "" } ], "container-title" : "Biotechnology advances", "id" : "ITEM-2", "issue" : "2", "issued" : { "date-parts" : [ [ "2009" ] ] }, "page" : "153-76", "publisher" : "Elsevier Inc.", "title" : "Bioreactor scale-up and oxygen transfer rate in microbial processes: an overview.", "type" : "article-journal", "volume" : "27" }, "uris" : [ "http://www.mendeley.com/documents/?uuid=f53e0f5d-df7e-4ce4-8820-9a0173f2ddc8" ] } ], "mendeley" : { "previouslyFormattedCitation" : "&lt;sup&gt;27,34&lt;/sup&gt;" }, "properties" : { "noteIndex" : 0 }, "schema" : "https://github.com/citation-style-language/schema/raw/master/csl-citation.json" }</w:instrText>
      </w:r>
      <w:r w:rsidR="009B6887" w:rsidRPr="00AD3AB6">
        <w:fldChar w:fldCharType="separate"/>
      </w:r>
      <w:r w:rsidR="004C7450" w:rsidRPr="00AD3AB6">
        <w:rPr>
          <w:noProof/>
          <w:vertAlign w:val="superscript"/>
        </w:rPr>
        <w:t>27,34</w:t>
      </w:r>
      <w:r w:rsidR="009B6887" w:rsidRPr="00AD3AB6">
        <w:fldChar w:fldCharType="end"/>
      </w:r>
      <w:r w:rsidR="00792734" w:rsidRPr="00AD3AB6">
        <w:t xml:space="preserve"> The modelled O</w:t>
      </w:r>
      <w:r w:rsidR="00792734" w:rsidRPr="00AD3AB6">
        <w:rPr>
          <w:vertAlign w:val="subscript"/>
        </w:rPr>
        <w:t xml:space="preserve">2 </w:t>
      </w:r>
      <w:r w:rsidR="00792734" w:rsidRPr="00AD3AB6">
        <w:t xml:space="preserve">concentrations at a depth of 0.5 cm from the surface </w:t>
      </w:r>
      <w:r w:rsidR="00792734" w:rsidRPr="00AD3AB6">
        <w:rPr>
          <w:i/>
        </w:rPr>
        <w:t>vs</w:t>
      </w:r>
      <w:r w:rsidR="00792734" w:rsidRPr="00AD3AB6">
        <w:t xml:space="preserve"> time at varying concentrations of GOx are shown in Figure </w:t>
      </w:r>
      <w:r w:rsidR="00344562" w:rsidRPr="00AD3AB6">
        <w:t>2</w:t>
      </w:r>
      <w:r w:rsidR="00792734" w:rsidRPr="00AD3AB6">
        <w:t>b</w:t>
      </w:r>
      <w:r w:rsidR="00344562" w:rsidRPr="00AD3AB6">
        <w:t>-c</w:t>
      </w:r>
      <w:r w:rsidR="00792734" w:rsidRPr="00AD3AB6">
        <w:t xml:space="preserve">. </w:t>
      </w:r>
      <w:r w:rsidR="009B6887" w:rsidRPr="00AD3AB6">
        <w:t xml:space="preserve">As can be seen, increasing concentrations of GOx resulted in a lower theoretical oxygen concentration. </w:t>
      </w:r>
      <w:r w:rsidR="00792734" w:rsidRPr="00AD3AB6">
        <w:t>In both the stirred and unstirred cases the O</w:t>
      </w:r>
      <w:r w:rsidR="00792734" w:rsidRPr="00AD3AB6">
        <w:rPr>
          <w:vertAlign w:val="subscript"/>
        </w:rPr>
        <w:t>2</w:t>
      </w:r>
      <w:r w:rsidR="00792734" w:rsidRPr="00AD3AB6">
        <w:t xml:space="preserve"> concentration is expected to reach a steady state plateau within 10 min, at which point the rate of oxygen consumption by GOx is in equilibrium with oxygen diffusion from the atmosphere. </w:t>
      </w:r>
      <w:r w:rsidR="009B6887" w:rsidRPr="00AD3AB6">
        <w:t xml:space="preserve">At low concentrations of GOx, stirring was seen to make little </w:t>
      </w:r>
      <w:r w:rsidR="009B6887" w:rsidRPr="00AD3AB6">
        <w:lastRenderedPageBreak/>
        <w:t>difference on the modelled concentration of oxygen, but at higher concentrations of GOx, stirring was found to increase the oxygen concentration at which the plateau occurred, due to the higher rate of oxygen transport through the vessel. Previous studies on the deoxygenation of a liquid with GOx have used concentrations far in excess of that used here and measured an almost instantaneous drop in oxygen level in the bulk. At lower concentrations of GOx the same study reported the dissolved oxygen concentration remained finite and non</w:t>
      </w:r>
      <w:r w:rsidR="00C83B83" w:rsidRPr="00AD3AB6">
        <w:t>-</w:t>
      </w:r>
      <w:r w:rsidR="009B6887" w:rsidRPr="00AD3AB6">
        <w:t>zero over a 2 hour experiment, in agreement with our model.</w:t>
      </w:r>
      <w:r w:rsidR="009B6887" w:rsidRPr="00AD3AB6">
        <w:fldChar w:fldCharType="begin" w:fldLock="1"/>
      </w:r>
      <w:r w:rsidR="004C7450" w:rsidRPr="00AD3AB6">
        <w:instrText>ADDIN CSL_CITATION { "citationItems" : [ { "id" : "ITEM-1", "itemData" : { "author" : [ { "dropping-particle" : "", "family" : "Tsao", "given" : "George T", "non-dropping-particle" : "", "parse-names" : false, "suffix" : "" } ], "container-title" : "Biotechnology and bioengineering", "id" : "ITEM-1", "issued" : { "date-parts" : [ [ "1968" ] ] }, "page" : "765-785", "title" : "Simultaneous Gas-Liquid Interfacial Oxygen Absorption and Biochemical Oxidation", "type" : "article-journal", "volume" : "X" }, "uris" : [ "http://www.mendeley.com/documents/?uuid=95a17d0b-71a3-42b2-ba85-e0a082e8b855" ] } ], "mendeley" : { "previouslyFormattedCitation" : "&lt;sup&gt;26&lt;/sup&gt;" }, "properties" : { "noteIndex" : 0 }, "schema" : "https://github.com/citation-style-language/schema/raw/master/csl-citation.json" }</w:instrText>
      </w:r>
      <w:r w:rsidR="009B6887" w:rsidRPr="00AD3AB6">
        <w:fldChar w:fldCharType="separate"/>
      </w:r>
      <w:r w:rsidR="004C7450" w:rsidRPr="00AD3AB6">
        <w:rPr>
          <w:noProof/>
          <w:vertAlign w:val="superscript"/>
        </w:rPr>
        <w:t>26</w:t>
      </w:r>
      <w:r w:rsidR="009B6887" w:rsidRPr="00AD3AB6">
        <w:fldChar w:fldCharType="end"/>
      </w:r>
      <w:r w:rsidR="009B6887" w:rsidRPr="00AD3AB6">
        <w:t xml:space="preserve"> </w:t>
      </w:r>
    </w:p>
    <w:p w:rsidR="00792734" w:rsidRPr="00AD3AB6" w:rsidRDefault="002849B6" w:rsidP="00344562">
      <w:pPr>
        <w:pStyle w:val="VAFigureCaption"/>
      </w:pPr>
      <w:r w:rsidRPr="00AD3AB6">
        <w:rPr>
          <w:noProof/>
          <w:lang w:val="en-GB" w:eastAsia="en-GB"/>
        </w:rPr>
        <w:drawing>
          <wp:inline distT="0" distB="0" distL="0" distR="0" wp14:anchorId="56285858" wp14:editId="64D2039B">
            <wp:extent cx="3358055" cy="3610949"/>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4129" cy="3628233"/>
                    </a:xfrm>
                    <a:prstGeom prst="rect">
                      <a:avLst/>
                    </a:prstGeom>
                    <a:noFill/>
                  </pic:spPr>
                </pic:pic>
              </a:graphicData>
            </a:graphic>
          </wp:inline>
        </w:drawing>
      </w:r>
    </w:p>
    <w:p w:rsidR="00344562" w:rsidRPr="00AD3AB6" w:rsidRDefault="00344562" w:rsidP="00344562">
      <w:pPr>
        <w:pStyle w:val="VAFigureCaption"/>
        <w:rPr>
          <w:rFonts w:ascii="Times New Roman" w:hAnsi="Times New Roman"/>
          <w:lang w:eastAsia="ja-JP"/>
        </w:rPr>
      </w:pPr>
      <w:r w:rsidRPr="00AD3AB6">
        <w:rPr>
          <w:b/>
        </w:rPr>
        <w:t xml:space="preserve">Figure </w:t>
      </w:r>
      <w:r w:rsidRPr="00AD3AB6">
        <w:rPr>
          <w:b/>
        </w:rPr>
        <w:fldChar w:fldCharType="begin"/>
      </w:r>
      <w:r w:rsidRPr="00AD3AB6">
        <w:rPr>
          <w:b/>
        </w:rPr>
        <w:instrText xml:space="preserve"> SEQ Figure \* ARABIC </w:instrText>
      </w:r>
      <w:r w:rsidRPr="00AD3AB6">
        <w:rPr>
          <w:b/>
        </w:rPr>
        <w:fldChar w:fldCharType="separate"/>
      </w:r>
      <w:r w:rsidR="0038105B" w:rsidRPr="00AD3AB6">
        <w:rPr>
          <w:b/>
          <w:noProof/>
        </w:rPr>
        <w:t>2</w:t>
      </w:r>
      <w:r w:rsidRPr="00AD3AB6">
        <w:rPr>
          <w:b/>
          <w:noProof/>
        </w:rPr>
        <w:fldChar w:fldCharType="end"/>
      </w:r>
      <w:r w:rsidRPr="00AD3AB6">
        <w:rPr>
          <w:b/>
          <w:noProof/>
        </w:rPr>
        <w:t>.</w:t>
      </w:r>
      <w:r w:rsidRPr="00AD3AB6">
        <w:t xml:space="preserve"> Modelled and measured effect of GOx on oxygen concentration. (a) Model schematic showing the parameters considered with and without stirring of the solution. (b) Modelled oxygen concentration </w:t>
      </w:r>
      <w:r w:rsidRPr="00AD3AB6">
        <w:rPr>
          <w:i/>
        </w:rPr>
        <w:t>vs</w:t>
      </w:r>
      <w:r w:rsidRPr="00AD3AB6">
        <w:t xml:space="preserve"> time at a depth of 0.5 cm from the surface of the solution at 50 – 250 nM GOx. (c) Modelled bulk oxygen concentration </w:t>
      </w:r>
      <w:r w:rsidRPr="00AD3AB6">
        <w:rPr>
          <w:i/>
        </w:rPr>
        <w:t>vs</w:t>
      </w:r>
      <w:r w:rsidRPr="00AD3AB6">
        <w:t xml:space="preserve"> time assuming homogenous mixing at 50 – 4000 nM GOx. (d-e) Pseudo-first order kinetic plots for HEA polymerizations conducted in an NMR tube without stirring [M]:[CTA] = 25 (d); or in 1.75 ml glass vials with stirring [M]:[CTA] = 100 (e). [M] = 2 M in 20% (v/v) methanol / PBS, [CTA]:[VA-044] = 20, T = 45</w:t>
      </w:r>
      <w:r w:rsidRPr="00AD3AB6">
        <w:rPr>
          <w:rFonts w:ascii="Times New Roman" w:hAnsi="Times New Roman"/>
          <w:lang w:eastAsia="ja-JP"/>
        </w:rPr>
        <w:t>°C</w:t>
      </w:r>
      <w:r w:rsidR="00BF2F73" w:rsidRPr="00AD3AB6">
        <w:rPr>
          <w:rFonts w:ascii="Times New Roman" w:hAnsi="Times New Roman"/>
          <w:lang w:eastAsia="ja-JP"/>
        </w:rPr>
        <w:t>.</w:t>
      </w:r>
    </w:p>
    <w:p w:rsidR="00520B55" w:rsidRPr="00AD3AB6" w:rsidRDefault="00520B55" w:rsidP="00520B55">
      <w:pPr>
        <w:rPr>
          <w:lang w:eastAsia="ja-JP"/>
        </w:rPr>
      </w:pPr>
    </w:p>
    <w:p w:rsidR="00464979" w:rsidRPr="00AD3AB6" w:rsidRDefault="00520B55" w:rsidP="00520B55">
      <w:pPr>
        <w:pStyle w:val="TAMainText"/>
      </w:pPr>
      <w:r w:rsidRPr="00AD3AB6">
        <w:lastRenderedPageBreak/>
        <w:t>As RAFT polymerizations typically use between 0.5 and 5 mM of initiator,</w:t>
      </w:r>
      <w:r w:rsidRPr="00AD3AB6">
        <w:rPr>
          <w:vertAlign w:val="superscript"/>
        </w:rPr>
        <w:fldChar w:fldCharType="begin" w:fldLock="1"/>
      </w:r>
      <w:r w:rsidRPr="00AD3AB6">
        <w:rPr>
          <w:vertAlign w:val="superscript"/>
        </w:rPr>
        <w:instrText>ADDIN CSL_CITATION { "citationItems" : [ { "id" : "ITEM-1", "itemData" : { "DOI" : "10.1071/CH07171", "ISSN" : "0004-9425", "author" : [ { "dropping-particle" : "", "family" : "Wood", "given" : "Murray R.", "non-dropping-particle" : "", "parse-names" : false, "suffix" : "" }, { "dropping-particle" : "", "family" : "Duncalf", "given" : "David J.", "non-dropping-particle" : "", "parse-names" : false, "suffix" : "" }, { "dropping-particle" : "", "family" : "Findlay", "given" : "Paul", "non-dropping-particle" : "", "parse-names" : false, "suffix" : "" }, { "dropping-particle" : "", "family" : "Rannard", "given" : "Steven P.", "non-dropping-particle" : "", "parse-names" : false, "suffix" : "" }, { "dropping-particle" : "", "family" : "Perrier", "given" : "S\u00e9bastien", "non-dropping-particle" : "", "parse-names" : false, "suffix" : "" } ], "container-title" : "Australian Journal of Chemistry", "id" : "ITEM-1", "issue" : "10", "issued" : { "date-parts" : [ [ "2007" ] ] }, "page" : "772", "title" : "Investigation of the Experimental Factors Affecting the Trithiocarbonate-Mediated RAFT Polymerization of Methyl Acrylate", "type" : "article-journal", "volume" : "60" }, "uris" : [ "http://www.mendeley.com/documents/?uuid=da4a3e02-9e52-4949-899c-6fc12704f681" ] } ], "mendeley" : { "previouslyFormattedCitation" : "&lt;sup&gt;35&lt;/sup&gt;" }, "properties" : { "noteIndex" : 0 }, "schema" : "https://github.com/citation-style-language/schema/raw/master/csl-citation.json" }</w:instrText>
      </w:r>
      <w:r w:rsidRPr="00AD3AB6">
        <w:rPr>
          <w:vertAlign w:val="superscript"/>
        </w:rPr>
        <w:fldChar w:fldCharType="separate"/>
      </w:r>
      <w:r w:rsidRPr="00AD3AB6">
        <w:rPr>
          <w:vertAlign w:val="superscript"/>
        </w:rPr>
        <w:t>35</w:t>
      </w:r>
      <w:r w:rsidRPr="00AD3AB6">
        <w:rPr>
          <w:vertAlign w:val="superscript"/>
        </w:rPr>
        <w:fldChar w:fldCharType="end"/>
      </w:r>
      <w:r w:rsidRPr="00AD3AB6">
        <w:t xml:space="preserve"> we estimated that in order for polymerization to occur the oxygen concentration would need to be of the order 10</w:t>
      </w:r>
      <w:r w:rsidRPr="00AD3AB6">
        <w:rPr>
          <w:vertAlign w:val="superscript"/>
        </w:rPr>
        <w:noBreakHyphen/>
        <w:t>8</w:t>
      </w:r>
      <w:r w:rsidRPr="00AD3AB6">
        <w:t xml:space="preserve"> to 10</w:t>
      </w:r>
      <w:r w:rsidRPr="00AD3AB6">
        <w:rPr>
          <w:vertAlign w:val="superscript"/>
        </w:rPr>
        <w:noBreakHyphen/>
        <w:t>9</w:t>
      </w:r>
      <w:r w:rsidRPr="00AD3AB6">
        <w:t xml:space="preserve"> mol/ml (see supporting information). In most cases the oxygen is removed by bubbling with nitrogen or argon, which is known to result in a concentration of dissolved oxygen of ~1 to 2 x 10</w:t>
      </w:r>
      <w:r w:rsidRPr="00AD3AB6">
        <w:rPr>
          <w:vertAlign w:val="superscript"/>
        </w:rPr>
        <w:noBreakHyphen/>
        <w:t>8</w:t>
      </w:r>
      <w:r w:rsidRPr="00AD3AB6">
        <w:t xml:space="preserve"> mol/ml.</w:t>
      </w:r>
      <w:r w:rsidRPr="00AD3AB6">
        <w:rPr>
          <w:vertAlign w:val="superscript"/>
        </w:rPr>
        <w:fldChar w:fldCharType="begin" w:fldLock="1"/>
      </w:r>
      <w:r w:rsidRPr="00AD3AB6">
        <w:rPr>
          <w:vertAlign w:val="superscript"/>
        </w:rPr>
        <w:instrText>ADDIN CSL_CITATION { "citationItems" : [ { "id" : "ITEM-1", "itemData" : { "ISSN" : "0039-9140", "PMID" : "18965910", "abstract" : "Four common techniques for the removal of dissolved oxygen from water have been examined: boiling at 1 atm, boiling under reduced pressure, purging with N(2) and sonication under reduced pressure. After treatment, the residual oxygen in solution was analysed by the Winkler method. Nitrogen purging for 20-40 min at flow rate of 25 mL/s was found to be the most effective oxygen removal method. Boiling at 1 atm was found to be the least effective. None of the techniques evaluated here lead to complete removal of oxygen. The concentration of residual dissolved oxygen after purging for 20-40 minutes with nitrogen is 0.2-0.4 ppm.", "author" : [ { "dropping-particle" : "", "family" : "Butler", "given" : "I B", "non-dropping-particle" : "", "parse-names" : false, "suffix" : "" }, { "dropping-particle" : "", "family" : "Schoonen", "given" : "M a", "non-dropping-particle" : "", "parse-names" : false, "suffix" : "" }, { "dropping-particle" : "", "family" : "Rickard", "given" : "D T", "non-dropping-particle" : "", "parse-names" : false, "suffix" : "" } ], "container-title" : "Talanta", "id" : "ITEM-1", "issue" : "2", "issued" : { "date-parts" : [ [ "1994", "2" ] ] }, "page" : "211-5", "title" : "Removal of dissolved oxygen from water: A comparison of four common techniques.", "type" : "article-journal", "volume" : "41" }, "uris" : [ "http://www.mendeley.com/documents/?uuid=51c935e3-82c5-4c69-99b7-ce18f99edd79" ] } ], "mendeley" : { "previouslyFormattedCitation" : "&lt;sup&gt;36&lt;/sup&gt;" }, "properties" : { "noteIndex" : 0 }, "schema" : "https://github.com/citation-style-language/schema/raw/master/csl-citation.json" }</w:instrText>
      </w:r>
      <w:r w:rsidRPr="00AD3AB6">
        <w:rPr>
          <w:vertAlign w:val="superscript"/>
        </w:rPr>
        <w:fldChar w:fldCharType="separate"/>
      </w:r>
      <w:r w:rsidRPr="00AD3AB6">
        <w:rPr>
          <w:vertAlign w:val="superscript"/>
        </w:rPr>
        <w:t>36</w:t>
      </w:r>
      <w:r w:rsidRPr="00AD3AB6">
        <w:rPr>
          <w:vertAlign w:val="superscript"/>
        </w:rPr>
        <w:fldChar w:fldCharType="end"/>
      </w:r>
      <w:r w:rsidRPr="00AD3AB6">
        <w:t xml:space="preserve"> Freeze-pump-thaw cycles are widely regarded to be the more effective method and can be used to reduce the concentration of dissolved oxygen below 1 x 10</w:t>
      </w:r>
      <w:r w:rsidRPr="00AD3AB6">
        <w:rPr>
          <w:vertAlign w:val="superscript"/>
        </w:rPr>
        <w:noBreakHyphen/>
        <w:t>8</w:t>
      </w:r>
      <w:r w:rsidRPr="00AD3AB6">
        <w:t xml:space="preserve"> mol/ml.</w:t>
      </w:r>
      <w:r w:rsidRPr="00AD3AB6">
        <w:rPr>
          <w:vertAlign w:val="superscript"/>
        </w:rPr>
        <w:fldChar w:fldCharType="begin" w:fldLock="1"/>
      </w:r>
      <w:r w:rsidRPr="00AD3AB6">
        <w:rPr>
          <w:vertAlign w:val="superscript"/>
        </w:rPr>
        <w:instrText>ADDIN CSL_CITATION { "citationItems" : [ { "id" : "ITEM-1", "itemData" : { "author" : [ { "dropping-particle" : "", "family" : "Norris", "given" : "BJ", "non-dropping-particle" : "", "parse-names" : false, "suffix" : "" }, { "dropping-particle" : "", "family" : "Meckstroth", "given" : "ML", "non-dropping-particle" : "", "parse-names" : false, "suffix" : "" }, { "dropping-particle" : "", "family" : "Heineman", "given" : "WR", "non-dropping-particle" : "", "parse-names" : false, "suffix" : "" } ], "container-title" : "Analytical chemistry", "id" : "ITEM-1", "issue" : "6", "issued" : { "date-parts" : [ [ "1976" ] ] }, "page" : "1-3", "title" : "Optically transparent thin layer electrode for anaerobic measurements on redox enzymes", "type" : "article-journal" }, "uris" : [ "http://www.mendeley.com/documents/?uuid=932c7fc1-2dfa-407c-a72b-e72271f517c3" ] } ], "mendeley" : { "previouslyFormattedCitation" : "&lt;sup&gt;37&lt;/sup&gt;" }, "properties" : { "noteIndex" : 0 }, "schema" : "https://github.com/citation-style-language/schema/raw/master/csl-citation.json" }</w:instrText>
      </w:r>
      <w:r w:rsidRPr="00AD3AB6">
        <w:rPr>
          <w:vertAlign w:val="superscript"/>
        </w:rPr>
        <w:fldChar w:fldCharType="separate"/>
      </w:r>
      <w:r w:rsidRPr="00AD3AB6">
        <w:rPr>
          <w:vertAlign w:val="superscript"/>
        </w:rPr>
        <w:t>37</w:t>
      </w:r>
      <w:r w:rsidRPr="00AD3AB6">
        <w:rPr>
          <w:vertAlign w:val="superscript"/>
        </w:rPr>
        <w:fldChar w:fldCharType="end"/>
      </w:r>
      <w:r w:rsidRPr="00AD3AB6">
        <w:t xml:space="preserve"> Our model predicts that when the solution is not stirred, 100 – 250 nM of GOx should be sufficient reduce the dissolved oxygen concentration below 1 x 10</w:t>
      </w:r>
      <w:r w:rsidRPr="00AD3AB6">
        <w:rPr>
          <w:vertAlign w:val="superscript"/>
        </w:rPr>
        <w:noBreakHyphen/>
        <w:t>8</w:t>
      </w:r>
      <w:r w:rsidRPr="00AD3AB6">
        <w:t xml:space="preserve"> mol/ml, providing a level of degasing at least as good as bubbling with nitrogen and perhaps comparable to freeze-pump thaw techniques (Figure 2b). In a stirred solution 1-4 µM GOx should be able to produce a similar effect (Figure 2c).</w:t>
      </w:r>
    </w:p>
    <w:p w:rsidR="00646DAD" w:rsidRPr="00AD3AB6" w:rsidRDefault="009B6887" w:rsidP="00792734">
      <w:pPr>
        <w:pStyle w:val="TAMainText"/>
        <w:rPr>
          <w:rFonts w:ascii="Mangal" w:hAnsi="Mangal" w:cs="Mangal"/>
        </w:rPr>
      </w:pPr>
      <w:r w:rsidRPr="00AD3AB6">
        <w:rPr>
          <w:b/>
        </w:rPr>
        <w:t>Kinetics of polymeri</w:t>
      </w:r>
      <w:r w:rsidR="00464979" w:rsidRPr="00AD3AB6">
        <w:rPr>
          <w:b/>
        </w:rPr>
        <w:t>z</w:t>
      </w:r>
      <w:r w:rsidRPr="00AD3AB6">
        <w:rPr>
          <w:b/>
        </w:rPr>
        <w:t>ations degassed with GOx.</w:t>
      </w:r>
      <w:r w:rsidRPr="00AD3AB6">
        <w:t xml:space="preserve"> </w:t>
      </w:r>
      <w:r w:rsidR="00792734" w:rsidRPr="00AD3AB6">
        <w:t>To test the ability of GOx to degas the solution we performed RAFT polymerizations of various water soluble monomers using a water soluble chain transfer agent (CTA) 2-(propylthio-carbonothioyl-thio)-2-methylpropionoic acid (</w:t>
      </w:r>
      <w:r w:rsidR="00792734" w:rsidRPr="00AD3AB6">
        <w:rPr>
          <w:b/>
        </w:rPr>
        <w:t>1</w:t>
      </w:r>
      <w:r w:rsidR="00792734" w:rsidRPr="00AD3AB6">
        <w:t xml:space="preserve">) and thermal initiator VA-044 in water. Reactions were initially performed using 2-hydroxyethyl acrylate (HEA, 2 M) as the monomer in a methanol : phosphate buffered saline (PBS) mixture (20% v/v) at pH 7.4. Glucose (100 mM) was added to all reactions as substrate for the GOx. This concentration is in significant excess to ensure that the concentration of glucose is effectively constant with time. </w:t>
      </w:r>
      <w:r w:rsidR="00CE481C" w:rsidRPr="00AD3AB6">
        <w:t>Figure 2d shows the pseudo-first order kinetics performed in an NMR tube at 50 – 1000 nM GOx.</w:t>
      </w:r>
      <w:r w:rsidR="00BF2F73" w:rsidRPr="00AD3AB6">
        <w:t xml:space="preserve"> The rate constants for the fitted parts of the curve are shown in the supporting information (Table S1).</w:t>
      </w:r>
      <w:r w:rsidR="00CE481C" w:rsidRPr="00AD3AB6">
        <w:t xml:space="preserve"> Because of the high aspect ratio of the NMR tube and the slow rate of oxygen diffusion only 250 nM GOx was required to degas the solution sufficiently for polymerization to proceed. When the methanol concentration was </w:t>
      </w:r>
      <w:r w:rsidR="00CE481C" w:rsidRPr="00AD3AB6">
        <w:lastRenderedPageBreak/>
        <w:t xml:space="preserve">increased to 60% (v/v) the GOx became inactive, and no polymerization occurred indicating the initiator alone was not able to produce polymerization. Similar results were observed when polymerizations were conducted </w:t>
      </w:r>
      <w:r w:rsidR="00646DAD" w:rsidRPr="00AD3AB6">
        <w:t>without stirring</w:t>
      </w:r>
      <w:r w:rsidR="00CE481C" w:rsidRPr="00AD3AB6">
        <w:t xml:space="preserve"> </w:t>
      </w:r>
      <w:r w:rsidR="007E612E" w:rsidRPr="00AD3AB6">
        <w:t xml:space="preserve">in </w:t>
      </w:r>
      <w:r w:rsidR="00CE481C" w:rsidRPr="00AD3AB6">
        <w:t>1.75 ml glass vials (</w:t>
      </w:r>
      <w:r w:rsidR="003A4639" w:rsidRPr="00AD3AB6">
        <w:t>supporting</w:t>
      </w:r>
      <w:r w:rsidR="00CE481C" w:rsidRPr="00AD3AB6">
        <w:t xml:space="preserve"> information, Table S</w:t>
      </w:r>
      <w:r w:rsidR="003466F9" w:rsidRPr="00AD3AB6">
        <w:t>2</w:t>
      </w:r>
      <w:r w:rsidR="00CE481C" w:rsidRPr="00AD3AB6">
        <w:t>). However, when the polymerization was conducted</w:t>
      </w:r>
      <w:r w:rsidR="00BF2F73" w:rsidRPr="00AD3AB6">
        <w:t xml:space="preserve"> in the same vials with stirring</w:t>
      </w:r>
      <w:r w:rsidR="00CE481C" w:rsidRPr="00AD3AB6">
        <w:t xml:space="preserve">, more GOx was required (Figure 2e). </w:t>
      </w:r>
      <w:r w:rsidR="00646DAD" w:rsidRPr="00AD3AB6">
        <w:t xml:space="preserve">With stirring, </w:t>
      </w:r>
      <w:r w:rsidR="00CE481C" w:rsidRPr="00AD3AB6">
        <w:t>1</w:t>
      </w:r>
      <w:r w:rsidR="00B35CBE" w:rsidRPr="00AD3AB6">
        <w:t> </w:t>
      </w:r>
      <w:r w:rsidR="00CE481C" w:rsidRPr="00AD3AB6">
        <w:t xml:space="preserve">µM GOx was no longer sufficient to allow polymerization to proceed and a GOx concentration of ~4 µM was required to produce similar kinetics to the control degassed with argon. It should be noted that this concentration of GOx is still very low (0.64 mg/ml), and even if it is not removed from the final polymer such an amount of GOx would be negligible in mass compared to the polymer itself. This assessment is confirmed by the lack of a GOx peak in the </w:t>
      </w:r>
      <w:r w:rsidR="00775C69" w:rsidRPr="00AD3AB6">
        <w:t>SEC</w:t>
      </w:r>
      <w:r w:rsidR="00CE481C" w:rsidRPr="00AD3AB6">
        <w:t xml:space="preserve"> data (</w:t>
      </w:r>
      <w:r w:rsidR="003A4639" w:rsidRPr="00AD3AB6">
        <w:t>supporting</w:t>
      </w:r>
      <w:r w:rsidR="00CE481C" w:rsidRPr="00AD3AB6">
        <w:t xml:space="preserve"> information, Figure S</w:t>
      </w:r>
      <w:r w:rsidR="00B35CBE" w:rsidRPr="00AD3AB6">
        <w:t>1</w:t>
      </w:r>
      <w:r w:rsidR="00CE481C" w:rsidRPr="00AD3AB6">
        <w:t>).</w:t>
      </w:r>
      <w:r w:rsidR="00646DAD" w:rsidRPr="00AD3AB6">
        <w:t xml:space="preserve"> It s</w:t>
      </w:r>
      <w:r w:rsidR="003A3AE5" w:rsidRPr="00AD3AB6">
        <w:t>hould also be noted that at these GOx</w:t>
      </w:r>
      <w:r w:rsidR="00646DAD" w:rsidRPr="00AD3AB6">
        <w:t xml:space="preserve"> concentration</w:t>
      </w:r>
      <w:r w:rsidR="003A3AE5" w:rsidRPr="00AD3AB6">
        <w:t>s</w:t>
      </w:r>
      <w:r w:rsidR="00646DAD" w:rsidRPr="00AD3AB6">
        <w:t xml:space="preserve"> the amount of hydrogen peroxide </w:t>
      </w:r>
      <w:r w:rsidR="003A3AE5" w:rsidRPr="00AD3AB6">
        <w:t>produced is low, minimizing the chances of undesired side reactions</w:t>
      </w:r>
      <w:r w:rsidR="00646DAD" w:rsidRPr="00AD3AB6">
        <w:t xml:space="preserve">. </w:t>
      </w:r>
      <w:r w:rsidR="003A3AE5" w:rsidRPr="00AD3AB6">
        <w:t>By using a xylenol orange assay we determined the</w:t>
      </w:r>
      <w:r w:rsidR="00646DAD" w:rsidRPr="00AD3AB6">
        <w:t xml:space="preserve"> concentration</w:t>
      </w:r>
      <w:r w:rsidR="003A3AE5" w:rsidRPr="00AD3AB6">
        <w:t xml:space="preserve"> of H</w:t>
      </w:r>
      <w:r w:rsidR="003A3AE5" w:rsidRPr="00AD3AB6">
        <w:rPr>
          <w:vertAlign w:val="subscript"/>
        </w:rPr>
        <w:t>2</w:t>
      </w:r>
      <w:r w:rsidR="003A3AE5" w:rsidRPr="00AD3AB6">
        <w:t>O</w:t>
      </w:r>
      <w:r w:rsidR="003A3AE5" w:rsidRPr="00AD3AB6">
        <w:rPr>
          <w:vertAlign w:val="subscript"/>
        </w:rPr>
        <w:t>2</w:t>
      </w:r>
      <w:r w:rsidR="00646DAD" w:rsidRPr="00AD3AB6">
        <w:t xml:space="preserve"> </w:t>
      </w:r>
      <w:r w:rsidR="003A3AE5" w:rsidRPr="00AD3AB6">
        <w:t>after the first 15 min of incubation with GOx in PBS to be</w:t>
      </w:r>
      <w:r w:rsidR="00646DAD" w:rsidRPr="00AD3AB6">
        <w:t xml:space="preserve"> only 42 </w:t>
      </w:r>
      <w:r w:rsidR="003A3AE5" w:rsidRPr="00AD3AB6">
        <w:t>µ</w:t>
      </w:r>
      <w:r w:rsidR="00646DAD" w:rsidRPr="00AD3AB6">
        <w:t xml:space="preserve">M. The peroxide generated by 4 µM GOx over 3 h at 45°C </w:t>
      </w:r>
      <w:r w:rsidR="003A3AE5" w:rsidRPr="00AD3AB6">
        <w:t>wa</w:t>
      </w:r>
      <w:r w:rsidR="00646DAD" w:rsidRPr="00AD3AB6">
        <w:t>s</w:t>
      </w:r>
      <w:r w:rsidR="003A3AE5" w:rsidRPr="00AD3AB6">
        <w:t xml:space="preserve"> found to be in</w:t>
      </w:r>
      <w:r w:rsidR="00646DAD" w:rsidRPr="00AD3AB6">
        <w:t xml:space="preserve">sufficient to cause </w:t>
      </w:r>
      <w:r w:rsidR="003A3AE5" w:rsidRPr="00AD3AB6">
        <w:t xml:space="preserve">any noticeable </w:t>
      </w:r>
      <w:r w:rsidR="00646DAD" w:rsidRPr="00AD3AB6">
        <w:t xml:space="preserve">degradation of the RAFT agent, as </w:t>
      </w:r>
      <w:r w:rsidR="003A3AE5" w:rsidRPr="00AD3AB6">
        <w:t>evidenced by</w:t>
      </w:r>
      <w:r w:rsidR="00646DAD" w:rsidRPr="00AD3AB6">
        <w:t xml:space="preserve"> the UV-Vis spectra in Figure S2 (supporting information).</w:t>
      </w:r>
    </w:p>
    <w:p w:rsidR="00792734" w:rsidRPr="00AD3AB6" w:rsidRDefault="00B35CBE" w:rsidP="00792734">
      <w:pPr>
        <w:pStyle w:val="TAMainText"/>
      </w:pPr>
      <w:r w:rsidRPr="00AD3AB6">
        <w:t xml:space="preserve">With the concentration of GOx required </w:t>
      </w:r>
      <w:r w:rsidR="00464979" w:rsidRPr="00AD3AB6">
        <w:t>established,</w:t>
      </w:r>
      <w:r w:rsidRPr="00AD3AB6">
        <w:t xml:space="preserve"> t</w:t>
      </w:r>
      <w:r w:rsidR="00792734" w:rsidRPr="00AD3AB6">
        <w:t>he kinetics of HEA Enz-RAFT polymerizations in stirred 1.75 ml glass vials</w:t>
      </w:r>
      <w:r w:rsidR="00646DAD" w:rsidRPr="00AD3AB6">
        <w:t>,</w:t>
      </w:r>
      <w:r w:rsidR="00792734" w:rsidRPr="00AD3AB6">
        <w:t xml:space="preserve"> performed with 4 µM GOx</w:t>
      </w:r>
      <w:r w:rsidR="003A3AE5" w:rsidRPr="00AD3AB6">
        <w:t>,</w:t>
      </w:r>
      <w:r w:rsidRPr="00AD3AB6">
        <w:t xml:space="preserve"> were explored in more detail</w:t>
      </w:r>
      <w:r w:rsidR="00792734" w:rsidRPr="00AD3AB6">
        <w:t xml:space="preserve"> </w:t>
      </w:r>
      <w:r w:rsidRPr="00AD3AB6">
        <w:t>(</w:t>
      </w:r>
      <w:r w:rsidR="00792734" w:rsidRPr="00AD3AB6">
        <w:t xml:space="preserve">Figure </w:t>
      </w:r>
      <w:r w:rsidR="007674C6" w:rsidRPr="00AD3AB6">
        <w:t>3</w:t>
      </w:r>
      <w:r w:rsidRPr="00AD3AB6">
        <w:t xml:space="preserve"> and Table 1 </w:t>
      </w:r>
      <w:r w:rsidR="00792734" w:rsidRPr="00AD3AB6">
        <w:t>entries 2-4).</w:t>
      </w:r>
      <w:r w:rsidR="00792734" w:rsidRPr="00AD3AB6">
        <w:rPr>
          <w:i/>
        </w:rPr>
        <w:t xml:space="preserve"> </w:t>
      </w:r>
      <w:r w:rsidR="00792734" w:rsidRPr="00AD3AB6">
        <w:t>Polymerizations were found to proceed with identical kinetics to the argon degassed control in either a sealed or open vessel (with no lid). The kinetics were also identical at two different target degrees of polymeri</w:t>
      </w:r>
      <w:r w:rsidR="00F93142" w:rsidRPr="00AD3AB6">
        <w:t>z</w:t>
      </w:r>
      <w:r w:rsidR="00792734" w:rsidRPr="00AD3AB6">
        <w:t xml:space="preserve">ation (DP) of of 25 (Figure </w:t>
      </w:r>
      <w:r w:rsidR="007674C6" w:rsidRPr="00AD3AB6">
        <w:t>3</w:t>
      </w:r>
      <w:r w:rsidR="00792734" w:rsidRPr="00AD3AB6">
        <w:t xml:space="preserve">a) and 100 (Figure </w:t>
      </w:r>
      <w:r w:rsidR="007674C6" w:rsidRPr="00AD3AB6">
        <w:t>3</w:t>
      </w:r>
      <w:r w:rsidR="00792734" w:rsidRPr="00AD3AB6">
        <w:t>b) It is important to note that neither GOx itself nor the hydrogen peroxide produced as a side product was found to be capabl</w:t>
      </w:r>
      <w:r w:rsidRPr="00AD3AB6">
        <w:t xml:space="preserve">e of initiating polymerization as </w:t>
      </w:r>
      <w:r w:rsidR="00792734" w:rsidRPr="00AD3AB6">
        <w:t xml:space="preserve">can be seen </w:t>
      </w:r>
      <w:r w:rsidR="00792734" w:rsidRPr="00AD3AB6">
        <w:lastRenderedPageBreak/>
        <w:t xml:space="preserve">from the control polymerization without VA-044, in which no conversion was seen (Figure </w:t>
      </w:r>
      <w:r w:rsidR="007674C6" w:rsidRPr="00AD3AB6">
        <w:t>3</w:t>
      </w:r>
      <w:r w:rsidR="00792734" w:rsidRPr="00AD3AB6">
        <w:t xml:space="preserve">a). Linear molecular weight evolution with time was observed for all polymers, both with a target DP of 25 (Figure </w:t>
      </w:r>
      <w:r w:rsidR="007674C6" w:rsidRPr="00AD3AB6">
        <w:t>3</w:t>
      </w:r>
      <w:r w:rsidR="00792734" w:rsidRPr="00AD3AB6">
        <w:t xml:space="preserve">c) and 100 (Figure </w:t>
      </w:r>
      <w:r w:rsidR="007674C6" w:rsidRPr="00AD3AB6">
        <w:t>3</w:t>
      </w:r>
      <w:r w:rsidR="00792734" w:rsidRPr="00AD3AB6">
        <w:t>d). In all cases, narrow dispersities (</w:t>
      </w:r>
      <w:r w:rsidR="00792734" w:rsidRPr="00AD3AB6">
        <w:rPr>
          <w:i/>
        </w:rPr>
        <w:t xml:space="preserve">Ð </w:t>
      </w:r>
      <w:r w:rsidR="00792734" w:rsidRPr="00AD3AB6">
        <w:t xml:space="preserve">&lt; 1.15) and clean shifts in distribution with no low molecular weight tailing were seen by </w:t>
      </w:r>
      <w:r w:rsidR="00775C69" w:rsidRPr="00AD3AB6">
        <w:t>SEC</w:t>
      </w:r>
      <w:r w:rsidR="00792734" w:rsidRPr="00AD3AB6">
        <w:t xml:space="preserve"> (Figures 2e-f). Strong UV signals at 305 nm were observed at the same retention times as the refractive index (RI) peaks of the polymer, indicating the presence of the RAFT trithiocarbonate end group (</w:t>
      </w:r>
      <w:r w:rsidR="003A4639" w:rsidRPr="00AD3AB6">
        <w:t xml:space="preserve">supporting </w:t>
      </w:r>
      <w:r w:rsidR="00792734" w:rsidRPr="00AD3AB6">
        <w:t>information, Figure S</w:t>
      </w:r>
      <w:r w:rsidR="00311522" w:rsidRPr="00AD3AB6">
        <w:t>3</w:t>
      </w:r>
      <w:r w:rsidR="00792734" w:rsidRPr="00AD3AB6">
        <w:t xml:space="preserve">). </w:t>
      </w:r>
      <w:r w:rsidR="004F77E6" w:rsidRPr="00AD3AB6">
        <w:t>The presence</w:t>
      </w:r>
      <w:r w:rsidR="00792734" w:rsidRPr="00AD3AB6">
        <w:t xml:space="preserve"> of both the </w:t>
      </w:r>
      <w:r w:rsidR="00792734" w:rsidRPr="00AD3AB6">
        <w:rPr>
          <w:rFonts w:cs="Times"/>
        </w:rPr>
        <w:t>α</w:t>
      </w:r>
      <w:r w:rsidR="00464979" w:rsidRPr="00AD3AB6">
        <w:rPr>
          <w:rFonts w:cs="Times"/>
        </w:rPr>
        <w:t>-</w:t>
      </w:r>
      <w:r w:rsidR="00792734" w:rsidRPr="00AD3AB6">
        <w:t xml:space="preserve"> and </w:t>
      </w:r>
      <w:r w:rsidR="00792734" w:rsidRPr="00AD3AB6">
        <w:sym w:font="Symbol" w:char="F077"/>
      </w:r>
      <w:r w:rsidR="00464979" w:rsidRPr="00AD3AB6">
        <w:t>-</w:t>
      </w:r>
      <w:r w:rsidR="00792734" w:rsidRPr="00AD3AB6">
        <w:t xml:space="preserve"> end groups in the polymer was </w:t>
      </w:r>
      <w:r w:rsidR="003466F9" w:rsidRPr="00AD3AB6">
        <w:t>confirmed</w:t>
      </w:r>
      <w:r w:rsidR="00792734" w:rsidRPr="00AD3AB6">
        <w:t xml:space="preserve"> by MALDI-TOF spectrometry (</w:t>
      </w:r>
      <w:r w:rsidR="003A4639" w:rsidRPr="00AD3AB6">
        <w:t xml:space="preserve">supporting </w:t>
      </w:r>
      <w:r w:rsidR="00792734" w:rsidRPr="00AD3AB6">
        <w:t>information, Figure S</w:t>
      </w:r>
      <w:r w:rsidR="00311522" w:rsidRPr="00AD3AB6">
        <w:t>4</w:t>
      </w:r>
      <w:r w:rsidR="00792734" w:rsidRPr="00AD3AB6">
        <w:t xml:space="preserve">). Together, these results confirm that using GOx to degas the solutions resulted in little to no adverse effects to both the kinetics and control of the polymerization. In the case of the DP 100 polymer, some high molecular weight shouldering in the </w:t>
      </w:r>
      <w:r w:rsidR="00775C69" w:rsidRPr="00AD3AB6">
        <w:t>SEC</w:t>
      </w:r>
      <w:r w:rsidR="00792734" w:rsidRPr="00AD3AB6">
        <w:t xml:space="preserve"> traces was observed at very high conversions (&gt;80% in Figure </w:t>
      </w:r>
      <w:r w:rsidR="007674C6" w:rsidRPr="00AD3AB6">
        <w:t>3</w:t>
      </w:r>
      <w:r w:rsidR="00792734" w:rsidRPr="00AD3AB6">
        <w:t xml:space="preserve">f). This was probably due to bimolecular termination at this increased viscosity rather than any effect of the GOx, as the same was not seen with the DP 25 polymer (Figure </w:t>
      </w:r>
      <w:r w:rsidR="007674C6" w:rsidRPr="00AD3AB6">
        <w:t>3</w:t>
      </w:r>
      <w:r w:rsidR="00792734" w:rsidRPr="00AD3AB6">
        <w:t>e).</w:t>
      </w:r>
    </w:p>
    <w:p w:rsidR="00792734" w:rsidRPr="00AD3AB6" w:rsidRDefault="007674C6" w:rsidP="00792734">
      <w:pPr>
        <w:pStyle w:val="TAMainText"/>
      </w:pPr>
      <w:r w:rsidRPr="00AD3AB6">
        <w:rPr>
          <w:noProof/>
          <w:lang w:val="en-GB" w:eastAsia="en-GB"/>
        </w:rPr>
        <w:lastRenderedPageBreak/>
        <w:drawing>
          <wp:inline distT="0" distB="0" distL="0" distR="0" wp14:anchorId="0633C84A" wp14:editId="0B977DE7">
            <wp:extent cx="5868537" cy="32063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74998" cy="3209863"/>
                    </a:xfrm>
                    <a:prstGeom prst="rect">
                      <a:avLst/>
                    </a:prstGeom>
                    <a:noFill/>
                  </pic:spPr>
                </pic:pic>
              </a:graphicData>
            </a:graphic>
          </wp:inline>
        </w:drawing>
      </w:r>
    </w:p>
    <w:p w:rsidR="0003597F" w:rsidRPr="00AD3AB6" w:rsidRDefault="00792734" w:rsidP="003A4639">
      <w:pPr>
        <w:pStyle w:val="VAFigureCaption"/>
      </w:pPr>
      <w:r w:rsidRPr="00AD3AB6">
        <w:rPr>
          <w:b/>
        </w:rPr>
        <w:t xml:space="preserve">Figure </w:t>
      </w:r>
      <w:r w:rsidR="007674C6" w:rsidRPr="00AD3AB6">
        <w:rPr>
          <w:b/>
        </w:rPr>
        <w:t xml:space="preserve">3. </w:t>
      </w:r>
      <w:r w:rsidRPr="00AD3AB6">
        <w:t xml:space="preserve">Kinetics of 2 M HEA polymerizations in 20% methanol / PBS degassed by glucose oxidase (GOx) and stirred at 45°C. In all cases [VA-044]/[CTA] = 0.05. (a-b) Pseudo-first order kinetic plots with (closed symbols) and without (open symbols) GOx and VA-044 (a) [M]/[CTA] = 25 (1 – 3), (b) [M]/[CTA] = 100 (4, 5). (c-d) </w:t>
      </w:r>
      <w:r w:rsidRPr="00AD3AB6">
        <w:rPr>
          <w:i/>
        </w:rPr>
        <w:t>M</w:t>
      </w:r>
      <w:r w:rsidRPr="00AD3AB6">
        <w:rPr>
          <w:vertAlign w:val="subscript"/>
        </w:rPr>
        <w:t>n</w:t>
      </w:r>
      <w:r w:rsidRPr="00AD3AB6">
        <w:t xml:space="preserve"> (closed symbols) and </w:t>
      </w:r>
      <w:r w:rsidRPr="00AD3AB6">
        <w:rPr>
          <w:i/>
        </w:rPr>
        <w:t xml:space="preserve">Ð </w:t>
      </w:r>
      <w:r w:rsidRPr="00AD3AB6">
        <w:t>(open symbols)</w:t>
      </w:r>
      <w:r w:rsidRPr="00AD3AB6">
        <w:rPr>
          <w:i/>
        </w:rPr>
        <w:t xml:space="preserve"> vs</w:t>
      </w:r>
      <w:r w:rsidRPr="00AD3AB6">
        <w:t xml:space="preserve"> conversion as measured by DMF </w:t>
      </w:r>
      <w:r w:rsidR="00775C69" w:rsidRPr="00AD3AB6">
        <w:t>SEC</w:t>
      </w:r>
      <w:r w:rsidRPr="00AD3AB6">
        <w:t xml:space="preserve"> for GOx degassed polymeri</w:t>
      </w:r>
      <w:r w:rsidR="00F93142" w:rsidRPr="00AD3AB6">
        <w:t>z</w:t>
      </w:r>
      <w:r w:rsidRPr="00AD3AB6">
        <w:t xml:space="preserve">ations in closed vessels (c) [M]/[CTA] = 25, [GOx] = 4 µM; (d) [M]/[CTA] = 100. (e-f) Corresponding </w:t>
      </w:r>
      <w:r w:rsidR="00775C69" w:rsidRPr="00AD3AB6">
        <w:t>SEC</w:t>
      </w:r>
      <w:r w:rsidRPr="00AD3AB6">
        <w:t xml:space="preserve"> normalised RI traces for the kinetics in (c) and (d) respectively showing a clean shift in molecular weight with conversion.</w:t>
      </w:r>
    </w:p>
    <w:p w:rsidR="00464979" w:rsidRPr="00AD3AB6" w:rsidRDefault="00464979" w:rsidP="00464979"/>
    <w:p w:rsidR="0003597F" w:rsidRPr="00AD3AB6" w:rsidRDefault="0003597F" w:rsidP="0003597F">
      <w:pPr>
        <w:pStyle w:val="VBChartTitle"/>
      </w:pPr>
      <w:r w:rsidRPr="00AD3AB6">
        <w:rPr>
          <w:b/>
        </w:rPr>
        <w:t>Table 1.</w:t>
      </w:r>
      <w:r w:rsidRPr="00AD3AB6">
        <w:t xml:space="preserve"> Examples of HEA polymers isolated at the end of kinetic runs performed with GOx</w:t>
      </w:r>
    </w:p>
    <w:tbl>
      <w:tblPr>
        <w:tblStyle w:val="TableGrid"/>
        <w:tblW w:w="69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6"/>
        <w:gridCol w:w="918"/>
        <w:gridCol w:w="851"/>
        <w:gridCol w:w="709"/>
        <w:gridCol w:w="662"/>
        <w:gridCol w:w="709"/>
        <w:gridCol w:w="951"/>
        <w:gridCol w:w="883"/>
        <w:gridCol w:w="813"/>
      </w:tblGrid>
      <w:tr w:rsidR="00AD3AB6" w:rsidRPr="00AD3AB6" w:rsidTr="0003597F">
        <w:trPr>
          <w:cantSplit/>
          <w:jc w:val="center"/>
        </w:trPr>
        <w:tc>
          <w:tcPr>
            <w:tcW w:w="466" w:type="dxa"/>
            <w:tcBorders>
              <w:top w:val="single" w:sz="8" w:space="0" w:color="auto"/>
              <w:bottom w:val="single" w:sz="8" w:space="0" w:color="auto"/>
            </w:tcBorders>
            <w:tcMar>
              <w:left w:w="28" w:type="dxa"/>
              <w:right w:w="28" w:type="dxa"/>
            </w:tcMar>
          </w:tcPr>
          <w:p w:rsidR="0003597F" w:rsidRPr="00AD3AB6" w:rsidRDefault="0003597F" w:rsidP="0003597F">
            <w:pPr>
              <w:pStyle w:val="StyleTCTableBodyBold"/>
              <w:jc w:val="left"/>
            </w:pPr>
            <w:r w:rsidRPr="00AD3AB6">
              <w:t>#</w:t>
            </w:r>
          </w:p>
        </w:tc>
        <w:tc>
          <w:tcPr>
            <w:tcW w:w="918" w:type="dxa"/>
            <w:tcBorders>
              <w:top w:val="single" w:sz="8" w:space="0" w:color="auto"/>
              <w:bottom w:val="single" w:sz="8" w:space="0" w:color="auto"/>
            </w:tcBorders>
            <w:tcMar>
              <w:left w:w="28" w:type="dxa"/>
              <w:right w:w="28" w:type="dxa"/>
            </w:tcMar>
          </w:tcPr>
          <w:p w:rsidR="0003597F" w:rsidRPr="00AD3AB6" w:rsidRDefault="0003597F" w:rsidP="0003597F">
            <w:pPr>
              <w:pStyle w:val="StyleTCTableBodyBold"/>
            </w:pPr>
            <w:r w:rsidRPr="00AD3AB6">
              <w:t>[M] / [CTA]</w:t>
            </w:r>
          </w:p>
        </w:tc>
        <w:tc>
          <w:tcPr>
            <w:tcW w:w="851" w:type="dxa"/>
            <w:tcBorders>
              <w:top w:val="single" w:sz="8" w:space="0" w:color="auto"/>
              <w:bottom w:val="single" w:sz="8" w:space="0" w:color="auto"/>
            </w:tcBorders>
            <w:tcMar>
              <w:left w:w="28" w:type="dxa"/>
              <w:right w:w="28" w:type="dxa"/>
            </w:tcMar>
          </w:tcPr>
          <w:p w:rsidR="0003597F" w:rsidRPr="00AD3AB6" w:rsidRDefault="0003597F" w:rsidP="0003597F">
            <w:pPr>
              <w:pStyle w:val="StyleTCTableBodyBold"/>
            </w:pPr>
            <w:r w:rsidRPr="00AD3AB6">
              <w:t>[VA044] (mM)</w:t>
            </w:r>
          </w:p>
        </w:tc>
        <w:tc>
          <w:tcPr>
            <w:tcW w:w="709" w:type="dxa"/>
            <w:tcBorders>
              <w:top w:val="single" w:sz="8" w:space="0" w:color="auto"/>
              <w:bottom w:val="single" w:sz="8" w:space="0" w:color="auto"/>
            </w:tcBorders>
            <w:tcMar>
              <w:left w:w="28" w:type="dxa"/>
              <w:right w:w="28" w:type="dxa"/>
            </w:tcMar>
          </w:tcPr>
          <w:p w:rsidR="0003597F" w:rsidRPr="00AD3AB6" w:rsidRDefault="0003597F" w:rsidP="0003597F">
            <w:pPr>
              <w:pStyle w:val="StyleTCTableBodyBold"/>
            </w:pPr>
            <w:r w:rsidRPr="00AD3AB6">
              <w:t>[GOx] (µM)</w:t>
            </w:r>
          </w:p>
        </w:tc>
        <w:tc>
          <w:tcPr>
            <w:tcW w:w="662" w:type="dxa"/>
            <w:tcBorders>
              <w:top w:val="single" w:sz="8" w:space="0" w:color="auto"/>
              <w:bottom w:val="single" w:sz="8" w:space="0" w:color="auto"/>
            </w:tcBorders>
            <w:tcMar>
              <w:left w:w="28" w:type="dxa"/>
              <w:right w:w="28" w:type="dxa"/>
            </w:tcMar>
          </w:tcPr>
          <w:p w:rsidR="0003597F" w:rsidRPr="00AD3AB6" w:rsidRDefault="0003597F" w:rsidP="0003597F">
            <w:pPr>
              <w:pStyle w:val="StyleTCTableBodyBold"/>
            </w:pPr>
            <w:r w:rsidRPr="00AD3AB6">
              <w:t>Time (h)</w:t>
            </w:r>
          </w:p>
        </w:tc>
        <w:tc>
          <w:tcPr>
            <w:tcW w:w="709" w:type="dxa"/>
            <w:tcBorders>
              <w:top w:val="single" w:sz="8" w:space="0" w:color="auto"/>
              <w:bottom w:val="single" w:sz="8" w:space="0" w:color="auto"/>
            </w:tcBorders>
            <w:tcMar>
              <w:left w:w="28" w:type="dxa"/>
              <w:right w:w="28" w:type="dxa"/>
            </w:tcMar>
          </w:tcPr>
          <w:p w:rsidR="0003597F" w:rsidRPr="00AD3AB6" w:rsidRDefault="0003597F" w:rsidP="0003597F">
            <w:pPr>
              <w:pStyle w:val="StyleTCTableBodyBold"/>
            </w:pPr>
            <w:r w:rsidRPr="00AD3AB6">
              <w:t>X    (%)</w:t>
            </w:r>
          </w:p>
        </w:tc>
        <w:tc>
          <w:tcPr>
            <w:tcW w:w="951" w:type="dxa"/>
            <w:tcBorders>
              <w:top w:val="single" w:sz="8" w:space="0" w:color="auto"/>
              <w:bottom w:val="single" w:sz="8" w:space="0" w:color="auto"/>
            </w:tcBorders>
            <w:tcMar>
              <w:left w:w="28" w:type="dxa"/>
              <w:right w:w="28" w:type="dxa"/>
            </w:tcMar>
          </w:tcPr>
          <w:p w:rsidR="0003597F" w:rsidRPr="00AD3AB6" w:rsidRDefault="0003597F" w:rsidP="0003597F">
            <w:pPr>
              <w:pStyle w:val="StyleTCTableBodyBold"/>
            </w:pPr>
            <w:r w:rsidRPr="00AD3AB6">
              <w:rPr>
                <w:i/>
              </w:rPr>
              <w:t>M</w:t>
            </w:r>
            <w:r w:rsidRPr="00AD3AB6">
              <w:rPr>
                <w:vertAlign w:val="subscript"/>
              </w:rPr>
              <w:t>n</w:t>
            </w:r>
            <w:r w:rsidRPr="00AD3AB6">
              <w:t xml:space="preserve"> theor (Da)</w:t>
            </w:r>
          </w:p>
        </w:tc>
        <w:tc>
          <w:tcPr>
            <w:tcW w:w="883" w:type="dxa"/>
            <w:tcBorders>
              <w:top w:val="single" w:sz="8" w:space="0" w:color="auto"/>
              <w:bottom w:val="single" w:sz="8" w:space="0" w:color="auto"/>
            </w:tcBorders>
            <w:tcMar>
              <w:left w:w="28" w:type="dxa"/>
              <w:right w:w="28" w:type="dxa"/>
            </w:tcMar>
          </w:tcPr>
          <w:p w:rsidR="0003597F" w:rsidRPr="00AD3AB6" w:rsidRDefault="0003597F" w:rsidP="0003597F">
            <w:pPr>
              <w:pStyle w:val="StyleTCTableBodyBold"/>
            </w:pPr>
            <w:r w:rsidRPr="00AD3AB6">
              <w:rPr>
                <w:i/>
              </w:rPr>
              <w:t>M</w:t>
            </w:r>
            <w:r w:rsidRPr="00AD3AB6">
              <w:rPr>
                <w:vertAlign w:val="subscript"/>
              </w:rPr>
              <w:t>n</w:t>
            </w:r>
            <w:r w:rsidRPr="00AD3AB6">
              <w:t xml:space="preserve"> </w:t>
            </w:r>
            <w:r w:rsidR="00775C69" w:rsidRPr="00AD3AB6">
              <w:t>SEC</w:t>
            </w:r>
            <w:r w:rsidRPr="00AD3AB6">
              <w:t xml:space="preserve"> (Da)</w:t>
            </w:r>
            <w:r w:rsidRPr="00AD3AB6">
              <w:rPr>
                <w:vertAlign w:val="superscript"/>
              </w:rPr>
              <w:t xml:space="preserve"> [a]</w:t>
            </w:r>
          </w:p>
        </w:tc>
        <w:tc>
          <w:tcPr>
            <w:tcW w:w="813" w:type="dxa"/>
            <w:tcBorders>
              <w:top w:val="single" w:sz="8" w:space="0" w:color="auto"/>
              <w:bottom w:val="single" w:sz="8" w:space="0" w:color="auto"/>
            </w:tcBorders>
            <w:tcMar>
              <w:left w:w="28" w:type="dxa"/>
              <w:right w:w="28" w:type="dxa"/>
            </w:tcMar>
          </w:tcPr>
          <w:p w:rsidR="0003597F" w:rsidRPr="00AD3AB6" w:rsidRDefault="0003597F" w:rsidP="0003597F">
            <w:pPr>
              <w:pStyle w:val="TCTableBody"/>
              <w:jc w:val="center"/>
              <w:rPr>
                <w:b/>
              </w:rPr>
            </w:pPr>
            <w:r w:rsidRPr="00AD3AB6">
              <w:rPr>
                <w:rFonts w:ascii="Constantia" w:hAnsi="Constantia"/>
                <w:b/>
                <w:i/>
              </w:rPr>
              <w:t xml:space="preserve">Ð </w:t>
            </w:r>
            <w:r w:rsidRPr="00AD3AB6">
              <w:rPr>
                <w:b/>
                <w:vertAlign w:val="superscript"/>
              </w:rPr>
              <w:t>[a]</w:t>
            </w:r>
          </w:p>
        </w:tc>
      </w:tr>
      <w:tr w:rsidR="00AD3AB6" w:rsidRPr="00AD3AB6" w:rsidTr="0003597F">
        <w:trPr>
          <w:cantSplit/>
          <w:trHeight w:val="20"/>
          <w:jc w:val="center"/>
        </w:trPr>
        <w:tc>
          <w:tcPr>
            <w:tcW w:w="466" w:type="dxa"/>
            <w:tcBorders>
              <w:top w:val="single" w:sz="8" w:space="0" w:color="auto"/>
            </w:tcBorders>
            <w:tcMar>
              <w:left w:w="28" w:type="dxa"/>
              <w:right w:w="28" w:type="dxa"/>
            </w:tcMar>
            <w:vAlign w:val="center"/>
          </w:tcPr>
          <w:p w:rsidR="0003597F" w:rsidRPr="00AD3AB6" w:rsidRDefault="0003597F" w:rsidP="0003597F">
            <w:pPr>
              <w:pStyle w:val="TCTableBody"/>
            </w:pPr>
            <w:r w:rsidRPr="00AD3AB6">
              <w:t>1</w:t>
            </w:r>
            <w:r w:rsidRPr="00AD3AB6">
              <w:rPr>
                <w:vertAlign w:val="superscript"/>
              </w:rPr>
              <w:t>[b]</w:t>
            </w:r>
          </w:p>
        </w:tc>
        <w:tc>
          <w:tcPr>
            <w:tcW w:w="918" w:type="dxa"/>
            <w:tcBorders>
              <w:top w:val="single" w:sz="8" w:space="0" w:color="auto"/>
            </w:tcBorders>
            <w:tcMar>
              <w:left w:w="28" w:type="dxa"/>
              <w:right w:w="28" w:type="dxa"/>
            </w:tcMar>
            <w:vAlign w:val="center"/>
          </w:tcPr>
          <w:p w:rsidR="0003597F" w:rsidRPr="00AD3AB6" w:rsidRDefault="0003597F" w:rsidP="0003597F">
            <w:pPr>
              <w:pStyle w:val="TCTableBody"/>
              <w:jc w:val="center"/>
            </w:pPr>
            <w:r w:rsidRPr="00AD3AB6">
              <w:t>25</w:t>
            </w:r>
          </w:p>
        </w:tc>
        <w:tc>
          <w:tcPr>
            <w:tcW w:w="851" w:type="dxa"/>
            <w:tcBorders>
              <w:top w:val="single" w:sz="8" w:space="0" w:color="auto"/>
            </w:tcBorders>
            <w:tcMar>
              <w:left w:w="28" w:type="dxa"/>
              <w:right w:w="28" w:type="dxa"/>
            </w:tcMar>
            <w:vAlign w:val="center"/>
          </w:tcPr>
          <w:p w:rsidR="0003597F" w:rsidRPr="00AD3AB6" w:rsidRDefault="0003597F" w:rsidP="0003597F">
            <w:pPr>
              <w:pStyle w:val="TCTableBody"/>
              <w:jc w:val="center"/>
            </w:pPr>
            <w:r w:rsidRPr="00AD3AB6">
              <w:t>5</w:t>
            </w:r>
          </w:p>
        </w:tc>
        <w:tc>
          <w:tcPr>
            <w:tcW w:w="709" w:type="dxa"/>
            <w:tcBorders>
              <w:top w:val="single" w:sz="8" w:space="0" w:color="auto"/>
            </w:tcBorders>
            <w:tcMar>
              <w:left w:w="28" w:type="dxa"/>
              <w:right w:w="28" w:type="dxa"/>
            </w:tcMar>
            <w:vAlign w:val="center"/>
          </w:tcPr>
          <w:p w:rsidR="0003597F" w:rsidRPr="00AD3AB6" w:rsidRDefault="0003597F" w:rsidP="0003597F">
            <w:pPr>
              <w:pStyle w:val="TCTableBody"/>
              <w:jc w:val="center"/>
            </w:pPr>
            <w:r w:rsidRPr="00AD3AB6">
              <w:t>0</w:t>
            </w:r>
          </w:p>
        </w:tc>
        <w:tc>
          <w:tcPr>
            <w:tcW w:w="662" w:type="dxa"/>
            <w:tcBorders>
              <w:top w:val="single" w:sz="8" w:space="0" w:color="auto"/>
            </w:tcBorders>
            <w:tcMar>
              <w:left w:w="28" w:type="dxa"/>
              <w:right w:w="28" w:type="dxa"/>
            </w:tcMar>
            <w:vAlign w:val="center"/>
          </w:tcPr>
          <w:p w:rsidR="0003597F" w:rsidRPr="00AD3AB6" w:rsidRDefault="0003597F" w:rsidP="0003597F">
            <w:pPr>
              <w:pStyle w:val="TCTableBody"/>
              <w:jc w:val="center"/>
            </w:pPr>
            <w:r w:rsidRPr="00AD3AB6">
              <w:t>2.3</w:t>
            </w:r>
          </w:p>
        </w:tc>
        <w:tc>
          <w:tcPr>
            <w:tcW w:w="709" w:type="dxa"/>
            <w:tcBorders>
              <w:top w:val="single" w:sz="8" w:space="0" w:color="auto"/>
            </w:tcBorders>
            <w:tcMar>
              <w:left w:w="28" w:type="dxa"/>
              <w:right w:w="28" w:type="dxa"/>
            </w:tcMar>
            <w:vAlign w:val="center"/>
          </w:tcPr>
          <w:p w:rsidR="0003597F" w:rsidRPr="00AD3AB6" w:rsidRDefault="0003597F" w:rsidP="0003597F">
            <w:pPr>
              <w:pStyle w:val="TCTableBody"/>
              <w:jc w:val="center"/>
            </w:pPr>
            <w:r w:rsidRPr="00AD3AB6">
              <w:t>89</w:t>
            </w:r>
          </w:p>
        </w:tc>
        <w:tc>
          <w:tcPr>
            <w:tcW w:w="951" w:type="dxa"/>
            <w:tcBorders>
              <w:top w:val="single" w:sz="8" w:space="0" w:color="auto"/>
            </w:tcBorders>
            <w:tcMar>
              <w:left w:w="28" w:type="dxa"/>
              <w:right w:w="28" w:type="dxa"/>
            </w:tcMar>
            <w:vAlign w:val="center"/>
          </w:tcPr>
          <w:p w:rsidR="0003597F" w:rsidRPr="00AD3AB6" w:rsidRDefault="0003597F" w:rsidP="0003597F">
            <w:pPr>
              <w:pStyle w:val="TCTableBody"/>
              <w:jc w:val="center"/>
            </w:pPr>
            <w:r w:rsidRPr="00AD3AB6">
              <w:t>2836</w:t>
            </w:r>
          </w:p>
        </w:tc>
        <w:tc>
          <w:tcPr>
            <w:tcW w:w="883" w:type="dxa"/>
            <w:tcBorders>
              <w:top w:val="single" w:sz="8" w:space="0" w:color="auto"/>
            </w:tcBorders>
            <w:tcMar>
              <w:left w:w="28" w:type="dxa"/>
              <w:right w:w="28" w:type="dxa"/>
            </w:tcMar>
            <w:vAlign w:val="center"/>
          </w:tcPr>
          <w:p w:rsidR="0003597F" w:rsidRPr="00AD3AB6" w:rsidRDefault="0003597F" w:rsidP="0003597F">
            <w:pPr>
              <w:pStyle w:val="TCTableBody"/>
              <w:jc w:val="center"/>
            </w:pPr>
            <w:r w:rsidRPr="00AD3AB6">
              <w:t>-</w:t>
            </w:r>
          </w:p>
        </w:tc>
        <w:tc>
          <w:tcPr>
            <w:tcW w:w="813" w:type="dxa"/>
            <w:tcBorders>
              <w:top w:val="single" w:sz="8" w:space="0" w:color="auto"/>
            </w:tcBorders>
            <w:tcMar>
              <w:left w:w="28" w:type="dxa"/>
              <w:right w:w="28" w:type="dxa"/>
            </w:tcMar>
            <w:vAlign w:val="center"/>
          </w:tcPr>
          <w:p w:rsidR="0003597F" w:rsidRPr="00AD3AB6" w:rsidRDefault="0003597F" w:rsidP="0003597F">
            <w:pPr>
              <w:pStyle w:val="TCTableBody"/>
              <w:jc w:val="center"/>
            </w:pPr>
            <w:r w:rsidRPr="00AD3AB6">
              <w:t>-</w:t>
            </w:r>
          </w:p>
        </w:tc>
      </w:tr>
      <w:tr w:rsidR="00AD3AB6" w:rsidRPr="00AD3AB6" w:rsidTr="0003597F">
        <w:trPr>
          <w:cantSplit/>
          <w:trHeight w:val="20"/>
          <w:jc w:val="center"/>
        </w:trPr>
        <w:tc>
          <w:tcPr>
            <w:tcW w:w="466" w:type="dxa"/>
            <w:tcMar>
              <w:left w:w="28" w:type="dxa"/>
              <w:right w:w="28" w:type="dxa"/>
            </w:tcMar>
            <w:vAlign w:val="center"/>
          </w:tcPr>
          <w:p w:rsidR="0003597F" w:rsidRPr="00AD3AB6" w:rsidRDefault="0003597F" w:rsidP="0003597F">
            <w:pPr>
              <w:pStyle w:val="TCTableBody"/>
            </w:pPr>
            <w:r w:rsidRPr="00AD3AB6">
              <w:t>2</w:t>
            </w:r>
          </w:p>
        </w:tc>
        <w:tc>
          <w:tcPr>
            <w:tcW w:w="918" w:type="dxa"/>
            <w:tcMar>
              <w:left w:w="28" w:type="dxa"/>
              <w:right w:w="28" w:type="dxa"/>
            </w:tcMar>
            <w:vAlign w:val="center"/>
          </w:tcPr>
          <w:p w:rsidR="0003597F" w:rsidRPr="00AD3AB6" w:rsidRDefault="0003597F" w:rsidP="0003597F">
            <w:pPr>
              <w:pStyle w:val="TCTableBody"/>
              <w:jc w:val="center"/>
            </w:pPr>
            <w:r w:rsidRPr="00AD3AB6">
              <w:t>25</w:t>
            </w:r>
          </w:p>
        </w:tc>
        <w:tc>
          <w:tcPr>
            <w:tcW w:w="851" w:type="dxa"/>
            <w:tcMar>
              <w:left w:w="28" w:type="dxa"/>
              <w:right w:w="28" w:type="dxa"/>
            </w:tcMar>
            <w:vAlign w:val="center"/>
          </w:tcPr>
          <w:p w:rsidR="0003597F" w:rsidRPr="00AD3AB6" w:rsidRDefault="0003597F" w:rsidP="0003597F">
            <w:pPr>
              <w:pStyle w:val="TCTableBody"/>
              <w:jc w:val="center"/>
            </w:pPr>
            <w:r w:rsidRPr="00AD3AB6">
              <w:t>0</w:t>
            </w:r>
          </w:p>
        </w:tc>
        <w:tc>
          <w:tcPr>
            <w:tcW w:w="709" w:type="dxa"/>
            <w:tcMar>
              <w:left w:w="28" w:type="dxa"/>
              <w:right w:w="28" w:type="dxa"/>
            </w:tcMar>
            <w:vAlign w:val="center"/>
          </w:tcPr>
          <w:p w:rsidR="0003597F" w:rsidRPr="00AD3AB6" w:rsidRDefault="0003597F" w:rsidP="0003597F">
            <w:pPr>
              <w:pStyle w:val="TCTableBody"/>
              <w:jc w:val="center"/>
            </w:pPr>
            <w:r w:rsidRPr="00AD3AB6">
              <w:t>4</w:t>
            </w:r>
          </w:p>
        </w:tc>
        <w:tc>
          <w:tcPr>
            <w:tcW w:w="662" w:type="dxa"/>
            <w:tcMar>
              <w:left w:w="28" w:type="dxa"/>
              <w:right w:w="28" w:type="dxa"/>
            </w:tcMar>
            <w:vAlign w:val="center"/>
          </w:tcPr>
          <w:p w:rsidR="0003597F" w:rsidRPr="00AD3AB6" w:rsidRDefault="0003597F" w:rsidP="0003597F">
            <w:pPr>
              <w:pStyle w:val="TCTableBody"/>
              <w:jc w:val="center"/>
            </w:pPr>
            <w:r w:rsidRPr="00AD3AB6">
              <w:t>2.3</w:t>
            </w:r>
          </w:p>
        </w:tc>
        <w:tc>
          <w:tcPr>
            <w:tcW w:w="709" w:type="dxa"/>
            <w:tcMar>
              <w:left w:w="28" w:type="dxa"/>
              <w:right w:w="28" w:type="dxa"/>
            </w:tcMar>
            <w:vAlign w:val="center"/>
          </w:tcPr>
          <w:p w:rsidR="0003597F" w:rsidRPr="00AD3AB6" w:rsidRDefault="0003597F" w:rsidP="0003597F">
            <w:pPr>
              <w:pStyle w:val="TCTableBody"/>
              <w:jc w:val="center"/>
            </w:pPr>
            <w:r w:rsidRPr="00AD3AB6">
              <w:t>6</w:t>
            </w:r>
          </w:p>
        </w:tc>
        <w:tc>
          <w:tcPr>
            <w:tcW w:w="951" w:type="dxa"/>
            <w:tcMar>
              <w:left w:w="28" w:type="dxa"/>
              <w:right w:w="28" w:type="dxa"/>
            </w:tcMar>
            <w:vAlign w:val="center"/>
          </w:tcPr>
          <w:p w:rsidR="0003597F" w:rsidRPr="00AD3AB6" w:rsidRDefault="0003597F" w:rsidP="0003597F">
            <w:pPr>
              <w:pStyle w:val="TCTableBody"/>
              <w:jc w:val="center"/>
            </w:pPr>
            <w:r w:rsidRPr="00AD3AB6">
              <w:t>-</w:t>
            </w:r>
          </w:p>
        </w:tc>
        <w:tc>
          <w:tcPr>
            <w:tcW w:w="883" w:type="dxa"/>
            <w:tcMar>
              <w:left w:w="28" w:type="dxa"/>
              <w:right w:w="28" w:type="dxa"/>
            </w:tcMar>
            <w:vAlign w:val="center"/>
          </w:tcPr>
          <w:p w:rsidR="0003597F" w:rsidRPr="00AD3AB6" w:rsidRDefault="0003597F" w:rsidP="0003597F">
            <w:pPr>
              <w:pStyle w:val="TCTableBody"/>
              <w:jc w:val="center"/>
            </w:pPr>
            <w:r w:rsidRPr="00AD3AB6">
              <w:t>-</w:t>
            </w:r>
          </w:p>
        </w:tc>
        <w:tc>
          <w:tcPr>
            <w:tcW w:w="813" w:type="dxa"/>
            <w:tcMar>
              <w:left w:w="28" w:type="dxa"/>
              <w:right w:w="28" w:type="dxa"/>
            </w:tcMar>
            <w:vAlign w:val="center"/>
          </w:tcPr>
          <w:p w:rsidR="0003597F" w:rsidRPr="00AD3AB6" w:rsidRDefault="0003597F" w:rsidP="0003597F">
            <w:pPr>
              <w:pStyle w:val="TCTableBody"/>
              <w:jc w:val="center"/>
            </w:pPr>
            <w:r w:rsidRPr="00AD3AB6">
              <w:t>-</w:t>
            </w:r>
          </w:p>
        </w:tc>
      </w:tr>
      <w:tr w:rsidR="00AD3AB6" w:rsidRPr="00AD3AB6" w:rsidTr="0003597F">
        <w:trPr>
          <w:cantSplit/>
          <w:trHeight w:val="20"/>
          <w:jc w:val="center"/>
        </w:trPr>
        <w:tc>
          <w:tcPr>
            <w:tcW w:w="466" w:type="dxa"/>
            <w:tcMar>
              <w:left w:w="28" w:type="dxa"/>
              <w:right w:w="28" w:type="dxa"/>
            </w:tcMar>
            <w:vAlign w:val="center"/>
          </w:tcPr>
          <w:p w:rsidR="0003597F" w:rsidRPr="00AD3AB6" w:rsidRDefault="0003597F" w:rsidP="0003597F">
            <w:pPr>
              <w:pStyle w:val="TCTableBody"/>
            </w:pPr>
            <w:r w:rsidRPr="00AD3AB6">
              <w:t>3</w:t>
            </w:r>
            <w:r w:rsidRPr="00AD3AB6">
              <w:rPr>
                <w:vertAlign w:val="superscript"/>
              </w:rPr>
              <w:t>[c]</w:t>
            </w:r>
          </w:p>
        </w:tc>
        <w:tc>
          <w:tcPr>
            <w:tcW w:w="918" w:type="dxa"/>
            <w:tcMar>
              <w:left w:w="28" w:type="dxa"/>
              <w:right w:w="28" w:type="dxa"/>
            </w:tcMar>
            <w:vAlign w:val="center"/>
          </w:tcPr>
          <w:p w:rsidR="0003597F" w:rsidRPr="00AD3AB6" w:rsidRDefault="0003597F" w:rsidP="0003597F">
            <w:pPr>
              <w:pStyle w:val="TCTableBody"/>
              <w:jc w:val="center"/>
            </w:pPr>
            <w:r w:rsidRPr="00AD3AB6">
              <w:t>25</w:t>
            </w:r>
          </w:p>
        </w:tc>
        <w:tc>
          <w:tcPr>
            <w:tcW w:w="851" w:type="dxa"/>
            <w:tcMar>
              <w:left w:w="28" w:type="dxa"/>
              <w:right w:w="28" w:type="dxa"/>
            </w:tcMar>
            <w:vAlign w:val="center"/>
          </w:tcPr>
          <w:p w:rsidR="0003597F" w:rsidRPr="00AD3AB6" w:rsidRDefault="0003597F" w:rsidP="0003597F">
            <w:pPr>
              <w:pStyle w:val="TCTableBody"/>
              <w:jc w:val="center"/>
            </w:pPr>
            <w:r w:rsidRPr="00AD3AB6">
              <w:t>5</w:t>
            </w:r>
          </w:p>
        </w:tc>
        <w:tc>
          <w:tcPr>
            <w:tcW w:w="709" w:type="dxa"/>
            <w:tcMar>
              <w:left w:w="28" w:type="dxa"/>
              <w:right w:w="28" w:type="dxa"/>
            </w:tcMar>
            <w:vAlign w:val="center"/>
          </w:tcPr>
          <w:p w:rsidR="0003597F" w:rsidRPr="00AD3AB6" w:rsidRDefault="0003597F" w:rsidP="0003597F">
            <w:pPr>
              <w:pStyle w:val="TCTableBody"/>
              <w:jc w:val="center"/>
            </w:pPr>
            <w:r w:rsidRPr="00AD3AB6">
              <w:t>4</w:t>
            </w:r>
          </w:p>
        </w:tc>
        <w:tc>
          <w:tcPr>
            <w:tcW w:w="662" w:type="dxa"/>
            <w:tcMar>
              <w:left w:w="28" w:type="dxa"/>
              <w:right w:w="28" w:type="dxa"/>
            </w:tcMar>
            <w:vAlign w:val="center"/>
          </w:tcPr>
          <w:p w:rsidR="0003597F" w:rsidRPr="00AD3AB6" w:rsidRDefault="0003597F" w:rsidP="0003597F">
            <w:pPr>
              <w:pStyle w:val="TCTableBody"/>
              <w:jc w:val="center"/>
            </w:pPr>
            <w:r w:rsidRPr="00AD3AB6">
              <w:t>2.3</w:t>
            </w:r>
          </w:p>
        </w:tc>
        <w:tc>
          <w:tcPr>
            <w:tcW w:w="709" w:type="dxa"/>
            <w:tcMar>
              <w:left w:w="28" w:type="dxa"/>
              <w:right w:w="28" w:type="dxa"/>
            </w:tcMar>
            <w:vAlign w:val="center"/>
          </w:tcPr>
          <w:p w:rsidR="0003597F" w:rsidRPr="00AD3AB6" w:rsidRDefault="0003597F" w:rsidP="0003597F">
            <w:pPr>
              <w:pStyle w:val="TCTableBody"/>
              <w:jc w:val="center"/>
            </w:pPr>
            <w:r w:rsidRPr="00AD3AB6">
              <w:t>93</w:t>
            </w:r>
          </w:p>
        </w:tc>
        <w:tc>
          <w:tcPr>
            <w:tcW w:w="951" w:type="dxa"/>
            <w:tcMar>
              <w:left w:w="28" w:type="dxa"/>
              <w:right w:w="28" w:type="dxa"/>
            </w:tcMar>
            <w:vAlign w:val="center"/>
          </w:tcPr>
          <w:p w:rsidR="0003597F" w:rsidRPr="00AD3AB6" w:rsidRDefault="0003597F" w:rsidP="0003597F">
            <w:pPr>
              <w:pStyle w:val="TCTableBody"/>
              <w:jc w:val="center"/>
            </w:pPr>
            <w:r w:rsidRPr="00AD3AB6">
              <w:t>2941</w:t>
            </w:r>
          </w:p>
        </w:tc>
        <w:tc>
          <w:tcPr>
            <w:tcW w:w="883" w:type="dxa"/>
            <w:tcMar>
              <w:left w:w="28" w:type="dxa"/>
              <w:right w:w="28" w:type="dxa"/>
            </w:tcMar>
            <w:vAlign w:val="center"/>
          </w:tcPr>
          <w:p w:rsidR="0003597F" w:rsidRPr="00AD3AB6" w:rsidRDefault="0003597F" w:rsidP="0003597F">
            <w:pPr>
              <w:pStyle w:val="TCTableBody"/>
              <w:jc w:val="center"/>
            </w:pPr>
            <w:r w:rsidRPr="00AD3AB6">
              <w:t>3760</w:t>
            </w:r>
          </w:p>
        </w:tc>
        <w:tc>
          <w:tcPr>
            <w:tcW w:w="813" w:type="dxa"/>
            <w:tcMar>
              <w:left w:w="28" w:type="dxa"/>
              <w:right w:w="28" w:type="dxa"/>
            </w:tcMar>
            <w:vAlign w:val="center"/>
          </w:tcPr>
          <w:p w:rsidR="0003597F" w:rsidRPr="00AD3AB6" w:rsidRDefault="0003597F" w:rsidP="0003597F">
            <w:pPr>
              <w:pStyle w:val="TCTableBody"/>
              <w:jc w:val="center"/>
            </w:pPr>
            <w:r w:rsidRPr="00AD3AB6">
              <w:t>1.07</w:t>
            </w:r>
          </w:p>
        </w:tc>
      </w:tr>
      <w:tr w:rsidR="00AD3AB6" w:rsidRPr="00AD3AB6" w:rsidTr="0003597F">
        <w:trPr>
          <w:cantSplit/>
          <w:trHeight w:val="20"/>
          <w:jc w:val="center"/>
        </w:trPr>
        <w:tc>
          <w:tcPr>
            <w:tcW w:w="466" w:type="dxa"/>
            <w:tcMar>
              <w:left w:w="28" w:type="dxa"/>
              <w:right w:w="28" w:type="dxa"/>
            </w:tcMar>
            <w:vAlign w:val="center"/>
          </w:tcPr>
          <w:p w:rsidR="0003597F" w:rsidRPr="00AD3AB6" w:rsidRDefault="0003597F" w:rsidP="0003597F">
            <w:pPr>
              <w:pStyle w:val="TCTableBody"/>
            </w:pPr>
            <w:r w:rsidRPr="00AD3AB6">
              <w:t>4</w:t>
            </w:r>
          </w:p>
        </w:tc>
        <w:tc>
          <w:tcPr>
            <w:tcW w:w="918" w:type="dxa"/>
            <w:tcMar>
              <w:left w:w="28" w:type="dxa"/>
              <w:right w:w="28" w:type="dxa"/>
            </w:tcMar>
            <w:vAlign w:val="center"/>
          </w:tcPr>
          <w:p w:rsidR="0003597F" w:rsidRPr="00AD3AB6" w:rsidRDefault="0003597F" w:rsidP="0003597F">
            <w:pPr>
              <w:pStyle w:val="TCTableBody"/>
              <w:jc w:val="center"/>
            </w:pPr>
            <w:r w:rsidRPr="00AD3AB6">
              <w:t>100</w:t>
            </w:r>
          </w:p>
        </w:tc>
        <w:tc>
          <w:tcPr>
            <w:tcW w:w="851" w:type="dxa"/>
            <w:tcMar>
              <w:left w:w="28" w:type="dxa"/>
              <w:right w:w="28" w:type="dxa"/>
            </w:tcMar>
            <w:vAlign w:val="center"/>
          </w:tcPr>
          <w:p w:rsidR="0003597F" w:rsidRPr="00AD3AB6" w:rsidRDefault="0003597F" w:rsidP="0003597F">
            <w:pPr>
              <w:pStyle w:val="TCTableBody"/>
              <w:jc w:val="center"/>
            </w:pPr>
            <w:r w:rsidRPr="00AD3AB6">
              <w:t>1</w:t>
            </w:r>
          </w:p>
        </w:tc>
        <w:tc>
          <w:tcPr>
            <w:tcW w:w="709" w:type="dxa"/>
            <w:tcMar>
              <w:left w:w="28" w:type="dxa"/>
              <w:right w:w="28" w:type="dxa"/>
            </w:tcMar>
            <w:vAlign w:val="center"/>
          </w:tcPr>
          <w:p w:rsidR="0003597F" w:rsidRPr="00AD3AB6" w:rsidRDefault="0003597F" w:rsidP="0003597F">
            <w:pPr>
              <w:pStyle w:val="TCTableBody"/>
              <w:jc w:val="center"/>
            </w:pPr>
            <w:r w:rsidRPr="00AD3AB6">
              <w:t>4</w:t>
            </w:r>
          </w:p>
        </w:tc>
        <w:tc>
          <w:tcPr>
            <w:tcW w:w="662" w:type="dxa"/>
            <w:tcMar>
              <w:left w:w="28" w:type="dxa"/>
              <w:right w:w="28" w:type="dxa"/>
            </w:tcMar>
            <w:vAlign w:val="center"/>
          </w:tcPr>
          <w:p w:rsidR="0003597F" w:rsidRPr="00AD3AB6" w:rsidRDefault="0003597F" w:rsidP="0003597F">
            <w:pPr>
              <w:pStyle w:val="TCTableBody"/>
              <w:jc w:val="center"/>
            </w:pPr>
            <w:r w:rsidRPr="00AD3AB6">
              <w:t>2.3</w:t>
            </w:r>
          </w:p>
        </w:tc>
        <w:tc>
          <w:tcPr>
            <w:tcW w:w="709" w:type="dxa"/>
            <w:tcMar>
              <w:left w:w="28" w:type="dxa"/>
              <w:right w:w="28" w:type="dxa"/>
            </w:tcMar>
            <w:vAlign w:val="center"/>
          </w:tcPr>
          <w:p w:rsidR="0003597F" w:rsidRPr="00AD3AB6" w:rsidRDefault="0003597F" w:rsidP="0003597F">
            <w:pPr>
              <w:pStyle w:val="TCTableBody"/>
              <w:jc w:val="center"/>
            </w:pPr>
            <w:r w:rsidRPr="00AD3AB6">
              <w:t>91</w:t>
            </w:r>
          </w:p>
        </w:tc>
        <w:tc>
          <w:tcPr>
            <w:tcW w:w="951" w:type="dxa"/>
            <w:tcMar>
              <w:left w:w="28" w:type="dxa"/>
              <w:right w:w="28" w:type="dxa"/>
            </w:tcMar>
            <w:vAlign w:val="center"/>
          </w:tcPr>
          <w:p w:rsidR="0003597F" w:rsidRPr="00AD3AB6" w:rsidRDefault="0003597F" w:rsidP="0003597F">
            <w:pPr>
              <w:pStyle w:val="TCTableBody"/>
              <w:jc w:val="center"/>
            </w:pPr>
            <w:r w:rsidRPr="00AD3AB6">
              <w:t>10773</w:t>
            </w:r>
          </w:p>
        </w:tc>
        <w:tc>
          <w:tcPr>
            <w:tcW w:w="883" w:type="dxa"/>
            <w:tcMar>
              <w:left w:w="28" w:type="dxa"/>
              <w:right w:w="28" w:type="dxa"/>
            </w:tcMar>
            <w:vAlign w:val="center"/>
          </w:tcPr>
          <w:p w:rsidR="0003597F" w:rsidRPr="00AD3AB6" w:rsidRDefault="0003597F" w:rsidP="0003597F">
            <w:pPr>
              <w:pStyle w:val="TCTableBody"/>
              <w:jc w:val="center"/>
            </w:pPr>
            <w:r w:rsidRPr="00AD3AB6">
              <w:t>15570</w:t>
            </w:r>
          </w:p>
        </w:tc>
        <w:tc>
          <w:tcPr>
            <w:tcW w:w="813" w:type="dxa"/>
            <w:tcMar>
              <w:left w:w="28" w:type="dxa"/>
              <w:right w:w="28" w:type="dxa"/>
            </w:tcMar>
            <w:vAlign w:val="center"/>
          </w:tcPr>
          <w:p w:rsidR="0003597F" w:rsidRPr="00AD3AB6" w:rsidRDefault="0003597F" w:rsidP="0003597F">
            <w:pPr>
              <w:pStyle w:val="TCTableBody"/>
              <w:jc w:val="center"/>
            </w:pPr>
            <w:r w:rsidRPr="00AD3AB6">
              <w:t>1.08</w:t>
            </w:r>
          </w:p>
        </w:tc>
      </w:tr>
      <w:tr w:rsidR="00AD3AB6" w:rsidRPr="00AD3AB6" w:rsidTr="0003597F">
        <w:trPr>
          <w:cantSplit/>
          <w:trHeight w:val="20"/>
          <w:jc w:val="center"/>
        </w:trPr>
        <w:tc>
          <w:tcPr>
            <w:tcW w:w="466" w:type="dxa"/>
            <w:tcBorders>
              <w:bottom w:val="single" w:sz="4" w:space="0" w:color="auto"/>
            </w:tcBorders>
            <w:tcMar>
              <w:left w:w="28" w:type="dxa"/>
              <w:right w:w="28" w:type="dxa"/>
            </w:tcMar>
            <w:vAlign w:val="center"/>
          </w:tcPr>
          <w:p w:rsidR="0003597F" w:rsidRPr="00AD3AB6" w:rsidRDefault="0003597F" w:rsidP="0003597F">
            <w:pPr>
              <w:pStyle w:val="TCTableBody"/>
            </w:pPr>
            <w:r w:rsidRPr="00AD3AB6">
              <w:t>5</w:t>
            </w:r>
          </w:p>
        </w:tc>
        <w:tc>
          <w:tcPr>
            <w:tcW w:w="918" w:type="dxa"/>
            <w:tcBorders>
              <w:bottom w:val="single" w:sz="4" w:space="0" w:color="auto"/>
            </w:tcBorders>
            <w:tcMar>
              <w:left w:w="28" w:type="dxa"/>
              <w:right w:w="28" w:type="dxa"/>
            </w:tcMar>
            <w:vAlign w:val="center"/>
          </w:tcPr>
          <w:p w:rsidR="0003597F" w:rsidRPr="00AD3AB6" w:rsidRDefault="0003597F" w:rsidP="0003597F">
            <w:pPr>
              <w:pStyle w:val="TCTableBody"/>
              <w:jc w:val="center"/>
            </w:pPr>
            <w:r w:rsidRPr="00AD3AB6">
              <w:t>100</w:t>
            </w:r>
          </w:p>
        </w:tc>
        <w:tc>
          <w:tcPr>
            <w:tcW w:w="851" w:type="dxa"/>
            <w:tcBorders>
              <w:bottom w:val="single" w:sz="4" w:space="0" w:color="auto"/>
            </w:tcBorders>
            <w:tcMar>
              <w:left w:w="28" w:type="dxa"/>
              <w:right w:w="28" w:type="dxa"/>
            </w:tcMar>
            <w:vAlign w:val="center"/>
          </w:tcPr>
          <w:p w:rsidR="0003597F" w:rsidRPr="00AD3AB6" w:rsidRDefault="0003597F" w:rsidP="0003597F">
            <w:pPr>
              <w:pStyle w:val="TCTableBody"/>
              <w:jc w:val="center"/>
            </w:pPr>
            <w:r w:rsidRPr="00AD3AB6">
              <w:t>1</w:t>
            </w:r>
          </w:p>
        </w:tc>
        <w:tc>
          <w:tcPr>
            <w:tcW w:w="709" w:type="dxa"/>
            <w:tcBorders>
              <w:bottom w:val="single" w:sz="4" w:space="0" w:color="auto"/>
            </w:tcBorders>
            <w:tcMar>
              <w:left w:w="28" w:type="dxa"/>
              <w:right w:w="28" w:type="dxa"/>
            </w:tcMar>
            <w:vAlign w:val="center"/>
          </w:tcPr>
          <w:p w:rsidR="0003597F" w:rsidRPr="00AD3AB6" w:rsidRDefault="0003597F" w:rsidP="0003597F">
            <w:pPr>
              <w:pStyle w:val="TCTableBody"/>
              <w:jc w:val="center"/>
            </w:pPr>
            <w:r w:rsidRPr="00AD3AB6">
              <w:t>10</w:t>
            </w:r>
          </w:p>
        </w:tc>
        <w:tc>
          <w:tcPr>
            <w:tcW w:w="662" w:type="dxa"/>
            <w:tcBorders>
              <w:bottom w:val="single" w:sz="4" w:space="0" w:color="auto"/>
            </w:tcBorders>
            <w:tcMar>
              <w:left w:w="28" w:type="dxa"/>
              <w:right w:w="28" w:type="dxa"/>
            </w:tcMar>
            <w:vAlign w:val="center"/>
          </w:tcPr>
          <w:p w:rsidR="0003597F" w:rsidRPr="00AD3AB6" w:rsidRDefault="0003597F" w:rsidP="0003597F">
            <w:pPr>
              <w:pStyle w:val="TCTableBody"/>
              <w:jc w:val="center"/>
            </w:pPr>
            <w:r w:rsidRPr="00AD3AB6">
              <w:t>2.3</w:t>
            </w:r>
          </w:p>
        </w:tc>
        <w:tc>
          <w:tcPr>
            <w:tcW w:w="709" w:type="dxa"/>
            <w:tcBorders>
              <w:bottom w:val="single" w:sz="4" w:space="0" w:color="auto"/>
            </w:tcBorders>
            <w:tcMar>
              <w:left w:w="28" w:type="dxa"/>
              <w:right w:w="28" w:type="dxa"/>
            </w:tcMar>
            <w:vAlign w:val="center"/>
          </w:tcPr>
          <w:p w:rsidR="0003597F" w:rsidRPr="00AD3AB6" w:rsidRDefault="0003597F" w:rsidP="0003597F">
            <w:pPr>
              <w:pStyle w:val="TCTableBody"/>
              <w:jc w:val="center"/>
            </w:pPr>
            <w:r w:rsidRPr="00AD3AB6">
              <w:t>89</w:t>
            </w:r>
          </w:p>
        </w:tc>
        <w:tc>
          <w:tcPr>
            <w:tcW w:w="951" w:type="dxa"/>
            <w:tcBorders>
              <w:bottom w:val="single" w:sz="4" w:space="0" w:color="auto"/>
            </w:tcBorders>
            <w:tcMar>
              <w:left w:w="28" w:type="dxa"/>
              <w:right w:w="28" w:type="dxa"/>
            </w:tcMar>
            <w:vAlign w:val="center"/>
          </w:tcPr>
          <w:p w:rsidR="0003597F" w:rsidRPr="00AD3AB6" w:rsidRDefault="0003597F" w:rsidP="0003597F">
            <w:pPr>
              <w:pStyle w:val="TCTableBody"/>
              <w:jc w:val="center"/>
            </w:pPr>
            <w:r w:rsidRPr="00AD3AB6">
              <w:t>10589</w:t>
            </w:r>
          </w:p>
        </w:tc>
        <w:tc>
          <w:tcPr>
            <w:tcW w:w="883" w:type="dxa"/>
            <w:tcBorders>
              <w:bottom w:val="single" w:sz="4" w:space="0" w:color="auto"/>
            </w:tcBorders>
            <w:tcMar>
              <w:left w:w="28" w:type="dxa"/>
              <w:right w:w="28" w:type="dxa"/>
            </w:tcMar>
            <w:vAlign w:val="center"/>
          </w:tcPr>
          <w:p w:rsidR="0003597F" w:rsidRPr="00AD3AB6" w:rsidRDefault="0003597F" w:rsidP="0003597F">
            <w:pPr>
              <w:pStyle w:val="TCTableBody"/>
              <w:jc w:val="center"/>
            </w:pPr>
            <w:r w:rsidRPr="00AD3AB6">
              <w:t>15030</w:t>
            </w:r>
          </w:p>
        </w:tc>
        <w:tc>
          <w:tcPr>
            <w:tcW w:w="813" w:type="dxa"/>
            <w:tcBorders>
              <w:bottom w:val="single" w:sz="4" w:space="0" w:color="auto"/>
            </w:tcBorders>
            <w:tcMar>
              <w:left w:w="28" w:type="dxa"/>
              <w:right w:w="28" w:type="dxa"/>
            </w:tcMar>
            <w:vAlign w:val="center"/>
          </w:tcPr>
          <w:p w:rsidR="0003597F" w:rsidRPr="00AD3AB6" w:rsidRDefault="0003597F" w:rsidP="0003597F">
            <w:pPr>
              <w:pStyle w:val="TCTableBody"/>
              <w:jc w:val="center"/>
            </w:pPr>
            <w:r w:rsidRPr="00AD3AB6">
              <w:t>1.08</w:t>
            </w:r>
          </w:p>
        </w:tc>
      </w:tr>
    </w:tbl>
    <w:p w:rsidR="0003597F" w:rsidRPr="00AD3AB6" w:rsidRDefault="0003597F" w:rsidP="0003597F">
      <w:pPr>
        <w:pStyle w:val="TCTableBody"/>
      </w:pPr>
      <w:r w:rsidRPr="00AD3AB6">
        <w:t>Notes: In all polymerizations [HEA] = 2 M in 1:4 methanol : PBS; [</w:t>
      </w:r>
      <w:r w:rsidR="003A4639" w:rsidRPr="00AD3AB6">
        <w:t>VA044</w:t>
      </w:r>
      <w:r w:rsidRPr="00AD3AB6">
        <w:t>] / [</w:t>
      </w:r>
      <w:r w:rsidR="003A4639" w:rsidRPr="00AD3AB6">
        <w:t>CTA</w:t>
      </w:r>
      <w:r w:rsidRPr="00AD3AB6">
        <w:t xml:space="preserve">] = </w:t>
      </w:r>
      <w:r w:rsidR="003A4639" w:rsidRPr="00AD3AB6">
        <w:t>0.05</w:t>
      </w:r>
      <w:r w:rsidRPr="00AD3AB6">
        <w:t xml:space="preserve"> with CTA </w:t>
      </w:r>
      <w:r w:rsidRPr="00AD3AB6">
        <w:rPr>
          <w:b/>
        </w:rPr>
        <w:t>1</w:t>
      </w:r>
      <w:r w:rsidRPr="00AD3AB6">
        <w:t xml:space="preserve">. [a] DMF </w:t>
      </w:r>
      <w:r w:rsidR="00775C69" w:rsidRPr="00AD3AB6">
        <w:t>SEC</w:t>
      </w:r>
      <w:r w:rsidRPr="00AD3AB6">
        <w:t xml:space="preserve"> using MH parameters for PEO against PS standards. [b] Sample degassed with Ar. [c] Samples with and without a lid give very similar results. </w:t>
      </w:r>
    </w:p>
    <w:p w:rsidR="00464979" w:rsidRPr="00AD3AB6" w:rsidRDefault="00464979" w:rsidP="00792734">
      <w:pPr>
        <w:pStyle w:val="TAMainText"/>
        <w:rPr>
          <w:b/>
        </w:rPr>
      </w:pPr>
    </w:p>
    <w:p w:rsidR="00792734" w:rsidRPr="00AD3AB6" w:rsidRDefault="00464979" w:rsidP="00792734">
      <w:pPr>
        <w:pStyle w:val="TAMainText"/>
      </w:pPr>
      <w:r w:rsidRPr="00AD3AB6">
        <w:rPr>
          <w:b/>
        </w:rPr>
        <w:lastRenderedPageBreak/>
        <w:t>Reducing the initiator concentration</w:t>
      </w:r>
      <w:r w:rsidR="00B35CBE" w:rsidRPr="00AD3AB6">
        <w:rPr>
          <w:b/>
        </w:rPr>
        <w:t>.</w:t>
      </w:r>
      <w:r w:rsidR="00B35CBE" w:rsidRPr="00AD3AB6">
        <w:t xml:space="preserve"> </w:t>
      </w:r>
      <w:r w:rsidR="00792734" w:rsidRPr="00AD3AB6">
        <w:t xml:space="preserve">In all of the above experiments 1 to 5 mM of initiator were used, resulting in CTA / initiator ratios of 20. </w:t>
      </w:r>
      <w:r w:rsidR="00C13066" w:rsidRPr="00AD3AB6">
        <w:t>In RAFT</w:t>
      </w:r>
      <w:r w:rsidR="006C73CA" w:rsidRPr="00AD3AB6">
        <w:t xml:space="preserve"> reactions</w:t>
      </w:r>
      <w:r w:rsidR="00C13066" w:rsidRPr="00AD3AB6">
        <w:t>, the fraction of living chains at the end of a polymerization, and thus the degree of control achieved, is entirely depende</w:t>
      </w:r>
      <w:r w:rsidR="006C73CA" w:rsidRPr="00AD3AB6">
        <w:t>nt on this ratio. Thus w</w:t>
      </w:r>
      <w:r w:rsidR="00C13066" w:rsidRPr="00AD3AB6">
        <w:t xml:space="preserve">e proceeded to investigate </w:t>
      </w:r>
      <w:r w:rsidR="006C73CA" w:rsidRPr="00AD3AB6">
        <w:t>the extent to which</w:t>
      </w:r>
      <w:r w:rsidR="00C13066" w:rsidRPr="00AD3AB6">
        <w:t xml:space="preserve"> the </w:t>
      </w:r>
      <w:r w:rsidR="00792734" w:rsidRPr="00AD3AB6">
        <w:t xml:space="preserve">concentration of initiator </w:t>
      </w:r>
      <w:r w:rsidR="006C73CA" w:rsidRPr="00AD3AB6">
        <w:t>could be reduced before the number of radicals in the system was so low as to be quenched by the small amount of residual oxygen that was presumed to be present</w:t>
      </w:r>
      <w:r w:rsidR="003A4639" w:rsidRPr="00AD3AB6">
        <w:t xml:space="preserve"> (Table 2</w:t>
      </w:r>
      <w:r w:rsidR="00792734" w:rsidRPr="00AD3AB6">
        <w:t xml:space="preserve">, entries 6-10). Figure </w:t>
      </w:r>
      <w:r w:rsidR="007674C6" w:rsidRPr="00AD3AB6">
        <w:t>4</w:t>
      </w:r>
      <w:r w:rsidR="00792734" w:rsidRPr="00AD3AB6">
        <w:t xml:space="preserve">a shows the </w:t>
      </w:r>
      <w:r w:rsidR="00792734" w:rsidRPr="00AD3AB6">
        <w:rPr>
          <w:vertAlign w:val="superscript"/>
        </w:rPr>
        <w:t>1</w:t>
      </w:r>
      <w:r w:rsidR="00792734" w:rsidRPr="00AD3AB6">
        <w:t>H-NMR of the crude reaction mixture of these polymerizations after 20 h at 45°C. As can be seen from the decrease in the vinyl peaks at 6.5 ppm relative to the RAFT agent CH</w:t>
      </w:r>
      <w:r w:rsidR="00792734" w:rsidRPr="00AD3AB6">
        <w:rPr>
          <w:vertAlign w:val="subscript"/>
        </w:rPr>
        <w:t>3</w:t>
      </w:r>
      <w:r w:rsidR="00792734" w:rsidRPr="00AD3AB6">
        <w:t xml:space="preserve"> group at 1.0 ppm, when 2.5 mM initiator was used full monomer conversion was seen after 20 h even at only 1 µM GOx. At 500 µM of initiator almost full conversion was observed, dropping to ~ 60% at 100 µM initiator, indicating that without stirring 1 µM GOx was able to degas sufficiently well for 100 – 500 µM initiator to be used. For a DP 25 polymer at a monomer concentration of 2 M, such initiator concentrations represent CTA / initiator ratios of 200 – 1000, which would be expected to produce polymers with &gt; 99.5% living chain ends (Table </w:t>
      </w:r>
      <w:r w:rsidR="003A4639" w:rsidRPr="00AD3AB6">
        <w:t>2</w:t>
      </w:r>
      <w:r w:rsidR="00792734" w:rsidRPr="00AD3AB6">
        <w:t xml:space="preserve">, entries 7-8). All polymers demonstrated narrow monomodal molecular weight distributions by </w:t>
      </w:r>
      <w:r w:rsidR="00775C69" w:rsidRPr="00AD3AB6">
        <w:t>SEC</w:t>
      </w:r>
      <w:r w:rsidR="00792734" w:rsidRPr="00AD3AB6">
        <w:t xml:space="preserve"> (</w:t>
      </w:r>
      <w:r w:rsidR="00792734" w:rsidRPr="00AD3AB6">
        <w:rPr>
          <w:i/>
        </w:rPr>
        <w:t>Ð</w:t>
      </w:r>
      <w:r w:rsidR="00792734" w:rsidRPr="00AD3AB6">
        <w:t xml:space="preserve"> &lt; 1.1, Figure </w:t>
      </w:r>
      <w:r w:rsidR="007674C6" w:rsidRPr="00AD3AB6">
        <w:t>4</w:t>
      </w:r>
      <w:r w:rsidR="00792734" w:rsidRPr="00AD3AB6">
        <w:t xml:space="preserve">b). The ability to generate very well controlled polymers using GOx degassing was demonstrated by the preparation of a tetra-block polymer of HEA (Table </w:t>
      </w:r>
      <w:r w:rsidR="003A4639" w:rsidRPr="00AD3AB6">
        <w:t>2</w:t>
      </w:r>
      <w:r w:rsidR="00792734" w:rsidRPr="00AD3AB6">
        <w:t>, entry 11-14). In these reactions, each block was polymerized for 20 h to &lt;99% conversion without stirring, at which point fresh initiator and HEA was added for the next block extension without purification. Fresh GOx (500 nM) was added for each extension, resulting in a total GOx concentration of 1.4 µM after the 4</w:t>
      </w:r>
      <w:r w:rsidR="00792734" w:rsidRPr="00AD3AB6">
        <w:rPr>
          <w:vertAlign w:val="superscript"/>
        </w:rPr>
        <w:t>th</w:t>
      </w:r>
      <w:r w:rsidR="00792734" w:rsidRPr="00AD3AB6">
        <w:t xml:space="preserve"> block. The initiator concentration was maintained at 1 mM throughout, which would be expected to result in polymer with 96.5% living chain ends after the 4</w:t>
      </w:r>
      <w:r w:rsidR="00792734" w:rsidRPr="00AD3AB6">
        <w:rPr>
          <w:vertAlign w:val="superscript"/>
        </w:rPr>
        <w:t>th</w:t>
      </w:r>
      <w:r w:rsidR="00792734" w:rsidRPr="00AD3AB6">
        <w:t xml:space="preserve"> block. As can be seen in the </w:t>
      </w:r>
      <w:r w:rsidR="00775C69" w:rsidRPr="00AD3AB6">
        <w:t>SEC</w:t>
      </w:r>
      <w:r w:rsidR="00792734" w:rsidRPr="00AD3AB6">
        <w:t xml:space="preserve"> traces (Figure </w:t>
      </w:r>
      <w:r w:rsidR="007674C6" w:rsidRPr="00AD3AB6">
        <w:t>4</w:t>
      </w:r>
      <w:r w:rsidR="00792734" w:rsidRPr="00AD3AB6">
        <w:t xml:space="preserve">c), excellent </w:t>
      </w:r>
      <w:r w:rsidR="00792734" w:rsidRPr="00AD3AB6">
        <w:lastRenderedPageBreak/>
        <w:t>extension of the polymer at each block was achieved. No tailing of the molecular weight distribution towards low molecular weight was observed, indicative of the high control and chain-end fidelity achieved by this system.</w:t>
      </w:r>
    </w:p>
    <w:p w:rsidR="00BD780D" w:rsidRPr="00AD3AB6" w:rsidRDefault="00BD780D" w:rsidP="00792734">
      <w:pPr>
        <w:pStyle w:val="TAMainText"/>
      </w:pPr>
    </w:p>
    <w:p w:rsidR="00792734" w:rsidRPr="00AD3AB6" w:rsidRDefault="00792734" w:rsidP="007674C6">
      <w:pPr>
        <w:pStyle w:val="VAFigureCaption"/>
      </w:pPr>
      <w:r w:rsidRPr="00AD3AB6">
        <w:rPr>
          <w:noProof/>
          <w:lang w:val="en-GB" w:eastAsia="en-GB"/>
        </w:rPr>
        <w:drawing>
          <wp:inline distT="0" distB="0" distL="0" distR="0" wp14:anchorId="7E4B36DB" wp14:editId="26845DB4">
            <wp:extent cx="3997842" cy="4371667"/>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1652" cy="4375833"/>
                    </a:xfrm>
                    <a:prstGeom prst="rect">
                      <a:avLst/>
                    </a:prstGeom>
                    <a:noFill/>
                  </pic:spPr>
                </pic:pic>
              </a:graphicData>
            </a:graphic>
          </wp:inline>
        </w:drawing>
      </w:r>
    </w:p>
    <w:p w:rsidR="00792734" w:rsidRPr="00AD3AB6" w:rsidRDefault="00792734" w:rsidP="007674C6">
      <w:pPr>
        <w:pStyle w:val="VAFigureCaption"/>
      </w:pPr>
      <w:r w:rsidRPr="00AD3AB6">
        <w:rPr>
          <w:b/>
        </w:rPr>
        <w:t xml:space="preserve">Figure </w:t>
      </w:r>
      <w:r w:rsidR="007674C6" w:rsidRPr="00AD3AB6">
        <w:rPr>
          <w:b/>
        </w:rPr>
        <w:t>4.</w:t>
      </w:r>
      <w:r w:rsidRPr="00AD3AB6">
        <w:t xml:space="preserve"> GOx degassed HEA polymerizations at low initiator concentrations. [M]/[CTA] = 25 in all cases. (a) </w:t>
      </w:r>
      <w:r w:rsidRPr="00AD3AB6">
        <w:rPr>
          <w:vertAlign w:val="superscript"/>
        </w:rPr>
        <w:t>1</w:t>
      </w:r>
      <w:r w:rsidRPr="00AD3AB6">
        <w:t>H-NMR spectra (</w:t>
      </w:r>
      <w:r w:rsidRPr="00AD3AB6">
        <w:rPr>
          <w:i/>
        </w:rPr>
        <w:t>d6</w:t>
      </w:r>
      <w:r w:rsidRPr="00AD3AB6">
        <w:t xml:space="preserve">-DMSO) of polymerization solutions containing 1 µM GOx and 0 – 2.5 mM VA044 after 20 h at 45°C showing decreasing monomer signal with increasing initiator concentration (6 - 10), and (b) the corresponding </w:t>
      </w:r>
      <w:r w:rsidR="00775C69" w:rsidRPr="00AD3AB6">
        <w:t>SEC</w:t>
      </w:r>
      <w:r w:rsidRPr="00AD3AB6">
        <w:t xml:space="preserve"> normali</w:t>
      </w:r>
      <w:r w:rsidR="00464979" w:rsidRPr="00AD3AB6">
        <w:t>z</w:t>
      </w:r>
      <w:r w:rsidRPr="00AD3AB6">
        <w:t xml:space="preserve">ed RI traces, (c) </w:t>
      </w:r>
      <w:r w:rsidR="00775C69" w:rsidRPr="00AD3AB6">
        <w:t>SEC</w:t>
      </w:r>
      <w:r w:rsidRPr="00AD3AB6">
        <w:t xml:space="preserve"> normali</w:t>
      </w:r>
      <w:r w:rsidR="00464979" w:rsidRPr="00AD3AB6">
        <w:t>z</w:t>
      </w:r>
      <w:r w:rsidRPr="00AD3AB6">
        <w:t>ed RI traces for each block in a tetra-block polymer synthesized by three successive chain extensions with HEA (11-14). Each polymerization was performed at 45°C for 20 h. GOx (500 nM) and VA044 (1 mM) was added for each extension.</w:t>
      </w:r>
    </w:p>
    <w:p w:rsidR="00BD780D" w:rsidRPr="00AD3AB6" w:rsidRDefault="00BD780D" w:rsidP="00BD780D"/>
    <w:p w:rsidR="00BD780D" w:rsidRPr="00AD3AB6" w:rsidRDefault="00BD780D" w:rsidP="00BD780D"/>
    <w:p w:rsidR="0003597F" w:rsidRPr="00AD3AB6" w:rsidRDefault="0003597F" w:rsidP="003A4639">
      <w:pPr>
        <w:pStyle w:val="VBChartTitle"/>
      </w:pPr>
      <w:r w:rsidRPr="00AD3AB6">
        <w:rPr>
          <w:b/>
        </w:rPr>
        <w:lastRenderedPageBreak/>
        <w:t>Table 2</w:t>
      </w:r>
      <w:r w:rsidR="003A4639" w:rsidRPr="00AD3AB6">
        <w:rPr>
          <w:b/>
        </w:rPr>
        <w:t>.</w:t>
      </w:r>
      <w:r w:rsidRPr="00AD3AB6">
        <w:t xml:space="preserve"> Examples of HEA polymerizations at low initiator concentrations</w:t>
      </w:r>
    </w:p>
    <w:tbl>
      <w:tblPr>
        <w:tblStyle w:val="TableGrid"/>
        <w:tblW w:w="94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9"/>
        <w:gridCol w:w="1012"/>
        <w:gridCol w:w="780"/>
        <w:gridCol w:w="907"/>
        <w:gridCol w:w="1087"/>
        <w:gridCol w:w="707"/>
        <w:gridCol w:w="707"/>
        <w:gridCol w:w="952"/>
        <w:gridCol w:w="992"/>
        <w:gridCol w:w="810"/>
        <w:gridCol w:w="910"/>
      </w:tblGrid>
      <w:tr w:rsidR="00AD3AB6" w:rsidRPr="00AD3AB6" w:rsidTr="00464979">
        <w:trPr>
          <w:jc w:val="center"/>
        </w:trPr>
        <w:tc>
          <w:tcPr>
            <w:tcW w:w="569" w:type="dxa"/>
            <w:tcBorders>
              <w:top w:val="single" w:sz="8" w:space="0" w:color="auto"/>
              <w:bottom w:val="single" w:sz="8" w:space="0" w:color="auto"/>
            </w:tcBorders>
            <w:tcMar>
              <w:left w:w="28" w:type="dxa"/>
              <w:right w:w="28" w:type="dxa"/>
            </w:tcMar>
          </w:tcPr>
          <w:p w:rsidR="003A4639" w:rsidRPr="00AD3AB6" w:rsidRDefault="003A4639" w:rsidP="0003597F">
            <w:pPr>
              <w:pStyle w:val="StyleTCTableBodyBold"/>
            </w:pPr>
            <w:r w:rsidRPr="00AD3AB6">
              <w:t>#</w:t>
            </w:r>
          </w:p>
        </w:tc>
        <w:tc>
          <w:tcPr>
            <w:tcW w:w="1012" w:type="dxa"/>
            <w:tcBorders>
              <w:top w:val="single" w:sz="8" w:space="0" w:color="auto"/>
              <w:bottom w:val="single" w:sz="8" w:space="0" w:color="auto"/>
            </w:tcBorders>
            <w:tcMar>
              <w:left w:w="28" w:type="dxa"/>
              <w:right w:w="28" w:type="dxa"/>
            </w:tcMar>
          </w:tcPr>
          <w:p w:rsidR="003A4639" w:rsidRPr="00AD3AB6" w:rsidRDefault="003A4639" w:rsidP="0003597F">
            <w:pPr>
              <w:pStyle w:val="StyleTCTableBodyBold"/>
            </w:pPr>
            <w:r w:rsidRPr="00AD3AB6">
              <w:t>[MeOH]</w:t>
            </w:r>
            <w:r w:rsidRPr="00AD3AB6">
              <w:rPr>
                <w:vertAlign w:val="superscript"/>
              </w:rPr>
              <w:t>[a]</w:t>
            </w:r>
          </w:p>
        </w:tc>
        <w:tc>
          <w:tcPr>
            <w:tcW w:w="780" w:type="dxa"/>
            <w:tcBorders>
              <w:top w:val="single" w:sz="8" w:space="0" w:color="auto"/>
              <w:bottom w:val="single" w:sz="8" w:space="0" w:color="auto"/>
            </w:tcBorders>
            <w:tcMar>
              <w:left w:w="28" w:type="dxa"/>
              <w:right w:w="28" w:type="dxa"/>
            </w:tcMar>
          </w:tcPr>
          <w:p w:rsidR="003A4639" w:rsidRPr="00AD3AB6" w:rsidRDefault="003A4639" w:rsidP="0003597F">
            <w:pPr>
              <w:pStyle w:val="StyleTCTableBodyBold"/>
            </w:pPr>
            <w:r w:rsidRPr="00AD3AB6">
              <w:t>[M] / [CTA]</w:t>
            </w:r>
          </w:p>
        </w:tc>
        <w:tc>
          <w:tcPr>
            <w:tcW w:w="907" w:type="dxa"/>
            <w:tcBorders>
              <w:top w:val="single" w:sz="8" w:space="0" w:color="auto"/>
              <w:bottom w:val="single" w:sz="8" w:space="0" w:color="auto"/>
            </w:tcBorders>
            <w:tcMar>
              <w:left w:w="28" w:type="dxa"/>
              <w:right w:w="28" w:type="dxa"/>
            </w:tcMar>
          </w:tcPr>
          <w:p w:rsidR="003A4639" w:rsidRPr="00AD3AB6" w:rsidRDefault="003A4639" w:rsidP="0003597F">
            <w:pPr>
              <w:pStyle w:val="StyleTCTableBodyBold"/>
            </w:pPr>
            <w:r w:rsidRPr="00AD3AB6">
              <w:t>[VA044] (µM)</w:t>
            </w:r>
          </w:p>
        </w:tc>
        <w:tc>
          <w:tcPr>
            <w:tcW w:w="1087" w:type="dxa"/>
            <w:tcBorders>
              <w:top w:val="single" w:sz="8" w:space="0" w:color="auto"/>
              <w:bottom w:val="single" w:sz="8" w:space="0" w:color="auto"/>
            </w:tcBorders>
            <w:tcMar>
              <w:left w:w="28" w:type="dxa"/>
              <w:right w:w="28" w:type="dxa"/>
            </w:tcMar>
          </w:tcPr>
          <w:p w:rsidR="003A4639" w:rsidRPr="00AD3AB6" w:rsidRDefault="003A4639" w:rsidP="0003597F">
            <w:pPr>
              <w:pStyle w:val="StyleTCTableBodyBold"/>
            </w:pPr>
            <w:r w:rsidRPr="00AD3AB6">
              <w:t>[CTA] / [VA044]</w:t>
            </w:r>
          </w:p>
        </w:tc>
        <w:tc>
          <w:tcPr>
            <w:tcW w:w="707" w:type="dxa"/>
            <w:tcBorders>
              <w:top w:val="single" w:sz="8" w:space="0" w:color="auto"/>
              <w:bottom w:val="single" w:sz="8" w:space="0" w:color="auto"/>
            </w:tcBorders>
            <w:tcMar>
              <w:left w:w="28" w:type="dxa"/>
              <w:right w:w="28" w:type="dxa"/>
            </w:tcMar>
          </w:tcPr>
          <w:p w:rsidR="003A4639" w:rsidRPr="00AD3AB6" w:rsidRDefault="003A4639" w:rsidP="0003597F">
            <w:pPr>
              <w:pStyle w:val="StyleTCTableBodyBold"/>
            </w:pPr>
            <w:r w:rsidRPr="00AD3AB6">
              <w:t>[GOx] (µM)</w:t>
            </w:r>
          </w:p>
        </w:tc>
        <w:tc>
          <w:tcPr>
            <w:tcW w:w="707" w:type="dxa"/>
            <w:tcBorders>
              <w:top w:val="single" w:sz="8" w:space="0" w:color="auto"/>
              <w:bottom w:val="single" w:sz="8" w:space="0" w:color="auto"/>
            </w:tcBorders>
            <w:tcMar>
              <w:left w:w="28" w:type="dxa"/>
              <w:right w:w="28" w:type="dxa"/>
            </w:tcMar>
          </w:tcPr>
          <w:p w:rsidR="003A4639" w:rsidRPr="00AD3AB6" w:rsidRDefault="003A4639" w:rsidP="0003597F">
            <w:pPr>
              <w:pStyle w:val="StyleTCTableBodyBold"/>
            </w:pPr>
            <w:r w:rsidRPr="00AD3AB6">
              <w:t>X</w:t>
            </w:r>
            <w:r w:rsidR="00464979" w:rsidRPr="00AD3AB6">
              <w:t xml:space="preserve">   </w:t>
            </w:r>
            <w:r w:rsidRPr="00AD3AB6">
              <w:t xml:space="preserve"> (%)</w:t>
            </w:r>
          </w:p>
        </w:tc>
        <w:tc>
          <w:tcPr>
            <w:tcW w:w="952" w:type="dxa"/>
            <w:tcBorders>
              <w:top w:val="single" w:sz="8" w:space="0" w:color="auto"/>
              <w:bottom w:val="single" w:sz="8" w:space="0" w:color="auto"/>
            </w:tcBorders>
            <w:tcMar>
              <w:left w:w="28" w:type="dxa"/>
              <w:right w:w="28" w:type="dxa"/>
            </w:tcMar>
          </w:tcPr>
          <w:p w:rsidR="003A4639" w:rsidRPr="00AD3AB6" w:rsidRDefault="003A4639" w:rsidP="0003597F">
            <w:pPr>
              <w:pStyle w:val="StyleTCTableBodyBold"/>
            </w:pPr>
            <w:r w:rsidRPr="00AD3AB6">
              <w:rPr>
                <w:i/>
              </w:rPr>
              <w:t>M</w:t>
            </w:r>
            <w:r w:rsidRPr="00AD3AB6">
              <w:rPr>
                <w:vertAlign w:val="subscript"/>
              </w:rPr>
              <w:t>n</w:t>
            </w:r>
            <w:r w:rsidRPr="00AD3AB6">
              <w:t xml:space="preserve"> theor (Da)</w:t>
            </w:r>
          </w:p>
        </w:tc>
        <w:tc>
          <w:tcPr>
            <w:tcW w:w="992" w:type="dxa"/>
            <w:tcBorders>
              <w:top w:val="single" w:sz="8" w:space="0" w:color="auto"/>
              <w:bottom w:val="single" w:sz="8" w:space="0" w:color="auto"/>
            </w:tcBorders>
            <w:tcMar>
              <w:left w:w="28" w:type="dxa"/>
              <w:right w:w="28" w:type="dxa"/>
            </w:tcMar>
          </w:tcPr>
          <w:p w:rsidR="003A4639" w:rsidRPr="00AD3AB6" w:rsidRDefault="003A4639" w:rsidP="0003597F">
            <w:pPr>
              <w:pStyle w:val="StyleTCTableBodyBold"/>
            </w:pPr>
            <w:r w:rsidRPr="00AD3AB6">
              <w:rPr>
                <w:i/>
              </w:rPr>
              <w:t>M</w:t>
            </w:r>
            <w:r w:rsidRPr="00AD3AB6">
              <w:rPr>
                <w:vertAlign w:val="subscript"/>
              </w:rPr>
              <w:t>n</w:t>
            </w:r>
            <w:r w:rsidRPr="00AD3AB6">
              <w:t xml:space="preserve"> </w:t>
            </w:r>
            <w:r w:rsidR="00775C69" w:rsidRPr="00AD3AB6">
              <w:t>SEC</w:t>
            </w:r>
            <w:r w:rsidRPr="00AD3AB6">
              <w:t xml:space="preserve"> (Da)</w:t>
            </w:r>
            <w:r w:rsidRPr="00AD3AB6">
              <w:rPr>
                <w:vertAlign w:val="superscript"/>
              </w:rPr>
              <w:t xml:space="preserve"> [b]</w:t>
            </w:r>
          </w:p>
        </w:tc>
        <w:tc>
          <w:tcPr>
            <w:tcW w:w="810" w:type="dxa"/>
            <w:tcBorders>
              <w:top w:val="single" w:sz="8" w:space="0" w:color="auto"/>
              <w:bottom w:val="single" w:sz="8" w:space="0" w:color="auto"/>
            </w:tcBorders>
            <w:tcMar>
              <w:left w:w="28" w:type="dxa"/>
              <w:right w:w="28" w:type="dxa"/>
            </w:tcMar>
          </w:tcPr>
          <w:p w:rsidR="003A4639" w:rsidRPr="00AD3AB6" w:rsidRDefault="003A4639" w:rsidP="0003597F">
            <w:pPr>
              <w:pStyle w:val="TCTableBody"/>
              <w:jc w:val="center"/>
              <w:rPr>
                <w:b/>
              </w:rPr>
            </w:pPr>
            <w:r w:rsidRPr="00AD3AB6">
              <w:rPr>
                <w:rFonts w:ascii="Constantia" w:hAnsi="Constantia"/>
                <w:b/>
                <w:i/>
              </w:rPr>
              <w:t xml:space="preserve">Ð </w:t>
            </w:r>
            <w:r w:rsidRPr="00AD3AB6">
              <w:rPr>
                <w:b/>
                <w:vertAlign w:val="superscript"/>
              </w:rPr>
              <w:t>[b]</w:t>
            </w:r>
          </w:p>
        </w:tc>
        <w:tc>
          <w:tcPr>
            <w:tcW w:w="910" w:type="dxa"/>
            <w:tcBorders>
              <w:top w:val="single" w:sz="8" w:space="0" w:color="auto"/>
              <w:bottom w:val="single" w:sz="8" w:space="0" w:color="auto"/>
            </w:tcBorders>
            <w:tcMar>
              <w:left w:w="28" w:type="dxa"/>
              <w:right w:w="28" w:type="dxa"/>
            </w:tcMar>
          </w:tcPr>
          <w:p w:rsidR="003A4639" w:rsidRPr="00AD3AB6" w:rsidRDefault="003A4639" w:rsidP="0003597F">
            <w:pPr>
              <w:pStyle w:val="StyleTCTableBodyBold"/>
            </w:pPr>
            <w:r w:rsidRPr="00AD3AB6">
              <w:t xml:space="preserve">% living chains </w:t>
            </w:r>
            <w:r w:rsidRPr="00AD3AB6">
              <w:rPr>
                <w:vertAlign w:val="superscript"/>
              </w:rPr>
              <w:t>[c]</w:t>
            </w:r>
          </w:p>
        </w:tc>
      </w:tr>
      <w:tr w:rsidR="00AD3AB6" w:rsidRPr="00AD3AB6" w:rsidTr="00464979">
        <w:trPr>
          <w:trHeight w:val="57"/>
          <w:jc w:val="center"/>
        </w:trPr>
        <w:tc>
          <w:tcPr>
            <w:tcW w:w="569" w:type="dxa"/>
            <w:tcBorders>
              <w:top w:val="single" w:sz="4" w:space="0" w:color="auto"/>
            </w:tcBorders>
            <w:tcMar>
              <w:left w:w="28" w:type="dxa"/>
              <w:right w:w="28" w:type="dxa"/>
            </w:tcMar>
            <w:vAlign w:val="center"/>
          </w:tcPr>
          <w:p w:rsidR="003A4639" w:rsidRPr="00AD3AB6" w:rsidRDefault="003A4639" w:rsidP="0003597F">
            <w:pPr>
              <w:pStyle w:val="StyleTCTableBodyBold"/>
              <w:rPr>
                <w:b w:val="0"/>
              </w:rPr>
            </w:pPr>
            <w:r w:rsidRPr="00AD3AB6">
              <w:rPr>
                <w:b w:val="0"/>
              </w:rPr>
              <w:t>6</w:t>
            </w:r>
          </w:p>
        </w:tc>
        <w:tc>
          <w:tcPr>
            <w:tcW w:w="1012"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20%</w:t>
            </w:r>
          </w:p>
        </w:tc>
        <w:tc>
          <w:tcPr>
            <w:tcW w:w="780"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25</w:t>
            </w:r>
          </w:p>
        </w:tc>
        <w:tc>
          <w:tcPr>
            <w:tcW w:w="907"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2500</w:t>
            </w:r>
          </w:p>
        </w:tc>
        <w:tc>
          <w:tcPr>
            <w:tcW w:w="1087"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40</w:t>
            </w:r>
          </w:p>
        </w:tc>
        <w:tc>
          <w:tcPr>
            <w:tcW w:w="707"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1</w:t>
            </w:r>
          </w:p>
        </w:tc>
        <w:tc>
          <w:tcPr>
            <w:tcW w:w="707"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100</w:t>
            </w:r>
          </w:p>
        </w:tc>
        <w:tc>
          <w:tcPr>
            <w:tcW w:w="952"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3135</w:t>
            </w:r>
          </w:p>
        </w:tc>
        <w:tc>
          <w:tcPr>
            <w:tcW w:w="992"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4570</w:t>
            </w:r>
          </w:p>
        </w:tc>
        <w:tc>
          <w:tcPr>
            <w:tcW w:w="810"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1.05</w:t>
            </w:r>
          </w:p>
        </w:tc>
        <w:tc>
          <w:tcPr>
            <w:tcW w:w="910"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97.5</w:t>
            </w:r>
          </w:p>
        </w:tc>
      </w:tr>
      <w:tr w:rsidR="00AD3AB6" w:rsidRPr="00AD3AB6" w:rsidTr="00464979">
        <w:trPr>
          <w:trHeight w:val="57"/>
          <w:jc w:val="center"/>
        </w:trPr>
        <w:tc>
          <w:tcPr>
            <w:tcW w:w="569" w:type="dxa"/>
            <w:tcMar>
              <w:left w:w="28" w:type="dxa"/>
              <w:right w:w="28" w:type="dxa"/>
            </w:tcMar>
            <w:vAlign w:val="center"/>
          </w:tcPr>
          <w:p w:rsidR="003A4639" w:rsidRPr="00AD3AB6" w:rsidRDefault="003A4639" w:rsidP="0003597F">
            <w:pPr>
              <w:pStyle w:val="StyleTCTableBodyBold"/>
              <w:rPr>
                <w:b w:val="0"/>
              </w:rPr>
            </w:pPr>
            <w:r w:rsidRPr="00AD3AB6">
              <w:rPr>
                <w:b w:val="0"/>
              </w:rPr>
              <w:t>7</w:t>
            </w:r>
          </w:p>
        </w:tc>
        <w:tc>
          <w:tcPr>
            <w:tcW w:w="1012" w:type="dxa"/>
            <w:tcMar>
              <w:left w:w="28" w:type="dxa"/>
              <w:right w:w="28" w:type="dxa"/>
            </w:tcMar>
            <w:vAlign w:val="center"/>
          </w:tcPr>
          <w:p w:rsidR="003A4639" w:rsidRPr="00AD3AB6" w:rsidRDefault="003A4639" w:rsidP="0003597F">
            <w:pPr>
              <w:pStyle w:val="TCTableBody"/>
              <w:jc w:val="center"/>
            </w:pPr>
            <w:r w:rsidRPr="00AD3AB6">
              <w:t>20%</w:t>
            </w:r>
          </w:p>
        </w:tc>
        <w:tc>
          <w:tcPr>
            <w:tcW w:w="780" w:type="dxa"/>
            <w:tcMar>
              <w:left w:w="28" w:type="dxa"/>
              <w:right w:w="28" w:type="dxa"/>
            </w:tcMar>
            <w:vAlign w:val="center"/>
          </w:tcPr>
          <w:p w:rsidR="003A4639" w:rsidRPr="00AD3AB6" w:rsidRDefault="003A4639" w:rsidP="0003597F">
            <w:pPr>
              <w:pStyle w:val="TCTableBody"/>
              <w:jc w:val="center"/>
            </w:pPr>
            <w:r w:rsidRPr="00AD3AB6">
              <w:t>25</w:t>
            </w:r>
          </w:p>
        </w:tc>
        <w:tc>
          <w:tcPr>
            <w:tcW w:w="907" w:type="dxa"/>
            <w:tcMar>
              <w:left w:w="28" w:type="dxa"/>
              <w:right w:w="28" w:type="dxa"/>
            </w:tcMar>
            <w:vAlign w:val="center"/>
          </w:tcPr>
          <w:p w:rsidR="003A4639" w:rsidRPr="00AD3AB6" w:rsidRDefault="003A4639" w:rsidP="0003597F">
            <w:pPr>
              <w:pStyle w:val="TCTableBody"/>
              <w:jc w:val="center"/>
            </w:pPr>
            <w:r w:rsidRPr="00AD3AB6">
              <w:t>500</w:t>
            </w:r>
          </w:p>
        </w:tc>
        <w:tc>
          <w:tcPr>
            <w:tcW w:w="1087" w:type="dxa"/>
            <w:tcMar>
              <w:left w:w="28" w:type="dxa"/>
              <w:right w:w="28" w:type="dxa"/>
            </w:tcMar>
            <w:vAlign w:val="center"/>
          </w:tcPr>
          <w:p w:rsidR="003A4639" w:rsidRPr="00AD3AB6" w:rsidRDefault="003A4639" w:rsidP="0003597F">
            <w:pPr>
              <w:pStyle w:val="TCTableBody"/>
              <w:jc w:val="center"/>
            </w:pPr>
            <w:r w:rsidRPr="00AD3AB6">
              <w:t>200</w:t>
            </w:r>
          </w:p>
        </w:tc>
        <w:tc>
          <w:tcPr>
            <w:tcW w:w="707" w:type="dxa"/>
            <w:tcMar>
              <w:left w:w="28" w:type="dxa"/>
              <w:right w:w="28" w:type="dxa"/>
            </w:tcMar>
            <w:vAlign w:val="center"/>
          </w:tcPr>
          <w:p w:rsidR="003A4639" w:rsidRPr="00AD3AB6" w:rsidRDefault="003A4639" w:rsidP="0003597F">
            <w:pPr>
              <w:pStyle w:val="TCTableBody"/>
              <w:jc w:val="center"/>
            </w:pPr>
            <w:r w:rsidRPr="00AD3AB6">
              <w:t>1</w:t>
            </w:r>
          </w:p>
        </w:tc>
        <w:tc>
          <w:tcPr>
            <w:tcW w:w="707" w:type="dxa"/>
            <w:tcMar>
              <w:left w:w="28" w:type="dxa"/>
              <w:right w:w="28" w:type="dxa"/>
            </w:tcMar>
            <w:vAlign w:val="center"/>
          </w:tcPr>
          <w:p w:rsidR="003A4639" w:rsidRPr="00AD3AB6" w:rsidRDefault="003A4639" w:rsidP="0003597F">
            <w:pPr>
              <w:pStyle w:val="TCTableBody"/>
              <w:jc w:val="center"/>
            </w:pPr>
            <w:r w:rsidRPr="00AD3AB6">
              <w:t>96</w:t>
            </w:r>
          </w:p>
        </w:tc>
        <w:tc>
          <w:tcPr>
            <w:tcW w:w="952" w:type="dxa"/>
            <w:tcMar>
              <w:left w:w="28" w:type="dxa"/>
              <w:right w:w="28" w:type="dxa"/>
            </w:tcMar>
            <w:vAlign w:val="center"/>
          </w:tcPr>
          <w:p w:rsidR="003A4639" w:rsidRPr="00AD3AB6" w:rsidRDefault="003A4639" w:rsidP="0003597F">
            <w:pPr>
              <w:pStyle w:val="TCTableBody"/>
              <w:jc w:val="center"/>
            </w:pPr>
            <w:r w:rsidRPr="00AD3AB6">
              <w:t>3031</w:t>
            </w:r>
          </w:p>
        </w:tc>
        <w:tc>
          <w:tcPr>
            <w:tcW w:w="992" w:type="dxa"/>
            <w:tcMar>
              <w:left w:w="28" w:type="dxa"/>
              <w:right w:w="28" w:type="dxa"/>
            </w:tcMar>
            <w:vAlign w:val="center"/>
          </w:tcPr>
          <w:p w:rsidR="003A4639" w:rsidRPr="00AD3AB6" w:rsidRDefault="003A4639" w:rsidP="0003597F">
            <w:pPr>
              <w:pStyle w:val="TCTableBody"/>
              <w:jc w:val="center"/>
            </w:pPr>
            <w:r w:rsidRPr="00AD3AB6">
              <w:t>4210</w:t>
            </w:r>
          </w:p>
        </w:tc>
        <w:tc>
          <w:tcPr>
            <w:tcW w:w="810" w:type="dxa"/>
            <w:tcMar>
              <w:left w:w="28" w:type="dxa"/>
              <w:right w:w="28" w:type="dxa"/>
            </w:tcMar>
            <w:vAlign w:val="center"/>
          </w:tcPr>
          <w:p w:rsidR="003A4639" w:rsidRPr="00AD3AB6" w:rsidRDefault="003A4639" w:rsidP="0003597F">
            <w:pPr>
              <w:pStyle w:val="TCTableBody"/>
              <w:jc w:val="center"/>
            </w:pPr>
            <w:r w:rsidRPr="00AD3AB6">
              <w:t>1.05</w:t>
            </w:r>
          </w:p>
        </w:tc>
        <w:tc>
          <w:tcPr>
            <w:tcW w:w="910" w:type="dxa"/>
            <w:tcMar>
              <w:left w:w="28" w:type="dxa"/>
              <w:right w:w="28" w:type="dxa"/>
            </w:tcMar>
            <w:vAlign w:val="center"/>
          </w:tcPr>
          <w:p w:rsidR="003A4639" w:rsidRPr="00AD3AB6" w:rsidRDefault="003A4639" w:rsidP="0003597F">
            <w:pPr>
              <w:pStyle w:val="TCTableBody"/>
              <w:jc w:val="center"/>
            </w:pPr>
            <w:r w:rsidRPr="00AD3AB6">
              <w:t>99.5</w:t>
            </w:r>
          </w:p>
        </w:tc>
      </w:tr>
      <w:tr w:rsidR="00AD3AB6" w:rsidRPr="00AD3AB6" w:rsidTr="00464979">
        <w:trPr>
          <w:trHeight w:val="57"/>
          <w:jc w:val="center"/>
        </w:trPr>
        <w:tc>
          <w:tcPr>
            <w:tcW w:w="569" w:type="dxa"/>
            <w:tcMar>
              <w:left w:w="28" w:type="dxa"/>
              <w:right w:w="28" w:type="dxa"/>
            </w:tcMar>
            <w:vAlign w:val="center"/>
          </w:tcPr>
          <w:p w:rsidR="003A4639" w:rsidRPr="00AD3AB6" w:rsidRDefault="003A4639" w:rsidP="0003597F">
            <w:pPr>
              <w:pStyle w:val="StyleTCTableBodyBold"/>
              <w:rPr>
                <w:b w:val="0"/>
              </w:rPr>
            </w:pPr>
            <w:r w:rsidRPr="00AD3AB6">
              <w:rPr>
                <w:b w:val="0"/>
              </w:rPr>
              <w:t>8</w:t>
            </w:r>
          </w:p>
        </w:tc>
        <w:tc>
          <w:tcPr>
            <w:tcW w:w="1012" w:type="dxa"/>
            <w:tcMar>
              <w:left w:w="28" w:type="dxa"/>
              <w:right w:w="28" w:type="dxa"/>
            </w:tcMar>
            <w:vAlign w:val="center"/>
          </w:tcPr>
          <w:p w:rsidR="003A4639" w:rsidRPr="00AD3AB6" w:rsidRDefault="003A4639" w:rsidP="0003597F">
            <w:pPr>
              <w:pStyle w:val="TCTableBody"/>
              <w:jc w:val="center"/>
            </w:pPr>
            <w:r w:rsidRPr="00AD3AB6">
              <w:t>20%</w:t>
            </w:r>
          </w:p>
        </w:tc>
        <w:tc>
          <w:tcPr>
            <w:tcW w:w="780" w:type="dxa"/>
            <w:tcMar>
              <w:left w:w="28" w:type="dxa"/>
              <w:right w:w="28" w:type="dxa"/>
            </w:tcMar>
            <w:vAlign w:val="center"/>
          </w:tcPr>
          <w:p w:rsidR="003A4639" w:rsidRPr="00AD3AB6" w:rsidRDefault="003A4639" w:rsidP="0003597F">
            <w:pPr>
              <w:pStyle w:val="TCTableBody"/>
              <w:jc w:val="center"/>
            </w:pPr>
            <w:r w:rsidRPr="00AD3AB6">
              <w:t>25</w:t>
            </w:r>
          </w:p>
        </w:tc>
        <w:tc>
          <w:tcPr>
            <w:tcW w:w="907" w:type="dxa"/>
            <w:tcMar>
              <w:left w:w="28" w:type="dxa"/>
              <w:right w:w="28" w:type="dxa"/>
            </w:tcMar>
            <w:vAlign w:val="center"/>
          </w:tcPr>
          <w:p w:rsidR="003A4639" w:rsidRPr="00AD3AB6" w:rsidRDefault="003A4639" w:rsidP="0003597F">
            <w:pPr>
              <w:pStyle w:val="TCTableBody"/>
              <w:jc w:val="center"/>
            </w:pPr>
            <w:r w:rsidRPr="00AD3AB6">
              <w:t>100</w:t>
            </w:r>
          </w:p>
        </w:tc>
        <w:tc>
          <w:tcPr>
            <w:tcW w:w="1087" w:type="dxa"/>
            <w:tcMar>
              <w:left w:w="28" w:type="dxa"/>
              <w:right w:w="28" w:type="dxa"/>
            </w:tcMar>
            <w:vAlign w:val="center"/>
          </w:tcPr>
          <w:p w:rsidR="003A4639" w:rsidRPr="00AD3AB6" w:rsidRDefault="003A4639" w:rsidP="0003597F">
            <w:pPr>
              <w:pStyle w:val="TCTableBody"/>
              <w:jc w:val="center"/>
            </w:pPr>
            <w:r w:rsidRPr="00AD3AB6">
              <w:t>1,000</w:t>
            </w:r>
          </w:p>
        </w:tc>
        <w:tc>
          <w:tcPr>
            <w:tcW w:w="707" w:type="dxa"/>
            <w:tcMar>
              <w:left w:w="28" w:type="dxa"/>
              <w:right w:w="28" w:type="dxa"/>
            </w:tcMar>
            <w:vAlign w:val="center"/>
          </w:tcPr>
          <w:p w:rsidR="003A4639" w:rsidRPr="00AD3AB6" w:rsidRDefault="003A4639" w:rsidP="0003597F">
            <w:pPr>
              <w:pStyle w:val="TCTableBody"/>
              <w:jc w:val="center"/>
            </w:pPr>
            <w:r w:rsidRPr="00AD3AB6">
              <w:t>1</w:t>
            </w:r>
          </w:p>
        </w:tc>
        <w:tc>
          <w:tcPr>
            <w:tcW w:w="707" w:type="dxa"/>
            <w:tcMar>
              <w:left w:w="28" w:type="dxa"/>
              <w:right w:w="28" w:type="dxa"/>
            </w:tcMar>
            <w:vAlign w:val="center"/>
          </w:tcPr>
          <w:p w:rsidR="003A4639" w:rsidRPr="00AD3AB6" w:rsidRDefault="003A4639" w:rsidP="0003597F">
            <w:pPr>
              <w:pStyle w:val="TCTableBody"/>
              <w:jc w:val="center"/>
            </w:pPr>
            <w:r w:rsidRPr="00AD3AB6">
              <w:t>58</w:t>
            </w:r>
          </w:p>
        </w:tc>
        <w:tc>
          <w:tcPr>
            <w:tcW w:w="952" w:type="dxa"/>
            <w:tcMar>
              <w:left w:w="28" w:type="dxa"/>
              <w:right w:w="28" w:type="dxa"/>
            </w:tcMar>
            <w:vAlign w:val="center"/>
          </w:tcPr>
          <w:p w:rsidR="003A4639" w:rsidRPr="00AD3AB6" w:rsidRDefault="003A4639" w:rsidP="0003597F">
            <w:pPr>
              <w:pStyle w:val="TCTableBody"/>
              <w:jc w:val="center"/>
            </w:pPr>
            <w:r w:rsidRPr="00AD3AB6">
              <w:t>1921</w:t>
            </w:r>
          </w:p>
        </w:tc>
        <w:tc>
          <w:tcPr>
            <w:tcW w:w="992" w:type="dxa"/>
            <w:tcMar>
              <w:left w:w="28" w:type="dxa"/>
              <w:right w:w="28" w:type="dxa"/>
            </w:tcMar>
            <w:vAlign w:val="center"/>
          </w:tcPr>
          <w:p w:rsidR="003A4639" w:rsidRPr="00AD3AB6" w:rsidRDefault="003A4639" w:rsidP="0003597F">
            <w:pPr>
              <w:pStyle w:val="TCTableBody"/>
              <w:jc w:val="center"/>
            </w:pPr>
            <w:r w:rsidRPr="00AD3AB6">
              <w:t>2820</w:t>
            </w:r>
          </w:p>
        </w:tc>
        <w:tc>
          <w:tcPr>
            <w:tcW w:w="810" w:type="dxa"/>
            <w:tcMar>
              <w:left w:w="28" w:type="dxa"/>
              <w:right w:w="28" w:type="dxa"/>
            </w:tcMar>
            <w:vAlign w:val="center"/>
          </w:tcPr>
          <w:p w:rsidR="003A4639" w:rsidRPr="00AD3AB6" w:rsidRDefault="003A4639" w:rsidP="0003597F">
            <w:pPr>
              <w:pStyle w:val="TCTableBody"/>
              <w:jc w:val="center"/>
            </w:pPr>
            <w:r w:rsidRPr="00AD3AB6">
              <w:t>1.06</w:t>
            </w:r>
          </w:p>
        </w:tc>
        <w:tc>
          <w:tcPr>
            <w:tcW w:w="910" w:type="dxa"/>
            <w:tcMar>
              <w:left w:w="28" w:type="dxa"/>
              <w:right w:w="28" w:type="dxa"/>
            </w:tcMar>
            <w:vAlign w:val="center"/>
          </w:tcPr>
          <w:p w:rsidR="003A4639" w:rsidRPr="00AD3AB6" w:rsidRDefault="003A4639" w:rsidP="0003597F">
            <w:pPr>
              <w:pStyle w:val="TCTableBody"/>
              <w:jc w:val="center"/>
            </w:pPr>
            <w:r w:rsidRPr="00AD3AB6">
              <w:t>99.9</w:t>
            </w:r>
          </w:p>
        </w:tc>
      </w:tr>
      <w:tr w:rsidR="00AD3AB6" w:rsidRPr="00AD3AB6" w:rsidTr="00464979">
        <w:trPr>
          <w:trHeight w:val="57"/>
          <w:jc w:val="center"/>
        </w:trPr>
        <w:tc>
          <w:tcPr>
            <w:tcW w:w="569" w:type="dxa"/>
            <w:tcMar>
              <w:left w:w="28" w:type="dxa"/>
              <w:right w:w="28" w:type="dxa"/>
            </w:tcMar>
            <w:vAlign w:val="center"/>
          </w:tcPr>
          <w:p w:rsidR="003A4639" w:rsidRPr="00AD3AB6" w:rsidRDefault="003A4639" w:rsidP="0003597F">
            <w:pPr>
              <w:pStyle w:val="StyleTCTableBodyBold"/>
              <w:rPr>
                <w:b w:val="0"/>
              </w:rPr>
            </w:pPr>
            <w:r w:rsidRPr="00AD3AB6">
              <w:rPr>
                <w:b w:val="0"/>
              </w:rPr>
              <w:t>9</w:t>
            </w:r>
          </w:p>
        </w:tc>
        <w:tc>
          <w:tcPr>
            <w:tcW w:w="1012" w:type="dxa"/>
            <w:tcMar>
              <w:left w:w="28" w:type="dxa"/>
              <w:right w:w="28" w:type="dxa"/>
            </w:tcMar>
            <w:vAlign w:val="center"/>
          </w:tcPr>
          <w:p w:rsidR="003A4639" w:rsidRPr="00AD3AB6" w:rsidRDefault="003A4639" w:rsidP="0003597F">
            <w:pPr>
              <w:pStyle w:val="TCTableBody"/>
              <w:jc w:val="center"/>
            </w:pPr>
            <w:r w:rsidRPr="00AD3AB6">
              <w:t>20%</w:t>
            </w:r>
          </w:p>
        </w:tc>
        <w:tc>
          <w:tcPr>
            <w:tcW w:w="780" w:type="dxa"/>
            <w:tcMar>
              <w:left w:w="28" w:type="dxa"/>
              <w:right w:w="28" w:type="dxa"/>
            </w:tcMar>
            <w:vAlign w:val="center"/>
          </w:tcPr>
          <w:p w:rsidR="003A4639" w:rsidRPr="00AD3AB6" w:rsidRDefault="003A4639" w:rsidP="0003597F">
            <w:pPr>
              <w:pStyle w:val="TCTableBody"/>
              <w:jc w:val="center"/>
            </w:pPr>
            <w:r w:rsidRPr="00AD3AB6">
              <w:t>25</w:t>
            </w:r>
          </w:p>
        </w:tc>
        <w:tc>
          <w:tcPr>
            <w:tcW w:w="907" w:type="dxa"/>
            <w:tcMar>
              <w:left w:w="28" w:type="dxa"/>
              <w:right w:w="28" w:type="dxa"/>
            </w:tcMar>
            <w:vAlign w:val="center"/>
          </w:tcPr>
          <w:p w:rsidR="003A4639" w:rsidRPr="00AD3AB6" w:rsidRDefault="003A4639" w:rsidP="0003597F">
            <w:pPr>
              <w:pStyle w:val="TCTableBody"/>
              <w:jc w:val="center"/>
            </w:pPr>
            <w:r w:rsidRPr="00AD3AB6">
              <w:t>20</w:t>
            </w:r>
          </w:p>
        </w:tc>
        <w:tc>
          <w:tcPr>
            <w:tcW w:w="1087" w:type="dxa"/>
            <w:tcMar>
              <w:left w:w="28" w:type="dxa"/>
              <w:right w:w="28" w:type="dxa"/>
            </w:tcMar>
            <w:vAlign w:val="center"/>
          </w:tcPr>
          <w:p w:rsidR="003A4639" w:rsidRPr="00AD3AB6" w:rsidRDefault="003A4639" w:rsidP="0003597F">
            <w:pPr>
              <w:pStyle w:val="TCTableBody"/>
              <w:jc w:val="center"/>
            </w:pPr>
            <w:r w:rsidRPr="00AD3AB6">
              <w:t>5,000</w:t>
            </w:r>
          </w:p>
        </w:tc>
        <w:tc>
          <w:tcPr>
            <w:tcW w:w="707" w:type="dxa"/>
            <w:tcMar>
              <w:left w:w="28" w:type="dxa"/>
              <w:right w:w="28" w:type="dxa"/>
            </w:tcMar>
            <w:vAlign w:val="center"/>
          </w:tcPr>
          <w:p w:rsidR="003A4639" w:rsidRPr="00AD3AB6" w:rsidRDefault="003A4639" w:rsidP="0003597F">
            <w:pPr>
              <w:pStyle w:val="TCTableBody"/>
              <w:jc w:val="center"/>
            </w:pPr>
            <w:r w:rsidRPr="00AD3AB6">
              <w:t>1</w:t>
            </w:r>
          </w:p>
        </w:tc>
        <w:tc>
          <w:tcPr>
            <w:tcW w:w="707" w:type="dxa"/>
            <w:tcMar>
              <w:left w:w="28" w:type="dxa"/>
              <w:right w:w="28" w:type="dxa"/>
            </w:tcMar>
            <w:vAlign w:val="center"/>
          </w:tcPr>
          <w:p w:rsidR="003A4639" w:rsidRPr="00AD3AB6" w:rsidRDefault="003A4639" w:rsidP="0003597F">
            <w:pPr>
              <w:pStyle w:val="TCTableBody"/>
              <w:jc w:val="center"/>
            </w:pPr>
            <w:r w:rsidRPr="00AD3AB6">
              <w:t>27</w:t>
            </w:r>
          </w:p>
        </w:tc>
        <w:tc>
          <w:tcPr>
            <w:tcW w:w="952" w:type="dxa"/>
            <w:tcMar>
              <w:left w:w="28" w:type="dxa"/>
              <w:right w:w="28" w:type="dxa"/>
            </w:tcMar>
            <w:vAlign w:val="center"/>
          </w:tcPr>
          <w:p w:rsidR="003A4639" w:rsidRPr="00AD3AB6" w:rsidRDefault="003A4639" w:rsidP="0003597F">
            <w:pPr>
              <w:pStyle w:val="TCTableBody"/>
              <w:jc w:val="center"/>
            </w:pPr>
            <w:r w:rsidRPr="00AD3AB6">
              <w:t>1022</w:t>
            </w:r>
          </w:p>
        </w:tc>
        <w:tc>
          <w:tcPr>
            <w:tcW w:w="992" w:type="dxa"/>
            <w:tcMar>
              <w:left w:w="28" w:type="dxa"/>
              <w:right w:w="28" w:type="dxa"/>
            </w:tcMar>
            <w:vAlign w:val="center"/>
          </w:tcPr>
          <w:p w:rsidR="003A4639" w:rsidRPr="00AD3AB6" w:rsidRDefault="003A4639" w:rsidP="0003597F">
            <w:pPr>
              <w:pStyle w:val="TCTableBody"/>
              <w:jc w:val="center"/>
            </w:pPr>
            <w:r w:rsidRPr="00AD3AB6">
              <w:t>1760</w:t>
            </w:r>
          </w:p>
        </w:tc>
        <w:tc>
          <w:tcPr>
            <w:tcW w:w="810" w:type="dxa"/>
            <w:tcMar>
              <w:left w:w="28" w:type="dxa"/>
              <w:right w:w="28" w:type="dxa"/>
            </w:tcMar>
            <w:vAlign w:val="center"/>
          </w:tcPr>
          <w:p w:rsidR="003A4639" w:rsidRPr="00AD3AB6" w:rsidRDefault="003A4639" w:rsidP="0003597F">
            <w:pPr>
              <w:pStyle w:val="TCTableBody"/>
              <w:jc w:val="center"/>
            </w:pPr>
            <w:r w:rsidRPr="00AD3AB6">
              <w:t>1.08</w:t>
            </w:r>
          </w:p>
        </w:tc>
        <w:tc>
          <w:tcPr>
            <w:tcW w:w="910" w:type="dxa"/>
            <w:tcMar>
              <w:left w:w="28" w:type="dxa"/>
              <w:right w:w="28" w:type="dxa"/>
            </w:tcMar>
            <w:vAlign w:val="center"/>
          </w:tcPr>
          <w:p w:rsidR="003A4639" w:rsidRPr="00AD3AB6" w:rsidRDefault="003A4639" w:rsidP="0003597F">
            <w:pPr>
              <w:pStyle w:val="TCTableBody"/>
              <w:jc w:val="center"/>
            </w:pPr>
            <w:r w:rsidRPr="00AD3AB6">
              <w:t>100.0</w:t>
            </w:r>
          </w:p>
        </w:tc>
      </w:tr>
      <w:tr w:rsidR="00AD3AB6" w:rsidRPr="00AD3AB6" w:rsidTr="00464979">
        <w:trPr>
          <w:trHeight w:val="57"/>
          <w:jc w:val="center"/>
        </w:trPr>
        <w:tc>
          <w:tcPr>
            <w:tcW w:w="569" w:type="dxa"/>
            <w:tcBorders>
              <w:bottom w:val="single" w:sz="4" w:space="0" w:color="auto"/>
            </w:tcBorders>
            <w:tcMar>
              <w:left w:w="28" w:type="dxa"/>
              <w:right w:w="28" w:type="dxa"/>
            </w:tcMar>
            <w:vAlign w:val="center"/>
          </w:tcPr>
          <w:p w:rsidR="003A4639" w:rsidRPr="00AD3AB6" w:rsidRDefault="003A4639" w:rsidP="0003597F">
            <w:pPr>
              <w:pStyle w:val="StyleTCTableBodyBold"/>
              <w:rPr>
                <w:b w:val="0"/>
              </w:rPr>
            </w:pPr>
            <w:r w:rsidRPr="00AD3AB6">
              <w:rPr>
                <w:b w:val="0"/>
              </w:rPr>
              <w:t>10</w:t>
            </w:r>
          </w:p>
        </w:tc>
        <w:tc>
          <w:tcPr>
            <w:tcW w:w="1012"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20%</w:t>
            </w:r>
          </w:p>
        </w:tc>
        <w:tc>
          <w:tcPr>
            <w:tcW w:w="780"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25</w:t>
            </w:r>
          </w:p>
        </w:tc>
        <w:tc>
          <w:tcPr>
            <w:tcW w:w="907"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0</w:t>
            </w:r>
          </w:p>
        </w:tc>
        <w:tc>
          <w:tcPr>
            <w:tcW w:w="1087"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w:t>
            </w:r>
          </w:p>
        </w:tc>
        <w:tc>
          <w:tcPr>
            <w:tcW w:w="707"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1</w:t>
            </w:r>
          </w:p>
        </w:tc>
        <w:tc>
          <w:tcPr>
            <w:tcW w:w="707"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9</w:t>
            </w:r>
          </w:p>
        </w:tc>
        <w:tc>
          <w:tcPr>
            <w:tcW w:w="952"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500</w:t>
            </w:r>
          </w:p>
        </w:tc>
        <w:tc>
          <w:tcPr>
            <w:tcW w:w="992"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w:t>
            </w:r>
          </w:p>
        </w:tc>
        <w:tc>
          <w:tcPr>
            <w:tcW w:w="810"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w:t>
            </w:r>
          </w:p>
        </w:tc>
        <w:tc>
          <w:tcPr>
            <w:tcW w:w="910"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w:t>
            </w:r>
          </w:p>
        </w:tc>
      </w:tr>
      <w:tr w:rsidR="00AD3AB6" w:rsidRPr="00AD3AB6" w:rsidTr="00464979">
        <w:trPr>
          <w:trHeight w:val="57"/>
          <w:jc w:val="center"/>
        </w:trPr>
        <w:tc>
          <w:tcPr>
            <w:tcW w:w="569" w:type="dxa"/>
            <w:tcBorders>
              <w:top w:val="single" w:sz="4" w:space="0" w:color="auto"/>
            </w:tcBorders>
            <w:tcMar>
              <w:left w:w="28" w:type="dxa"/>
              <w:right w:w="28" w:type="dxa"/>
            </w:tcMar>
            <w:vAlign w:val="center"/>
          </w:tcPr>
          <w:p w:rsidR="003A4639" w:rsidRPr="00AD3AB6" w:rsidRDefault="003A4639" w:rsidP="0003597F">
            <w:pPr>
              <w:pStyle w:val="StyleTCTableBodyBold"/>
              <w:rPr>
                <w:b w:val="0"/>
              </w:rPr>
            </w:pPr>
            <w:r w:rsidRPr="00AD3AB6">
              <w:rPr>
                <w:b w:val="0"/>
              </w:rPr>
              <w:t>11</w:t>
            </w:r>
          </w:p>
        </w:tc>
        <w:tc>
          <w:tcPr>
            <w:tcW w:w="1012"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20%</w:t>
            </w:r>
          </w:p>
        </w:tc>
        <w:tc>
          <w:tcPr>
            <w:tcW w:w="780"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10</w:t>
            </w:r>
          </w:p>
        </w:tc>
        <w:tc>
          <w:tcPr>
            <w:tcW w:w="907"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1000</w:t>
            </w:r>
          </w:p>
        </w:tc>
        <w:tc>
          <w:tcPr>
            <w:tcW w:w="1087"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200</w:t>
            </w:r>
          </w:p>
        </w:tc>
        <w:tc>
          <w:tcPr>
            <w:tcW w:w="707"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0.5</w:t>
            </w:r>
          </w:p>
        </w:tc>
        <w:tc>
          <w:tcPr>
            <w:tcW w:w="707"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92</w:t>
            </w:r>
          </w:p>
        </w:tc>
        <w:tc>
          <w:tcPr>
            <w:tcW w:w="952"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1310</w:t>
            </w:r>
          </w:p>
        </w:tc>
        <w:tc>
          <w:tcPr>
            <w:tcW w:w="992"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2380</w:t>
            </w:r>
          </w:p>
        </w:tc>
        <w:tc>
          <w:tcPr>
            <w:tcW w:w="810"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1.09</w:t>
            </w:r>
          </w:p>
        </w:tc>
        <w:tc>
          <w:tcPr>
            <w:tcW w:w="910" w:type="dxa"/>
            <w:tcBorders>
              <w:top w:val="single" w:sz="4" w:space="0" w:color="auto"/>
            </w:tcBorders>
            <w:tcMar>
              <w:left w:w="28" w:type="dxa"/>
              <w:right w:w="28" w:type="dxa"/>
            </w:tcMar>
            <w:vAlign w:val="center"/>
          </w:tcPr>
          <w:p w:rsidR="003A4639" w:rsidRPr="00AD3AB6" w:rsidRDefault="003A4639" w:rsidP="0003597F">
            <w:pPr>
              <w:pStyle w:val="TCTableBody"/>
              <w:jc w:val="center"/>
            </w:pPr>
            <w:r w:rsidRPr="00AD3AB6">
              <w:t>99.5</w:t>
            </w:r>
          </w:p>
        </w:tc>
      </w:tr>
      <w:tr w:rsidR="00AD3AB6" w:rsidRPr="00AD3AB6" w:rsidTr="00464979">
        <w:trPr>
          <w:trHeight w:val="57"/>
          <w:jc w:val="center"/>
        </w:trPr>
        <w:tc>
          <w:tcPr>
            <w:tcW w:w="569" w:type="dxa"/>
            <w:tcMar>
              <w:left w:w="28" w:type="dxa"/>
              <w:right w:w="28" w:type="dxa"/>
            </w:tcMar>
            <w:vAlign w:val="center"/>
          </w:tcPr>
          <w:p w:rsidR="003A4639" w:rsidRPr="00AD3AB6" w:rsidRDefault="003A4639" w:rsidP="0003597F">
            <w:pPr>
              <w:pStyle w:val="StyleTCTableBodyBold"/>
              <w:rPr>
                <w:b w:val="0"/>
              </w:rPr>
            </w:pPr>
            <w:r w:rsidRPr="00AD3AB6">
              <w:rPr>
                <w:b w:val="0"/>
              </w:rPr>
              <w:t>12</w:t>
            </w:r>
            <w:r w:rsidRPr="00AD3AB6">
              <w:rPr>
                <w:b w:val="0"/>
                <w:vertAlign w:val="superscript"/>
              </w:rPr>
              <w:t>[d]</w:t>
            </w:r>
          </w:p>
        </w:tc>
        <w:tc>
          <w:tcPr>
            <w:tcW w:w="1012" w:type="dxa"/>
            <w:tcMar>
              <w:left w:w="28" w:type="dxa"/>
              <w:right w:w="28" w:type="dxa"/>
            </w:tcMar>
            <w:vAlign w:val="center"/>
          </w:tcPr>
          <w:p w:rsidR="003A4639" w:rsidRPr="00AD3AB6" w:rsidRDefault="003A4639" w:rsidP="0003597F">
            <w:pPr>
              <w:pStyle w:val="TCTableBody"/>
              <w:jc w:val="center"/>
            </w:pPr>
            <w:r w:rsidRPr="00AD3AB6">
              <w:t>15%</w:t>
            </w:r>
          </w:p>
        </w:tc>
        <w:tc>
          <w:tcPr>
            <w:tcW w:w="780" w:type="dxa"/>
            <w:tcMar>
              <w:left w:w="28" w:type="dxa"/>
              <w:right w:w="28" w:type="dxa"/>
            </w:tcMar>
            <w:vAlign w:val="center"/>
          </w:tcPr>
          <w:p w:rsidR="003A4639" w:rsidRPr="00AD3AB6" w:rsidRDefault="003A4639" w:rsidP="0003597F">
            <w:pPr>
              <w:pStyle w:val="TCTableBody"/>
              <w:jc w:val="center"/>
            </w:pPr>
            <w:r w:rsidRPr="00AD3AB6">
              <w:t>10</w:t>
            </w:r>
          </w:p>
        </w:tc>
        <w:tc>
          <w:tcPr>
            <w:tcW w:w="907" w:type="dxa"/>
            <w:tcMar>
              <w:left w:w="28" w:type="dxa"/>
              <w:right w:w="28" w:type="dxa"/>
            </w:tcMar>
            <w:vAlign w:val="center"/>
          </w:tcPr>
          <w:p w:rsidR="003A4639" w:rsidRPr="00AD3AB6" w:rsidRDefault="003A4639" w:rsidP="0003597F">
            <w:pPr>
              <w:pStyle w:val="TCTableBody"/>
              <w:jc w:val="center"/>
            </w:pPr>
            <w:r w:rsidRPr="00AD3AB6">
              <w:t>1000</w:t>
            </w:r>
          </w:p>
        </w:tc>
        <w:tc>
          <w:tcPr>
            <w:tcW w:w="1087" w:type="dxa"/>
            <w:tcMar>
              <w:left w:w="28" w:type="dxa"/>
              <w:right w:w="28" w:type="dxa"/>
            </w:tcMar>
            <w:vAlign w:val="center"/>
          </w:tcPr>
          <w:p w:rsidR="003A4639" w:rsidRPr="00AD3AB6" w:rsidRDefault="003A4639" w:rsidP="0003597F">
            <w:pPr>
              <w:pStyle w:val="TCTableBody"/>
              <w:jc w:val="center"/>
            </w:pPr>
            <w:r w:rsidRPr="00AD3AB6">
              <w:t>133</w:t>
            </w:r>
          </w:p>
        </w:tc>
        <w:tc>
          <w:tcPr>
            <w:tcW w:w="707" w:type="dxa"/>
            <w:tcMar>
              <w:left w:w="28" w:type="dxa"/>
              <w:right w:w="28" w:type="dxa"/>
            </w:tcMar>
            <w:vAlign w:val="center"/>
          </w:tcPr>
          <w:p w:rsidR="003A4639" w:rsidRPr="00AD3AB6" w:rsidRDefault="003A4639" w:rsidP="0003597F">
            <w:pPr>
              <w:pStyle w:val="TCTableBody"/>
              <w:jc w:val="center"/>
            </w:pPr>
            <w:r w:rsidRPr="00AD3AB6">
              <w:t>0.8</w:t>
            </w:r>
          </w:p>
        </w:tc>
        <w:tc>
          <w:tcPr>
            <w:tcW w:w="707" w:type="dxa"/>
            <w:tcMar>
              <w:left w:w="28" w:type="dxa"/>
              <w:right w:w="28" w:type="dxa"/>
            </w:tcMar>
            <w:vAlign w:val="center"/>
          </w:tcPr>
          <w:p w:rsidR="003A4639" w:rsidRPr="00AD3AB6" w:rsidRDefault="003A4639" w:rsidP="0003597F">
            <w:pPr>
              <w:pStyle w:val="TCTableBody"/>
              <w:jc w:val="center"/>
            </w:pPr>
            <w:r w:rsidRPr="00AD3AB6">
              <w:t>97</w:t>
            </w:r>
          </w:p>
        </w:tc>
        <w:tc>
          <w:tcPr>
            <w:tcW w:w="952" w:type="dxa"/>
            <w:tcMar>
              <w:left w:w="28" w:type="dxa"/>
              <w:right w:w="28" w:type="dxa"/>
            </w:tcMar>
            <w:vAlign w:val="center"/>
          </w:tcPr>
          <w:p w:rsidR="003A4639" w:rsidRPr="00AD3AB6" w:rsidRDefault="003A4639" w:rsidP="0003597F">
            <w:pPr>
              <w:pStyle w:val="TCTableBody"/>
              <w:jc w:val="center"/>
            </w:pPr>
            <w:r w:rsidRPr="00AD3AB6">
              <w:t>2323</w:t>
            </w:r>
          </w:p>
        </w:tc>
        <w:tc>
          <w:tcPr>
            <w:tcW w:w="992" w:type="dxa"/>
            <w:tcMar>
              <w:left w:w="28" w:type="dxa"/>
              <w:right w:w="28" w:type="dxa"/>
            </w:tcMar>
            <w:vAlign w:val="center"/>
          </w:tcPr>
          <w:p w:rsidR="003A4639" w:rsidRPr="00AD3AB6" w:rsidRDefault="003A4639" w:rsidP="0003597F">
            <w:pPr>
              <w:pStyle w:val="TCTableBody"/>
              <w:jc w:val="center"/>
            </w:pPr>
            <w:r w:rsidRPr="00AD3AB6">
              <w:t>4560</w:t>
            </w:r>
          </w:p>
        </w:tc>
        <w:tc>
          <w:tcPr>
            <w:tcW w:w="810" w:type="dxa"/>
            <w:tcMar>
              <w:left w:w="28" w:type="dxa"/>
              <w:right w:w="28" w:type="dxa"/>
            </w:tcMar>
            <w:vAlign w:val="center"/>
          </w:tcPr>
          <w:p w:rsidR="003A4639" w:rsidRPr="00AD3AB6" w:rsidRDefault="003A4639" w:rsidP="0003597F">
            <w:pPr>
              <w:pStyle w:val="TCTableBody"/>
              <w:jc w:val="center"/>
            </w:pPr>
            <w:r w:rsidRPr="00AD3AB6">
              <w:t>1.06</w:t>
            </w:r>
          </w:p>
        </w:tc>
        <w:tc>
          <w:tcPr>
            <w:tcW w:w="910" w:type="dxa"/>
            <w:tcMar>
              <w:left w:w="28" w:type="dxa"/>
              <w:right w:w="28" w:type="dxa"/>
            </w:tcMar>
            <w:vAlign w:val="center"/>
          </w:tcPr>
          <w:p w:rsidR="003A4639" w:rsidRPr="00AD3AB6" w:rsidRDefault="003A4639" w:rsidP="0003597F">
            <w:pPr>
              <w:pStyle w:val="TCTableBody"/>
              <w:jc w:val="center"/>
            </w:pPr>
            <w:r w:rsidRPr="00AD3AB6">
              <w:t>98.8</w:t>
            </w:r>
          </w:p>
        </w:tc>
      </w:tr>
      <w:tr w:rsidR="00AD3AB6" w:rsidRPr="00AD3AB6" w:rsidTr="00464979">
        <w:trPr>
          <w:trHeight w:val="57"/>
          <w:jc w:val="center"/>
        </w:trPr>
        <w:tc>
          <w:tcPr>
            <w:tcW w:w="569" w:type="dxa"/>
            <w:tcMar>
              <w:left w:w="28" w:type="dxa"/>
              <w:right w:w="28" w:type="dxa"/>
            </w:tcMar>
            <w:vAlign w:val="center"/>
          </w:tcPr>
          <w:p w:rsidR="003A4639" w:rsidRPr="00AD3AB6" w:rsidRDefault="003A4639" w:rsidP="0003597F">
            <w:pPr>
              <w:pStyle w:val="StyleTCTableBodyBold"/>
              <w:rPr>
                <w:b w:val="0"/>
              </w:rPr>
            </w:pPr>
            <w:r w:rsidRPr="00AD3AB6">
              <w:rPr>
                <w:b w:val="0"/>
              </w:rPr>
              <w:t>13</w:t>
            </w:r>
            <w:r w:rsidRPr="00AD3AB6">
              <w:rPr>
                <w:b w:val="0"/>
                <w:vertAlign w:val="superscript"/>
              </w:rPr>
              <w:t>[d]</w:t>
            </w:r>
          </w:p>
        </w:tc>
        <w:tc>
          <w:tcPr>
            <w:tcW w:w="1012" w:type="dxa"/>
            <w:tcMar>
              <w:left w:w="28" w:type="dxa"/>
              <w:right w:w="28" w:type="dxa"/>
            </w:tcMar>
            <w:vAlign w:val="center"/>
          </w:tcPr>
          <w:p w:rsidR="003A4639" w:rsidRPr="00AD3AB6" w:rsidRDefault="003A4639" w:rsidP="0003597F">
            <w:pPr>
              <w:pStyle w:val="TCTableBody"/>
              <w:jc w:val="center"/>
            </w:pPr>
            <w:r w:rsidRPr="00AD3AB6">
              <w:t>11%</w:t>
            </w:r>
          </w:p>
        </w:tc>
        <w:tc>
          <w:tcPr>
            <w:tcW w:w="780" w:type="dxa"/>
            <w:tcMar>
              <w:left w:w="28" w:type="dxa"/>
              <w:right w:w="28" w:type="dxa"/>
            </w:tcMar>
            <w:vAlign w:val="center"/>
          </w:tcPr>
          <w:p w:rsidR="003A4639" w:rsidRPr="00AD3AB6" w:rsidRDefault="003A4639" w:rsidP="0003597F">
            <w:pPr>
              <w:pStyle w:val="TCTableBody"/>
              <w:jc w:val="center"/>
            </w:pPr>
            <w:r w:rsidRPr="00AD3AB6">
              <w:t>10</w:t>
            </w:r>
          </w:p>
        </w:tc>
        <w:tc>
          <w:tcPr>
            <w:tcW w:w="907" w:type="dxa"/>
            <w:tcMar>
              <w:left w:w="28" w:type="dxa"/>
              <w:right w:w="28" w:type="dxa"/>
            </w:tcMar>
            <w:vAlign w:val="center"/>
          </w:tcPr>
          <w:p w:rsidR="003A4639" w:rsidRPr="00AD3AB6" w:rsidRDefault="003A4639" w:rsidP="0003597F">
            <w:pPr>
              <w:pStyle w:val="TCTableBody"/>
              <w:jc w:val="center"/>
            </w:pPr>
            <w:r w:rsidRPr="00AD3AB6">
              <w:t>1000</w:t>
            </w:r>
          </w:p>
        </w:tc>
        <w:tc>
          <w:tcPr>
            <w:tcW w:w="1087" w:type="dxa"/>
            <w:tcMar>
              <w:left w:w="28" w:type="dxa"/>
              <w:right w:w="28" w:type="dxa"/>
            </w:tcMar>
            <w:vAlign w:val="center"/>
          </w:tcPr>
          <w:p w:rsidR="003A4639" w:rsidRPr="00AD3AB6" w:rsidRDefault="003A4639" w:rsidP="0003597F">
            <w:pPr>
              <w:pStyle w:val="TCTableBody"/>
              <w:jc w:val="center"/>
            </w:pPr>
            <w:r w:rsidRPr="00AD3AB6">
              <w:t>99</w:t>
            </w:r>
          </w:p>
        </w:tc>
        <w:tc>
          <w:tcPr>
            <w:tcW w:w="707" w:type="dxa"/>
            <w:tcMar>
              <w:left w:w="28" w:type="dxa"/>
              <w:right w:w="28" w:type="dxa"/>
            </w:tcMar>
            <w:vAlign w:val="center"/>
          </w:tcPr>
          <w:p w:rsidR="003A4639" w:rsidRPr="00AD3AB6" w:rsidRDefault="003A4639" w:rsidP="0003597F">
            <w:pPr>
              <w:pStyle w:val="TCTableBody"/>
              <w:jc w:val="center"/>
            </w:pPr>
            <w:r w:rsidRPr="00AD3AB6">
              <w:t>1.1</w:t>
            </w:r>
          </w:p>
        </w:tc>
        <w:tc>
          <w:tcPr>
            <w:tcW w:w="707" w:type="dxa"/>
            <w:tcMar>
              <w:left w:w="28" w:type="dxa"/>
              <w:right w:w="28" w:type="dxa"/>
            </w:tcMar>
            <w:vAlign w:val="center"/>
          </w:tcPr>
          <w:p w:rsidR="003A4639" w:rsidRPr="00AD3AB6" w:rsidRDefault="003A4639" w:rsidP="0003597F">
            <w:pPr>
              <w:pStyle w:val="TCTableBody"/>
              <w:jc w:val="center"/>
            </w:pPr>
            <w:r w:rsidRPr="00AD3AB6">
              <w:t>&gt;99</w:t>
            </w:r>
          </w:p>
        </w:tc>
        <w:tc>
          <w:tcPr>
            <w:tcW w:w="952" w:type="dxa"/>
            <w:tcMar>
              <w:left w:w="28" w:type="dxa"/>
              <w:right w:w="28" w:type="dxa"/>
            </w:tcMar>
            <w:vAlign w:val="center"/>
          </w:tcPr>
          <w:p w:rsidR="003A4639" w:rsidRPr="00AD3AB6" w:rsidRDefault="003A4639" w:rsidP="0003597F">
            <w:pPr>
              <w:pStyle w:val="TCTableBody"/>
              <w:jc w:val="center"/>
            </w:pPr>
            <w:r w:rsidRPr="00AD3AB6">
              <w:t>3485</w:t>
            </w:r>
          </w:p>
        </w:tc>
        <w:tc>
          <w:tcPr>
            <w:tcW w:w="992" w:type="dxa"/>
            <w:tcMar>
              <w:left w:w="28" w:type="dxa"/>
              <w:right w:w="28" w:type="dxa"/>
            </w:tcMar>
            <w:vAlign w:val="center"/>
          </w:tcPr>
          <w:p w:rsidR="003A4639" w:rsidRPr="00AD3AB6" w:rsidRDefault="003A4639" w:rsidP="0003597F">
            <w:pPr>
              <w:pStyle w:val="TCTableBody"/>
              <w:jc w:val="center"/>
            </w:pPr>
            <w:r w:rsidRPr="00AD3AB6">
              <w:t>6480</w:t>
            </w:r>
          </w:p>
        </w:tc>
        <w:tc>
          <w:tcPr>
            <w:tcW w:w="810" w:type="dxa"/>
            <w:tcMar>
              <w:left w:w="28" w:type="dxa"/>
              <w:right w:w="28" w:type="dxa"/>
            </w:tcMar>
            <w:vAlign w:val="center"/>
          </w:tcPr>
          <w:p w:rsidR="003A4639" w:rsidRPr="00AD3AB6" w:rsidRDefault="003A4639" w:rsidP="0003597F">
            <w:pPr>
              <w:pStyle w:val="TCTableBody"/>
              <w:jc w:val="center"/>
            </w:pPr>
            <w:r w:rsidRPr="00AD3AB6">
              <w:t>1.07</w:t>
            </w:r>
          </w:p>
        </w:tc>
        <w:tc>
          <w:tcPr>
            <w:tcW w:w="910" w:type="dxa"/>
            <w:tcMar>
              <w:left w:w="28" w:type="dxa"/>
              <w:right w:w="28" w:type="dxa"/>
            </w:tcMar>
            <w:vAlign w:val="center"/>
          </w:tcPr>
          <w:p w:rsidR="003A4639" w:rsidRPr="00AD3AB6" w:rsidRDefault="003A4639" w:rsidP="0003597F">
            <w:pPr>
              <w:pStyle w:val="TCTableBody"/>
              <w:jc w:val="center"/>
            </w:pPr>
            <w:r w:rsidRPr="00AD3AB6">
              <w:t>97.7</w:t>
            </w:r>
          </w:p>
        </w:tc>
      </w:tr>
      <w:tr w:rsidR="00AD3AB6" w:rsidRPr="00AD3AB6" w:rsidTr="00464979">
        <w:trPr>
          <w:trHeight w:val="57"/>
          <w:jc w:val="center"/>
        </w:trPr>
        <w:tc>
          <w:tcPr>
            <w:tcW w:w="569" w:type="dxa"/>
            <w:tcBorders>
              <w:bottom w:val="single" w:sz="4" w:space="0" w:color="auto"/>
            </w:tcBorders>
            <w:tcMar>
              <w:left w:w="28" w:type="dxa"/>
              <w:right w:w="28" w:type="dxa"/>
            </w:tcMar>
            <w:vAlign w:val="center"/>
          </w:tcPr>
          <w:p w:rsidR="003A4639" w:rsidRPr="00AD3AB6" w:rsidRDefault="003A4639" w:rsidP="0003597F">
            <w:pPr>
              <w:pStyle w:val="StyleTCTableBodyBold"/>
              <w:rPr>
                <w:b w:val="0"/>
              </w:rPr>
            </w:pPr>
            <w:r w:rsidRPr="00AD3AB6">
              <w:rPr>
                <w:b w:val="0"/>
              </w:rPr>
              <w:t>14</w:t>
            </w:r>
            <w:r w:rsidRPr="00AD3AB6">
              <w:rPr>
                <w:b w:val="0"/>
                <w:vertAlign w:val="superscript"/>
              </w:rPr>
              <w:t>[d]</w:t>
            </w:r>
          </w:p>
        </w:tc>
        <w:tc>
          <w:tcPr>
            <w:tcW w:w="1012"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9%</w:t>
            </w:r>
          </w:p>
        </w:tc>
        <w:tc>
          <w:tcPr>
            <w:tcW w:w="780"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10</w:t>
            </w:r>
          </w:p>
        </w:tc>
        <w:tc>
          <w:tcPr>
            <w:tcW w:w="907"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1000</w:t>
            </w:r>
          </w:p>
        </w:tc>
        <w:tc>
          <w:tcPr>
            <w:tcW w:w="1087"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78</w:t>
            </w:r>
          </w:p>
        </w:tc>
        <w:tc>
          <w:tcPr>
            <w:tcW w:w="707"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1.4</w:t>
            </w:r>
          </w:p>
        </w:tc>
        <w:tc>
          <w:tcPr>
            <w:tcW w:w="707"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&gt;99</w:t>
            </w:r>
          </w:p>
        </w:tc>
        <w:tc>
          <w:tcPr>
            <w:tcW w:w="952"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4646</w:t>
            </w:r>
          </w:p>
        </w:tc>
        <w:tc>
          <w:tcPr>
            <w:tcW w:w="992"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8760</w:t>
            </w:r>
          </w:p>
        </w:tc>
        <w:tc>
          <w:tcPr>
            <w:tcW w:w="810"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1.06</w:t>
            </w:r>
          </w:p>
        </w:tc>
        <w:tc>
          <w:tcPr>
            <w:tcW w:w="910" w:type="dxa"/>
            <w:tcBorders>
              <w:bottom w:val="single" w:sz="4" w:space="0" w:color="auto"/>
            </w:tcBorders>
            <w:tcMar>
              <w:left w:w="28" w:type="dxa"/>
              <w:right w:w="28" w:type="dxa"/>
            </w:tcMar>
            <w:vAlign w:val="center"/>
          </w:tcPr>
          <w:p w:rsidR="003A4639" w:rsidRPr="00AD3AB6" w:rsidRDefault="003A4639" w:rsidP="0003597F">
            <w:pPr>
              <w:pStyle w:val="TCTableBody"/>
              <w:jc w:val="center"/>
            </w:pPr>
            <w:r w:rsidRPr="00AD3AB6">
              <w:t>96.5</w:t>
            </w:r>
          </w:p>
        </w:tc>
      </w:tr>
    </w:tbl>
    <w:p w:rsidR="0003597F" w:rsidRPr="00AD3AB6" w:rsidRDefault="0003597F" w:rsidP="0003597F">
      <w:pPr>
        <w:pStyle w:val="TCTableBody"/>
      </w:pPr>
      <w:r w:rsidRPr="00AD3AB6">
        <w:t xml:space="preserve">Notes: [a] Methanol % (v/v) relative to PBS in polymerization. [b] DMF </w:t>
      </w:r>
      <w:r w:rsidR="00775C69" w:rsidRPr="00AD3AB6">
        <w:t>SEC</w:t>
      </w:r>
      <w:r w:rsidRPr="00AD3AB6">
        <w:t xml:space="preserve"> using MH parameters for PEO against PS standards. [c] Theoretical calculation based on 100% initiator consumption at 50% initiator efficiency. [d] Multiblock chain extension polymeri</w:t>
      </w:r>
      <w:r w:rsidR="00F93142" w:rsidRPr="00AD3AB6">
        <w:t>z</w:t>
      </w:r>
      <w:r w:rsidRPr="00AD3AB6">
        <w:t>ations</w:t>
      </w:r>
      <w:r w:rsidR="003A4639" w:rsidRPr="00AD3AB6">
        <w:t xml:space="preserve"> where entries 11-14 are samples from the same polymerization at the end of each block extension</w:t>
      </w:r>
      <w:r w:rsidRPr="00AD3AB6">
        <w:t>. Fresh initiator and an extra 500 nM GOx was added to each reactio</w:t>
      </w:r>
      <w:r w:rsidR="003A4639" w:rsidRPr="00AD3AB6">
        <w:t>n. Reactions were not stirred and cumulative [GOx] is reported.</w:t>
      </w:r>
      <w:r w:rsidRPr="00AD3AB6">
        <w:t xml:space="preserve"> All polymeri</w:t>
      </w:r>
      <w:r w:rsidR="00F93142" w:rsidRPr="00AD3AB6">
        <w:t>z</w:t>
      </w:r>
      <w:r w:rsidRPr="00AD3AB6">
        <w:t>ations conducted at [HEA] = 2 M for 20 h at 45°C.</w:t>
      </w:r>
    </w:p>
    <w:p w:rsidR="0003597F" w:rsidRPr="00AD3AB6" w:rsidRDefault="0003597F" w:rsidP="0003597F"/>
    <w:p w:rsidR="00792734" w:rsidRPr="00AD3AB6" w:rsidRDefault="00B35CBE" w:rsidP="00792734">
      <w:pPr>
        <w:pStyle w:val="TAMainText"/>
      </w:pPr>
      <w:r w:rsidRPr="00AD3AB6">
        <w:rPr>
          <w:rFonts w:eastAsia="MS Mincho"/>
          <w:b/>
          <w:bCs/>
        </w:rPr>
        <w:t>Expanding the range of monomers and solvents.</w:t>
      </w:r>
      <w:r w:rsidRPr="00AD3AB6">
        <w:t xml:space="preserve"> </w:t>
      </w:r>
      <w:r w:rsidR="00792734" w:rsidRPr="00AD3AB6">
        <w:t xml:space="preserve">Because the mechanism of degassing is entirely decoupled from the polymerization reaction, it should be possible to polymerize any hydrophilic monomer in this manner. The polymers listed in Table </w:t>
      </w:r>
      <w:r w:rsidR="00EA59C5" w:rsidRPr="00AD3AB6">
        <w:t>3</w:t>
      </w:r>
      <w:r w:rsidR="00792734" w:rsidRPr="00AD3AB6">
        <w:t xml:space="preserve"> (entries 15-18) demonstrate the successful polymerization of example hydrophilic methacrylate, acrylamide and methacrylamide monomers with CTA </w:t>
      </w:r>
      <w:r w:rsidR="00792734" w:rsidRPr="00AD3AB6">
        <w:rPr>
          <w:b/>
        </w:rPr>
        <w:t>1</w:t>
      </w:r>
      <w:r w:rsidR="00792734" w:rsidRPr="00AD3AB6">
        <w:t xml:space="preserve">, using 4 µM GOx and relatively low initiator concentrations (2.5 mM) in a stirred vial. Methacrylic acid and 2-hydroxypropyl methacrylamide required longer polymerization times than the acrylic monomers due to their slower rates of propagation. In all cases, good conversion and control was achieved, indicating that these monomers do not inhibit GOx activity. We next characterized the compatibility of Enz-RAFT to solvent mixtures. Figure </w:t>
      </w:r>
      <w:r w:rsidR="007674C6" w:rsidRPr="00AD3AB6">
        <w:t>5</w:t>
      </w:r>
      <w:r w:rsidR="00792734" w:rsidRPr="00AD3AB6">
        <w:t xml:space="preserve">a shows the effective activity of 200 nM GOx in a range of organic solvent / PBS mixtures as measured by the concentration of hydrogen peroxide produced in 30 min at 45 °C. As can be seen, no loss in GOx activity was observed in </w:t>
      </w:r>
      <w:r w:rsidR="00792734" w:rsidRPr="00AD3AB6">
        <w:rPr>
          <w:i/>
        </w:rPr>
        <w:t>tert</w:t>
      </w:r>
      <w:r w:rsidR="00792734" w:rsidRPr="00AD3AB6">
        <w:t xml:space="preserve">-butanol or acetonitrile, even at up to 80% of solvent. Conversely, GOx activity was found to drop sharply </w:t>
      </w:r>
      <w:r w:rsidR="00792734" w:rsidRPr="00AD3AB6">
        <w:lastRenderedPageBreak/>
        <w:t xml:space="preserve">with increasing concentrations of DMSO. Methanol and dioxane mixtures both demonstrated some loss in GOx activity. At 20% methanol, the GOx activity was halved, and no activity was observed at 80%. GOx activity was maintained better in dioxane mixtures, and approximately a quarter of the original activity was retained at 80% solvent. </w:t>
      </w:r>
      <w:r w:rsidR="001E3AC8" w:rsidRPr="00AD3AB6">
        <w:t>Such a high degree of solvent compatibility opens up the possibility of using this method to polymerize more hydrophobic monomers and at higher temperatures.</w:t>
      </w:r>
      <w:r w:rsidR="003A7E1F" w:rsidRPr="00AD3AB6">
        <w:t xml:space="preserve"> T</w:t>
      </w:r>
      <w:r w:rsidR="001E3AC8" w:rsidRPr="00AD3AB6">
        <w:t>here have been a number of reports on the use of polymers such as poly(trehalose) and poly(acrylic acid) to stabili</w:t>
      </w:r>
      <w:r w:rsidR="003A7E1F" w:rsidRPr="00AD3AB6">
        <w:t>z</w:t>
      </w:r>
      <w:r w:rsidR="001E3AC8" w:rsidRPr="00AD3AB6">
        <w:t>e the activity of enzymes,</w:t>
      </w:r>
      <w:r w:rsidR="003A7E1F" w:rsidRPr="00AD3AB6">
        <w:fldChar w:fldCharType="begin" w:fldLock="1"/>
      </w:r>
      <w:r w:rsidR="004C7450" w:rsidRPr="00AD3AB6">
        <w:instrText>ADDIN CSL_CITATION { "citationItems" : [ { "id" : "ITEM-1", "itemData" : { "DOI" : "10.1021/ja2120234", "ISSN" : "1520-5126", "PMID" : "22519420", "abstract" : "Herein, we report the synthesis of trehalose side chain polymers for stabilization of protein conjugates to environmental stressors. The glycomonomer 4,6-O-(4-vinylbenzylidene)-\u03b1,\u03b1-trehalose was synthesized in 40% yield over two steps without the use of protecting group chemistry. Polymers containing the trehalose pendent groups were prepared via reversible addition-fragmentation chain transfer (RAFT) polymerization using two different thiol-reactive chain transfer agents (CTAs) for subsequent conjugation to proteins through disulfide linkages. The resulting glycopolymers were well-defined, and a range of molecular weights from 4200 to 49\u2009500 Da was obtained. The polymers were conjugated to thiolated hen egg white lysozyme and purified. The glycopolymers when added or covalently attached to protein significantly increased stability toward lyophilization and heat relative to wild-type protein. Up to 100% retention of activity was observed when lysozyme was stressed ten times with lyophilization and 81% activity when the protein was heated at 90 \u00b0C for 1 h; this is in contrast to 16% and 18% retention of activity, respectively, for the wild-type protein alone. The glycopolymers were compared to equivalent concentrations of trehalose and poly(ethylene glycol) (PEG) and found to be superior at stabilizing the protein to lyophilization and heat. In addition, the protein-glycopolymer conjugates exhibited significant increases in lyophilization stability when compared to adding the same concentration of unconjugated polymer to the protein.", "author" : [ { "dropping-particle" : "", "family" : "Mancini", "given" : "Rock J", "non-dropping-particle" : "", "parse-names" : false, "suffix" : "" }, { "dropping-particle" : "", "family" : "Lee", "given" : "Juneyoung", "non-dropping-particle" : "", "parse-names" : false, "suffix" : "" }, { "dropping-particle" : "", "family" : "Maynard", "given" : "Heather D", "non-dropping-particle" : "", "parse-names" : false, "suffix" : "" } ], "container-title" : "Journal of the American Chemical Society", "id" : "ITEM-1", "issue" : "20", "issued" : { "date-parts" : [ [ "2012", "5", "23" ] ] }, "page" : "8474-9", "title" : "Trehalose glycopolymers for stabilization of protein conjugates to environmental stressors.", "type" : "article-journal", "volume" : "134" }, "uris" : [ "http://www.mendeley.com/documents/?uuid=87a9e7ca-cf70-4805-8d8a-8fb9aa54cac0" ] }, { "id" : "ITEM-2", "itemData" : { "DOI" : "10.1021/bc500233u", "ISSN" : "1520-4812", "PMID" : "25046001", "abstract" : "Several key properties of catalase such as thermal stability, resistance to protease degradation, and resistance to ascorbate inhibition were improved, while retaining its structure and activity, by conjugation to poly(acrylic acid) (PAA, Mw 8000) via carbodiimide chemistry where the amine groups on the protein are appended to the carboxyl groups of the polymer. Catalase conjugation was examined at three different pH values (pH 5.0, 6.0, and 7.0) and at three distinct mole ratios (1:100, 1:500, and 1:1000) of catalase to PAA at each reaction pH. The corresponding products are labeled as Cat-PAA(x)-y, where x is the protein to polymer mole ratio and y is the pH used for the synthesis. The coupling reaction consumed about 60-70% of the primary amines on the catalase; all samples were completely water-soluble and formed nanogels, as evidenced by gel electrophoresis and electron microscopy. The UV circular dichroism (CD) spectra indicated substantial retention of protein secondary structure for all samples, which increased to 100% with increasing pH of the synthesis and polymer mole fraction. Soret CD bands of all samples indicated loss of \u223c50% of band intensities, independent of the reaction pH. Catalytic activities of the conjugates increased with increasing synthesis pH, where 55-80% and 90-100% activity was retained for all samples synthesized at pH 5.0 and pH 7.0, respectively, and the Km or Vmax values of Cat-PAA(100)-7 did not differ significantly from those of the free enzyme. All conjugates synthesized at pH 7.0 were thermally stable even when heated to \u223c85-90 \u00b0C, while native catalase denatured between 55 and 65 \u00b0C. All conjugates retained 40-90% of their original activities even after storing for 10 weeks at 8 \u00b0C, while unmodified catalase lost all of its activity within 2 weeks, under similar storage conditions. Interestingly, PAA surrounding catalase limited access to the enzyme from large molecules like proteases and significantly increased resistance to trypsin digestion compared to unmodified catalase. Similarly, negatively charged PAA surrounding the catalase in these conjugates protected the enzyme against inhibition by negatively charged inhibitors such as ascorbate. While Cat-PAA(100)-7 did not show any inhibition by ascorbate in the presence of 270 \u03bcM ascorbate, unmodified catalase lost \u223c70% of its activity under similar conditions. This simple, facile, and rational methodology produced thermostable, storable catalase that is also prote\u2026", "author" : [ { "dropping-particle" : "", "family" : "Riccardi", "given" : "Caterina M", "non-dropping-particle" : "", "parse-names" : false, "suffix" : "" }, { "dropping-particle" : "", "family" : "Cole", "given" : "Kyle S", "non-dropping-particle" : "", "parse-names" : false, "suffix" : "" }, { "dropping-particle" : "", "family" : "Benson", "given" : "Kyle R", "non-dropping-particle" : "", "parse-names" : false, "suffix" : "" }, { "dropping-particle" : "", "family" : "Ward", "given" : "Jessamyn R", "non-dropping-particle" : "", "parse-names" : false, "suffix" : "" }, { "dropping-particle" : "", "family" : "Bassett", "given" : "Kayla M", "non-dropping-particle" : "", "parse-names" : false, "suffix" : "" }, { "dropping-particle" : "", "family" : "Zhang", "given" : "Yiren", "non-dropping-particle" : "", "parse-names" : false, "suffix" : "" }, { "dropping-particle" : "V", "family" : "Zore", "given" : "Omkar", "non-dropping-particle" : "", "parse-names" : false, "suffix" : "" }, { "dropping-particle" : "", "family" : "Stromer", "given" : "Bobbi", "non-dropping-particle" : "", "parse-names" : false, "suffix" : "" }, { "dropping-particle" : "", "family" : "Kasi", "given" : "Rajeswari M", "non-dropping-particle" : "", "parse-names" : false, "suffix" : "" }, { "dropping-particle" : "V", "family" : "Kumar", "given" : "Challa", "non-dropping-particle" : "", "parse-names" : false, "suffix" : "" } ], "container-title" : "Bioconjugate chemistry", "id" : "ITEM-2", "issued" : { "date-parts" : [ [ "2014", "7", "30" ] ] }, "page" : "1501-1510", "title" : "Toward \"Stable-on-the-Table\" Enzymes: Improving Key Properties of Catalase by Covalent Conjugation with Poly(acrylic acid).", "type" : "article-journal", "volume" : "25" }, "uris" : [ "http://www.mendeley.com/documents/?uuid=d166fbd9-c534-4a00-a56c-34c3d449b41e" ] } ], "mendeley" : { "previouslyFormattedCitation" : "&lt;sup&gt;38,39&lt;/sup&gt;" }, "properties" : { "noteIndex" : 0 }, "schema" : "https://github.com/citation-style-language/schema/raw/master/csl-citation.json" }</w:instrText>
      </w:r>
      <w:r w:rsidR="003A7E1F" w:rsidRPr="00AD3AB6">
        <w:fldChar w:fldCharType="separate"/>
      </w:r>
      <w:r w:rsidR="004C7450" w:rsidRPr="00AD3AB6">
        <w:rPr>
          <w:noProof/>
          <w:vertAlign w:val="superscript"/>
        </w:rPr>
        <w:t>38,39</w:t>
      </w:r>
      <w:r w:rsidR="003A7E1F" w:rsidRPr="00AD3AB6">
        <w:fldChar w:fldCharType="end"/>
      </w:r>
      <w:r w:rsidR="001E3AC8" w:rsidRPr="00AD3AB6">
        <w:t xml:space="preserve"> and we suspect that the thermal stability and solvent compatibility of GOx could be greatly improved using such approaches</w:t>
      </w:r>
      <w:r w:rsidR="001E3AC8" w:rsidRPr="00AD3AB6">
        <w:rPr>
          <w:sz w:val="20"/>
        </w:rPr>
        <w:t>.</w:t>
      </w:r>
      <w:r w:rsidR="003A7E1F" w:rsidRPr="00AD3AB6">
        <w:rPr>
          <w:sz w:val="20"/>
        </w:rPr>
        <w:t xml:space="preserve"> </w:t>
      </w:r>
      <w:r w:rsidR="00792734" w:rsidRPr="00AD3AB6">
        <w:t>Given that the Enz-RAFT polymerizations described thus far were performed in 10-20% methanol / PBS, we hypothesized that the mechanism should also work</w:t>
      </w:r>
      <w:r w:rsidR="003A7E1F" w:rsidRPr="00AD3AB6">
        <w:t>, even with unmodified GOx,</w:t>
      </w:r>
      <w:r w:rsidR="00792734" w:rsidRPr="00AD3AB6">
        <w:t xml:space="preserve"> in up to 80% solutions of </w:t>
      </w:r>
      <w:r w:rsidR="00792734" w:rsidRPr="00AD3AB6">
        <w:rPr>
          <w:i/>
        </w:rPr>
        <w:t>tert</w:t>
      </w:r>
      <w:r w:rsidR="00792734" w:rsidRPr="00AD3AB6">
        <w:t>-butanol, acetonitrile and dioxane. As GOx was most deactivated by methanol and dioxane we decided to compare the kinetics of our control polymerization deoxygenated by argon bubbling with identical HEA polymerizations degassed by 4 µM GOx in 20% methanol, 50 dioxane and 70% dioxane (v/v) in PBS (</w:t>
      </w:r>
      <w:r w:rsidR="003A4639" w:rsidRPr="00AD3AB6">
        <w:t xml:space="preserve">Table 1 entry 3 and </w:t>
      </w:r>
      <w:r w:rsidR="00792734" w:rsidRPr="00AD3AB6">
        <w:t xml:space="preserve">Table </w:t>
      </w:r>
      <w:r w:rsidR="003A4639" w:rsidRPr="00AD3AB6">
        <w:t xml:space="preserve">3 entries </w:t>
      </w:r>
      <w:r w:rsidR="00792734" w:rsidRPr="00AD3AB6">
        <w:t xml:space="preserve">19-20). As shown in the pseudo-first order kinetic plot in Figure </w:t>
      </w:r>
      <w:r w:rsidR="007674C6" w:rsidRPr="00AD3AB6">
        <w:t>5</w:t>
      </w:r>
      <w:r w:rsidR="00792734" w:rsidRPr="00AD3AB6">
        <w:t xml:space="preserve">b, all of these reactions proceeded with identical rate indicating equal efficiency of degassing by the GOx. As with the polymerizations in 20% methanol, the molecular weight evolution of the polymers prepared in 50% and 70% dioxane were linear with conversion (Figure </w:t>
      </w:r>
      <w:r w:rsidR="007674C6" w:rsidRPr="00AD3AB6">
        <w:t>5</w:t>
      </w:r>
      <w:r w:rsidR="00792734" w:rsidRPr="00AD3AB6">
        <w:t xml:space="preserve">c), and narrow molecular weight distributions were observed by </w:t>
      </w:r>
      <w:r w:rsidR="00775C69" w:rsidRPr="00AD3AB6">
        <w:t>SEC</w:t>
      </w:r>
      <w:r w:rsidR="00792734" w:rsidRPr="00AD3AB6">
        <w:t xml:space="preserve"> (</w:t>
      </w:r>
      <w:r w:rsidR="00792734" w:rsidRPr="00AD3AB6">
        <w:rPr>
          <w:i/>
        </w:rPr>
        <w:t xml:space="preserve">Ð </w:t>
      </w:r>
      <w:r w:rsidR="00792734" w:rsidRPr="00AD3AB6">
        <w:t xml:space="preserve">&lt; 1.10, Figures </w:t>
      </w:r>
      <w:r w:rsidR="007674C6" w:rsidRPr="00AD3AB6">
        <w:t>5</w:t>
      </w:r>
      <w:r w:rsidR="00792734" w:rsidRPr="00AD3AB6">
        <w:t>c-d). This demonstrates the extraordinary tolerance of GOx to even high concentrations of organic solvents, and opens up the possibility of polymerizing more hydrophobic monomers by this method.</w:t>
      </w:r>
    </w:p>
    <w:p w:rsidR="00792734" w:rsidRPr="00AD3AB6" w:rsidRDefault="00792734" w:rsidP="00792734">
      <w:pPr>
        <w:pStyle w:val="TAMainText"/>
      </w:pPr>
      <w:r w:rsidRPr="00AD3AB6">
        <w:rPr>
          <w:noProof/>
          <w:lang w:val="en-GB" w:eastAsia="en-GB"/>
        </w:rPr>
        <w:lastRenderedPageBreak/>
        <w:drawing>
          <wp:inline distT="0" distB="0" distL="0" distR="0" wp14:anchorId="3AABAC87" wp14:editId="67068B09">
            <wp:extent cx="3131383" cy="33422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49400" cy="3361521"/>
                    </a:xfrm>
                    <a:prstGeom prst="rect">
                      <a:avLst/>
                    </a:prstGeom>
                    <a:noFill/>
                  </pic:spPr>
                </pic:pic>
              </a:graphicData>
            </a:graphic>
          </wp:inline>
        </w:drawing>
      </w:r>
    </w:p>
    <w:p w:rsidR="007674C6" w:rsidRPr="00AD3AB6" w:rsidRDefault="00792734" w:rsidP="003A4639">
      <w:pPr>
        <w:pStyle w:val="VAFigureCaption"/>
      </w:pPr>
      <w:r w:rsidRPr="00AD3AB6">
        <w:rPr>
          <w:b/>
        </w:rPr>
        <w:t xml:space="preserve">Figure </w:t>
      </w:r>
      <w:r w:rsidR="007674C6" w:rsidRPr="00AD3AB6">
        <w:rPr>
          <w:b/>
        </w:rPr>
        <w:t>5.</w:t>
      </w:r>
      <w:r w:rsidRPr="00AD3AB6">
        <w:t xml:space="preserve"> GOx polymerizations of HEA in organic solvent mixtures. (a) Comparison GOx activity in mixtures of PBS and methanol (MeOH), acetonitrile (MeCN), </w:t>
      </w:r>
      <w:r w:rsidRPr="00AD3AB6">
        <w:rPr>
          <w:i/>
        </w:rPr>
        <w:t>tert</w:t>
      </w:r>
      <w:r w:rsidRPr="00AD3AB6">
        <w:t>-butanol (</w:t>
      </w:r>
      <w:r w:rsidRPr="00AD3AB6">
        <w:rPr>
          <w:i/>
        </w:rPr>
        <w:t>t</w:t>
      </w:r>
      <w:r w:rsidRPr="00AD3AB6">
        <w:t xml:space="preserve">-BuOH), dioxane and DMSO. (b) Pseudo-first order kinetic plot of 2 M HEA polymerizations degassed with GOx in 20% methanol ([M] : [RAFT] = 25, 3), and 50-70% dioxane ([M] : [RAFT] = 40, 19 - 20). [GOx] = 4 µM and [CTA] / [VA044] = 20 in each case. (c) </w:t>
      </w:r>
      <w:r w:rsidRPr="00AD3AB6">
        <w:rPr>
          <w:i/>
        </w:rPr>
        <w:t>M</w:t>
      </w:r>
      <w:r w:rsidRPr="00AD3AB6">
        <w:rPr>
          <w:vertAlign w:val="subscript"/>
        </w:rPr>
        <w:t>n</w:t>
      </w:r>
      <w:r w:rsidRPr="00AD3AB6">
        <w:t xml:space="preserve"> and </w:t>
      </w:r>
      <w:r w:rsidRPr="00AD3AB6">
        <w:rPr>
          <w:i/>
        </w:rPr>
        <w:t>Ð vs</w:t>
      </w:r>
      <w:r w:rsidRPr="00AD3AB6">
        <w:t xml:space="preserve"> conversion as measured by DMF </w:t>
      </w:r>
      <w:r w:rsidR="00775C69" w:rsidRPr="00AD3AB6">
        <w:t>SEC</w:t>
      </w:r>
      <w:r w:rsidRPr="00AD3AB6">
        <w:t xml:space="preserve"> for polymerizations in dioxane and (d) the corresponding </w:t>
      </w:r>
      <w:r w:rsidR="00775C69" w:rsidRPr="00AD3AB6">
        <w:t>SEC</w:t>
      </w:r>
      <w:r w:rsidRPr="00AD3AB6">
        <w:t xml:space="preserve"> curves at increasing conversion for the 70% dioxane polymerization.</w:t>
      </w:r>
    </w:p>
    <w:p w:rsidR="00464979" w:rsidRPr="00AD3AB6" w:rsidRDefault="00464979" w:rsidP="00464979"/>
    <w:p w:rsidR="0003597F" w:rsidRPr="00AD3AB6" w:rsidRDefault="003A4639" w:rsidP="0003597F">
      <w:pPr>
        <w:pStyle w:val="VBChartTitle"/>
      </w:pPr>
      <w:r w:rsidRPr="00AD3AB6">
        <w:rPr>
          <w:b/>
        </w:rPr>
        <w:t>Table 3.</w:t>
      </w:r>
      <w:r w:rsidR="0003597F" w:rsidRPr="00AD3AB6">
        <w:t xml:space="preserve"> Examples of polymerizations with various monomers and in organic solvent mixtures</w:t>
      </w:r>
    </w:p>
    <w:tbl>
      <w:tblPr>
        <w:tblStyle w:val="TableGrid"/>
        <w:tblW w:w="73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
        <w:gridCol w:w="1157"/>
        <w:gridCol w:w="1012"/>
        <w:gridCol w:w="635"/>
        <w:gridCol w:w="851"/>
        <w:gridCol w:w="567"/>
        <w:gridCol w:w="567"/>
        <w:gridCol w:w="889"/>
        <w:gridCol w:w="850"/>
        <w:gridCol w:w="425"/>
      </w:tblGrid>
      <w:tr w:rsidR="00AD3AB6" w:rsidRPr="00AD3AB6" w:rsidTr="0003597F">
        <w:trPr>
          <w:jc w:val="center"/>
        </w:trPr>
        <w:tc>
          <w:tcPr>
            <w:tcW w:w="396" w:type="dxa"/>
            <w:tcBorders>
              <w:top w:val="single" w:sz="8" w:space="0" w:color="auto"/>
              <w:bottom w:val="single" w:sz="8" w:space="0" w:color="auto"/>
            </w:tcBorders>
            <w:tcMar>
              <w:left w:w="28" w:type="dxa"/>
              <w:right w:w="28" w:type="dxa"/>
            </w:tcMar>
          </w:tcPr>
          <w:p w:rsidR="0003597F" w:rsidRPr="00AD3AB6" w:rsidRDefault="0003597F" w:rsidP="0003597F">
            <w:pPr>
              <w:pStyle w:val="StyleTCTableBodyBold"/>
            </w:pPr>
            <w:r w:rsidRPr="00AD3AB6">
              <w:t>#</w:t>
            </w:r>
          </w:p>
        </w:tc>
        <w:tc>
          <w:tcPr>
            <w:tcW w:w="1157" w:type="dxa"/>
            <w:tcBorders>
              <w:top w:val="single" w:sz="8" w:space="0" w:color="auto"/>
              <w:bottom w:val="single" w:sz="8" w:space="0" w:color="auto"/>
            </w:tcBorders>
          </w:tcPr>
          <w:p w:rsidR="0003597F" w:rsidRPr="00AD3AB6" w:rsidRDefault="0003597F" w:rsidP="003A4639">
            <w:pPr>
              <w:pStyle w:val="StyleTCTableBodyBold"/>
            </w:pPr>
            <w:r w:rsidRPr="00AD3AB6">
              <w:t>Monomer</w:t>
            </w:r>
          </w:p>
        </w:tc>
        <w:tc>
          <w:tcPr>
            <w:tcW w:w="1012" w:type="dxa"/>
            <w:tcBorders>
              <w:top w:val="single" w:sz="8" w:space="0" w:color="auto"/>
              <w:bottom w:val="single" w:sz="8" w:space="0" w:color="auto"/>
            </w:tcBorders>
            <w:tcMar>
              <w:left w:w="28" w:type="dxa"/>
              <w:right w:w="28" w:type="dxa"/>
            </w:tcMar>
          </w:tcPr>
          <w:p w:rsidR="0003597F" w:rsidRPr="00AD3AB6" w:rsidRDefault="0003597F" w:rsidP="003A4639">
            <w:pPr>
              <w:pStyle w:val="StyleTCTableBodyBold"/>
            </w:pPr>
            <w:r w:rsidRPr="00AD3AB6">
              <w:t>Solvent</w:t>
            </w:r>
            <w:r w:rsidRPr="00AD3AB6">
              <w:rPr>
                <w:vertAlign w:val="superscript"/>
              </w:rPr>
              <w:t>[a]</w:t>
            </w:r>
          </w:p>
        </w:tc>
        <w:tc>
          <w:tcPr>
            <w:tcW w:w="635" w:type="dxa"/>
            <w:tcBorders>
              <w:top w:val="single" w:sz="8" w:space="0" w:color="auto"/>
              <w:bottom w:val="single" w:sz="8" w:space="0" w:color="auto"/>
            </w:tcBorders>
            <w:tcMar>
              <w:left w:w="28" w:type="dxa"/>
              <w:right w:w="28" w:type="dxa"/>
            </w:tcMar>
          </w:tcPr>
          <w:p w:rsidR="0003597F" w:rsidRPr="00AD3AB6" w:rsidRDefault="0003597F" w:rsidP="003A4639">
            <w:pPr>
              <w:pStyle w:val="StyleTCTableBodyBold"/>
            </w:pPr>
            <w:r w:rsidRPr="00AD3AB6">
              <w:t>[M] / [CTA]</w:t>
            </w:r>
          </w:p>
        </w:tc>
        <w:tc>
          <w:tcPr>
            <w:tcW w:w="851" w:type="dxa"/>
            <w:tcBorders>
              <w:top w:val="single" w:sz="8" w:space="0" w:color="auto"/>
              <w:bottom w:val="single" w:sz="8" w:space="0" w:color="auto"/>
            </w:tcBorders>
            <w:tcMar>
              <w:left w:w="28" w:type="dxa"/>
              <w:right w:w="28" w:type="dxa"/>
            </w:tcMar>
          </w:tcPr>
          <w:p w:rsidR="0003597F" w:rsidRPr="00AD3AB6" w:rsidRDefault="0003597F" w:rsidP="003A4639">
            <w:pPr>
              <w:pStyle w:val="StyleTCTableBodyBold"/>
            </w:pPr>
            <w:r w:rsidRPr="00AD3AB6">
              <w:t>[VA044] (mM)</w:t>
            </w:r>
          </w:p>
        </w:tc>
        <w:tc>
          <w:tcPr>
            <w:tcW w:w="567" w:type="dxa"/>
            <w:tcBorders>
              <w:top w:val="single" w:sz="8" w:space="0" w:color="auto"/>
              <w:bottom w:val="single" w:sz="8" w:space="0" w:color="auto"/>
            </w:tcBorders>
            <w:tcMar>
              <w:left w:w="28" w:type="dxa"/>
              <w:right w:w="28" w:type="dxa"/>
            </w:tcMar>
          </w:tcPr>
          <w:p w:rsidR="0003597F" w:rsidRPr="00AD3AB6" w:rsidRDefault="0003597F" w:rsidP="003A4639">
            <w:pPr>
              <w:pStyle w:val="StyleTCTableBodyBold"/>
            </w:pPr>
            <w:r w:rsidRPr="00AD3AB6">
              <w:t>Time (h)</w:t>
            </w:r>
          </w:p>
        </w:tc>
        <w:tc>
          <w:tcPr>
            <w:tcW w:w="567" w:type="dxa"/>
            <w:tcBorders>
              <w:top w:val="single" w:sz="8" w:space="0" w:color="auto"/>
              <w:bottom w:val="single" w:sz="8" w:space="0" w:color="auto"/>
            </w:tcBorders>
            <w:tcMar>
              <w:left w:w="28" w:type="dxa"/>
              <w:right w:w="28" w:type="dxa"/>
            </w:tcMar>
          </w:tcPr>
          <w:p w:rsidR="0003597F" w:rsidRPr="00AD3AB6" w:rsidRDefault="0003597F" w:rsidP="003A4639">
            <w:pPr>
              <w:pStyle w:val="StyleTCTableBodyBold"/>
            </w:pPr>
            <w:r w:rsidRPr="00AD3AB6">
              <w:t>X (%)</w:t>
            </w:r>
          </w:p>
        </w:tc>
        <w:tc>
          <w:tcPr>
            <w:tcW w:w="889" w:type="dxa"/>
            <w:tcBorders>
              <w:top w:val="single" w:sz="8" w:space="0" w:color="auto"/>
              <w:bottom w:val="single" w:sz="8" w:space="0" w:color="auto"/>
            </w:tcBorders>
            <w:tcMar>
              <w:left w:w="28" w:type="dxa"/>
              <w:right w:w="28" w:type="dxa"/>
            </w:tcMar>
          </w:tcPr>
          <w:p w:rsidR="0003597F" w:rsidRPr="00AD3AB6" w:rsidRDefault="0003597F" w:rsidP="003A4639">
            <w:pPr>
              <w:pStyle w:val="StyleTCTableBodyBold"/>
            </w:pPr>
            <w:r w:rsidRPr="00AD3AB6">
              <w:rPr>
                <w:i/>
              </w:rPr>
              <w:t>M</w:t>
            </w:r>
            <w:r w:rsidRPr="00AD3AB6">
              <w:rPr>
                <w:vertAlign w:val="subscript"/>
              </w:rPr>
              <w:t>n</w:t>
            </w:r>
            <w:r w:rsidRPr="00AD3AB6">
              <w:t xml:space="preserve"> theor (Da)</w:t>
            </w:r>
          </w:p>
        </w:tc>
        <w:tc>
          <w:tcPr>
            <w:tcW w:w="850" w:type="dxa"/>
            <w:tcBorders>
              <w:top w:val="single" w:sz="8" w:space="0" w:color="auto"/>
              <w:bottom w:val="single" w:sz="8" w:space="0" w:color="auto"/>
            </w:tcBorders>
            <w:tcMar>
              <w:left w:w="28" w:type="dxa"/>
              <w:right w:w="28" w:type="dxa"/>
            </w:tcMar>
          </w:tcPr>
          <w:p w:rsidR="0003597F" w:rsidRPr="00AD3AB6" w:rsidRDefault="0003597F" w:rsidP="003A4639">
            <w:pPr>
              <w:pStyle w:val="StyleTCTableBodyBold"/>
            </w:pPr>
            <w:r w:rsidRPr="00AD3AB6">
              <w:rPr>
                <w:i/>
              </w:rPr>
              <w:t>M</w:t>
            </w:r>
            <w:r w:rsidRPr="00AD3AB6">
              <w:rPr>
                <w:vertAlign w:val="subscript"/>
              </w:rPr>
              <w:t>n</w:t>
            </w:r>
            <w:r w:rsidRPr="00AD3AB6">
              <w:t xml:space="preserve"> </w:t>
            </w:r>
            <w:r w:rsidR="00775C69" w:rsidRPr="00AD3AB6">
              <w:t>SEC</w:t>
            </w:r>
            <w:r w:rsidRPr="00AD3AB6">
              <w:t xml:space="preserve"> (Da)</w:t>
            </w:r>
            <w:r w:rsidRPr="00AD3AB6">
              <w:rPr>
                <w:vertAlign w:val="superscript"/>
              </w:rPr>
              <w:t xml:space="preserve"> [b]</w:t>
            </w:r>
          </w:p>
        </w:tc>
        <w:tc>
          <w:tcPr>
            <w:tcW w:w="425" w:type="dxa"/>
            <w:tcBorders>
              <w:top w:val="single" w:sz="8" w:space="0" w:color="auto"/>
              <w:bottom w:val="single" w:sz="8" w:space="0" w:color="auto"/>
            </w:tcBorders>
            <w:tcMar>
              <w:left w:w="28" w:type="dxa"/>
              <w:right w:w="28" w:type="dxa"/>
            </w:tcMar>
          </w:tcPr>
          <w:p w:rsidR="0003597F" w:rsidRPr="00AD3AB6" w:rsidRDefault="0003597F" w:rsidP="003A4639">
            <w:pPr>
              <w:pStyle w:val="TCTableBody"/>
              <w:jc w:val="center"/>
              <w:rPr>
                <w:b/>
              </w:rPr>
            </w:pPr>
            <w:r w:rsidRPr="00AD3AB6">
              <w:rPr>
                <w:rFonts w:ascii="Constantia" w:hAnsi="Constantia"/>
                <w:b/>
                <w:i/>
              </w:rPr>
              <w:t xml:space="preserve">Ð </w:t>
            </w:r>
            <w:r w:rsidRPr="00AD3AB6">
              <w:rPr>
                <w:b/>
                <w:vertAlign w:val="superscript"/>
              </w:rPr>
              <w:t>[b]</w:t>
            </w:r>
          </w:p>
        </w:tc>
      </w:tr>
      <w:tr w:rsidR="00AD3AB6" w:rsidRPr="00AD3AB6" w:rsidTr="0003597F">
        <w:trPr>
          <w:trHeight w:val="56"/>
          <w:jc w:val="center"/>
        </w:trPr>
        <w:tc>
          <w:tcPr>
            <w:tcW w:w="396" w:type="dxa"/>
            <w:tcBorders>
              <w:top w:val="single" w:sz="8" w:space="0" w:color="auto"/>
            </w:tcBorders>
            <w:tcMar>
              <w:left w:w="28" w:type="dxa"/>
              <w:right w:w="28" w:type="dxa"/>
            </w:tcMar>
            <w:vAlign w:val="center"/>
          </w:tcPr>
          <w:p w:rsidR="0003597F" w:rsidRPr="00AD3AB6" w:rsidRDefault="0003597F" w:rsidP="003A4639">
            <w:pPr>
              <w:pStyle w:val="StyleTCTableBodyBold"/>
              <w:rPr>
                <w:b w:val="0"/>
              </w:rPr>
            </w:pPr>
            <w:r w:rsidRPr="00AD3AB6">
              <w:rPr>
                <w:b w:val="0"/>
              </w:rPr>
              <w:t>1</w:t>
            </w:r>
            <w:r w:rsidR="003A4639" w:rsidRPr="00AD3AB6">
              <w:rPr>
                <w:b w:val="0"/>
              </w:rPr>
              <w:t>5</w:t>
            </w:r>
          </w:p>
        </w:tc>
        <w:tc>
          <w:tcPr>
            <w:tcW w:w="1157" w:type="dxa"/>
            <w:tcBorders>
              <w:top w:val="single" w:sz="8" w:space="0" w:color="auto"/>
            </w:tcBorders>
            <w:vAlign w:val="bottom"/>
          </w:tcPr>
          <w:p w:rsidR="0003597F" w:rsidRPr="00AD3AB6" w:rsidRDefault="0003597F" w:rsidP="003A4639">
            <w:pPr>
              <w:pStyle w:val="TCTableBody"/>
              <w:jc w:val="center"/>
            </w:pPr>
            <w:r w:rsidRPr="00AD3AB6">
              <w:t>HEA</w:t>
            </w:r>
          </w:p>
        </w:tc>
        <w:tc>
          <w:tcPr>
            <w:tcW w:w="1012" w:type="dxa"/>
            <w:tcBorders>
              <w:top w:val="single" w:sz="8" w:space="0" w:color="auto"/>
            </w:tcBorders>
            <w:tcMar>
              <w:left w:w="28" w:type="dxa"/>
              <w:right w:w="28" w:type="dxa"/>
            </w:tcMar>
            <w:vAlign w:val="bottom"/>
          </w:tcPr>
          <w:p w:rsidR="0003597F" w:rsidRPr="00AD3AB6" w:rsidRDefault="0003597F" w:rsidP="003A4639">
            <w:pPr>
              <w:pStyle w:val="TCTableBody"/>
              <w:jc w:val="center"/>
            </w:pPr>
            <w:r w:rsidRPr="00AD3AB6">
              <w:t>M (15%)</w:t>
            </w:r>
          </w:p>
        </w:tc>
        <w:tc>
          <w:tcPr>
            <w:tcW w:w="635" w:type="dxa"/>
            <w:tcBorders>
              <w:top w:val="single" w:sz="8" w:space="0" w:color="auto"/>
            </w:tcBorders>
            <w:tcMar>
              <w:left w:w="28" w:type="dxa"/>
              <w:right w:w="28" w:type="dxa"/>
            </w:tcMar>
            <w:vAlign w:val="bottom"/>
          </w:tcPr>
          <w:p w:rsidR="0003597F" w:rsidRPr="00AD3AB6" w:rsidRDefault="0003597F" w:rsidP="003A4639">
            <w:pPr>
              <w:pStyle w:val="TCTableBody"/>
              <w:jc w:val="center"/>
            </w:pPr>
            <w:r w:rsidRPr="00AD3AB6">
              <w:t>55</w:t>
            </w:r>
          </w:p>
        </w:tc>
        <w:tc>
          <w:tcPr>
            <w:tcW w:w="851" w:type="dxa"/>
            <w:tcBorders>
              <w:top w:val="single" w:sz="8" w:space="0" w:color="auto"/>
            </w:tcBorders>
            <w:tcMar>
              <w:left w:w="28" w:type="dxa"/>
              <w:right w:w="28" w:type="dxa"/>
            </w:tcMar>
            <w:vAlign w:val="bottom"/>
          </w:tcPr>
          <w:p w:rsidR="0003597F" w:rsidRPr="00AD3AB6" w:rsidRDefault="0003597F" w:rsidP="003A4639">
            <w:pPr>
              <w:pStyle w:val="TCTableBody"/>
              <w:jc w:val="center"/>
            </w:pPr>
            <w:r w:rsidRPr="00AD3AB6">
              <w:t>2.5</w:t>
            </w:r>
          </w:p>
        </w:tc>
        <w:tc>
          <w:tcPr>
            <w:tcW w:w="567" w:type="dxa"/>
            <w:tcBorders>
              <w:top w:val="single" w:sz="8" w:space="0" w:color="auto"/>
            </w:tcBorders>
            <w:tcMar>
              <w:left w:w="28" w:type="dxa"/>
              <w:right w:w="28" w:type="dxa"/>
            </w:tcMar>
            <w:vAlign w:val="bottom"/>
          </w:tcPr>
          <w:p w:rsidR="0003597F" w:rsidRPr="00AD3AB6" w:rsidRDefault="0003597F" w:rsidP="003A4639">
            <w:pPr>
              <w:pStyle w:val="TCTableBody"/>
              <w:jc w:val="center"/>
            </w:pPr>
            <w:r w:rsidRPr="00AD3AB6">
              <w:t>4</w:t>
            </w:r>
          </w:p>
        </w:tc>
        <w:tc>
          <w:tcPr>
            <w:tcW w:w="567" w:type="dxa"/>
            <w:tcBorders>
              <w:top w:val="single" w:sz="8" w:space="0" w:color="auto"/>
            </w:tcBorders>
            <w:tcMar>
              <w:left w:w="28" w:type="dxa"/>
              <w:right w:w="28" w:type="dxa"/>
            </w:tcMar>
            <w:vAlign w:val="bottom"/>
          </w:tcPr>
          <w:p w:rsidR="0003597F" w:rsidRPr="00AD3AB6" w:rsidRDefault="0003597F" w:rsidP="003A4639">
            <w:pPr>
              <w:pStyle w:val="TCTableBody"/>
              <w:jc w:val="center"/>
            </w:pPr>
            <w:r w:rsidRPr="00AD3AB6">
              <w:t>98</w:t>
            </w:r>
          </w:p>
        </w:tc>
        <w:tc>
          <w:tcPr>
            <w:tcW w:w="889" w:type="dxa"/>
            <w:tcBorders>
              <w:top w:val="single" w:sz="8" w:space="0" w:color="auto"/>
            </w:tcBorders>
            <w:tcMar>
              <w:left w:w="28" w:type="dxa"/>
              <w:right w:w="28" w:type="dxa"/>
            </w:tcMar>
          </w:tcPr>
          <w:p w:rsidR="0003597F" w:rsidRPr="00AD3AB6" w:rsidRDefault="0003597F" w:rsidP="003A4639">
            <w:pPr>
              <w:pStyle w:val="TCTableBody"/>
              <w:jc w:val="center"/>
            </w:pPr>
            <w:r w:rsidRPr="00AD3AB6">
              <w:t>6496</w:t>
            </w:r>
          </w:p>
        </w:tc>
        <w:tc>
          <w:tcPr>
            <w:tcW w:w="850" w:type="dxa"/>
            <w:tcBorders>
              <w:top w:val="single" w:sz="8" w:space="0" w:color="auto"/>
            </w:tcBorders>
            <w:tcMar>
              <w:left w:w="28" w:type="dxa"/>
              <w:right w:w="28" w:type="dxa"/>
            </w:tcMar>
            <w:vAlign w:val="center"/>
          </w:tcPr>
          <w:p w:rsidR="0003597F" w:rsidRPr="00AD3AB6" w:rsidRDefault="0003597F" w:rsidP="003A4639">
            <w:pPr>
              <w:pStyle w:val="TCTableBody"/>
              <w:jc w:val="center"/>
            </w:pPr>
            <w:r w:rsidRPr="00AD3AB6">
              <w:t>6770</w:t>
            </w:r>
          </w:p>
        </w:tc>
        <w:tc>
          <w:tcPr>
            <w:tcW w:w="425" w:type="dxa"/>
            <w:tcBorders>
              <w:top w:val="single" w:sz="8" w:space="0" w:color="auto"/>
            </w:tcBorders>
            <w:tcMar>
              <w:left w:w="28" w:type="dxa"/>
              <w:right w:w="28" w:type="dxa"/>
            </w:tcMar>
            <w:vAlign w:val="center"/>
          </w:tcPr>
          <w:p w:rsidR="0003597F" w:rsidRPr="00AD3AB6" w:rsidRDefault="0003597F" w:rsidP="003A4639">
            <w:pPr>
              <w:pStyle w:val="TCTableBody"/>
              <w:jc w:val="center"/>
            </w:pPr>
            <w:r w:rsidRPr="00AD3AB6">
              <w:t>1.06</w:t>
            </w:r>
          </w:p>
        </w:tc>
      </w:tr>
      <w:tr w:rsidR="00AD3AB6" w:rsidRPr="00AD3AB6" w:rsidTr="0003597F">
        <w:trPr>
          <w:trHeight w:val="56"/>
          <w:jc w:val="center"/>
        </w:trPr>
        <w:tc>
          <w:tcPr>
            <w:tcW w:w="396" w:type="dxa"/>
            <w:tcMar>
              <w:left w:w="28" w:type="dxa"/>
              <w:right w:w="28" w:type="dxa"/>
            </w:tcMar>
            <w:vAlign w:val="center"/>
          </w:tcPr>
          <w:p w:rsidR="0003597F" w:rsidRPr="00AD3AB6" w:rsidRDefault="0003597F" w:rsidP="003A4639">
            <w:pPr>
              <w:pStyle w:val="StyleTCTableBodyBold"/>
              <w:rPr>
                <w:b w:val="0"/>
              </w:rPr>
            </w:pPr>
            <w:r w:rsidRPr="00AD3AB6">
              <w:rPr>
                <w:b w:val="0"/>
              </w:rPr>
              <w:t>1</w:t>
            </w:r>
            <w:r w:rsidR="003A4639" w:rsidRPr="00AD3AB6">
              <w:rPr>
                <w:b w:val="0"/>
              </w:rPr>
              <w:t>6</w:t>
            </w:r>
          </w:p>
        </w:tc>
        <w:tc>
          <w:tcPr>
            <w:tcW w:w="1157" w:type="dxa"/>
            <w:vAlign w:val="bottom"/>
          </w:tcPr>
          <w:p w:rsidR="0003597F" w:rsidRPr="00AD3AB6" w:rsidRDefault="0003597F" w:rsidP="003A4639">
            <w:pPr>
              <w:pStyle w:val="TCTableBody"/>
              <w:jc w:val="center"/>
            </w:pPr>
            <w:r w:rsidRPr="00AD3AB6">
              <w:t>DMAm</w:t>
            </w:r>
          </w:p>
        </w:tc>
        <w:tc>
          <w:tcPr>
            <w:tcW w:w="1012" w:type="dxa"/>
            <w:tcMar>
              <w:left w:w="28" w:type="dxa"/>
              <w:right w:w="28" w:type="dxa"/>
            </w:tcMar>
            <w:vAlign w:val="bottom"/>
          </w:tcPr>
          <w:p w:rsidR="0003597F" w:rsidRPr="00AD3AB6" w:rsidRDefault="0003597F" w:rsidP="003A4639">
            <w:pPr>
              <w:pStyle w:val="TCTableBody"/>
              <w:jc w:val="center"/>
            </w:pPr>
            <w:r w:rsidRPr="00AD3AB6">
              <w:t>M (15%)</w:t>
            </w:r>
          </w:p>
        </w:tc>
        <w:tc>
          <w:tcPr>
            <w:tcW w:w="635" w:type="dxa"/>
            <w:tcMar>
              <w:left w:w="28" w:type="dxa"/>
              <w:right w:w="28" w:type="dxa"/>
            </w:tcMar>
            <w:vAlign w:val="bottom"/>
          </w:tcPr>
          <w:p w:rsidR="0003597F" w:rsidRPr="00AD3AB6" w:rsidRDefault="0003597F" w:rsidP="003A4639">
            <w:pPr>
              <w:pStyle w:val="TCTableBody"/>
              <w:jc w:val="center"/>
            </w:pPr>
            <w:r w:rsidRPr="00AD3AB6">
              <w:t>50</w:t>
            </w:r>
          </w:p>
        </w:tc>
        <w:tc>
          <w:tcPr>
            <w:tcW w:w="851" w:type="dxa"/>
            <w:tcMar>
              <w:left w:w="28" w:type="dxa"/>
              <w:right w:w="28" w:type="dxa"/>
            </w:tcMar>
            <w:vAlign w:val="bottom"/>
          </w:tcPr>
          <w:p w:rsidR="0003597F" w:rsidRPr="00AD3AB6" w:rsidRDefault="0003597F" w:rsidP="003A4639">
            <w:pPr>
              <w:pStyle w:val="TCTableBody"/>
              <w:jc w:val="center"/>
            </w:pPr>
            <w:r w:rsidRPr="00AD3AB6">
              <w:t>2.5</w:t>
            </w:r>
          </w:p>
        </w:tc>
        <w:tc>
          <w:tcPr>
            <w:tcW w:w="567" w:type="dxa"/>
            <w:tcMar>
              <w:left w:w="28" w:type="dxa"/>
              <w:right w:w="28" w:type="dxa"/>
            </w:tcMar>
            <w:vAlign w:val="bottom"/>
          </w:tcPr>
          <w:p w:rsidR="0003597F" w:rsidRPr="00AD3AB6" w:rsidRDefault="0003597F" w:rsidP="003A4639">
            <w:pPr>
              <w:pStyle w:val="TCTableBody"/>
              <w:jc w:val="center"/>
            </w:pPr>
            <w:r w:rsidRPr="00AD3AB6">
              <w:t>4</w:t>
            </w:r>
          </w:p>
        </w:tc>
        <w:tc>
          <w:tcPr>
            <w:tcW w:w="567" w:type="dxa"/>
            <w:tcMar>
              <w:left w:w="28" w:type="dxa"/>
              <w:right w:w="28" w:type="dxa"/>
            </w:tcMar>
          </w:tcPr>
          <w:p w:rsidR="0003597F" w:rsidRPr="00AD3AB6" w:rsidRDefault="0003597F" w:rsidP="003A4639">
            <w:pPr>
              <w:pStyle w:val="TCTableBody"/>
              <w:jc w:val="center"/>
            </w:pPr>
            <w:r w:rsidRPr="00AD3AB6">
              <w:t>96</w:t>
            </w:r>
          </w:p>
        </w:tc>
        <w:tc>
          <w:tcPr>
            <w:tcW w:w="889" w:type="dxa"/>
            <w:tcMar>
              <w:left w:w="28" w:type="dxa"/>
              <w:right w:w="28" w:type="dxa"/>
            </w:tcMar>
          </w:tcPr>
          <w:p w:rsidR="0003597F" w:rsidRPr="00AD3AB6" w:rsidRDefault="0003597F" w:rsidP="003A4639">
            <w:pPr>
              <w:pStyle w:val="TCTableBody"/>
              <w:jc w:val="center"/>
            </w:pPr>
            <w:r w:rsidRPr="00AD3AB6">
              <w:t>4995</w:t>
            </w:r>
          </w:p>
        </w:tc>
        <w:tc>
          <w:tcPr>
            <w:tcW w:w="850" w:type="dxa"/>
            <w:tcMar>
              <w:left w:w="28" w:type="dxa"/>
              <w:right w:w="28" w:type="dxa"/>
            </w:tcMar>
            <w:vAlign w:val="center"/>
          </w:tcPr>
          <w:p w:rsidR="0003597F" w:rsidRPr="00AD3AB6" w:rsidRDefault="0003597F" w:rsidP="003A4639">
            <w:pPr>
              <w:pStyle w:val="TCTableBody"/>
              <w:jc w:val="center"/>
            </w:pPr>
            <w:r w:rsidRPr="00AD3AB6">
              <w:t>3840</w:t>
            </w:r>
          </w:p>
        </w:tc>
        <w:tc>
          <w:tcPr>
            <w:tcW w:w="425" w:type="dxa"/>
            <w:tcMar>
              <w:left w:w="28" w:type="dxa"/>
              <w:right w:w="28" w:type="dxa"/>
            </w:tcMar>
            <w:vAlign w:val="center"/>
          </w:tcPr>
          <w:p w:rsidR="0003597F" w:rsidRPr="00AD3AB6" w:rsidRDefault="0003597F" w:rsidP="003A4639">
            <w:pPr>
              <w:pStyle w:val="TCTableBody"/>
              <w:jc w:val="center"/>
            </w:pPr>
            <w:r w:rsidRPr="00AD3AB6">
              <w:t>1.06</w:t>
            </w:r>
          </w:p>
        </w:tc>
      </w:tr>
      <w:tr w:rsidR="00AD3AB6" w:rsidRPr="00AD3AB6" w:rsidTr="0003597F">
        <w:trPr>
          <w:trHeight w:val="56"/>
          <w:jc w:val="center"/>
        </w:trPr>
        <w:tc>
          <w:tcPr>
            <w:tcW w:w="396" w:type="dxa"/>
            <w:tcMar>
              <w:left w:w="28" w:type="dxa"/>
              <w:right w:w="28" w:type="dxa"/>
            </w:tcMar>
            <w:vAlign w:val="center"/>
          </w:tcPr>
          <w:p w:rsidR="0003597F" w:rsidRPr="00AD3AB6" w:rsidRDefault="0003597F" w:rsidP="003A4639">
            <w:pPr>
              <w:pStyle w:val="StyleTCTableBodyBold"/>
              <w:rPr>
                <w:b w:val="0"/>
              </w:rPr>
            </w:pPr>
            <w:r w:rsidRPr="00AD3AB6">
              <w:rPr>
                <w:b w:val="0"/>
              </w:rPr>
              <w:t>1</w:t>
            </w:r>
            <w:r w:rsidR="003A4639" w:rsidRPr="00AD3AB6">
              <w:rPr>
                <w:b w:val="0"/>
              </w:rPr>
              <w:t>7</w:t>
            </w:r>
          </w:p>
        </w:tc>
        <w:tc>
          <w:tcPr>
            <w:tcW w:w="1157" w:type="dxa"/>
            <w:vAlign w:val="bottom"/>
          </w:tcPr>
          <w:p w:rsidR="0003597F" w:rsidRPr="00AD3AB6" w:rsidRDefault="0003597F" w:rsidP="003A4639">
            <w:pPr>
              <w:pStyle w:val="TCTableBody"/>
              <w:jc w:val="center"/>
            </w:pPr>
            <w:r w:rsidRPr="00AD3AB6">
              <w:t>MA</w:t>
            </w:r>
          </w:p>
        </w:tc>
        <w:tc>
          <w:tcPr>
            <w:tcW w:w="1012" w:type="dxa"/>
            <w:tcMar>
              <w:left w:w="28" w:type="dxa"/>
              <w:right w:w="28" w:type="dxa"/>
            </w:tcMar>
            <w:vAlign w:val="bottom"/>
          </w:tcPr>
          <w:p w:rsidR="0003597F" w:rsidRPr="00AD3AB6" w:rsidRDefault="0003597F" w:rsidP="003A4639">
            <w:pPr>
              <w:pStyle w:val="TCTableBody"/>
              <w:jc w:val="center"/>
            </w:pPr>
            <w:r w:rsidRPr="00AD3AB6">
              <w:t>M (15%)</w:t>
            </w:r>
          </w:p>
        </w:tc>
        <w:tc>
          <w:tcPr>
            <w:tcW w:w="635" w:type="dxa"/>
            <w:tcMar>
              <w:left w:w="28" w:type="dxa"/>
              <w:right w:w="28" w:type="dxa"/>
            </w:tcMar>
            <w:vAlign w:val="bottom"/>
          </w:tcPr>
          <w:p w:rsidR="0003597F" w:rsidRPr="00AD3AB6" w:rsidRDefault="0003597F" w:rsidP="003A4639">
            <w:pPr>
              <w:pStyle w:val="TCTableBody"/>
              <w:jc w:val="center"/>
            </w:pPr>
            <w:r w:rsidRPr="00AD3AB6">
              <w:t>50</w:t>
            </w:r>
          </w:p>
        </w:tc>
        <w:tc>
          <w:tcPr>
            <w:tcW w:w="851" w:type="dxa"/>
            <w:tcMar>
              <w:left w:w="28" w:type="dxa"/>
              <w:right w:w="28" w:type="dxa"/>
            </w:tcMar>
            <w:vAlign w:val="bottom"/>
          </w:tcPr>
          <w:p w:rsidR="0003597F" w:rsidRPr="00AD3AB6" w:rsidRDefault="0003597F" w:rsidP="003A4639">
            <w:pPr>
              <w:pStyle w:val="TCTableBody"/>
              <w:jc w:val="center"/>
            </w:pPr>
            <w:r w:rsidRPr="00AD3AB6">
              <w:t>2.5</w:t>
            </w:r>
          </w:p>
        </w:tc>
        <w:tc>
          <w:tcPr>
            <w:tcW w:w="567" w:type="dxa"/>
            <w:tcMar>
              <w:left w:w="28" w:type="dxa"/>
              <w:right w:w="28" w:type="dxa"/>
            </w:tcMar>
            <w:vAlign w:val="bottom"/>
          </w:tcPr>
          <w:p w:rsidR="0003597F" w:rsidRPr="00AD3AB6" w:rsidRDefault="0003597F" w:rsidP="003A4639">
            <w:pPr>
              <w:pStyle w:val="TCTableBody"/>
              <w:jc w:val="center"/>
            </w:pPr>
            <w:r w:rsidRPr="00AD3AB6">
              <w:t>20</w:t>
            </w:r>
          </w:p>
        </w:tc>
        <w:tc>
          <w:tcPr>
            <w:tcW w:w="567" w:type="dxa"/>
            <w:tcMar>
              <w:left w:w="28" w:type="dxa"/>
              <w:right w:w="28" w:type="dxa"/>
            </w:tcMar>
            <w:vAlign w:val="bottom"/>
          </w:tcPr>
          <w:p w:rsidR="0003597F" w:rsidRPr="00AD3AB6" w:rsidRDefault="0003597F" w:rsidP="003A4639">
            <w:pPr>
              <w:pStyle w:val="TCTableBody"/>
              <w:jc w:val="center"/>
            </w:pPr>
            <w:r w:rsidRPr="00AD3AB6">
              <w:t>&lt;99</w:t>
            </w:r>
          </w:p>
        </w:tc>
        <w:tc>
          <w:tcPr>
            <w:tcW w:w="889" w:type="dxa"/>
            <w:tcMar>
              <w:left w:w="28" w:type="dxa"/>
              <w:right w:w="28" w:type="dxa"/>
            </w:tcMar>
          </w:tcPr>
          <w:p w:rsidR="0003597F" w:rsidRPr="00AD3AB6" w:rsidRDefault="0003597F" w:rsidP="003A4639">
            <w:pPr>
              <w:pStyle w:val="TCTableBody"/>
              <w:jc w:val="center"/>
            </w:pPr>
            <w:r w:rsidRPr="00AD3AB6">
              <w:t>4500</w:t>
            </w:r>
          </w:p>
        </w:tc>
        <w:tc>
          <w:tcPr>
            <w:tcW w:w="850" w:type="dxa"/>
            <w:tcMar>
              <w:left w:w="28" w:type="dxa"/>
              <w:right w:w="28" w:type="dxa"/>
            </w:tcMar>
            <w:vAlign w:val="center"/>
          </w:tcPr>
          <w:p w:rsidR="0003597F" w:rsidRPr="00AD3AB6" w:rsidRDefault="0003597F" w:rsidP="003A4639">
            <w:pPr>
              <w:pStyle w:val="TCTableBody"/>
              <w:jc w:val="center"/>
            </w:pPr>
            <w:r w:rsidRPr="00AD3AB6">
              <w:t>-</w:t>
            </w:r>
            <w:r w:rsidRPr="00AD3AB6">
              <w:rPr>
                <w:vertAlign w:val="superscript"/>
              </w:rPr>
              <w:t>[c]</w:t>
            </w:r>
          </w:p>
        </w:tc>
        <w:tc>
          <w:tcPr>
            <w:tcW w:w="425" w:type="dxa"/>
            <w:tcMar>
              <w:left w:w="28" w:type="dxa"/>
              <w:right w:w="28" w:type="dxa"/>
            </w:tcMar>
            <w:vAlign w:val="center"/>
          </w:tcPr>
          <w:p w:rsidR="0003597F" w:rsidRPr="00AD3AB6" w:rsidRDefault="0003597F" w:rsidP="003A4639">
            <w:pPr>
              <w:pStyle w:val="TCTableBody"/>
              <w:jc w:val="center"/>
            </w:pPr>
            <w:r w:rsidRPr="00AD3AB6">
              <w:t>-</w:t>
            </w:r>
            <w:r w:rsidRPr="00AD3AB6">
              <w:rPr>
                <w:vertAlign w:val="superscript"/>
              </w:rPr>
              <w:t>[c]</w:t>
            </w:r>
          </w:p>
        </w:tc>
      </w:tr>
      <w:tr w:rsidR="00AD3AB6" w:rsidRPr="00AD3AB6" w:rsidTr="0003597F">
        <w:trPr>
          <w:trHeight w:val="56"/>
          <w:jc w:val="center"/>
        </w:trPr>
        <w:tc>
          <w:tcPr>
            <w:tcW w:w="396" w:type="dxa"/>
            <w:tcBorders>
              <w:bottom w:val="single" w:sz="4" w:space="0" w:color="auto"/>
            </w:tcBorders>
            <w:tcMar>
              <w:left w:w="28" w:type="dxa"/>
              <w:right w:w="28" w:type="dxa"/>
            </w:tcMar>
            <w:vAlign w:val="center"/>
          </w:tcPr>
          <w:p w:rsidR="0003597F" w:rsidRPr="00AD3AB6" w:rsidRDefault="0003597F" w:rsidP="003A4639">
            <w:pPr>
              <w:pStyle w:val="StyleTCTableBodyBold"/>
              <w:rPr>
                <w:b w:val="0"/>
              </w:rPr>
            </w:pPr>
            <w:r w:rsidRPr="00AD3AB6">
              <w:rPr>
                <w:b w:val="0"/>
              </w:rPr>
              <w:t>1</w:t>
            </w:r>
            <w:r w:rsidR="003A4639" w:rsidRPr="00AD3AB6">
              <w:rPr>
                <w:b w:val="0"/>
              </w:rPr>
              <w:t>8</w:t>
            </w:r>
          </w:p>
        </w:tc>
        <w:tc>
          <w:tcPr>
            <w:tcW w:w="1157" w:type="dxa"/>
            <w:tcBorders>
              <w:bottom w:val="single" w:sz="4" w:space="0" w:color="auto"/>
            </w:tcBorders>
            <w:vAlign w:val="bottom"/>
          </w:tcPr>
          <w:p w:rsidR="0003597F" w:rsidRPr="00AD3AB6" w:rsidRDefault="0003597F" w:rsidP="003A4639">
            <w:pPr>
              <w:pStyle w:val="TCTableBody"/>
              <w:jc w:val="center"/>
            </w:pPr>
            <w:r w:rsidRPr="00AD3AB6">
              <w:t>HPMA</w:t>
            </w:r>
          </w:p>
        </w:tc>
        <w:tc>
          <w:tcPr>
            <w:tcW w:w="1012" w:type="dxa"/>
            <w:tcBorders>
              <w:bottom w:val="single" w:sz="4" w:space="0" w:color="auto"/>
            </w:tcBorders>
            <w:tcMar>
              <w:left w:w="28" w:type="dxa"/>
              <w:right w:w="28" w:type="dxa"/>
            </w:tcMar>
            <w:vAlign w:val="bottom"/>
          </w:tcPr>
          <w:p w:rsidR="0003597F" w:rsidRPr="00AD3AB6" w:rsidRDefault="0003597F" w:rsidP="003A4639">
            <w:pPr>
              <w:pStyle w:val="TCTableBody"/>
              <w:jc w:val="center"/>
            </w:pPr>
            <w:r w:rsidRPr="00AD3AB6">
              <w:t>M (15%)</w:t>
            </w:r>
          </w:p>
        </w:tc>
        <w:tc>
          <w:tcPr>
            <w:tcW w:w="635" w:type="dxa"/>
            <w:tcBorders>
              <w:bottom w:val="single" w:sz="4" w:space="0" w:color="auto"/>
            </w:tcBorders>
            <w:tcMar>
              <w:left w:w="28" w:type="dxa"/>
              <w:right w:w="28" w:type="dxa"/>
            </w:tcMar>
            <w:vAlign w:val="bottom"/>
          </w:tcPr>
          <w:p w:rsidR="0003597F" w:rsidRPr="00AD3AB6" w:rsidRDefault="0003597F" w:rsidP="003A4639">
            <w:pPr>
              <w:pStyle w:val="TCTableBody"/>
              <w:jc w:val="center"/>
            </w:pPr>
            <w:r w:rsidRPr="00AD3AB6">
              <w:t>43</w:t>
            </w:r>
          </w:p>
        </w:tc>
        <w:tc>
          <w:tcPr>
            <w:tcW w:w="851" w:type="dxa"/>
            <w:tcBorders>
              <w:bottom w:val="single" w:sz="4" w:space="0" w:color="auto"/>
            </w:tcBorders>
            <w:tcMar>
              <w:left w:w="28" w:type="dxa"/>
              <w:right w:w="28" w:type="dxa"/>
            </w:tcMar>
            <w:vAlign w:val="bottom"/>
          </w:tcPr>
          <w:p w:rsidR="0003597F" w:rsidRPr="00AD3AB6" w:rsidRDefault="0003597F" w:rsidP="003A4639">
            <w:pPr>
              <w:pStyle w:val="TCTableBody"/>
              <w:jc w:val="center"/>
            </w:pPr>
            <w:r w:rsidRPr="00AD3AB6">
              <w:t>2.5</w:t>
            </w:r>
          </w:p>
        </w:tc>
        <w:tc>
          <w:tcPr>
            <w:tcW w:w="567" w:type="dxa"/>
            <w:tcBorders>
              <w:bottom w:val="single" w:sz="4" w:space="0" w:color="auto"/>
            </w:tcBorders>
            <w:tcMar>
              <w:left w:w="28" w:type="dxa"/>
              <w:right w:w="28" w:type="dxa"/>
            </w:tcMar>
            <w:vAlign w:val="bottom"/>
          </w:tcPr>
          <w:p w:rsidR="0003597F" w:rsidRPr="00AD3AB6" w:rsidRDefault="0003597F" w:rsidP="003A4639">
            <w:pPr>
              <w:pStyle w:val="TCTableBody"/>
              <w:jc w:val="center"/>
            </w:pPr>
            <w:r w:rsidRPr="00AD3AB6">
              <w:t>20</w:t>
            </w:r>
          </w:p>
        </w:tc>
        <w:tc>
          <w:tcPr>
            <w:tcW w:w="567" w:type="dxa"/>
            <w:tcBorders>
              <w:bottom w:val="single" w:sz="4" w:space="0" w:color="auto"/>
            </w:tcBorders>
            <w:tcMar>
              <w:left w:w="28" w:type="dxa"/>
              <w:right w:w="28" w:type="dxa"/>
            </w:tcMar>
            <w:vAlign w:val="bottom"/>
          </w:tcPr>
          <w:p w:rsidR="0003597F" w:rsidRPr="00AD3AB6" w:rsidRDefault="0003597F" w:rsidP="003A4639">
            <w:pPr>
              <w:pStyle w:val="TCTableBody"/>
              <w:jc w:val="center"/>
            </w:pPr>
            <w:r w:rsidRPr="00AD3AB6">
              <w:t>&lt;99</w:t>
            </w:r>
          </w:p>
        </w:tc>
        <w:tc>
          <w:tcPr>
            <w:tcW w:w="889" w:type="dxa"/>
            <w:tcBorders>
              <w:bottom w:val="single" w:sz="4" w:space="0" w:color="auto"/>
            </w:tcBorders>
            <w:tcMar>
              <w:left w:w="28" w:type="dxa"/>
              <w:right w:w="28" w:type="dxa"/>
            </w:tcMar>
          </w:tcPr>
          <w:p w:rsidR="0003597F" w:rsidRPr="00AD3AB6" w:rsidRDefault="0003597F" w:rsidP="003A4639">
            <w:pPr>
              <w:pStyle w:val="TCTableBody"/>
              <w:jc w:val="center"/>
            </w:pPr>
            <w:r w:rsidRPr="00AD3AB6">
              <w:t>6334</w:t>
            </w:r>
          </w:p>
        </w:tc>
        <w:tc>
          <w:tcPr>
            <w:tcW w:w="850" w:type="dxa"/>
            <w:tcBorders>
              <w:bottom w:val="single" w:sz="4" w:space="0" w:color="auto"/>
            </w:tcBorders>
            <w:tcMar>
              <w:left w:w="28" w:type="dxa"/>
              <w:right w:w="28" w:type="dxa"/>
            </w:tcMar>
            <w:vAlign w:val="center"/>
          </w:tcPr>
          <w:p w:rsidR="0003597F" w:rsidRPr="00AD3AB6" w:rsidRDefault="0003597F" w:rsidP="003A4639">
            <w:pPr>
              <w:pStyle w:val="TCTableBody"/>
              <w:jc w:val="center"/>
            </w:pPr>
            <w:r w:rsidRPr="00AD3AB6">
              <w:t>9990</w:t>
            </w:r>
          </w:p>
        </w:tc>
        <w:tc>
          <w:tcPr>
            <w:tcW w:w="425" w:type="dxa"/>
            <w:tcBorders>
              <w:bottom w:val="single" w:sz="4" w:space="0" w:color="auto"/>
            </w:tcBorders>
            <w:tcMar>
              <w:left w:w="28" w:type="dxa"/>
              <w:right w:w="28" w:type="dxa"/>
            </w:tcMar>
            <w:vAlign w:val="center"/>
          </w:tcPr>
          <w:p w:rsidR="0003597F" w:rsidRPr="00AD3AB6" w:rsidRDefault="0003597F" w:rsidP="003A4639">
            <w:pPr>
              <w:pStyle w:val="TCTableBody"/>
              <w:jc w:val="center"/>
            </w:pPr>
            <w:r w:rsidRPr="00AD3AB6">
              <w:t>1.22</w:t>
            </w:r>
          </w:p>
        </w:tc>
      </w:tr>
      <w:tr w:rsidR="00AD3AB6" w:rsidRPr="00AD3AB6" w:rsidTr="0003597F">
        <w:trPr>
          <w:trHeight w:val="56"/>
          <w:jc w:val="center"/>
        </w:trPr>
        <w:tc>
          <w:tcPr>
            <w:tcW w:w="396" w:type="dxa"/>
            <w:tcBorders>
              <w:top w:val="single" w:sz="4" w:space="0" w:color="auto"/>
            </w:tcBorders>
            <w:tcMar>
              <w:left w:w="28" w:type="dxa"/>
              <w:right w:w="28" w:type="dxa"/>
            </w:tcMar>
            <w:vAlign w:val="center"/>
          </w:tcPr>
          <w:p w:rsidR="0003597F" w:rsidRPr="00AD3AB6" w:rsidRDefault="003A4639" w:rsidP="0003597F">
            <w:pPr>
              <w:pStyle w:val="StyleTCTableBodyBold"/>
              <w:rPr>
                <w:b w:val="0"/>
              </w:rPr>
            </w:pPr>
            <w:r w:rsidRPr="00AD3AB6">
              <w:rPr>
                <w:b w:val="0"/>
              </w:rPr>
              <w:t>19</w:t>
            </w:r>
          </w:p>
        </w:tc>
        <w:tc>
          <w:tcPr>
            <w:tcW w:w="1157" w:type="dxa"/>
            <w:tcBorders>
              <w:top w:val="single" w:sz="4" w:space="0" w:color="auto"/>
            </w:tcBorders>
          </w:tcPr>
          <w:p w:rsidR="0003597F" w:rsidRPr="00AD3AB6" w:rsidRDefault="0003597F" w:rsidP="003A4639">
            <w:pPr>
              <w:pStyle w:val="TCTableBody"/>
              <w:jc w:val="center"/>
            </w:pPr>
            <w:r w:rsidRPr="00AD3AB6">
              <w:t>HEA</w:t>
            </w:r>
          </w:p>
        </w:tc>
        <w:tc>
          <w:tcPr>
            <w:tcW w:w="1012" w:type="dxa"/>
            <w:tcBorders>
              <w:top w:val="single" w:sz="4" w:space="0" w:color="auto"/>
            </w:tcBorders>
            <w:tcMar>
              <w:left w:w="28" w:type="dxa"/>
              <w:right w:w="28" w:type="dxa"/>
            </w:tcMar>
            <w:vAlign w:val="center"/>
          </w:tcPr>
          <w:p w:rsidR="0003597F" w:rsidRPr="00AD3AB6" w:rsidRDefault="0003597F" w:rsidP="003A4639">
            <w:pPr>
              <w:pStyle w:val="TCTableBody"/>
              <w:jc w:val="center"/>
            </w:pPr>
            <w:r w:rsidRPr="00AD3AB6">
              <w:t>D (70%)</w:t>
            </w:r>
          </w:p>
        </w:tc>
        <w:tc>
          <w:tcPr>
            <w:tcW w:w="635" w:type="dxa"/>
            <w:tcBorders>
              <w:top w:val="single" w:sz="4" w:space="0" w:color="auto"/>
            </w:tcBorders>
            <w:tcMar>
              <w:left w:w="28" w:type="dxa"/>
              <w:right w:w="28" w:type="dxa"/>
            </w:tcMar>
            <w:vAlign w:val="center"/>
          </w:tcPr>
          <w:p w:rsidR="0003597F" w:rsidRPr="00AD3AB6" w:rsidRDefault="0003597F" w:rsidP="003A4639">
            <w:pPr>
              <w:pStyle w:val="TCTableBody"/>
              <w:jc w:val="center"/>
            </w:pPr>
            <w:r w:rsidRPr="00AD3AB6">
              <w:t>40</w:t>
            </w:r>
          </w:p>
        </w:tc>
        <w:tc>
          <w:tcPr>
            <w:tcW w:w="851" w:type="dxa"/>
            <w:tcBorders>
              <w:top w:val="single" w:sz="4" w:space="0" w:color="auto"/>
            </w:tcBorders>
            <w:tcMar>
              <w:left w:w="28" w:type="dxa"/>
              <w:right w:w="28" w:type="dxa"/>
            </w:tcMar>
            <w:vAlign w:val="center"/>
          </w:tcPr>
          <w:p w:rsidR="0003597F" w:rsidRPr="00AD3AB6" w:rsidRDefault="0003597F" w:rsidP="003A4639">
            <w:pPr>
              <w:pStyle w:val="TCTableBody"/>
              <w:jc w:val="center"/>
            </w:pPr>
            <w:r w:rsidRPr="00AD3AB6">
              <w:t>4.0</w:t>
            </w:r>
          </w:p>
        </w:tc>
        <w:tc>
          <w:tcPr>
            <w:tcW w:w="567" w:type="dxa"/>
            <w:tcBorders>
              <w:top w:val="single" w:sz="4" w:space="0" w:color="auto"/>
            </w:tcBorders>
            <w:tcMar>
              <w:left w:w="28" w:type="dxa"/>
              <w:right w:w="28" w:type="dxa"/>
            </w:tcMar>
            <w:vAlign w:val="center"/>
          </w:tcPr>
          <w:p w:rsidR="0003597F" w:rsidRPr="00AD3AB6" w:rsidRDefault="0003597F" w:rsidP="003A4639">
            <w:pPr>
              <w:pStyle w:val="TCTableBody"/>
              <w:jc w:val="center"/>
            </w:pPr>
            <w:r w:rsidRPr="00AD3AB6">
              <w:t>2.3</w:t>
            </w:r>
          </w:p>
        </w:tc>
        <w:tc>
          <w:tcPr>
            <w:tcW w:w="567" w:type="dxa"/>
            <w:tcBorders>
              <w:top w:val="single" w:sz="4" w:space="0" w:color="auto"/>
            </w:tcBorders>
            <w:tcMar>
              <w:left w:w="28" w:type="dxa"/>
              <w:right w:w="28" w:type="dxa"/>
            </w:tcMar>
            <w:vAlign w:val="center"/>
          </w:tcPr>
          <w:p w:rsidR="0003597F" w:rsidRPr="00AD3AB6" w:rsidRDefault="0003597F" w:rsidP="003A4639">
            <w:pPr>
              <w:pStyle w:val="TCTableBody"/>
              <w:jc w:val="center"/>
            </w:pPr>
            <w:r w:rsidRPr="00AD3AB6">
              <w:t>90</w:t>
            </w:r>
          </w:p>
        </w:tc>
        <w:tc>
          <w:tcPr>
            <w:tcW w:w="889" w:type="dxa"/>
            <w:tcBorders>
              <w:top w:val="single" w:sz="4" w:space="0" w:color="auto"/>
            </w:tcBorders>
            <w:tcMar>
              <w:left w:w="28" w:type="dxa"/>
              <w:right w:w="28" w:type="dxa"/>
            </w:tcMar>
            <w:vAlign w:val="center"/>
          </w:tcPr>
          <w:p w:rsidR="0003597F" w:rsidRPr="00AD3AB6" w:rsidRDefault="0003597F" w:rsidP="003A4639">
            <w:pPr>
              <w:pStyle w:val="TCTableBody"/>
              <w:jc w:val="center"/>
            </w:pPr>
            <w:r w:rsidRPr="00AD3AB6">
              <w:t>4418</w:t>
            </w:r>
          </w:p>
        </w:tc>
        <w:tc>
          <w:tcPr>
            <w:tcW w:w="850" w:type="dxa"/>
            <w:tcBorders>
              <w:top w:val="single" w:sz="4" w:space="0" w:color="auto"/>
            </w:tcBorders>
            <w:tcMar>
              <w:left w:w="28" w:type="dxa"/>
              <w:right w:w="28" w:type="dxa"/>
            </w:tcMar>
            <w:vAlign w:val="center"/>
          </w:tcPr>
          <w:p w:rsidR="0003597F" w:rsidRPr="00AD3AB6" w:rsidRDefault="0003597F" w:rsidP="003A4639">
            <w:pPr>
              <w:pStyle w:val="TCTableBody"/>
              <w:jc w:val="center"/>
            </w:pPr>
            <w:r w:rsidRPr="00AD3AB6">
              <w:t>4030</w:t>
            </w:r>
          </w:p>
        </w:tc>
        <w:tc>
          <w:tcPr>
            <w:tcW w:w="425" w:type="dxa"/>
            <w:tcBorders>
              <w:top w:val="single" w:sz="4" w:space="0" w:color="auto"/>
            </w:tcBorders>
            <w:tcMar>
              <w:left w:w="28" w:type="dxa"/>
              <w:right w:w="28" w:type="dxa"/>
            </w:tcMar>
            <w:vAlign w:val="center"/>
          </w:tcPr>
          <w:p w:rsidR="0003597F" w:rsidRPr="00AD3AB6" w:rsidRDefault="0003597F" w:rsidP="003A4639">
            <w:pPr>
              <w:pStyle w:val="TCTableBody"/>
              <w:jc w:val="center"/>
            </w:pPr>
            <w:r w:rsidRPr="00AD3AB6">
              <w:t>1.11</w:t>
            </w:r>
          </w:p>
        </w:tc>
      </w:tr>
      <w:tr w:rsidR="00AD3AB6" w:rsidRPr="00AD3AB6" w:rsidTr="0003597F">
        <w:trPr>
          <w:trHeight w:val="57"/>
          <w:jc w:val="center"/>
        </w:trPr>
        <w:tc>
          <w:tcPr>
            <w:tcW w:w="396" w:type="dxa"/>
            <w:tcBorders>
              <w:bottom w:val="single" w:sz="8" w:space="0" w:color="auto"/>
            </w:tcBorders>
            <w:tcMar>
              <w:left w:w="28" w:type="dxa"/>
              <w:right w:w="28" w:type="dxa"/>
            </w:tcMar>
            <w:vAlign w:val="center"/>
          </w:tcPr>
          <w:p w:rsidR="0003597F" w:rsidRPr="00AD3AB6" w:rsidRDefault="0003597F" w:rsidP="0003597F">
            <w:pPr>
              <w:pStyle w:val="StyleTCTableBodyBold"/>
              <w:rPr>
                <w:b w:val="0"/>
              </w:rPr>
            </w:pPr>
            <w:r w:rsidRPr="00AD3AB6">
              <w:rPr>
                <w:b w:val="0"/>
              </w:rPr>
              <w:t>2</w:t>
            </w:r>
            <w:r w:rsidR="003A4639" w:rsidRPr="00AD3AB6">
              <w:rPr>
                <w:b w:val="0"/>
              </w:rPr>
              <w:t>0</w:t>
            </w:r>
          </w:p>
        </w:tc>
        <w:tc>
          <w:tcPr>
            <w:tcW w:w="1157" w:type="dxa"/>
            <w:tcBorders>
              <w:bottom w:val="single" w:sz="8" w:space="0" w:color="auto"/>
            </w:tcBorders>
          </w:tcPr>
          <w:p w:rsidR="0003597F" w:rsidRPr="00AD3AB6" w:rsidRDefault="0003597F" w:rsidP="003A4639">
            <w:pPr>
              <w:pStyle w:val="TCTableBody"/>
              <w:jc w:val="center"/>
            </w:pPr>
            <w:r w:rsidRPr="00AD3AB6">
              <w:t>HEA</w:t>
            </w:r>
          </w:p>
        </w:tc>
        <w:tc>
          <w:tcPr>
            <w:tcW w:w="1012" w:type="dxa"/>
            <w:tcBorders>
              <w:bottom w:val="single" w:sz="8" w:space="0" w:color="auto"/>
            </w:tcBorders>
            <w:tcMar>
              <w:left w:w="28" w:type="dxa"/>
              <w:right w:w="28" w:type="dxa"/>
            </w:tcMar>
            <w:vAlign w:val="center"/>
          </w:tcPr>
          <w:p w:rsidR="0003597F" w:rsidRPr="00AD3AB6" w:rsidRDefault="0003597F" w:rsidP="003A4639">
            <w:pPr>
              <w:pStyle w:val="TCTableBody"/>
              <w:jc w:val="center"/>
            </w:pPr>
            <w:r w:rsidRPr="00AD3AB6">
              <w:t>D (50%)</w:t>
            </w:r>
          </w:p>
        </w:tc>
        <w:tc>
          <w:tcPr>
            <w:tcW w:w="635" w:type="dxa"/>
            <w:tcBorders>
              <w:bottom w:val="single" w:sz="8" w:space="0" w:color="auto"/>
            </w:tcBorders>
            <w:tcMar>
              <w:left w:w="28" w:type="dxa"/>
              <w:right w:w="28" w:type="dxa"/>
            </w:tcMar>
            <w:vAlign w:val="center"/>
          </w:tcPr>
          <w:p w:rsidR="0003597F" w:rsidRPr="00AD3AB6" w:rsidRDefault="0003597F" w:rsidP="003A4639">
            <w:pPr>
              <w:pStyle w:val="TCTableBody"/>
              <w:jc w:val="center"/>
            </w:pPr>
            <w:r w:rsidRPr="00AD3AB6">
              <w:t>40</w:t>
            </w:r>
          </w:p>
        </w:tc>
        <w:tc>
          <w:tcPr>
            <w:tcW w:w="851" w:type="dxa"/>
            <w:tcBorders>
              <w:bottom w:val="single" w:sz="8" w:space="0" w:color="auto"/>
            </w:tcBorders>
            <w:tcMar>
              <w:left w:w="28" w:type="dxa"/>
              <w:right w:w="28" w:type="dxa"/>
            </w:tcMar>
            <w:vAlign w:val="center"/>
          </w:tcPr>
          <w:p w:rsidR="0003597F" w:rsidRPr="00AD3AB6" w:rsidRDefault="0003597F" w:rsidP="003A4639">
            <w:pPr>
              <w:pStyle w:val="TCTableBody"/>
              <w:jc w:val="center"/>
            </w:pPr>
            <w:r w:rsidRPr="00AD3AB6">
              <w:t>4.0</w:t>
            </w:r>
          </w:p>
        </w:tc>
        <w:tc>
          <w:tcPr>
            <w:tcW w:w="567" w:type="dxa"/>
            <w:tcBorders>
              <w:bottom w:val="single" w:sz="8" w:space="0" w:color="auto"/>
            </w:tcBorders>
            <w:tcMar>
              <w:left w:w="28" w:type="dxa"/>
              <w:right w:w="28" w:type="dxa"/>
            </w:tcMar>
            <w:vAlign w:val="center"/>
          </w:tcPr>
          <w:p w:rsidR="0003597F" w:rsidRPr="00AD3AB6" w:rsidRDefault="0003597F" w:rsidP="003A4639">
            <w:pPr>
              <w:pStyle w:val="TCTableBody"/>
              <w:jc w:val="center"/>
            </w:pPr>
            <w:r w:rsidRPr="00AD3AB6">
              <w:t>2.3</w:t>
            </w:r>
          </w:p>
        </w:tc>
        <w:tc>
          <w:tcPr>
            <w:tcW w:w="567" w:type="dxa"/>
            <w:tcBorders>
              <w:bottom w:val="single" w:sz="8" w:space="0" w:color="auto"/>
            </w:tcBorders>
            <w:tcMar>
              <w:left w:w="28" w:type="dxa"/>
              <w:right w:w="28" w:type="dxa"/>
            </w:tcMar>
            <w:vAlign w:val="center"/>
          </w:tcPr>
          <w:p w:rsidR="0003597F" w:rsidRPr="00AD3AB6" w:rsidRDefault="0003597F" w:rsidP="003A4639">
            <w:pPr>
              <w:pStyle w:val="TCTableBody"/>
              <w:jc w:val="center"/>
            </w:pPr>
            <w:r w:rsidRPr="00AD3AB6">
              <w:t>94</w:t>
            </w:r>
          </w:p>
        </w:tc>
        <w:tc>
          <w:tcPr>
            <w:tcW w:w="889" w:type="dxa"/>
            <w:tcBorders>
              <w:bottom w:val="single" w:sz="8" w:space="0" w:color="auto"/>
            </w:tcBorders>
            <w:tcMar>
              <w:left w:w="28" w:type="dxa"/>
              <w:right w:w="28" w:type="dxa"/>
            </w:tcMar>
            <w:vAlign w:val="center"/>
          </w:tcPr>
          <w:p w:rsidR="0003597F" w:rsidRPr="00AD3AB6" w:rsidRDefault="0003597F" w:rsidP="003A4639">
            <w:pPr>
              <w:pStyle w:val="TCTableBody"/>
              <w:jc w:val="center"/>
            </w:pPr>
            <w:r w:rsidRPr="00AD3AB6">
              <w:t>4604</w:t>
            </w:r>
          </w:p>
        </w:tc>
        <w:tc>
          <w:tcPr>
            <w:tcW w:w="850" w:type="dxa"/>
            <w:tcBorders>
              <w:bottom w:val="single" w:sz="8" w:space="0" w:color="auto"/>
            </w:tcBorders>
            <w:tcMar>
              <w:left w:w="28" w:type="dxa"/>
              <w:right w:w="28" w:type="dxa"/>
            </w:tcMar>
            <w:vAlign w:val="center"/>
          </w:tcPr>
          <w:p w:rsidR="0003597F" w:rsidRPr="00AD3AB6" w:rsidRDefault="0003597F" w:rsidP="003A4639">
            <w:pPr>
              <w:pStyle w:val="TCTableBody"/>
              <w:jc w:val="center"/>
            </w:pPr>
            <w:r w:rsidRPr="00AD3AB6">
              <w:t>4470</w:t>
            </w:r>
          </w:p>
        </w:tc>
        <w:tc>
          <w:tcPr>
            <w:tcW w:w="425" w:type="dxa"/>
            <w:tcBorders>
              <w:bottom w:val="single" w:sz="8" w:space="0" w:color="auto"/>
            </w:tcBorders>
            <w:tcMar>
              <w:left w:w="28" w:type="dxa"/>
              <w:right w:w="28" w:type="dxa"/>
            </w:tcMar>
            <w:vAlign w:val="center"/>
          </w:tcPr>
          <w:p w:rsidR="0003597F" w:rsidRPr="00AD3AB6" w:rsidRDefault="0003597F" w:rsidP="003A4639">
            <w:pPr>
              <w:pStyle w:val="TCTableBody"/>
              <w:jc w:val="center"/>
            </w:pPr>
            <w:r w:rsidRPr="00AD3AB6">
              <w:t>1.08</w:t>
            </w:r>
          </w:p>
        </w:tc>
      </w:tr>
    </w:tbl>
    <w:p w:rsidR="0003597F" w:rsidRPr="00AD3AB6" w:rsidRDefault="0003597F" w:rsidP="003A4639">
      <w:pPr>
        <w:pStyle w:val="TCTableBody"/>
      </w:pPr>
      <w:r w:rsidRPr="00AD3AB6">
        <w:t xml:space="preserve">Notes: </w:t>
      </w:r>
      <w:r w:rsidR="003A4639" w:rsidRPr="00AD3AB6">
        <w:t xml:space="preserve">Polymerizations with 2-hydroxyethyl acrylate (HEA), </w:t>
      </w:r>
      <w:r w:rsidR="003A4639" w:rsidRPr="00AD3AB6">
        <w:rPr>
          <w:i/>
        </w:rPr>
        <w:t>N,N</w:t>
      </w:r>
      <w:r w:rsidR="003A4639" w:rsidRPr="00AD3AB6">
        <w:t xml:space="preserve"> dimethyl acrylamide (DMAm), methylacrylic acid (MA) and hydroxypropyl methacrylamide (HPMA). </w:t>
      </w:r>
      <w:r w:rsidRPr="00AD3AB6">
        <w:t>[a] Polymerizations carried out in mixtures of PBS with M = methanol, D = dioxane (v/v % shown). [b] using MH parameters for PEO against PS standards. [c] Due to the acid group, the MA could not be run on the DMF column. In all polymerizations CTA 1 was used. [HEA] = 2 M, [CTA]/[VA-044] = 20, [GOx] = 4</w:t>
      </w:r>
      <w:r w:rsidRPr="00AD3AB6">
        <w:rPr>
          <w:rFonts w:ascii="Times New Roman" w:hAnsi="Times New Roman"/>
        </w:rPr>
        <w:t xml:space="preserve"> µM </w:t>
      </w:r>
      <w:r w:rsidRPr="00AD3AB6">
        <w:t xml:space="preserve"> </w:t>
      </w:r>
    </w:p>
    <w:p w:rsidR="007674C6" w:rsidRPr="00AD3AB6" w:rsidRDefault="007674C6" w:rsidP="00B35CBE">
      <w:pPr>
        <w:pStyle w:val="StyleTAMainTextBoldLeftFirstline0cm"/>
      </w:pPr>
      <w:r w:rsidRPr="00AD3AB6">
        <w:lastRenderedPageBreak/>
        <w:t>CONLUSIONS</w:t>
      </w:r>
    </w:p>
    <w:p w:rsidR="00792734" w:rsidRPr="00AD3AB6" w:rsidRDefault="007674C6" w:rsidP="00792734">
      <w:pPr>
        <w:pStyle w:val="TAMainText"/>
      </w:pPr>
      <w:r w:rsidRPr="00AD3AB6">
        <w:t>T</w:t>
      </w:r>
      <w:r w:rsidR="00792734" w:rsidRPr="00AD3AB6">
        <w:t xml:space="preserve">he use of GOx for enzyme degassing of RAFT polymerizations (Enz-RAFT) has been described, facilitating highly controlled radical polymerization in an open vessel. The high activity of GOx means that only 1 – 4 µM of enzyme </w:t>
      </w:r>
      <w:r w:rsidR="00B35CBE" w:rsidRPr="00AD3AB6">
        <w:t>is</w:t>
      </w:r>
      <w:r w:rsidR="00792734" w:rsidRPr="00AD3AB6">
        <w:t xml:space="preserve"> required to fully degas the system</w:t>
      </w:r>
      <w:r w:rsidR="00B35CBE" w:rsidRPr="00AD3AB6">
        <w:t>, in agreement with modelled enzyme kinetics</w:t>
      </w:r>
      <w:r w:rsidR="00792734" w:rsidRPr="00AD3AB6">
        <w:t xml:space="preserve">. Because the enzyme degassing is completely decoupled from the polymerization mechanism very low concentrations of initiator can be used, resulting in excellent control and high end group fidelity in the final polymer. This enabled the preparation of a tetrablock copolymer with </w:t>
      </w:r>
      <w:r w:rsidR="00792734" w:rsidRPr="00AD3AB6">
        <w:rPr>
          <w:i/>
        </w:rPr>
        <w:t>Ð</w:t>
      </w:r>
      <w:r w:rsidR="00792734" w:rsidRPr="00AD3AB6">
        <w:t xml:space="preserve"> &lt; 1.10 without any external degassing, and the polymerization of a range of hydrophilic monomers. GOx was also found to be very robust to additions of organic solvents, retaining high activity in up to 80% </w:t>
      </w:r>
      <w:r w:rsidR="00792734" w:rsidRPr="00AD3AB6">
        <w:rPr>
          <w:i/>
        </w:rPr>
        <w:t>tert</w:t>
      </w:r>
      <w:r w:rsidR="00792734" w:rsidRPr="00AD3AB6">
        <w:t>-butanol, acetonitrile, and dioxane. Given the low cost of GOx and ease of solution degassing with this technique, we suspect this method may also have significant large-scale industrial value.</w:t>
      </w:r>
    </w:p>
    <w:p w:rsidR="00520B55" w:rsidRPr="00AD3AB6" w:rsidRDefault="00520B55" w:rsidP="007674C6">
      <w:pPr>
        <w:pStyle w:val="TESupportingInformation"/>
        <w:spacing w:after="240"/>
        <w:ind w:firstLine="0"/>
        <w:jc w:val="left"/>
      </w:pPr>
    </w:p>
    <w:p w:rsidR="007674C6" w:rsidRPr="00AD3AB6" w:rsidRDefault="007674C6" w:rsidP="007674C6">
      <w:pPr>
        <w:pStyle w:val="TESupportingInformation"/>
        <w:spacing w:after="240"/>
        <w:ind w:firstLine="0"/>
        <w:jc w:val="left"/>
      </w:pPr>
      <w:r w:rsidRPr="00AD3AB6">
        <w:t>ASSOCIATED CONTENT</w:t>
      </w:r>
    </w:p>
    <w:p w:rsidR="00464979" w:rsidRPr="00AD3AB6" w:rsidRDefault="007674C6" w:rsidP="00464979">
      <w:pPr>
        <w:pStyle w:val="TESupportingInformation"/>
        <w:spacing w:after="240"/>
        <w:ind w:firstLine="0"/>
        <w:jc w:val="left"/>
      </w:pPr>
      <w:r w:rsidRPr="00AD3AB6">
        <w:rPr>
          <w:b/>
        </w:rPr>
        <w:t>Supporting Information</w:t>
      </w:r>
      <w:r w:rsidRPr="00AD3AB6">
        <w:t xml:space="preserve">. </w:t>
      </w:r>
      <w:r w:rsidR="00464979" w:rsidRPr="00AD3AB6">
        <w:t>Detailed information about the model, as well as the support figures are given in the supplementary information.</w:t>
      </w:r>
      <w:r w:rsidR="00A47193" w:rsidRPr="00AD3AB6">
        <w:t xml:space="preserve"> This information is available free of charge </w:t>
      </w:r>
      <w:r w:rsidR="00A47193" w:rsidRPr="00AD3AB6">
        <w:rPr>
          <w:i/>
        </w:rPr>
        <w:t>via</w:t>
      </w:r>
      <w:r w:rsidR="00A47193" w:rsidRPr="00AD3AB6">
        <w:t xml:space="preserve"> the Internet at http://pubs.acs.org.</w:t>
      </w:r>
    </w:p>
    <w:p w:rsidR="007674C6" w:rsidRPr="00AD3AB6" w:rsidRDefault="007674C6" w:rsidP="00464979">
      <w:pPr>
        <w:pStyle w:val="TESupportingInformation"/>
        <w:spacing w:after="240"/>
        <w:ind w:firstLine="0"/>
        <w:jc w:val="left"/>
      </w:pPr>
      <w:r w:rsidRPr="00AD3AB6">
        <w:t>AUTHOR INFORMATION</w:t>
      </w:r>
    </w:p>
    <w:p w:rsidR="007674C6" w:rsidRPr="00AD3AB6" w:rsidRDefault="007674C6" w:rsidP="007674C6">
      <w:pPr>
        <w:pStyle w:val="FAAuthorInfoSubtitle"/>
      </w:pPr>
      <w:r w:rsidRPr="00AD3AB6">
        <w:t>Corresponding Author</w:t>
      </w:r>
    </w:p>
    <w:p w:rsidR="00464979" w:rsidRPr="00AD3AB6" w:rsidRDefault="009A6C73" w:rsidP="007674C6">
      <w:pPr>
        <w:pStyle w:val="FACorrespondingAuthorFootnote"/>
        <w:spacing w:after="240"/>
        <w:jc w:val="left"/>
      </w:pPr>
      <w:r w:rsidRPr="00AD3AB6">
        <w:rPr>
          <w:vertAlign w:val="superscript"/>
        </w:rPr>
        <w:lastRenderedPageBreak/>
        <w:t>*</w:t>
      </w:r>
      <w:r w:rsidR="00464979" w:rsidRPr="00AD3AB6">
        <w:t>Prof. Molly M. Stevens. Email: m.stevens@imperial</w:t>
      </w:r>
      <w:r w:rsidRPr="00AD3AB6">
        <w:t>.ac.uk, Ph: +44 (0)20 7594 680</w:t>
      </w:r>
      <w:r w:rsidR="00BE7F22" w:rsidRPr="00AD3AB6">
        <w:t xml:space="preserve">. </w:t>
      </w:r>
      <w:r w:rsidR="00464979" w:rsidRPr="00AD3AB6">
        <w:t>Address: Prince Consort Road, South Kensington, S</w:t>
      </w:r>
      <w:r w:rsidRPr="00AD3AB6">
        <w:t xml:space="preserve">W7 2AZ London, United Kingdom. </w:t>
      </w:r>
      <w:r w:rsidR="00464979" w:rsidRPr="00AD3AB6">
        <w:t xml:space="preserve">Homepage: </w:t>
      </w:r>
      <w:hyperlink r:id="rId13" w:history="1">
        <w:r w:rsidR="00464979" w:rsidRPr="00AD3AB6">
          <w:rPr>
            <w:rStyle w:val="Hyperlink"/>
            <w:color w:val="auto"/>
          </w:rPr>
          <w:t>http://www.stevensgroup.org</w:t>
        </w:r>
      </w:hyperlink>
    </w:p>
    <w:p w:rsidR="007674C6" w:rsidRPr="00AD3AB6" w:rsidRDefault="007674C6" w:rsidP="007674C6">
      <w:pPr>
        <w:pStyle w:val="FAAuthorInfoSubtitle"/>
      </w:pPr>
      <w:r w:rsidRPr="00AD3AB6">
        <w:t>Author Contributions</w:t>
      </w:r>
    </w:p>
    <w:p w:rsidR="007674C6" w:rsidRPr="00AD3AB6" w:rsidRDefault="007674C6" w:rsidP="007674C6">
      <w:pPr>
        <w:pStyle w:val="StyleFACorrespondingAuthorFootnote7pt"/>
        <w:spacing w:after="240" w:line="480" w:lineRule="auto"/>
        <w:rPr>
          <w:rFonts w:ascii="Times" w:hAnsi="Times"/>
          <w:kern w:val="0"/>
          <w:sz w:val="24"/>
        </w:rPr>
      </w:pPr>
      <w:r w:rsidRPr="00AD3AB6">
        <w:rPr>
          <w:rFonts w:ascii="Times" w:hAnsi="Times"/>
          <w:kern w:val="0"/>
          <w:sz w:val="24"/>
        </w:rPr>
        <w:t>The manuscript was written through contributions of all authors. All authors have given approval to the final version of the manuscript. ‡</w:t>
      </w:r>
      <w:r w:rsidR="009A6C73" w:rsidRPr="00AD3AB6">
        <w:rPr>
          <w:rFonts w:ascii="Times" w:hAnsi="Times"/>
          <w:kern w:val="0"/>
          <w:sz w:val="24"/>
        </w:rPr>
        <w:t xml:space="preserve"> </w:t>
      </w:r>
      <w:r w:rsidRPr="00AD3AB6">
        <w:rPr>
          <w:rFonts w:ascii="Times" w:hAnsi="Times"/>
          <w:kern w:val="0"/>
          <w:sz w:val="24"/>
        </w:rPr>
        <w:t>Thes</w:t>
      </w:r>
      <w:r w:rsidR="009A6C73" w:rsidRPr="00AD3AB6">
        <w:rPr>
          <w:rFonts w:ascii="Times" w:hAnsi="Times"/>
          <w:kern w:val="0"/>
          <w:sz w:val="24"/>
        </w:rPr>
        <w:t>e authors contributed equally.</w:t>
      </w:r>
    </w:p>
    <w:p w:rsidR="007674C6" w:rsidRPr="00AD3AB6" w:rsidRDefault="007674C6" w:rsidP="007674C6">
      <w:pPr>
        <w:pStyle w:val="FAAuthorInfoSubtitle"/>
      </w:pPr>
      <w:r w:rsidRPr="00AD3AB6">
        <w:t>Funding Sources</w:t>
      </w:r>
    </w:p>
    <w:p w:rsidR="007674C6" w:rsidRPr="00AD3AB6" w:rsidRDefault="009A6C73" w:rsidP="007674C6">
      <w:pPr>
        <w:pStyle w:val="StyleFACorrespondingAuthorFootnote7pt"/>
        <w:spacing w:after="240" w:line="480" w:lineRule="auto"/>
        <w:rPr>
          <w:rFonts w:ascii="Times" w:hAnsi="Times"/>
          <w:kern w:val="0"/>
          <w:sz w:val="24"/>
        </w:rPr>
      </w:pPr>
      <w:r w:rsidRPr="00AD3AB6">
        <w:rPr>
          <w:rFonts w:ascii="Times" w:hAnsi="Times"/>
          <w:kern w:val="0"/>
          <w:sz w:val="24"/>
        </w:rPr>
        <w:t>The authors declare no competing financial interest.</w:t>
      </w:r>
      <w:r w:rsidRPr="00AD3AB6">
        <w:t xml:space="preserve"> </w:t>
      </w:r>
      <w:r w:rsidRPr="00AD3AB6">
        <w:rPr>
          <w:rFonts w:ascii="Times" w:hAnsi="Times"/>
          <w:kern w:val="0"/>
          <w:sz w:val="24"/>
        </w:rPr>
        <w:t>This work was supported by a Whitaker International Scholarship to AG and EPSRC grant (EP/K020641/1).</w:t>
      </w:r>
    </w:p>
    <w:p w:rsidR="007674C6" w:rsidRPr="00AD3AB6" w:rsidRDefault="007674C6" w:rsidP="007674C6">
      <w:pPr>
        <w:pStyle w:val="TDAcknowledgments"/>
        <w:spacing w:before="0" w:after="0"/>
        <w:ind w:firstLine="0"/>
        <w:jc w:val="left"/>
      </w:pPr>
      <w:r w:rsidRPr="00AD3AB6">
        <w:t>ACKNOWLEDGMENT</w:t>
      </w:r>
    </w:p>
    <w:p w:rsidR="007674C6" w:rsidRPr="00AD3AB6" w:rsidRDefault="009A6C73" w:rsidP="007674C6">
      <w:pPr>
        <w:pStyle w:val="TDAcknowledgments"/>
        <w:spacing w:before="0" w:after="240"/>
        <w:ind w:firstLine="0"/>
        <w:jc w:val="left"/>
      </w:pPr>
      <w:r w:rsidRPr="00AD3AB6">
        <w:t xml:space="preserve">The authors are grateful to Peter Haycock for assistance with </w:t>
      </w:r>
      <w:r w:rsidRPr="00AD3AB6">
        <w:rPr>
          <w:vertAlign w:val="superscript"/>
        </w:rPr>
        <w:t>1</w:t>
      </w:r>
      <w:r w:rsidRPr="00AD3AB6">
        <w:t xml:space="preserve">H-NMR kinetics, as well as to Roberto de la Rica for useful discussions during the development of the work. </w:t>
      </w:r>
    </w:p>
    <w:p w:rsidR="007674C6" w:rsidRPr="00AD3AB6" w:rsidRDefault="007674C6" w:rsidP="007674C6">
      <w:r w:rsidRPr="00AD3AB6">
        <w:t>ABBREVIATIONS</w:t>
      </w:r>
    </w:p>
    <w:p w:rsidR="007674C6" w:rsidRPr="00AD3AB6" w:rsidRDefault="009A6C73" w:rsidP="007674C6">
      <w:pPr>
        <w:spacing w:line="480" w:lineRule="auto"/>
        <w:jc w:val="left"/>
      </w:pPr>
      <w:r w:rsidRPr="00AD3AB6">
        <w:t xml:space="preserve">CRP controlled radical polymerization; RAFT, reversible addition-fragmentation chain transfer; ATRP, atom transfer radical polymerization; CTA, chain transfer agent; GOx, glucose oxidase; </w:t>
      </w:r>
      <w:r w:rsidR="00775C69" w:rsidRPr="00AD3AB6">
        <w:t>SEC</w:t>
      </w:r>
      <w:r w:rsidRPr="00AD3AB6">
        <w:t xml:space="preserve">, </w:t>
      </w:r>
      <w:r w:rsidR="00775C69" w:rsidRPr="00AD3AB6">
        <w:t>size exclusion</w:t>
      </w:r>
      <w:r w:rsidRPr="00AD3AB6">
        <w:t xml:space="preserve"> chromatography; NMR, nuclear magnetic resonance</w:t>
      </w:r>
    </w:p>
    <w:p w:rsidR="007674C6" w:rsidRPr="00AD3AB6" w:rsidRDefault="007674C6" w:rsidP="007674C6">
      <w:pPr>
        <w:pStyle w:val="TFReferencesSection"/>
        <w:spacing w:after="0"/>
        <w:ind w:firstLine="0"/>
        <w:rPr>
          <w:iCs/>
        </w:rPr>
      </w:pPr>
      <w:r w:rsidRPr="00AD3AB6">
        <w:rPr>
          <w:iCs/>
        </w:rPr>
        <w:t>REFERENCES</w:t>
      </w:r>
    </w:p>
    <w:p w:rsidR="004C7450" w:rsidRPr="00AD3AB6" w:rsidRDefault="00792734">
      <w:pPr>
        <w:pStyle w:val="NormalWeb"/>
        <w:ind w:left="640" w:hanging="640"/>
        <w:divId w:val="1430081694"/>
        <w:rPr>
          <w:rFonts w:ascii="Times" w:hAnsi="Times" w:cs="Times"/>
          <w:noProof/>
        </w:rPr>
      </w:pPr>
      <w:r w:rsidRPr="00AD3AB6">
        <w:fldChar w:fldCharType="begin" w:fldLock="1"/>
      </w:r>
      <w:r w:rsidRPr="00AD3AB6">
        <w:instrText xml:space="preserve">ADDIN Mendeley Bibliography CSL_BIBLIOGRAPHY </w:instrText>
      </w:r>
      <w:r w:rsidRPr="00AD3AB6">
        <w:fldChar w:fldCharType="separate"/>
      </w:r>
      <w:r w:rsidR="004C7450" w:rsidRPr="00AD3AB6">
        <w:rPr>
          <w:rFonts w:ascii="Times" w:hAnsi="Times" w:cs="Times"/>
          <w:noProof/>
        </w:rPr>
        <w:t xml:space="preserve">(1) </w:t>
      </w:r>
      <w:r w:rsidR="004C7450" w:rsidRPr="00AD3AB6">
        <w:rPr>
          <w:rFonts w:ascii="Times" w:hAnsi="Times" w:cs="Times"/>
          <w:noProof/>
        </w:rPr>
        <w:tab/>
        <w:t xml:space="preserve">Matyjaszewski, K. </w:t>
      </w:r>
      <w:r w:rsidR="004C7450" w:rsidRPr="00AD3AB6">
        <w:rPr>
          <w:rFonts w:ascii="Times" w:hAnsi="Times" w:cs="Times"/>
          <w:i/>
          <w:iCs/>
          <w:noProof/>
        </w:rPr>
        <w:t>Macromolecules</w:t>
      </w:r>
      <w:r w:rsidR="004C7450" w:rsidRPr="00AD3AB6">
        <w:rPr>
          <w:rFonts w:ascii="Times" w:hAnsi="Times" w:cs="Times"/>
          <w:noProof/>
        </w:rPr>
        <w:t xml:space="preserve"> </w:t>
      </w:r>
      <w:r w:rsidR="004C7450" w:rsidRPr="00AD3AB6">
        <w:rPr>
          <w:rFonts w:ascii="Times" w:hAnsi="Times" w:cs="Times"/>
          <w:b/>
          <w:bCs/>
          <w:noProof/>
        </w:rPr>
        <w:t>2012</w:t>
      </w:r>
      <w:r w:rsidR="004C7450" w:rsidRPr="00AD3AB6">
        <w:rPr>
          <w:rFonts w:ascii="Times" w:hAnsi="Times" w:cs="Times"/>
          <w:noProof/>
        </w:rPr>
        <w:t xml:space="preserve">, </w:t>
      </w:r>
      <w:r w:rsidR="004C7450" w:rsidRPr="00AD3AB6">
        <w:rPr>
          <w:rFonts w:ascii="Times" w:hAnsi="Times" w:cs="Times"/>
          <w:i/>
          <w:iCs/>
          <w:noProof/>
        </w:rPr>
        <w:t>45</w:t>
      </w:r>
      <w:r w:rsidR="004C7450" w:rsidRPr="00AD3AB6">
        <w:rPr>
          <w:rFonts w:ascii="Times" w:hAnsi="Times" w:cs="Times"/>
          <w:noProof/>
        </w:rPr>
        <w:t>, 4015–4039.</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(2) </w:t>
      </w:r>
      <w:r w:rsidRPr="00AD3AB6">
        <w:rPr>
          <w:rFonts w:ascii="Times" w:hAnsi="Times" w:cs="Times"/>
          <w:noProof/>
        </w:rPr>
        <w:tab/>
        <w:t xml:space="preserve">Perrier, S.; Takolpuckdee, P. </w:t>
      </w:r>
      <w:r w:rsidRPr="00AD3AB6">
        <w:rPr>
          <w:rFonts w:ascii="Times" w:hAnsi="Times" w:cs="Times"/>
          <w:i/>
          <w:iCs/>
          <w:noProof/>
        </w:rPr>
        <w:t>J. Polym. Sci. Part A Polym. Chem.</w:t>
      </w:r>
      <w:r w:rsidRPr="00AD3AB6">
        <w:rPr>
          <w:rFonts w:ascii="Times" w:hAnsi="Times" w:cs="Times"/>
          <w:noProof/>
        </w:rPr>
        <w:t xml:space="preserve"> </w:t>
      </w:r>
      <w:r w:rsidRPr="00AD3AB6">
        <w:rPr>
          <w:rFonts w:ascii="Times" w:hAnsi="Times" w:cs="Times"/>
          <w:b/>
          <w:bCs/>
          <w:noProof/>
        </w:rPr>
        <w:t>2005</w:t>
      </w:r>
      <w:r w:rsidRPr="00AD3AB6">
        <w:rPr>
          <w:rFonts w:ascii="Times" w:hAnsi="Times" w:cs="Times"/>
          <w:noProof/>
        </w:rPr>
        <w:t xml:space="preserve">, </w:t>
      </w:r>
      <w:r w:rsidRPr="00AD3AB6">
        <w:rPr>
          <w:rFonts w:ascii="Times" w:hAnsi="Times" w:cs="Times"/>
          <w:i/>
          <w:iCs/>
          <w:noProof/>
        </w:rPr>
        <w:t>43</w:t>
      </w:r>
      <w:r w:rsidRPr="00AD3AB6">
        <w:rPr>
          <w:rFonts w:ascii="Times" w:hAnsi="Times" w:cs="Times"/>
          <w:noProof/>
        </w:rPr>
        <w:t>, 5347–5393.</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(3) </w:t>
      </w:r>
      <w:r w:rsidRPr="00AD3AB6">
        <w:rPr>
          <w:rFonts w:ascii="Times" w:hAnsi="Times" w:cs="Times"/>
          <w:noProof/>
        </w:rPr>
        <w:tab/>
        <w:t xml:space="preserve">Moad, G.; Rizzardo, E.; Thang, S. H. </w:t>
      </w:r>
      <w:r w:rsidRPr="00AD3AB6">
        <w:rPr>
          <w:rFonts w:ascii="Times" w:hAnsi="Times" w:cs="Times"/>
          <w:i/>
          <w:iCs/>
          <w:noProof/>
        </w:rPr>
        <w:t>Aust. J. Chem.</w:t>
      </w:r>
      <w:r w:rsidRPr="00AD3AB6">
        <w:rPr>
          <w:rFonts w:ascii="Times" w:hAnsi="Times" w:cs="Times"/>
          <w:noProof/>
        </w:rPr>
        <w:t xml:space="preserve"> </w:t>
      </w:r>
      <w:r w:rsidRPr="00AD3AB6">
        <w:rPr>
          <w:rFonts w:ascii="Times" w:hAnsi="Times" w:cs="Times"/>
          <w:b/>
          <w:bCs/>
          <w:noProof/>
        </w:rPr>
        <w:t>2006</w:t>
      </w:r>
      <w:r w:rsidRPr="00AD3AB6">
        <w:rPr>
          <w:rFonts w:ascii="Times" w:hAnsi="Times" w:cs="Times"/>
          <w:noProof/>
        </w:rPr>
        <w:t xml:space="preserve">, </w:t>
      </w:r>
      <w:r w:rsidRPr="00AD3AB6">
        <w:rPr>
          <w:rFonts w:ascii="Times" w:hAnsi="Times" w:cs="Times"/>
          <w:i/>
          <w:iCs/>
          <w:noProof/>
        </w:rPr>
        <w:t>59</w:t>
      </w:r>
      <w:r w:rsidRPr="00AD3AB6">
        <w:rPr>
          <w:rFonts w:ascii="Times" w:hAnsi="Times" w:cs="Times"/>
          <w:noProof/>
        </w:rPr>
        <w:t>, 669–692.</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(4) </w:t>
      </w:r>
      <w:r w:rsidRPr="00AD3AB6">
        <w:rPr>
          <w:rFonts w:ascii="Times" w:hAnsi="Times" w:cs="Times"/>
          <w:noProof/>
        </w:rPr>
        <w:tab/>
        <w:t xml:space="preserve">Moad, G.; Rizzardo, E.; Thang, S. H. </w:t>
      </w:r>
      <w:r w:rsidRPr="00AD3AB6">
        <w:rPr>
          <w:rFonts w:ascii="Times" w:hAnsi="Times" w:cs="Times"/>
          <w:i/>
          <w:iCs/>
          <w:noProof/>
        </w:rPr>
        <w:t>Aust. J. Chem.</w:t>
      </w:r>
      <w:r w:rsidRPr="00AD3AB6">
        <w:rPr>
          <w:rFonts w:ascii="Times" w:hAnsi="Times" w:cs="Times"/>
          <w:noProof/>
        </w:rPr>
        <w:t xml:space="preserve"> </w:t>
      </w:r>
      <w:r w:rsidRPr="00AD3AB6">
        <w:rPr>
          <w:rFonts w:ascii="Times" w:hAnsi="Times" w:cs="Times"/>
          <w:b/>
          <w:bCs/>
          <w:noProof/>
        </w:rPr>
        <w:t>2009</w:t>
      </w:r>
      <w:r w:rsidRPr="00AD3AB6">
        <w:rPr>
          <w:rFonts w:ascii="Times" w:hAnsi="Times" w:cs="Times"/>
          <w:noProof/>
        </w:rPr>
        <w:t xml:space="preserve">, </w:t>
      </w:r>
      <w:r w:rsidRPr="00AD3AB6">
        <w:rPr>
          <w:rFonts w:ascii="Times" w:hAnsi="Times" w:cs="Times"/>
          <w:i/>
          <w:iCs/>
          <w:noProof/>
        </w:rPr>
        <w:t>62</w:t>
      </w:r>
      <w:r w:rsidRPr="00AD3AB6">
        <w:rPr>
          <w:rFonts w:ascii="Times" w:hAnsi="Times" w:cs="Times"/>
          <w:noProof/>
        </w:rPr>
        <w:t>, 1402–1472.</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lastRenderedPageBreak/>
        <w:t xml:space="preserve">(5) </w:t>
      </w:r>
      <w:r w:rsidRPr="00AD3AB6">
        <w:rPr>
          <w:rFonts w:ascii="Times" w:hAnsi="Times" w:cs="Times"/>
          <w:noProof/>
        </w:rPr>
        <w:tab/>
        <w:t xml:space="preserve">Guerrero-Sanchez, C.; Keddie, D. J.; Saubern, S.; Chiefari, J. </w:t>
      </w:r>
      <w:r w:rsidRPr="00AD3AB6">
        <w:rPr>
          <w:rFonts w:ascii="Times" w:hAnsi="Times" w:cs="Times"/>
          <w:i/>
          <w:iCs/>
          <w:noProof/>
        </w:rPr>
        <w:t>ACS Comb. Sci.</w:t>
      </w:r>
      <w:r w:rsidRPr="00AD3AB6">
        <w:rPr>
          <w:rFonts w:ascii="Times" w:hAnsi="Times" w:cs="Times"/>
          <w:noProof/>
        </w:rPr>
        <w:t xml:space="preserve"> </w:t>
      </w:r>
      <w:r w:rsidRPr="00AD3AB6">
        <w:rPr>
          <w:rFonts w:ascii="Times" w:hAnsi="Times" w:cs="Times"/>
          <w:b/>
          <w:bCs/>
          <w:noProof/>
        </w:rPr>
        <w:t>2012</w:t>
      </w:r>
      <w:r w:rsidRPr="00AD3AB6">
        <w:rPr>
          <w:rFonts w:ascii="Times" w:hAnsi="Times" w:cs="Times"/>
          <w:noProof/>
        </w:rPr>
        <w:t xml:space="preserve">, </w:t>
      </w:r>
      <w:r w:rsidRPr="00AD3AB6">
        <w:rPr>
          <w:rFonts w:ascii="Times" w:hAnsi="Times" w:cs="Times"/>
          <w:i/>
          <w:iCs/>
          <w:noProof/>
        </w:rPr>
        <w:t>14</w:t>
      </w:r>
      <w:r w:rsidRPr="00AD3AB6">
        <w:rPr>
          <w:rFonts w:ascii="Times" w:hAnsi="Times" w:cs="Times"/>
          <w:noProof/>
        </w:rPr>
        <w:t>, 389–394.</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(6) </w:t>
      </w:r>
      <w:r w:rsidRPr="00AD3AB6">
        <w:rPr>
          <w:rFonts w:ascii="Times" w:hAnsi="Times" w:cs="Times"/>
          <w:noProof/>
        </w:rPr>
        <w:tab/>
        <w:t xml:space="preserve">Gody, G.; Maschmeyer, T.; Zetterlund, P. B.; Perrier, S. </w:t>
      </w:r>
      <w:r w:rsidRPr="00AD3AB6">
        <w:rPr>
          <w:rFonts w:ascii="Times" w:hAnsi="Times" w:cs="Times"/>
          <w:i/>
          <w:iCs/>
          <w:noProof/>
        </w:rPr>
        <w:t>Macromolecules</w:t>
      </w:r>
      <w:r w:rsidRPr="00AD3AB6">
        <w:rPr>
          <w:rFonts w:ascii="Times" w:hAnsi="Times" w:cs="Times"/>
          <w:noProof/>
        </w:rPr>
        <w:t xml:space="preserve"> </w:t>
      </w:r>
      <w:r w:rsidRPr="00AD3AB6">
        <w:rPr>
          <w:rFonts w:ascii="Times" w:hAnsi="Times" w:cs="Times"/>
          <w:b/>
          <w:bCs/>
          <w:noProof/>
        </w:rPr>
        <w:t>2014</w:t>
      </w:r>
      <w:r w:rsidRPr="00AD3AB6">
        <w:rPr>
          <w:rFonts w:ascii="Times" w:hAnsi="Times" w:cs="Times"/>
          <w:noProof/>
        </w:rPr>
        <w:t xml:space="preserve">, </w:t>
      </w:r>
      <w:r w:rsidRPr="00AD3AB6">
        <w:rPr>
          <w:rFonts w:ascii="Times" w:hAnsi="Times" w:cs="Times"/>
          <w:i/>
          <w:iCs/>
          <w:noProof/>
        </w:rPr>
        <w:t>47</w:t>
      </w:r>
      <w:r w:rsidRPr="00AD3AB6">
        <w:rPr>
          <w:rFonts w:ascii="Times" w:hAnsi="Times" w:cs="Times"/>
          <w:noProof/>
        </w:rPr>
        <w:t>, 3451–3460.</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(7) </w:t>
      </w:r>
      <w:r w:rsidRPr="00AD3AB6">
        <w:rPr>
          <w:rFonts w:ascii="Times" w:hAnsi="Times" w:cs="Times"/>
          <w:noProof/>
        </w:rPr>
        <w:tab/>
        <w:t xml:space="preserve">Gody, G.; Maschmeyer, T.; Zetterlund, P. B.; Perrier, S. </w:t>
      </w:r>
      <w:r w:rsidRPr="00AD3AB6">
        <w:rPr>
          <w:rFonts w:ascii="Times" w:hAnsi="Times" w:cs="Times"/>
          <w:i/>
          <w:iCs/>
          <w:noProof/>
        </w:rPr>
        <w:t>Nat. Commun.</w:t>
      </w:r>
      <w:r w:rsidRPr="00AD3AB6">
        <w:rPr>
          <w:rFonts w:ascii="Times" w:hAnsi="Times" w:cs="Times"/>
          <w:noProof/>
        </w:rPr>
        <w:t xml:space="preserve"> </w:t>
      </w:r>
      <w:r w:rsidRPr="00AD3AB6">
        <w:rPr>
          <w:rFonts w:ascii="Times" w:hAnsi="Times" w:cs="Times"/>
          <w:b/>
          <w:bCs/>
          <w:noProof/>
        </w:rPr>
        <w:t>2013</w:t>
      </w:r>
      <w:r w:rsidRPr="00AD3AB6">
        <w:rPr>
          <w:rFonts w:ascii="Times" w:hAnsi="Times" w:cs="Times"/>
          <w:noProof/>
        </w:rPr>
        <w:t xml:space="preserve">, </w:t>
      </w:r>
      <w:r w:rsidRPr="00AD3AB6">
        <w:rPr>
          <w:rFonts w:ascii="Times" w:hAnsi="Times" w:cs="Times"/>
          <w:i/>
          <w:iCs/>
          <w:noProof/>
        </w:rPr>
        <w:t>4</w:t>
      </w:r>
      <w:r w:rsidRPr="00AD3AB6">
        <w:rPr>
          <w:rFonts w:ascii="Times" w:hAnsi="Times" w:cs="Times"/>
          <w:noProof/>
        </w:rPr>
        <w:t>, 1–9.</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(8) </w:t>
      </w:r>
      <w:r w:rsidRPr="00AD3AB6">
        <w:rPr>
          <w:rFonts w:ascii="Times" w:hAnsi="Times" w:cs="Times"/>
          <w:noProof/>
        </w:rPr>
        <w:tab/>
        <w:t xml:space="preserve">Jakubowski, W.; Min, K.; Matyjaszewski, K. </w:t>
      </w:r>
      <w:r w:rsidRPr="00AD3AB6">
        <w:rPr>
          <w:rFonts w:ascii="Times" w:hAnsi="Times" w:cs="Times"/>
          <w:i/>
          <w:iCs/>
          <w:noProof/>
        </w:rPr>
        <w:t>Macromolecules</w:t>
      </w:r>
      <w:r w:rsidRPr="00AD3AB6">
        <w:rPr>
          <w:rFonts w:ascii="Times" w:hAnsi="Times" w:cs="Times"/>
          <w:noProof/>
        </w:rPr>
        <w:t xml:space="preserve"> </w:t>
      </w:r>
      <w:r w:rsidRPr="00AD3AB6">
        <w:rPr>
          <w:rFonts w:ascii="Times" w:hAnsi="Times" w:cs="Times"/>
          <w:b/>
          <w:bCs/>
          <w:noProof/>
        </w:rPr>
        <w:t>2006</w:t>
      </w:r>
      <w:r w:rsidRPr="00AD3AB6">
        <w:rPr>
          <w:rFonts w:ascii="Times" w:hAnsi="Times" w:cs="Times"/>
          <w:noProof/>
        </w:rPr>
        <w:t xml:space="preserve">, </w:t>
      </w:r>
      <w:r w:rsidRPr="00AD3AB6">
        <w:rPr>
          <w:rFonts w:ascii="Times" w:hAnsi="Times" w:cs="Times"/>
          <w:i/>
          <w:iCs/>
          <w:noProof/>
        </w:rPr>
        <w:t>39</w:t>
      </w:r>
      <w:r w:rsidRPr="00AD3AB6">
        <w:rPr>
          <w:rFonts w:ascii="Times" w:hAnsi="Times" w:cs="Times"/>
          <w:noProof/>
        </w:rPr>
        <w:t>, 39–45.</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(9) </w:t>
      </w:r>
      <w:r w:rsidRPr="00AD3AB6">
        <w:rPr>
          <w:rFonts w:ascii="Times" w:hAnsi="Times" w:cs="Times"/>
          <w:noProof/>
        </w:rPr>
        <w:tab/>
        <w:t xml:space="preserve">Jakubowski, W.; Matyjaszewski, K. </w:t>
      </w:r>
      <w:r w:rsidRPr="00AD3AB6">
        <w:rPr>
          <w:rFonts w:ascii="Times" w:hAnsi="Times" w:cs="Times"/>
          <w:i/>
          <w:iCs/>
          <w:noProof/>
        </w:rPr>
        <w:t>Angew. Chem. Int. Ed. Engl.</w:t>
      </w:r>
      <w:r w:rsidRPr="00AD3AB6">
        <w:rPr>
          <w:rFonts w:ascii="Times" w:hAnsi="Times" w:cs="Times"/>
          <w:noProof/>
        </w:rPr>
        <w:t xml:space="preserve"> </w:t>
      </w:r>
      <w:r w:rsidRPr="00AD3AB6">
        <w:rPr>
          <w:rFonts w:ascii="Times" w:hAnsi="Times" w:cs="Times"/>
          <w:b/>
          <w:bCs/>
          <w:noProof/>
        </w:rPr>
        <w:t>2006</w:t>
      </w:r>
      <w:r w:rsidRPr="00AD3AB6">
        <w:rPr>
          <w:rFonts w:ascii="Times" w:hAnsi="Times" w:cs="Times"/>
          <w:noProof/>
        </w:rPr>
        <w:t xml:space="preserve">, </w:t>
      </w:r>
      <w:r w:rsidRPr="00AD3AB6">
        <w:rPr>
          <w:rFonts w:ascii="Times" w:hAnsi="Times" w:cs="Times"/>
          <w:i/>
          <w:iCs/>
          <w:noProof/>
        </w:rPr>
        <w:t>45</w:t>
      </w:r>
      <w:r w:rsidRPr="00AD3AB6">
        <w:rPr>
          <w:rFonts w:ascii="Times" w:hAnsi="Times" w:cs="Times"/>
          <w:noProof/>
        </w:rPr>
        <w:t>, 4482–4486.</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(10) </w:t>
      </w:r>
      <w:r w:rsidRPr="00AD3AB6">
        <w:rPr>
          <w:rFonts w:ascii="Times" w:hAnsi="Times" w:cs="Times"/>
          <w:noProof/>
        </w:rPr>
        <w:tab/>
        <w:t xml:space="preserve">Matyjaszewski, K.; Jakubowski, W.; Min, K.; Tang, W.; Huang, J.; Braunecker, W. A.; Tsarevsky, N. V. </w:t>
      </w:r>
      <w:r w:rsidRPr="00AD3AB6">
        <w:rPr>
          <w:rFonts w:ascii="Times" w:hAnsi="Times" w:cs="Times"/>
          <w:i/>
          <w:iCs/>
          <w:noProof/>
        </w:rPr>
        <w:t>Proc. Natl. Acad. Sci.</w:t>
      </w:r>
      <w:r w:rsidRPr="00AD3AB6">
        <w:rPr>
          <w:rFonts w:ascii="Times" w:hAnsi="Times" w:cs="Times"/>
          <w:noProof/>
        </w:rPr>
        <w:t xml:space="preserve"> </w:t>
      </w:r>
      <w:r w:rsidRPr="00AD3AB6">
        <w:rPr>
          <w:rFonts w:ascii="Times" w:hAnsi="Times" w:cs="Times"/>
          <w:b/>
          <w:bCs/>
          <w:noProof/>
        </w:rPr>
        <w:t>2006</w:t>
      </w:r>
      <w:r w:rsidRPr="00AD3AB6">
        <w:rPr>
          <w:rFonts w:ascii="Times" w:hAnsi="Times" w:cs="Times"/>
          <w:noProof/>
        </w:rPr>
        <w:t xml:space="preserve">, </w:t>
      </w:r>
      <w:r w:rsidRPr="00AD3AB6">
        <w:rPr>
          <w:rFonts w:ascii="Times" w:hAnsi="Times" w:cs="Times"/>
          <w:i/>
          <w:iCs/>
          <w:noProof/>
        </w:rPr>
        <w:t>103</w:t>
      </w:r>
      <w:r w:rsidRPr="00AD3AB6">
        <w:rPr>
          <w:rFonts w:ascii="Times" w:hAnsi="Times" w:cs="Times"/>
          <w:noProof/>
        </w:rPr>
        <w:t>, 15309–15314.</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(11) </w:t>
      </w:r>
      <w:r w:rsidRPr="00AD3AB6">
        <w:rPr>
          <w:rFonts w:ascii="Times" w:hAnsi="Times" w:cs="Times"/>
          <w:noProof/>
        </w:rPr>
        <w:tab/>
        <w:t xml:space="preserve">Zhang, J.; Frigoli, M.; Xiao, P.; Ronchi, L.; Gra, B.; Morlet-savary, F.; Fouassier, J. P.; Gigmes, D.; Laleve, J.; Ism, D. M.; Starcky, J. </w:t>
      </w:r>
      <w:r w:rsidRPr="00AD3AB6">
        <w:rPr>
          <w:rFonts w:ascii="Times" w:hAnsi="Times" w:cs="Times"/>
          <w:i/>
          <w:iCs/>
          <w:noProof/>
        </w:rPr>
        <w:t>Macromolecules</w:t>
      </w:r>
      <w:r w:rsidRPr="00AD3AB6">
        <w:rPr>
          <w:rFonts w:ascii="Times" w:hAnsi="Times" w:cs="Times"/>
          <w:noProof/>
        </w:rPr>
        <w:t xml:space="preserve"> </w:t>
      </w:r>
      <w:r w:rsidRPr="00AD3AB6">
        <w:rPr>
          <w:rFonts w:ascii="Times" w:hAnsi="Times" w:cs="Times"/>
          <w:b/>
          <w:bCs/>
          <w:noProof/>
        </w:rPr>
        <w:t>2014</w:t>
      </w:r>
      <w:r w:rsidRPr="00AD3AB6">
        <w:rPr>
          <w:rFonts w:ascii="Times" w:hAnsi="Times" w:cs="Times"/>
          <w:noProof/>
        </w:rPr>
        <w:t xml:space="preserve">, </w:t>
      </w:r>
      <w:r w:rsidRPr="00AD3AB6">
        <w:rPr>
          <w:rFonts w:ascii="Times" w:hAnsi="Times" w:cs="Times"/>
          <w:i/>
          <w:iCs/>
          <w:noProof/>
        </w:rPr>
        <w:t>47</w:t>
      </w:r>
      <w:r w:rsidRPr="00AD3AB6">
        <w:rPr>
          <w:rFonts w:ascii="Times" w:hAnsi="Times" w:cs="Times"/>
          <w:noProof/>
        </w:rPr>
        <w:t>, 2811–2819.</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(12) </w:t>
      </w:r>
      <w:r w:rsidRPr="00AD3AB6">
        <w:rPr>
          <w:rFonts w:ascii="Times" w:hAnsi="Times" w:cs="Times"/>
          <w:noProof/>
        </w:rPr>
        <w:tab/>
        <w:t xml:space="preserve">Lalevée, J.; El-Roz, M.; Allonas, X.; Pierre Fouassier, J. </w:t>
      </w:r>
      <w:r w:rsidRPr="00AD3AB6">
        <w:rPr>
          <w:rFonts w:ascii="Times" w:hAnsi="Times" w:cs="Times"/>
          <w:i/>
          <w:iCs/>
          <w:noProof/>
        </w:rPr>
        <w:t>J. Polym. Sci. Part A Polym. Chem.</w:t>
      </w:r>
      <w:r w:rsidRPr="00AD3AB6">
        <w:rPr>
          <w:rFonts w:ascii="Times" w:hAnsi="Times" w:cs="Times"/>
          <w:noProof/>
        </w:rPr>
        <w:t xml:space="preserve"> </w:t>
      </w:r>
      <w:r w:rsidRPr="00AD3AB6">
        <w:rPr>
          <w:rFonts w:ascii="Times" w:hAnsi="Times" w:cs="Times"/>
          <w:b/>
          <w:bCs/>
          <w:noProof/>
        </w:rPr>
        <w:t>2008</w:t>
      </w:r>
      <w:r w:rsidRPr="00AD3AB6">
        <w:rPr>
          <w:rFonts w:ascii="Times" w:hAnsi="Times" w:cs="Times"/>
          <w:noProof/>
        </w:rPr>
        <w:t xml:space="preserve">, </w:t>
      </w:r>
      <w:r w:rsidRPr="00AD3AB6">
        <w:rPr>
          <w:rFonts w:ascii="Times" w:hAnsi="Times" w:cs="Times"/>
          <w:i/>
          <w:iCs/>
          <w:noProof/>
        </w:rPr>
        <w:t>46</w:t>
      </w:r>
      <w:r w:rsidRPr="00AD3AB6">
        <w:rPr>
          <w:rFonts w:ascii="Times" w:hAnsi="Times" w:cs="Times"/>
          <w:noProof/>
        </w:rPr>
        <w:t>, 2008–2014.</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(13) </w:t>
      </w:r>
      <w:r w:rsidRPr="00AD3AB6">
        <w:rPr>
          <w:rFonts w:ascii="Times" w:hAnsi="Times" w:cs="Times"/>
          <w:noProof/>
        </w:rPr>
        <w:tab/>
        <w:t xml:space="preserve">Lalevée, J.; El-Roz, M.; Allonas, X.; Fouassier, J. P. </w:t>
      </w:r>
      <w:r w:rsidRPr="00AD3AB6">
        <w:rPr>
          <w:rFonts w:ascii="Times" w:hAnsi="Times" w:cs="Times"/>
          <w:i/>
          <w:iCs/>
          <w:noProof/>
        </w:rPr>
        <w:t>J. Polym. Sci. Part A Polym. Chem.</w:t>
      </w:r>
      <w:r w:rsidRPr="00AD3AB6">
        <w:rPr>
          <w:rFonts w:ascii="Times" w:hAnsi="Times" w:cs="Times"/>
          <w:noProof/>
        </w:rPr>
        <w:t xml:space="preserve"> </w:t>
      </w:r>
      <w:r w:rsidRPr="00AD3AB6">
        <w:rPr>
          <w:rFonts w:ascii="Times" w:hAnsi="Times" w:cs="Times"/>
          <w:b/>
          <w:bCs/>
          <w:noProof/>
        </w:rPr>
        <w:t>2007</w:t>
      </w:r>
      <w:r w:rsidRPr="00AD3AB6">
        <w:rPr>
          <w:rFonts w:ascii="Times" w:hAnsi="Times" w:cs="Times"/>
          <w:noProof/>
        </w:rPr>
        <w:t xml:space="preserve">, </w:t>
      </w:r>
      <w:r w:rsidRPr="00AD3AB6">
        <w:rPr>
          <w:rFonts w:ascii="Times" w:hAnsi="Times" w:cs="Times"/>
          <w:i/>
          <w:iCs/>
          <w:noProof/>
        </w:rPr>
        <w:t>45</w:t>
      </w:r>
      <w:r w:rsidRPr="00AD3AB6">
        <w:rPr>
          <w:rFonts w:ascii="Times" w:hAnsi="Times" w:cs="Times"/>
          <w:noProof/>
        </w:rPr>
        <w:t>, 2436–2442.</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(14) </w:t>
      </w:r>
      <w:r w:rsidRPr="00AD3AB6">
        <w:rPr>
          <w:rFonts w:ascii="Times" w:hAnsi="Times" w:cs="Times"/>
          <w:noProof/>
        </w:rPr>
        <w:tab/>
        <w:t xml:space="preserve">Fouassier, J. .; Allonas, X.; Burget, D. </w:t>
      </w:r>
      <w:r w:rsidRPr="00AD3AB6">
        <w:rPr>
          <w:rFonts w:ascii="Times" w:hAnsi="Times" w:cs="Times"/>
          <w:i/>
          <w:iCs/>
          <w:noProof/>
        </w:rPr>
        <w:t>Prog. Org. Coatings</w:t>
      </w:r>
      <w:r w:rsidRPr="00AD3AB6">
        <w:rPr>
          <w:rFonts w:ascii="Times" w:hAnsi="Times" w:cs="Times"/>
          <w:noProof/>
        </w:rPr>
        <w:t xml:space="preserve"> </w:t>
      </w:r>
      <w:r w:rsidRPr="00AD3AB6">
        <w:rPr>
          <w:rFonts w:ascii="Times" w:hAnsi="Times" w:cs="Times"/>
          <w:b/>
          <w:bCs/>
          <w:noProof/>
        </w:rPr>
        <w:t>2003</w:t>
      </w:r>
      <w:r w:rsidRPr="00AD3AB6">
        <w:rPr>
          <w:rFonts w:ascii="Times" w:hAnsi="Times" w:cs="Times"/>
          <w:noProof/>
        </w:rPr>
        <w:t xml:space="preserve">, </w:t>
      </w:r>
      <w:r w:rsidRPr="00AD3AB6">
        <w:rPr>
          <w:rFonts w:ascii="Times" w:hAnsi="Times" w:cs="Times"/>
          <w:i/>
          <w:iCs/>
          <w:noProof/>
        </w:rPr>
        <w:t>47</w:t>
      </w:r>
      <w:r w:rsidRPr="00AD3AB6">
        <w:rPr>
          <w:rFonts w:ascii="Times" w:hAnsi="Times" w:cs="Times"/>
          <w:noProof/>
        </w:rPr>
        <w:t>, 16–36.</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(15) </w:t>
      </w:r>
      <w:r w:rsidRPr="00AD3AB6">
        <w:rPr>
          <w:rFonts w:ascii="Times" w:hAnsi="Times" w:cs="Times"/>
          <w:noProof/>
        </w:rPr>
        <w:tab/>
        <w:t xml:space="preserve">Xu, J.; Jung, K.; Atme, A.; Shanmugam, S.; Boyer, C. </w:t>
      </w:r>
      <w:r w:rsidRPr="00AD3AB6">
        <w:rPr>
          <w:rFonts w:ascii="Times" w:hAnsi="Times" w:cs="Times"/>
          <w:i/>
          <w:iCs/>
          <w:noProof/>
        </w:rPr>
        <w:t>J. Am. Chem. Soc.</w:t>
      </w:r>
      <w:r w:rsidRPr="00AD3AB6">
        <w:rPr>
          <w:rFonts w:ascii="Times" w:hAnsi="Times" w:cs="Times"/>
          <w:noProof/>
        </w:rPr>
        <w:t xml:space="preserve"> </w:t>
      </w:r>
      <w:r w:rsidRPr="00AD3AB6">
        <w:rPr>
          <w:rFonts w:ascii="Times" w:hAnsi="Times" w:cs="Times"/>
          <w:b/>
          <w:bCs/>
          <w:noProof/>
        </w:rPr>
        <w:t>2014</w:t>
      </w:r>
      <w:r w:rsidRPr="00AD3AB6">
        <w:rPr>
          <w:rFonts w:ascii="Times" w:hAnsi="Times" w:cs="Times"/>
          <w:noProof/>
        </w:rPr>
        <w:t xml:space="preserve">, </w:t>
      </w:r>
      <w:r w:rsidRPr="00AD3AB6">
        <w:rPr>
          <w:rFonts w:ascii="Times" w:hAnsi="Times" w:cs="Times"/>
          <w:i/>
          <w:iCs/>
          <w:noProof/>
        </w:rPr>
        <w:t>136</w:t>
      </w:r>
      <w:r w:rsidRPr="00AD3AB6">
        <w:rPr>
          <w:rFonts w:ascii="Times" w:hAnsi="Times" w:cs="Times"/>
          <w:noProof/>
        </w:rPr>
        <w:t>, 5508–5519.</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(16) </w:t>
      </w:r>
      <w:r w:rsidRPr="00AD3AB6">
        <w:rPr>
          <w:rFonts w:ascii="Times" w:hAnsi="Times" w:cs="Times"/>
          <w:noProof/>
        </w:rPr>
        <w:tab/>
        <w:t xml:space="preserve">Berron, B. J.; Johnson, L. M.; Ba, X.; McCall, J. D.; Alvey, N. J.; Anseth, K. S.; Bowman, C. N. </w:t>
      </w:r>
      <w:r w:rsidRPr="00AD3AB6">
        <w:rPr>
          <w:rFonts w:ascii="Times" w:hAnsi="Times" w:cs="Times"/>
          <w:i/>
          <w:iCs/>
          <w:noProof/>
        </w:rPr>
        <w:t>Biotechnol. Bioeng.</w:t>
      </w:r>
      <w:r w:rsidRPr="00AD3AB6">
        <w:rPr>
          <w:rFonts w:ascii="Times" w:hAnsi="Times" w:cs="Times"/>
          <w:noProof/>
        </w:rPr>
        <w:t xml:space="preserve"> </w:t>
      </w:r>
      <w:r w:rsidRPr="00AD3AB6">
        <w:rPr>
          <w:rFonts w:ascii="Times" w:hAnsi="Times" w:cs="Times"/>
          <w:b/>
          <w:bCs/>
          <w:noProof/>
        </w:rPr>
        <w:t>2011</w:t>
      </w:r>
      <w:r w:rsidRPr="00AD3AB6">
        <w:rPr>
          <w:rFonts w:ascii="Times" w:hAnsi="Times" w:cs="Times"/>
          <w:noProof/>
        </w:rPr>
        <w:t xml:space="preserve">, </w:t>
      </w:r>
      <w:r w:rsidRPr="00AD3AB6">
        <w:rPr>
          <w:rFonts w:ascii="Times" w:hAnsi="Times" w:cs="Times"/>
          <w:i/>
          <w:iCs/>
          <w:noProof/>
        </w:rPr>
        <w:t>108</w:t>
      </w:r>
      <w:r w:rsidRPr="00AD3AB6">
        <w:rPr>
          <w:rFonts w:ascii="Times" w:hAnsi="Times" w:cs="Times"/>
          <w:noProof/>
        </w:rPr>
        <w:t>, 1521–1528.</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(17) </w:t>
      </w:r>
      <w:r w:rsidRPr="00AD3AB6">
        <w:rPr>
          <w:rFonts w:ascii="Times" w:hAnsi="Times" w:cs="Times"/>
          <w:noProof/>
        </w:rPr>
        <w:tab/>
        <w:t xml:space="preserve">Shenoy, R.; Tibbitt, M. W.; Anseth, K. S.; Bowman, C. N. </w:t>
      </w:r>
      <w:r w:rsidRPr="00AD3AB6">
        <w:rPr>
          <w:rFonts w:ascii="Times" w:hAnsi="Times" w:cs="Times"/>
          <w:i/>
          <w:iCs/>
          <w:noProof/>
        </w:rPr>
        <w:t>Chem. Mater.</w:t>
      </w:r>
      <w:r w:rsidRPr="00AD3AB6">
        <w:rPr>
          <w:rFonts w:ascii="Times" w:hAnsi="Times" w:cs="Times"/>
          <w:noProof/>
        </w:rPr>
        <w:t xml:space="preserve"> </w:t>
      </w:r>
      <w:r w:rsidRPr="00AD3AB6">
        <w:rPr>
          <w:rFonts w:ascii="Times" w:hAnsi="Times" w:cs="Times"/>
          <w:b/>
          <w:bCs/>
          <w:noProof/>
        </w:rPr>
        <w:t>2013</w:t>
      </w:r>
      <w:r w:rsidRPr="00AD3AB6">
        <w:rPr>
          <w:rFonts w:ascii="Times" w:hAnsi="Times" w:cs="Times"/>
          <w:noProof/>
        </w:rPr>
        <w:t xml:space="preserve">, </w:t>
      </w:r>
      <w:r w:rsidRPr="00AD3AB6">
        <w:rPr>
          <w:rFonts w:ascii="Times" w:hAnsi="Times" w:cs="Times"/>
          <w:i/>
          <w:iCs/>
          <w:noProof/>
        </w:rPr>
        <w:t>25</w:t>
      </w:r>
      <w:r w:rsidRPr="00AD3AB6">
        <w:rPr>
          <w:rFonts w:ascii="Times" w:hAnsi="Times" w:cs="Times"/>
          <w:noProof/>
        </w:rPr>
        <w:t>, 761–767.</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(18) </w:t>
      </w:r>
      <w:r w:rsidRPr="00AD3AB6">
        <w:rPr>
          <w:rFonts w:ascii="Times" w:hAnsi="Times" w:cs="Times"/>
          <w:noProof/>
        </w:rPr>
        <w:tab/>
        <w:t xml:space="preserve">Hume, P. S.; Bowman, C. N.; Anseth, K. S. </w:t>
      </w:r>
      <w:r w:rsidRPr="00AD3AB6">
        <w:rPr>
          <w:rFonts w:ascii="Times" w:hAnsi="Times" w:cs="Times"/>
          <w:i/>
          <w:iCs/>
          <w:noProof/>
        </w:rPr>
        <w:t>Biomaterials</w:t>
      </w:r>
      <w:r w:rsidRPr="00AD3AB6">
        <w:rPr>
          <w:rFonts w:ascii="Times" w:hAnsi="Times" w:cs="Times"/>
          <w:noProof/>
        </w:rPr>
        <w:t xml:space="preserve"> </w:t>
      </w:r>
      <w:r w:rsidRPr="00AD3AB6">
        <w:rPr>
          <w:rFonts w:ascii="Times" w:hAnsi="Times" w:cs="Times"/>
          <w:b/>
          <w:bCs/>
          <w:noProof/>
        </w:rPr>
        <w:t>2011</w:t>
      </w:r>
      <w:r w:rsidRPr="00AD3AB6">
        <w:rPr>
          <w:rFonts w:ascii="Times" w:hAnsi="Times" w:cs="Times"/>
          <w:noProof/>
        </w:rPr>
        <w:t xml:space="preserve">, </w:t>
      </w:r>
      <w:r w:rsidRPr="00AD3AB6">
        <w:rPr>
          <w:rFonts w:ascii="Times" w:hAnsi="Times" w:cs="Times"/>
          <w:i/>
          <w:iCs/>
          <w:noProof/>
        </w:rPr>
        <w:t>32</w:t>
      </w:r>
      <w:r w:rsidRPr="00AD3AB6">
        <w:rPr>
          <w:rFonts w:ascii="Times" w:hAnsi="Times" w:cs="Times"/>
          <w:noProof/>
        </w:rPr>
        <w:t>, 6204–6212.</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(19) </w:t>
      </w:r>
      <w:r w:rsidRPr="00AD3AB6">
        <w:rPr>
          <w:rFonts w:ascii="Times" w:hAnsi="Times" w:cs="Times"/>
          <w:noProof/>
        </w:rPr>
        <w:tab/>
        <w:t xml:space="preserve">Shenoy, R.; Bowman, C. N. </w:t>
      </w:r>
      <w:r w:rsidRPr="00AD3AB6">
        <w:rPr>
          <w:rFonts w:ascii="Times" w:hAnsi="Times" w:cs="Times"/>
          <w:i/>
          <w:iCs/>
          <w:noProof/>
        </w:rPr>
        <w:t>Biomaterials</w:t>
      </w:r>
      <w:r w:rsidRPr="00AD3AB6">
        <w:rPr>
          <w:rFonts w:ascii="Times" w:hAnsi="Times" w:cs="Times"/>
          <w:noProof/>
        </w:rPr>
        <w:t xml:space="preserve"> </w:t>
      </w:r>
      <w:r w:rsidRPr="00AD3AB6">
        <w:rPr>
          <w:rFonts w:ascii="Times" w:hAnsi="Times" w:cs="Times"/>
          <w:b/>
          <w:bCs/>
          <w:noProof/>
        </w:rPr>
        <w:t>2012</w:t>
      </w:r>
      <w:r w:rsidRPr="00AD3AB6">
        <w:rPr>
          <w:rFonts w:ascii="Times" w:hAnsi="Times" w:cs="Times"/>
          <w:noProof/>
        </w:rPr>
        <w:t xml:space="preserve">, </w:t>
      </w:r>
      <w:r w:rsidRPr="00AD3AB6">
        <w:rPr>
          <w:rFonts w:ascii="Times" w:hAnsi="Times" w:cs="Times"/>
          <w:i/>
          <w:iCs/>
          <w:noProof/>
        </w:rPr>
        <w:t>33</w:t>
      </w:r>
      <w:r w:rsidRPr="00AD3AB6">
        <w:rPr>
          <w:rFonts w:ascii="Times" w:hAnsi="Times" w:cs="Times"/>
          <w:noProof/>
        </w:rPr>
        <w:t>, 6909–6914.</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(20) </w:t>
      </w:r>
      <w:r w:rsidRPr="00AD3AB6">
        <w:rPr>
          <w:rFonts w:ascii="Times" w:hAnsi="Times" w:cs="Times"/>
          <w:noProof/>
        </w:rPr>
        <w:tab/>
        <w:t xml:space="preserve">Johnson, L. M.; Fairbanks, B. D.; Anseth, K. S.; Bowman, C. N. </w:t>
      </w:r>
      <w:r w:rsidRPr="00AD3AB6">
        <w:rPr>
          <w:rFonts w:ascii="Times" w:hAnsi="Times" w:cs="Times"/>
          <w:i/>
          <w:iCs/>
          <w:noProof/>
        </w:rPr>
        <w:t>Biomacromolecules</w:t>
      </w:r>
      <w:r w:rsidRPr="00AD3AB6">
        <w:rPr>
          <w:rFonts w:ascii="Times" w:hAnsi="Times" w:cs="Times"/>
          <w:noProof/>
        </w:rPr>
        <w:t xml:space="preserve"> </w:t>
      </w:r>
      <w:r w:rsidRPr="00AD3AB6">
        <w:rPr>
          <w:rFonts w:ascii="Times" w:hAnsi="Times" w:cs="Times"/>
          <w:b/>
          <w:bCs/>
          <w:noProof/>
        </w:rPr>
        <w:t>2009</w:t>
      </w:r>
      <w:r w:rsidRPr="00AD3AB6">
        <w:rPr>
          <w:rFonts w:ascii="Times" w:hAnsi="Times" w:cs="Times"/>
          <w:noProof/>
        </w:rPr>
        <w:t xml:space="preserve">, </w:t>
      </w:r>
      <w:r w:rsidRPr="00AD3AB6">
        <w:rPr>
          <w:rFonts w:ascii="Times" w:hAnsi="Times" w:cs="Times"/>
          <w:i/>
          <w:iCs/>
          <w:noProof/>
        </w:rPr>
        <w:t>10</w:t>
      </w:r>
      <w:r w:rsidRPr="00AD3AB6">
        <w:rPr>
          <w:rFonts w:ascii="Times" w:hAnsi="Times" w:cs="Times"/>
          <w:noProof/>
        </w:rPr>
        <w:t>, 3114–3121.</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(21) </w:t>
      </w:r>
      <w:r w:rsidRPr="00AD3AB6">
        <w:rPr>
          <w:rFonts w:ascii="Times" w:hAnsi="Times" w:cs="Times"/>
          <w:noProof/>
        </w:rPr>
        <w:tab/>
        <w:t xml:space="preserve">Gormley, A. J.; Chapman, R.; Stevens, M. M. </w:t>
      </w:r>
      <w:r w:rsidRPr="00AD3AB6">
        <w:rPr>
          <w:rFonts w:ascii="Times" w:hAnsi="Times" w:cs="Times"/>
          <w:i/>
          <w:iCs/>
          <w:noProof/>
        </w:rPr>
        <w:t>Nano Lett.</w:t>
      </w:r>
      <w:r w:rsidRPr="00AD3AB6">
        <w:rPr>
          <w:rFonts w:ascii="Times" w:hAnsi="Times" w:cs="Times"/>
          <w:noProof/>
        </w:rPr>
        <w:t xml:space="preserve"> </w:t>
      </w:r>
      <w:r w:rsidRPr="00AD3AB6">
        <w:rPr>
          <w:rFonts w:ascii="Times" w:hAnsi="Times" w:cs="Times"/>
          <w:b/>
          <w:bCs/>
          <w:noProof/>
        </w:rPr>
        <w:t>2014</w:t>
      </w:r>
      <w:r w:rsidRPr="00AD3AB6">
        <w:rPr>
          <w:rFonts w:ascii="Times" w:hAnsi="Times" w:cs="Times"/>
          <w:noProof/>
        </w:rPr>
        <w:t>, DOI: 10.1021/nl502840h.</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(22) </w:t>
      </w:r>
      <w:r w:rsidRPr="00AD3AB6">
        <w:rPr>
          <w:rFonts w:ascii="Times" w:hAnsi="Times" w:cs="Times"/>
          <w:noProof/>
        </w:rPr>
        <w:tab/>
        <w:t xml:space="preserve">Vasileva, N.; Godjevargova, T. </w:t>
      </w:r>
      <w:r w:rsidRPr="00AD3AB6">
        <w:rPr>
          <w:rFonts w:ascii="Times" w:hAnsi="Times" w:cs="Times"/>
          <w:i/>
          <w:iCs/>
          <w:noProof/>
        </w:rPr>
        <w:t>Mater. Sci. Eng. C</w:t>
      </w:r>
      <w:r w:rsidRPr="00AD3AB6">
        <w:rPr>
          <w:rFonts w:ascii="Times" w:hAnsi="Times" w:cs="Times"/>
          <w:noProof/>
        </w:rPr>
        <w:t xml:space="preserve"> </w:t>
      </w:r>
      <w:r w:rsidRPr="00AD3AB6">
        <w:rPr>
          <w:rFonts w:ascii="Times" w:hAnsi="Times" w:cs="Times"/>
          <w:b/>
          <w:bCs/>
          <w:noProof/>
        </w:rPr>
        <w:t>2005</w:t>
      </w:r>
      <w:r w:rsidRPr="00AD3AB6">
        <w:rPr>
          <w:rFonts w:ascii="Times" w:hAnsi="Times" w:cs="Times"/>
          <w:noProof/>
        </w:rPr>
        <w:t xml:space="preserve">, </w:t>
      </w:r>
      <w:r w:rsidRPr="00AD3AB6">
        <w:rPr>
          <w:rFonts w:ascii="Times" w:hAnsi="Times" w:cs="Times"/>
          <w:i/>
          <w:iCs/>
          <w:noProof/>
        </w:rPr>
        <w:t>25</w:t>
      </w:r>
      <w:r w:rsidRPr="00AD3AB6">
        <w:rPr>
          <w:rFonts w:ascii="Times" w:hAnsi="Times" w:cs="Times"/>
          <w:noProof/>
        </w:rPr>
        <w:t>, 17–21.</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lastRenderedPageBreak/>
        <w:t xml:space="preserve">(23) </w:t>
      </w:r>
      <w:r w:rsidRPr="00AD3AB6">
        <w:rPr>
          <w:rFonts w:ascii="Times" w:hAnsi="Times" w:cs="Times"/>
          <w:noProof/>
        </w:rPr>
        <w:tab/>
        <w:t xml:space="preserve">Malley, J. J. O.; Ulmer, R. W. </w:t>
      </w:r>
      <w:r w:rsidRPr="00AD3AB6">
        <w:rPr>
          <w:rFonts w:ascii="Times" w:hAnsi="Times" w:cs="Times"/>
          <w:i/>
          <w:iCs/>
          <w:noProof/>
        </w:rPr>
        <w:t>Biotechnol. Bioeng.</w:t>
      </w:r>
      <w:r w:rsidRPr="00AD3AB6">
        <w:rPr>
          <w:rFonts w:ascii="Times" w:hAnsi="Times" w:cs="Times"/>
          <w:noProof/>
        </w:rPr>
        <w:t xml:space="preserve"> </w:t>
      </w:r>
      <w:r w:rsidRPr="00AD3AB6">
        <w:rPr>
          <w:rFonts w:ascii="Times" w:hAnsi="Times" w:cs="Times"/>
          <w:b/>
          <w:bCs/>
          <w:noProof/>
        </w:rPr>
        <w:t>1973</w:t>
      </w:r>
      <w:r w:rsidRPr="00AD3AB6">
        <w:rPr>
          <w:rFonts w:ascii="Times" w:hAnsi="Times" w:cs="Times"/>
          <w:noProof/>
        </w:rPr>
        <w:t xml:space="preserve">, </w:t>
      </w:r>
      <w:r w:rsidRPr="00AD3AB6">
        <w:rPr>
          <w:rFonts w:ascii="Times" w:hAnsi="Times" w:cs="Times"/>
          <w:i/>
          <w:iCs/>
          <w:noProof/>
        </w:rPr>
        <w:t>15</w:t>
      </w:r>
      <w:r w:rsidRPr="00AD3AB6">
        <w:rPr>
          <w:rFonts w:ascii="Times" w:hAnsi="Times" w:cs="Times"/>
          <w:noProof/>
        </w:rPr>
        <w:t>, 917–925.</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(24) </w:t>
      </w:r>
      <w:r w:rsidRPr="00AD3AB6">
        <w:rPr>
          <w:rFonts w:ascii="Times" w:hAnsi="Times" w:cs="Times"/>
          <w:noProof/>
        </w:rPr>
        <w:tab/>
        <w:t xml:space="preserve">Haven, J. J.; Guerrero-Sanchez, C.; Keddie, D. J.; Moad, G.; Thang, S. H.; Schubert, U. S. </w:t>
      </w:r>
      <w:r w:rsidRPr="00AD3AB6">
        <w:rPr>
          <w:rFonts w:ascii="Times" w:hAnsi="Times" w:cs="Times"/>
          <w:i/>
          <w:iCs/>
          <w:noProof/>
        </w:rPr>
        <w:t>Polym. Chem.</w:t>
      </w:r>
      <w:r w:rsidRPr="00AD3AB6">
        <w:rPr>
          <w:rFonts w:ascii="Times" w:hAnsi="Times" w:cs="Times"/>
          <w:noProof/>
        </w:rPr>
        <w:t xml:space="preserve"> </w:t>
      </w:r>
      <w:r w:rsidRPr="00AD3AB6">
        <w:rPr>
          <w:rFonts w:ascii="Times" w:hAnsi="Times" w:cs="Times"/>
          <w:b/>
          <w:bCs/>
          <w:noProof/>
        </w:rPr>
        <w:t>2014</w:t>
      </w:r>
      <w:r w:rsidRPr="00AD3AB6">
        <w:rPr>
          <w:rFonts w:ascii="Times" w:hAnsi="Times" w:cs="Times"/>
          <w:noProof/>
        </w:rPr>
        <w:t xml:space="preserve">, </w:t>
      </w:r>
      <w:r w:rsidRPr="00AD3AB6">
        <w:rPr>
          <w:rFonts w:ascii="Times" w:hAnsi="Times" w:cs="Times"/>
          <w:i/>
          <w:iCs/>
          <w:noProof/>
        </w:rPr>
        <w:t>5</w:t>
      </w:r>
      <w:r w:rsidRPr="00AD3AB6">
        <w:rPr>
          <w:rFonts w:ascii="Times" w:hAnsi="Times" w:cs="Times"/>
          <w:noProof/>
        </w:rPr>
        <w:t>, 5236.</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(25) </w:t>
      </w:r>
      <w:r w:rsidRPr="00AD3AB6">
        <w:rPr>
          <w:rFonts w:ascii="Times" w:hAnsi="Times" w:cs="Times"/>
          <w:noProof/>
        </w:rPr>
        <w:tab/>
        <w:t xml:space="preserve">Haven, J. J.; Guerrero-Sanchez, C.; Keddie, D. J.; Moad, G. </w:t>
      </w:r>
      <w:r w:rsidRPr="00AD3AB6">
        <w:rPr>
          <w:rFonts w:ascii="Times" w:hAnsi="Times" w:cs="Times"/>
          <w:i/>
          <w:iCs/>
          <w:noProof/>
        </w:rPr>
        <w:t>Macromol. Rapid Commun.</w:t>
      </w:r>
      <w:r w:rsidRPr="00AD3AB6">
        <w:rPr>
          <w:rFonts w:ascii="Times" w:hAnsi="Times" w:cs="Times"/>
          <w:noProof/>
        </w:rPr>
        <w:t xml:space="preserve"> </w:t>
      </w:r>
      <w:r w:rsidRPr="00AD3AB6">
        <w:rPr>
          <w:rFonts w:ascii="Times" w:hAnsi="Times" w:cs="Times"/>
          <w:b/>
          <w:bCs/>
          <w:noProof/>
        </w:rPr>
        <w:t>2014</w:t>
      </w:r>
      <w:r w:rsidRPr="00AD3AB6">
        <w:rPr>
          <w:rFonts w:ascii="Times" w:hAnsi="Times" w:cs="Times"/>
          <w:noProof/>
        </w:rPr>
        <w:t xml:space="preserve">, </w:t>
      </w:r>
      <w:r w:rsidRPr="00AD3AB6">
        <w:rPr>
          <w:rFonts w:ascii="Times" w:hAnsi="Times" w:cs="Times"/>
          <w:i/>
          <w:iCs/>
          <w:noProof/>
        </w:rPr>
        <w:t>35</w:t>
      </w:r>
      <w:r w:rsidRPr="00AD3AB6">
        <w:rPr>
          <w:rFonts w:ascii="Times" w:hAnsi="Times" w:cs="Times"/>
          <w:noProof/>
        </w:rPr>
        <w:t>, 492–497.</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(26) </w:t>
      </w:r>
      <w:r w:rsidRPr="00AD3AB6">
        <w:rPr>
          <w:rFonts w:ascii="Times" w:hAnsi="Times" w:cs="Times"/>
          <w:noProof/>
        </w:rPr>
        <w:tab/>
        <w:t xml:space="preserve">Tsao, G. T. </w:t>
      </w:r>
      <w:r w:rsidRPr="00AD3AB6">
        <w:rPr>
          <w:rFonts w:ascii="Times" w:hAnsi="Times" w:cs="Times"/>
          <w:i/>
          <w:iCs/>
          <w:noProof/>
        </w:rPr>
        <w:t>Biotechnol. Bioeng.</w:t>
      </w:r>
      <w:r w:rsidRPr="00AD3AB6">
        <w:rPr>
          <w:rFonts w:ascii="Times" w:hAnsi="Times" w:cs="Times"/>
          <w:noProof/>
        </w:rPr>
        <w:t xml:space="preserve"> </w:t>
      </w:r>
      <w:r w:rsidRPr="00AD3AB6">
        <w:rPr>
          <w:rFonts w:ascii="Times" w:hAnsi="Times" w:cs="Times"/>
          <w:b/>
          <w:bCs/>
          <w:noProof/>
        </w:rPr>
        <w:t>1968</w:t>
      </w:r>
      <w:r w:rsidRPr="00AD3AB6">
        <w:rPr>
          <w:rFonts w:ascii="Times" w:hAnsi="Times" w:cs="Times"/>
          <w:noProof/>
        </w:rPr>
        <w:t xml:space="preserve">, </w:t>
      </w:r>
      <w:r w:rsidRPr="00AD3AB6">
        <w:rPr>
          <w:rFonts w:ascii="Times" w:hAnsi="Times" w:cs="Times"/>
          <w:i/>
          <w:iCs/>
          <w:noProof/>
        </w:rPr>
        <w:t>X</w:t>
      </w:r>
      <w:r w:rsidRPr="00AD3AB6">
        <w:rPr>
          <w:rFonts w:ascii="Times" w:hAnsi="Times" w:cs="Times"/>
          <w:noProof/>
        </w:rPr>
        <w:t>, 765–785.</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(27) </w:t>
      </w:r>
      <w:r w:rsidRPr="00AD3AB6">
        <w:rPr>
          <w:rFonts w:ascii="Times" w:hAnsi="Times" w:cs="Times"/>
          <w:noProof/>
        </w:rPr>
        <w:tab/>
        <w:t xml:space="preserve">Cussler, E. L. </w:t>
      </w:r>
      <w:r w:rsidRPr="00AD3AB6">
        <w:rPr>
          <w:rFonts w:ascii="Times" w:hAnsi="Times" w:cs="Times"/>
          <w:i/>
          <w:iCs/>
          <w:noProof/>
        </w:rPr>
        <w:t>Diffusion: Mass transfer in fluid systems</w:t>
      </w:r>
      <w:r w:rsidRPr="00AD3AB6">
        <w:rPr>
          <w:rFonts w:ascii="Times" w:hAnsi="Times" w:cs="Times"/>
          <w:noProof/>
        </w:rPr>
        <w:t>; 3rd ed.; Cambridge University Press, 2009; Vol. 31.</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(28) </w:t>
      </w:r>
      <w:r w:rsidRPr="00AD3AB6">
        <w:rPr>
          <w:rFonts w:ascii="Times" w:hAnsi="Times" w:cs="Times"/>
          <w:noProof/>
        </w:rPr>
        <w:tab/>
        <w:t xml:space="preserve">Noda, K.; Ohashi, M.; Ishida, K. </w:t>
      </w:r>
      <w:r w:rsidRPr="00AD3AB6">
        <w:rPr>
          <w:rFonts w:ascii="Times" w:hAnsi="Times" w:cs="Times"/>
          <w:i/>
          <w:iCs/>
          <w:noProof/>
        </w:rPr>
        <w:t>J. Chem. Eng. Data</w:t>
      </w:r>
      <w:r w:rsidRPr="00AD3AB6">
        <w:rPr>
          <w:rFonts w:ascii="Times" w:hAnsi="Times" w:cs="Times"/>
          <w:noProof/>
        </w:rPr>
        <w:t xml:space="preserve"> </w:t>
      </w:r>
      <w:r w:rsidRPr="00AD3AB6">
        <w:rPr>
          <w:rFonts w:ascii="Times" w:hAnsi="Times" w:cs="Times"/>
          <w:b/>
          <w:bCs/>
          <w:noProof/>
        </w:rPr>
        <w:t>1982</w:t>
      </w:r>
      <w:r w:rsidRPr="00AD3AB6">
        <w:rPr>
          <w:rFonts w:ascii="Times" w:hAnsi="Times" w:cs="Times"/>
          <w:noProof/>
        </w:rPr>
        <w:t xml:space="preserve">, </w:t>
      </w:r>
      <w:r w:rsidRPr="00AD3AB6">
        <w:rPr>
          <w:rFonts w:ascii="Times" w:hAnsi="Times" w:cs="Times"/>
          <w:i/>
          <w:iCs/>
          <w:noProof/>
        </w:rPr>
        <w:t>27</w:t>
      </w:r>
      <w:r w:rsidRPr="00AD3AB6">
        <w:rPr>
          <w:rFonts w:ascii="Times" w:hAnsi="Times" w:cs="Times"/>
          <w:noProof/>
        </w:rPr>
        <w:t>, 326–328.</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(29) </w:t>
      </w:r>
      <w:r w:rsidRPr="00AD3AB6">
        <w:rPr>
          <w:rFonts w:ascii="Times" w:hAnsi="Times" w:cs="Times"/>
          <w:noProof/>
        </w:rPr>
        <w:tab/>
        <w:t xml:space="preserve">Whitman, W. G. </w:t>
      </w:r>
      <w:r w:rsidRPr="00AD3AB6">
        <w:rPr>
          <w:rFonts w:ascii="Times" w:hAnsi="Times" w:cs="Times"/>
          <w:i/>
          <w:iCs/>
          <w:noProof/>
        </w:rPr>
        <w:t>Chem. Metall. Eng.</w:t>
      </w:r>
      <w:r w:rsidRPr="00AD3AB6">
        <w:rPr>
          <w:rFonts w:ascii="Times" w:hAnsi="Times" w:cs="Times"/>
          <w:noProof/>
        </w:rPr>
        <w:t xml:space="preserve"> </w:t>
      </w:r>
      <w:r w:rsidRPr="00AD3AB6">
        <w:rPr>
          <w:rFonts w:ascii="Times" w:hAnsi="Times" w:cs="Times"/>
          <w:b/>
          <w:bCs/>
          <w:noProof/>
        </w:rPr>
        <w:t>1923</w:t>
      </w:r>
      <w:r w:rsidRPr="00AD3AB6">
        <w:rPr>
          <w:rFonts w:ascii="Times" w:hAnsi="Times" w:cs="Times"/>
          <w:noProof/>
        </w:rPr>
        <w:t xml:space="preserve">, </w:t>
      </w:r>
      <w:r w:rsidRPr="00AD3AB6">
        <w:rPr>
          <w:rFonts w:ascii="Times" w:hAnsi="Times" w:cs="Times"/>
          <w:i/>
          <w:iCs/>
          <w:noProof/>
        </w:rPr>
        <w:t>29</w:t>
      </w:r>
      <w:r w:rsidRPr="00AD3AB6">
        <w:rPr>
          <w:rFonts w:ascii="Times" w:hAnsi="Times" w:cs="Times"/>
          <w:noProof/>
        </w:rPr>
        <w:t>, 146–148.</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(30) </w:t>
      </w:r>
      <w:r w:rsidRPr="00AD3AB6">
        <w:rPr>
          <w:rFonts w:ascii="Times" w:hAnsi="Times" w:cs="Times"/>
          <w:noProof/>
        </w:rPr>
        <w:tab/>
        <w:t xml:space="preserve">Hanhart, J.; Kramers, H.; Westerterp, K. </w:t>
      </w:r>
      <w:r w:rsidRPr="00AD3AB6">
        <w:rPr>
          <w:rFonts w:ascii="Times" w:hAnsi="Times" w:cs="Times"/>
          <w:i/>
          <w:iCs/>
          <w:noProof/>
        </w:rPr>
        <w:t>Chem. Eng. Sci.</w:t>
      </w:r>
      <w:r w:rsidRPr="00AD3AB6">
        <w:rPr>
          <w:rFonts w:ascii="Times" w:hAnsi="Times" w:cs="Times"/>
          <w:noProof/>
        </w:rPr>
        <w:t xml:space="preserve"> </w:t>
      </w:r>
      <w:r w:rsidRPr="00AD3AB6">
        <w:rPr>
          <w:rFonts w:ascii="Times" w:hAnsi="Times" w:cs="Times"/>
          <w:b/>
          <w:bCs/>
          <w:noProof/>
        </w:rPr>
        <w:t>1963</w:t>
      </w:r>
      <w:r w:rsidRPr="00AD3AB6">
        <w:rPr>
          <w:rFonts w:ascii="Times" w:hAnsi="Times" w:cs="Times"/>
          <w:noProof/>
        </w:rPr>
        <w:t xml:space="preserve">, </w:t>
      </w:r>
      <w:r w:rsidRPr="00AD3AB6">
        <w:rPr>
          <w:rFonts w:ascii="Times" w:hAnsi="Times" w:cs="Times"/>
          <w:i/>
          <w:iCs/>
          <w:noProof/>
        </w:rPr>
        <w:t>18</w:t>
      </w:r>
      <w:r w:rsidRPr="00AD3AB6">
        <w:rPr>
          <w:rFonts w:ascii="Times" w:hAnsi="Times" w:cs="Times"/>
          <w:noProof/>
        </w:rPr>
        <w:t>, 503–509.</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(31) </w:t>
      </w:r>
      <w:r w:rsidRPr="00AD3AB6">
        <w:rPr>
          <w:rFonts w:ascii="Times" w:hAnsi="Times" w:cs="Times"/>
          <w:noProof/>
        </w:rPr>
        <w:tab/>
        <w:t xml:space="preserve">Lamping, S. .; Zhang, H.; Allen, B.; Ayazi Shamlou, P. </w:t>
      </w:r>
      <w:r w:rsidRPr="00AD3AB6">
        <w:rPr>
          <w:rFonts w:ascii="Times" w:hAnsi="Times" w:cs="Times"/>
          <w:i/>
          <w:iCs/>
          <w:noProof/>
        </w:rPr>
        <w:t>Chem. Eng. Sci.</w:t>
      </w:r>
      <w:r w:rsidRPr="00AD3AB6">
        <w:rPr>
          <w:rFonts w:ascii="Times" w:hAnsi="Times" w:cs="Times"/>
          <w:noProof/>
        </w:rPr>
        <w:t xml:space="preserve"> </w:t>
      </w:r>
      <w:r w:rsidRPr="00AD3AB6">
        <w:rPr>
          <w:rFonts w:ascii="Times" w:hAnsi="Times" w:cs="Times"/>
          <w:b/>
          <w:bCs/>
          <w:noProof/>
        </w:rPr>
        <w:t>2003</w:t>
      </w:r>
      <w:r w:rsidRPr="00AD3AB6">
        <w:rPr>
          <w:rFonts w:ascii="Times" w:hAnsi="Times" w:cs="Times"/>
          <w:noProof/>
        </w:rPr>
        <w:t xml:space="preserve">, </w:t>
      </w:r>
      <w:r w:rsidRPr="00AD3AB6">
        <w:rPr>
          <w:rFonts w:ascii="Times" w:hAnsi="Times" w:cs="Times"/>
          <w:i/>
          <w:iCs/>
          <w:noProof/>
        </w:rPr>
        <w:t>58</w:t>
      </w:r>
      <w:r w:rsidRPr="00AD3AB6">
        <w:rPr>
          <w:rFonts w:ascii="Times" w:hAnsi="Times" w:cs="Times"/>
          <w:noProof/>
        </w:rPr>
        <w:t>, 747–758.</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(32) </w:t>
      </w:r>
      <w:r w:rsidRPr="00AD3AB6">
        <w:rPr>
          <w:rFonts w:ascii="Times" w:hAnsi="Times" w:cs="Times"/>
          <w:noProof/>
        </w:rPr>
        <w:tab/>
        <w:t xml:space="preserve">Zhang, K.; Zha, Y.; Peng, B.; Chen, Y.; Tew, G. N. </w:t>
      </w:r>
      <w:r w:rsidRPr="00AD3AB6">
        <w:rPr>
          <w:rFonts w:ascii="Times" w:hAnsi="Times" w:cs="Times"/>
          <w:i/>
          <w:iCs/>
          <w:noProof/>
        </w:rPr>
        <w:t>J. Am. Chem. Soc.</w:t>
      </w:r>
      <w:r w:rsidRPr="00AD3AB6">
        <w:rPr>
          <w:rFonts w:ascii="Times" w:hAnsi="Times" w:cs="Times"/>
          <w:noProof/>
        </w:rPr>
        <w:t xml:space="preserve"> </w:t>
      </w:r>
      <w:r w:rsidRPr="00AD3AB6">
        <w:rPr>
          <w:rFonts w:ascii="Times" w:hAnsi="Times" w:cs="Times"/>
          <w:b/>
          <w:bCs/>
          <w:noProof/>
        </w:rPr>
        <w:t>2013</w:t>
      </w:r>
      <w:r w:rsidRPr="00AD3AB6">
        <w:rPr>
          <w:rFonts w:ascii="Times" w:hAnsi="Times" w:cs="Times"/>
          <w:noProof/>
        </w:rPr>
        <w:t xml:space="preserve">, </w:t>
      </w:r>
      <w:r w:rsidRPr="00AD3AB6">
        <w:rPr>
          <w:rFonts w:ascii="Times" w:hAnsi="Times" w:cs="Times"/>
          <w:i/>
          <w:iCs/>
          <w:noProof/>
        </w:rPr>
        <w:t>135</w:t>
      </w:r>
      <w:r w:rsidRPr="00AD3AB6">
        <w:rPr>
          <w:rFonts w:ascii="Times" w:hAnsi="Times" w:cs="Times"/>
          <w:noProof/>
        </w:rPr>
        <w:t>, 15994–15997.</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(33) </w:t>
      </w:r>
      <w:r w:rsidRPr="00AD3AB6">
        <w:rPr>
          <w:rFonts w:ascii="Times" w:hAnsi="Times" w:cs="Times"/>
          <w:noProof/>
        </w:rPr>
        <w:tab/>
        <w:t xml:space="preserve">Azuma, C.; Dias, M. L.; Mano, E. B. </w:t>
      </w:r>
      <w:r w:rsidRPr="00AD3AB6">
        <w:rPr>
          <w:rFonts w:ascii="Times" w:hAnsi="Times" w:cs="Times"/>
          <w:i/>
          <w:iCs/>
          <w:noProof/>
        </w:rPr>
        <w:t>Makromol. Chemie. Macromol. Symp.</w:t>
      </w:r>
      <w:r w:rsidRPr="00AD3AB6">
        <w:rPr>
          <w:rFonts w:ascii="Times" w:hAnsi="Times" w:cs="Times"/>
          <w:noProof/>
        </w:rPr>
        <w:t xml:space="preserve"> </w:t>
      </w:r>
      <w:r w:rsidRPr="00AD3AB6">
        <w:rPr>
          <w:rFonts w:ascii="Times" w:hAnsi="Times" w:cs="Times"/>
          <w:b/>
          <w:bCs/>
          <w:noProof/>
        </w:rPr>
        <w:t>1986</w:t>
      </w:r>
      <w:r w:rsidRPr="00AD3AB6">
        <w:rPr>
          <w:rFonts w:ascii="Times" w:hAnsi="Times" w:cs="Times"/>
          <w:noProof/>
        </w:rPr>
        <w:t xml:space="preserve">, </w:t>
      </w:r>
      <w:r w:rsidRPr="00AD3AB6">
        <w:rPr>
          <w:rFonts w:ascii="Times" w:hAnsi="Times" w:cs="Times"/>
          <w:i/>
          <w:iCs/>
          <w:noProof/>
        </w:rPr>
        <w:t>2</w:t>
      </w:r>
      <w:r w:rsidRPr="00AD3AB6">
        <w:rPr>
          <w:rFonts w:ascii="Times" w:hAnsi="Times" w:cs="Times"/>
          <w:noProof/>
        </w:rPr>
        <w:t>, 169–178.</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(34) </w:t>
      </w:r>
      <w:r w:rsidRPr="00AD3AB6">
        <w:rPr>
          <w:rFonts w:ascii="Times" w:hAnsi="Times" w:cs="Times"/>
          <w:noProof/>
        </w:rPr>
        <w:tab/>
        <w:t xml:space="preserve">Garcia-Ochoa, F.; Gomez, E. </w:t>
      </w:r>
      <w:r w:rsidRPr="00AD3AB6">
        <w:rPr>
          <w:rFonts w:ascii="Times" w:hAnsi="Times" w:cs="Times"/>
          <w:i/>
          <w:iCs/>
          <w:noProof/>
        </w:rPr>
        <w:t>Biotechnol. Adv.</w:t>
      </w:r>
      <w:r w:rsidRPr="00AD3AB6">
        <w:rPr>
          <w:rFonts w:ascii="Times" w:hAnsi="Times" w:cs="Times"/>
          <w:noProof/>
        </w:rPr>
        <w:t xml:space="preserve"> </w:t>
      </w:r>
      <w:r w:rsidRPr="00AD3AB6">
        <w:rPr>
          <w:rFonts w:ascii="Times" w:hAnsi="Times" w:cs="Times"/>
          <w:b/>
          <w:bCs/>
          <w:noProof/>
        </w:rPr>
        <w:t>2009</w:t>
      </w:r>
      <w:r w:rsidRPr="00AD3AB6">
        <w:rPr>
          <w:rFonts w:ascii="Times" w:hAnsi="Times" w:cs="Times"/>
          <w:noProof/>
        </w:rPr>
        <w:t xml:space="preserve">, </w:t>
      </w:r>
      <w:r w:rsidRPr="00AD3AB6">
        <w:rPr>
          <w:rFonts w:ascii="Times" w:hAnsi="Times" w:cs="Times"/>
          <w:i/>
          <w:iCs/>
          <w:noProof/>
        </w:rPr>
        <w:t>27</w:t>
      </w:r>
      <w:r w:rsidRPr="00AD3AB6">
        <w:rPr>
          <w:rFonts w:ascii="Times" w:hAnsi="Times" w:cs="Times"/>
          <w:noProof/>
        </w:rPr>
        <w:t>, 153–176.</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(35) </w:t>
      </w:r>
      <w:r w:rsidRPr="00AD3AB6">
        <w:rPr>
          <w:rFonts w:ascii="Times" w:hAnsi="Times" w:cs="Times"/>
          <w:noProof/>
        </w:rPr>
        <w:tab/>
        <w:t xml:space="preserve">Wood, M. R.; Duncalf, D. J.; Findlay, P.; Rannard, S. P.; Perrier, S. </w:t>
      </w:r>
      <w:r w:rsidRPr="00AD3AB6">
        <w:rPr>
          <w:rFonts w:ascii="Times" w:hAnsi="Times" w:cs="Times"/>
          <w:i/>
          <w:iCs/>
          <w:noProof/>
        </w:rPr>
        <w:t>Aust. J. Chem.</w:t>
      </w:r>
      <w:r w:rsidRPr="00AD3AB6">
        <w:rPr>
          <w:rFonts w:ascii="Times" w:hAnsi="Times" w:cs="Times"/>
          <w:noProof/>
        </w:rPr>
        <w:t xml:space="preserve"> </w:t>
      </w:r>
      <w:r w:rsidRPr="00AD3AB6">
        <w:rPr>
          <w:rFonts w:ascii="Times" w:hAnsi="Times" w:cs="Times"/>
          <w:b/>
          <w:bCs/>
          <w:noProof/>
        </w:rPr>
        <w:t>2007</w:t>
      </w:r>
      <w:r w:rsidRPr="00AD3AB6">
        <w:rPr>
          <w:rFonts w:ascii="Times" w:hAnsi="Times" w:cs="Times"/>
          <w:noProof/>
        </w:rPr>
        <w:t xml:space="preserve">, </w:t>
      </w:r>
      <w:r w:rsidRPr="00AD3AB6">
        <w:rPr>
          <w:rFonts w:ascii="Times" w:hAnsi="Times" w:cs="Times"/>
          <w:i/>
          <w:iCs/>
          <w:noProof/>
        </w:rPr>
        <w:t>60</w:t>
      </w:r>
      <w:r w:rsidRPr="00AD3AB6">
        <w:rPr>
          <w:rFonts w:ascii="Times" w:hAnsi="Times" w:cs="Times"/>
          <w:noProof/>
        </w:rPr>
        <w:t>, 772.</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(36) </w:t>
      </w:r>
      <w:r w:rsidRPr="00AD3AB6">
        <w:rPr>
          <w:rFonts w:ascii="Times" w:hAnsi="Times" w:cs="Times"/>
          <w:noProof/>
        </w:rPr>
        <w:tab/>
        <w:t xml:space="preserve">Butler, I. B.; Schoonen, M. a; Rickard, D. T. </w:t>
      </w:r>
      <w:r w:rsidRPr="00AD3AB6">
        <w:rPr>
          <w:rFonts w:ascii="Times" w:hAnsi="Times" w:cs="Times"/>
          <w:i/>
          <w:iCs/>
          <w:noProof/>
        </w:rPr>
        <w:t>Talanta</w:t>
      </w:r>
      <w:r w:rsidRPr="00AD3AB6">
        <w:rPr>
          <w:rFonts w:ascii="Times" w:hAnsi="Times" w:cs="Times"/>
          <w:noProof/>
        </w:rPr>
        <w:t xml:space="preserve"> </w:t>
      </w:r>
      <w:r w:rsidRPr="00AD3AB6">
        <w:rPr>
          <w:rFonts w:ascii="Times" w:hAnsi="Times" w:cs="Times"/>
          <w:b/>
          <w:bCs/>
          <w:noProof/>
        </w:rPr>
        <w:t>1994</w:t>
      </w:r>
      <w:r w:rsidRPr="00AD3AB6">
        <w:rPr>
          <w:rFonts w:ascii="Times" w:hAnsi="Times" w:cs="Times"/>
          <w:noProof/>
        </w:rPr>
        <w:t xml:space="preserve">, </w:t>
      </w:r>
      <w:r w:rsidRPr="00AD3AB6">
        <w:rPr>
          <w:rFonts w:ascii="Times" w:hAnsi="Times" w:cs="Times"/>
          <w:i/>
          <w:iCs/>
          <w:noProof/>
        </w:rPr>
        <w:t>41</w:t>
      </w:r>
      <w:r w:rsidRPr="00AD3AB6">
        <w:rPr>
          <w:rFonts w:ascii="Times" w:hAnsi="Times" w:cs="Times"/>
          <w:noProof/>
        </w:rPr>
        <w:t>, 211–215.</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(37) </w:t>
      </w:r>
      <w:r w:rsidRPr="00AD3AB6">
        <w:rPr>
          <w:rFonts w:ascii="Times" w:hAnsi="Times" w:cs="Times"/>
          <w:noProof/>
        </w:rPr>
        <w:tab/>
        <w:t xml:space="preserve">Norris, B.; Meckstroth, M.; Heineman, W. </w:t>
      </w:r>
      <w:r w:rsidRPr="00AD3AB6">
        <w:rPr>
          <w:rFonts w:ascii="Times" w:hAnsi="Times" w:cs="Times"/>
          <w:i/>
          <w:iCs/>
          <w:noProof/>
        </w:rPr>
        <w:t>Anal. Chem.</w:t>
      </w:r>
      <w:r w:rsidRPr="00AD3AB6">
        <w:rPr>
          <w:rFonts w:ascii="Times" w:hAnsi="Times" w:cs="Times"/>
          <w:noProof/>
        </w:rPr>
        <w:t xml:space="preserve"> </w:t>
      </w:r>
      <w:r w:rsidRPr="00AD3AB6">
        <w:rPr>
          <w:rFonts w:ascii="Times" w:hAnsi="Times" w:cs="Times"/>
          <w:b/>
          <w:bCs/>
          <w:noProof/>
        </w:rPr>
        <w:t>1976</w:t>
      </w:r>
      <w:r w:rsidRPr="00AD3AB6">
        <w:rPr>
          <w:rFonts w:ascii="Times" w:hAnsi="Times" w:cs="Times"/>
          <w:noProof/>
        </w:rPr>
        <w:t>, 1–3.</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(38) </w:t>
      </w:r>
      <w:r w:rsidRPr="00AD3AB6">
        <w:rPr>
          <w:rFonts w:ascii="Times" w:hAnsi="Times" w:cs="Times"/>
          <w:noProof/>
        </w:rPr>
        <w:tab/>
        <w:t xml:space="preserve">Mancini, R. J.; Lee, J.; Maynard, H. D. </w:t>
      </w:r>
      <w:r w:rsidRPr="00AD3AB6">
        <w:rPr>
          <w:rFonts w:ascii="Times" w:hAnsi="Times" w:cs="Times"/>
          <w:i/>
          <w:iCs/>
          <w:noProof/>
        </w:rPr>
        <w:t>J. Am. Chem. Soc.</w:t>
      </w:r>
      <w:r w:rsidRPr="00AD3AB6">
        <w:rPr>
          <w:rFonts w:ascii="Times" w:hAnsi="Times" w:cs="Times"/>
          <w:noProof/>
        </w:rPr>
        <w:t xml:space="preserve"> </w:t>
      </w:r>
      <w:r w:rsidRPr="00AD3AB6">
        <w:rPr>
          <w:rFonts w:ascii="Times" w:hAnsi="Times" w:cs="Times"/>
          <w:b/>
          <w:bCs/>
          <w:noProof/>
        </w:rPr>
        <w:t>2012</w:t>
      </w:r>
      <w:r w:rsidRPr="00AD3AB6">
        <w:rPr>
          <w:rFonts w:ascii="Times" w:hAnsi="Times" w:cs="Times"/>
          <w:noProof/>
        </w:rPr>
        <w:t xml:space="preserve">, </w:t>
      </w:r>
      <w:r w:rsidRPr="00AD3AB6">
        <w:rPr>
          <w:rFonts w:ascii="Times" w:hAnsi="Times" w:cs="Times"/>
          <w:i/>
          <w:iCs/>
          <w:noProof/>
        </w:rPr>
        <w:t>134</w:t>
      </w:r>
      <w:r w:rsidRPr="00AD3AB6">
        <w:rPr>
          <w:rFonts w:ascii="Times" w:hAnsi="Times" w:cs="Times"/>
          <w:noProof/>
        </w:rPr>
        <w:t>, 8474–8479.</w:t>
      </w:r>
    </w:p>
    <w:p w:rsidR="004C7450" w:rsidRPr="00AD3AB6" w:rsidRDefault="004C7450">
      <w:pPr>
        <w:pStyle w:val="NormalWeb"/>
        <w:ind w:left="640" w:hanging="640"/>
        <w:divId w:val="1430081694"/>
        <w:rPr>
          <w:rFonts w:ascii="Times" w:hAnsi="Times" w:cs="Times"/>
          <w:noProof/>
        </w:rPr>
      </w:pPr>
      <w:r w:rsidRPr="00AD3AB6">
        <w:rPr>
          <w:rFonts w:ascii="Times" w:hAnsi="Times" w:cs="Times"/>
          <w:noProof/>
        </w:rPr>
        <w:t xml:space="preserve">(39) </w:t>
      </w:r>
      <w:r w:rsidRPr="00AD3AB6">
        <w:rPr>
          <w:rFonts w:ascii="Times" w:hAnsi="Times" w:cs="Times"/>
          <w:noProof/>
        </w:rPr>
        <w:tab/>
        <w:t xml:space="preserve">Riccardi, C. M.; Cole, K. S.; Benson, K. R.; Ward, J. R.; Bassett, K. M.; Zhang, Y.; Zore, O. V; Stromer, B.; Kasi, R. M.; Kumar, C. V. </w:t>
      </w:r>
      <w:r w:rsidRPr="00AD3AB6">
        <w:rPr>
          <w:rFonts w:ascii="Times" w:hAnsi="Times" w:cs="Times"/>
          <w:i/>
          <w:iCs/>
          <w:noProof/>
        </w:rPr>
        <w:t>Bioconjug. Chem.</w:t>
      </w:r>
      <w:r w:rsidRPr="00AD3AB6">
        <w:rPr>
          <w:rFonts w:ascii="Times" w:hAnsi="Times" w:cs="Times"/>
          <w:noProof/>
        </w:rPr>
        <w:t xml:space="preserve"> </w:t>
      </w:r>
      <w:r w:rsidRPr="00AD3AB6">
        <w:rPr>
          <w:rFonts w:ascii="Times" w:hAnsi="Times" w:cs="Times"/>
          <w:b/>
          <w:bCs/>
          <w:noProof/>
        </w:rPr>
        <w:t>2014</w:t>
      </w:r>
      <w:r w:rsidRPr="00AD3AB6">
        <w:rPr>
          <w:rFonts w:ascii="Times" w:hAnsi="Times" w:cs="Times"/>
          <w:noProof/>
        </w:rPr>
        <w:t xml:space="preserve">, </w:t>
      </w:r>
      <w:r w:rsidRPr="00AD3AB6">
        <w:rPr>
          <w:rFonts w:ascii="Times" w:hAnsi="Times" w:cs="Times"/>
          <w:i/>
          <w:iCs/>
          <w:noProof/>
        </w:rPr>
        <w:t>25</w:t>
      </w:r>
      <w:r w:rsidRPr="00AD3AB6">
        <w:rPr>
          <w:rFonts w:ascii="Times" w:hAnsi="Times" w:cs="Times"/>
          <w:noProof/>
        </w:rPr>
        <w:t xml:space="preserve">, 1501–1510. </w:t>
      </w:r>
    </w:p>
    <w:p w:rsidR="00BE7F22" w:rsidRPr="00AD3AB6" w:rsidRDefault="00792734" w:rsidP="004C7450">
      <w:pPr>
        <w:pStyle w:val="NormalWeb"/>
        <w:ind w:left="640" w:hanging="640"/>
        <w:divId w:val="1984196679"/>
      </w:pPr>
      <w:r w:rsidRPr="00AD3AB6">
        <w:rPr>
          <w:rFonts w:ascii="Times" w:hAnsi="Times"/>
        </w:rPr>
        <w:fldChar w:fldCharType="end"/>
      </w:r>
      <w:r w:rsidR="00BE7F22" w:rsidRPr="00AD3AB6">
        <w:br w:type="page"/>
      </w:r>
    </w:p>
    <w:p w:rsidR="00A47193" w:rsidRPr="00AD3AB6" w:rsidRDefault="00A47193" w:rsidP="00A47193">
      <w:pPr>
        <w:pStyle w:val="NormalWeb"/>
        <w:ind w:left="640" w:hanging="640"/>
      </w:pPr>
      <w:r w:rsidRPr="00AD3AB6">
        <w:lastRenderedPageBreak/>
        <w:t>TABLE OF CONTENTS GRAPHIC</w:t>
      </w:r>
    </w:p>
    <w:tbl>
      <w:tblPr>
        <w:tblW w:w="9606" w:type="dxa"/>
        <w:tblLook w:val="01E0" w:firstRow="1" w:lastRow="1" w:firstColumn="1" w:lastColumn="1" w:noHBand="0" w:noVBand="0"/>
      </w:tblPr>
      <w:tblGrid>
        <w:gridCol w:w="260"/>
        <w:gridCol w:w="5660"/>
        <w:gridCol w:w="260"/>
        <w:gridCol w:w="3426"/>
      </w:tblGrid>
      <w:tr w:rsidR="00AD3AB6" w:rsidRPr="00AD3AB6" w:rsidTr="00980C7A">
        <w:trPr>
          <w:trHeight w:val="340"/>
        </w:trPr>
        <w:tc>
          <w:tcPr>
            <w:tcW w:w="260" w:type="dxa"/>
            <w:shd w:val="clear" w:color="auto" w:fill="auto"/>
          </w:tcPr>
          <w:p w:rsidR="00A47193" w:rsidRPr="00AD3AB6" w:rsidRDefault="00A47193" w:rsidP="00980C7A">
            <w:pPr>
              <w:rPr>
                <w:lang w:val="en-GB"/>
              </w:rPr>
            </w:pPr>
          </w:p>
        </w:tc>
        <w:tc>
          <w:tcPr>
            <w:tcW w:w="5660" w:type="dxa"/>
            <w:shd w:val="clear" w:color="auto" w:fill="auto"/>
          </w:tcPr>
          <w:p w:rsidR="00A47193" w:rsidRPr="00AD3AB6" w:rsidRDefault="00A47193" w:rsidP="00980C7A">
            <w:pPr>
              <w:rPr>
                <w:lang w:val="en-GB"/>
              </w:rPr>
            </w:pPr>
            <w:r w:rsidRPr="00AD3AB6">
              <w:rPr>
                <w:noProof/>
                <w:lang w:val="en-GB" w:eastAsia="en-GB"/>
              </w:rPr>
              <w:drawing>
                <wp:inline distT="0" distB="0" distL="0" distR="0" wp14:anchorId="5E40E4DA" wp14:editId="7A98767A">
                  <wp:extent cx="3325308" cy="1956390"/>
                  <wp:effectExtent l="0" t="0" r="889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24061" cy="1955657"/>
                          </a:xfrm>
                          <a:prstGeom prst="rect">
                            <a:avLst/>
                          </a:prstGeom>
                          <a:noFill/>
                        </pic:spPr>
                      </pic:pic>
                    </a:graphicData>
                  </a:graphic>
                </wp:inline>
              </w:drawing>
            </w:r>
          </w:p>
        </w:tc>
        <w:tc>
          <w:tcPr>
            <w:tcW w:w="260" w:type="dxa"/>
            <w:shd w:val="clear" w:color="auto" w:fill="auto"/>
          </w:tcPr>
          <w:p w:rsidR="00A47193" w:rsidRPr="00AD3AB6" w:rsidRDefault="00A47193" w:rsidP="00980C7A">
            <w:pPr>
              <w:rPr>
                <w:lang w:val="en-GB"/>
              </w:rPr>
            </w:pPr>
          </w:p>
        </w:tc>
        <w:tc>
          <w:tcPr>
            <w:tcW w:w="3426" w:type="dxa"/>
            <w:shd w:val="clear" w:color="auto" w:fill="auto"/>
          </w:tcPr>
          <w:p w:rsidR="00A47193" w:rsidRPr="00AD3AB6" w:rsidRDefault="00A47193" w:rsidP="00980C7A">
            <w:pPr>
              <w:pStyle w:val="PageNumbers"/>
              <w:rPr>
                <w:b w:val="0"/>
                <w:sz w:val="21"/>
                <w:szCs w:val="20"/>
                <w:lang w:val="en-GB"/>
              </w:rPr>
            </w:pPr>
            <w:r w:rsidRPr="00AD3AB6">
              <w:rPr>
                <w:sz w:val="21"/>
                <w:szCs w:val="20"/>
                <w:lang w:val="en-GB"/>
              </w:rPr>
              <w:t>Highly controlled open vessel RAFT polymerizations by enzyme degassing</w:t>
            </w:r>
          </w:p>
          <w:p w:rsidR="00A47193" w:rsidRPr="00AD3AB6" w:rsidRDefault="00A47193" w:rsidP="00980C7A">
            <w:pPr>
              <w:pStyle w:val="PageNumbers"/>
              <w:rPr>
                <w:b w:val="0"/>
                <w:sz w:val="21"/>
                <w:szCs w:val="20"/>
                <w:lang w:val="en-GB"/>
              </w:rPr>
            </w:pPr>
            <w:r w:rsidRPr="00AD3AB6">
              <w:rPr>
                <w:b w:val="0"/>
                <w:sz w:val="21"/>
                <w:szCs w:val="20"/>
                <w:lang w:val="en-GB"/>
              </w:rPr>
              <w:t>Robert Chapman, Adam J. Gormley, Karla-Luise Herpoldt, and Molly M. Stevens*</w:t>
            </w:r>
          </w:p>
          <w:p w:rsidR="00A47193" w:rsidRPr="00AD3AB6" w:rsidRDefault="00A47193" w:rsidP="00980C7A">
            <w:pPr>
              <w:framePr w:hSpace="141" w:wrap="around" w:vAnchor="page" w:hAnchor="margin" w:y="1504"/>
              <w:rPr>
                <w:rFonts w:ascii="Arial" w:hAnsi="Arial"/>
                <w:b/>
                <w:sz w:val="17"/>
                <w:lang w:val="en-GB"/>
              </w:rPr>
            </w:pPr>
          </w:p>
          <w:p w:rsidR="00A47193" w:rsidRPr="00AD3AB6" w:rsidRDefault="00A47193" w:rsidP="00980C7A">
            <w:pPr>
              <w:framePr w:hSpace="141" w:wrap="around" w:vAnchor="page" w:hAnchor="margin" w:y="1504"/>
              <w:rPr>
                <w:lang w:val="en-GB"/>
              </w:rPr>
            </w:pPr>
          </w:p>
        </w:tc>
      </w:tr>
    </w:tbl>
    <w:p w:rsidR="009A6C73" w:rsidRPr="00AD3AB6" w:rsidRDefault="009A6C73" w:rsidP="00A47193">
      <w:pPr>
        <w:pStyle w:val="NormalWeb"/>
        <w:ind w:left="640" w:hanging="640"/>
      </w:pPr>
    </w:p>
    <w:sectPr w:rsidR="009A6C73" w:rsidRPr="00AD3AB6" w:rsidSect="000B5610">
      <w:footerReference w:type="even" r:id="rId15"/>
      <w:footerReference w:type="default" r:id="rId16"/>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DC3" w:rsidRDefault="00FB4DC3">
      <w:r>
        <w:separator/>
      </w:r>
    </w:p>
  </w:endnote>
  <w:endnote w:type="continuationSeparator" w:id="0">
    <w:p w:rsidR="00FB4DC3" w:rsidRDefault="00FB4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no Pro">
    <w:altName w:val="Constant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onstantia">
    <w:panose1 w:val="02030602050306030303"/>
    <w:charset w:val="00"/>
    <w:family w:val="roman"/>
    <w:pitch w:val="variable"/>
    <w:sig w:usb0="A00002EF" w:usb1="4000204B" w:usb2="00000000" w:usb3="00000000" w:csb0="0000019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3CA" w:rsidRDefault="006C73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6C73CA" w:rsidRDefault="006C73C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3CA" w:rsidRDefault="006C73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59E0">
      <w:rPr>
        <w:rStyle w:val="PageNumber"/>
        <w:noProof/>
      </w:rPr>
      <w:t>2</w:t>
    </w:r>
    <w:r>
      <w:rPr>
        <w:rStyle w:val="PageNumber"/>
      </w:rPr>
      <w:fldChar w:fldCharType="end"/>
    </w:r>
  </w:p>
  <w:p w:rsidR="006C73CA" w:rsidRDefault="006C73C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DC3" w:rsidRDefault="00FB4DC3">
      <w:r>
        <w:separator/>
      </w:r>
    </w:p>
  </w:footnote>
  <w:footnote w:type="continuationSeparator" w:id="0">
    <w:p w:rsidR="00FB4DC3" w:rsidRDefault="00FB4D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3">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6">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7">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6"/>
  </w:num>
  <w:num w:numId="2">
    <w:abstractNumId w:val="4"/>
  </w:num>
  <w:num w:numId="3">
    <w:abstractNumId w:val="7"/>
  </w:num>
  <w:num w:numId="4">
    <w:abstractNumId w:val="5"/>
  </w:num>
  <w:num w:numId="5">
    <w:abstractNumId w:val="3"/>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B5B"/>
    <w:rsid w:val="0003597F"/>
    <w:rsid w:val="0004450F"/>
    <w:rsid w:val="0005660F"/>
    <w:rsid w:val="000702AD"/>
    <w:rsid w:val="000B5610"/>
    <w:rsid w:val="000C05CC"/>
    <w:rsid w:val="00155F97"/>
    <w:rsid w:val="001908B4"/>
    <w:rsid w:val="00195ACA"/>
    <w:rsid w:val="001A7A90"/>
    <w:rsid w:val="001B6D03"/>
    <w:rsid w:val="001E3AC8"/>
    <w:rsid w:val="001E59E0"/>
    <w:rsid w:val="00212B1D"/>
    <w:rsid w:val="00221932"/>
    <w:rsid w:val="00223F49"/>
    <w:rsid w:val="00227EED"/>
    <w:rsid w:val="002329BB"/>
    <w:rsid w:val="0027122C"/>
    <w:rsid w:val="00271A02"/>
    <w:rsid w:val="002849B6"/>
    <w:rsid w:val="002A7493"/>
    <w:rsid w:val="002C3431"/>
    <w:rsid w:val="00311522"/>
    <w:rsid w:val="00324128"/>
    <w:rsid w:val="00344562"/>
    <w:rsid w:val="003466F9"/>
    <w:rsid w:val="003664E9"/>
    <w:rsid w:val="003679A1"/>
    <w:rsid w:val="0038105B"/>
    <w:rsid w:val="003A3AE5"/>
    <w:rsid w:val="003A4639"/>
    <w:rsid w:val="003A7E1F"/>
    <w:rsid w:val="003B4AF3"/>
    <w:rsid w:val="003E1F76"/>
    <w:rsid w:val="0041244A"/>
    <w:rsid w:val="004334A5"/>
    <w:rsid w:val="00464979"/>
    <w:rsid w:val="00475FD2"/>
    <w:rsid w:val="004805A3"/>
    <w:rsid w:val="00490B5B"/>
    <w:rsid w:val="004C7450"/>
    <w:rsid w:val="004E7185"/>
    <w:rsid w:val="004F77E6"/>
    <w:rsid w:val="00520B55"/>
    <w:rsid w:val="005316F0"/>
    <w:rsid w:val="005553EF"/>
    <w:rsid w:val="00591A57"/>
    <w:rsid w:val="00597C91"/>
    <w:rsid w:val="005D0C10"/>
    <w:rsid w:val="006455A5"/>
    <w:rsid w:val="00646DAD"/>
    <w:rsid w:val="006B2581"/>
    <w:rsid w:val="006C73CA"/>
    <w:rsid w:val="00721E9E"/>
    <w:rsid w:val="007629D3"/>
    <w:rsid w:val="007674C6"/>
    <w:rsid w:val="00770371"/>
    <w:rsid w:val="00775C69"/>
    <w:rsid w:val="00792734"/>
    <w:rsid w:val="00794616"/>
    <w:rsid w:val="007E612E"/>
    <w:rsid w:val="007F3D48"/>
    <w:rsid w:val="008047DE"/>
    <w:rsid w:val="008549F0"/>
    <w:rsid w:val="00856C35"/>
    <w:rsid w:val="008655C0"/>
    <w:rsid w:val="008678C0"/>
    <w:rsid w:val="0089241E"/>
    <w:rsid w:val="008D06E5"/>
    <w:rsid w:val="008F33CE"/>
    <w:rsid w:val="00912169"/>
    <w:rsid w:val="0092037A"/>
    <w:rsid w:val="009246AD"/>
    <w:rsid w:val="009615B5"/>
    <w:rsid w:val="009A6B43"/>
    <w:rsid w:val="009A6C73"/>
    <w:rsid w:val="009B6887"/>
    <w:rsid w:val="009F2E7E"/>
    <w:rsid w:val="00A02AED"/>
    <w:rsid w:val="00A02D62"/>
    <w:rsid w:val="00A174F9"/>
    <w:rsid w:val="00A20EB5"/>
    <w:rsid w:val="00A25802"/>
    <w:rsid w:val="00A47193"/>
    <w:rsid w:val="00A764EF"/>
    <w:rsid w:val="00AB34C5"/>
    <w:rsid w:val="00AC03FD"/>
    <w:rsid w:val="00AD3AB6"/>
    <w:rsid w:val="00AF7F6A"/>
    <w:rsid w:val="00B05A88"/>
    <w:rsid w:val="00B20647"/>
    <w:rsid w:val="00B35CBE"/>
    <w:rsid w:val="00B7618D"/>
    <w:rsid w:val="00BC7207"/>
    <w:rsid w:val="00BD2C44"/>
    <w:rsid w:val="00BD780D"/>
    <w:rsid w:val="00BE7F22"/>
    <w:rsid w:val="00BF2F73"/>
    <w:rsid w:val="00C00600"/>
    <w:rsid w:val="00C10EE0"/>
    <w:rsid w:val="00C12556"/>
    <w:rsid w:val="00C13066"/>
    <w:rsid w:val="00C44E2A"/>
    <w:rsid w:val="00C6170A"/>
    <w:rsid w:val="00C83B83"/>
    <w:rsid w:val="00C90519"/>
    <w:rsid w:val="00CB4E11"/>
    <w:rsid w:val="00CE481C"/>
    <w:rsid w:val="00D0763F"/>
    <w:rsid w:val="00D32E24"/>
    <w:rsid w:val="00DD6DBB"/>
    <w:rsid w:val="00E074F2"/>
    <w:rsid w:val="00E16342"/>
    <w:rsid w:val="00E51AB7"/>
    <w:rsid w:val="00E75926"/>
    <w:rsid w:val="00E91482"/>
    <w:rsid w:val="00E96302"/>
    <w:rsid w:val="00EA59C5"/>
    <w:rsid w:val="00F134F5"/>
    <w:rsid w:val="00F23F40"/>
    <w:rsid w:val="00F3164D"/>
    <w:rsid w:val="00F3218B"/>
    <w:rsid w:val="00F35FEE"/>
    <w:rsid w:val="00F47B85"/>
    <w:rsid w:val="00F5645C"/>
    <w:rsid w:val="00F5690D"/>
    <w:rsid w:val="00F93142"/>
    <w:rsid w:val="00FB4DC3"/>
    <w:rsid w:val="00FD13BF"/>
    <w:rsid w:val="00FE6219"/>
    <w:rsid w:val="00FF2D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rsid w:val="001B6D03"/>
    <w:pPr>
      <w:spacing w:after="240" w:line="480" w:lineRule="auto"/>
      <w:ind w:firstLine="204"/>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rsid w:val="00464979"/>
    <w:pPr>
      <w:spacing w:line="360" w:lineRule="auto"/>
    </w:pPr>
    <w:rPr>
      <w:sz w:val="20"/>
    </w:rPr>
  </w:style>
  <w:style w:type="paragraph" w:customStyle="1" w:styleId="VBChartTitle">
    <w:name w:val="VB_Chart_Title"/>
    <w:basedOn w:val="Normal"/>
    <w:next w:val="Normal"/>
    <w:rsid w:val="00464979"/>
    <w:pPr>
      <w:keepNext/>
      <w:spacing w:after="0" w:line="480" w:lineRule="auto"/>
      <w:jc w:val="center"/>
    </w:pPr>
    <w:rPr>
      <w:sz w:val="20"/>
    </w:r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link w:val="TCTableBodyChar"/>
    <w:rsid w:val="0003597F"/>
    <w:pPr>
      <w:spacing w:before="60" w:after="60"/>
    </w:pPr>
    <w:rPr>
      <w:sz w:val="20"/>
    </w:rPr>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customStyle="1" w:styleId="References">
    <w:name w:val="References"/>
    <w:basedOn w:val="Normal"/>
    <w:qFormat/>
    <w:rsid w:val="00792734"/>
    <w:pPr>
      <w:spacing w:after="0" w:line="200" w:lineRule="exact"/>
      <w:ind w:left="425" w:hanging="425"/>
    </w:pPr>
    <w:rPr>
      <w:rFonts w:ascii="Arial" w:eastAsia="MS Mincho" w:hAnsi="Arial"/>
      <w:sz w:val="14"/>
      <w:szCs w:val="14"/>
      <w:lang w:val="en-GB" w:eastAsia="ja-JP"/>
    </w:rPr>
  </w:style>
  <w:style w:type="paragraph" w:customStyle="1" w:styleId="TableBody">
    <w:name w:val="TableBody"/>
    <w:basedOn w:val="Normal"/>
    <w:rsid w:val="00792734"/>
    <w:pPr>
      <w:pBdr>
        <w:top w:val="single" w:sz="4" w:space="4" w:color="FFFFFF"/>
        <w:left w:val="single" w:sz="4" w:space="4" w:color="FFFFFF"/>
        <w:bottom w:val="single" w:sz="4" w:space="4" w:color="FFFFFF"/>
        <w:right w:val="single" w:sz="4" w:space="4" w:color="FFFFFF"/>
      </w:pBdr>
      <w:spacing w:after="0" w:line="180" w:lineRule="exact"/>
    </w:pPr>
    <w:rPr>
      <w:rFonts w:ascii="Arial" w:eastAsia="MS Mincho" w:hAnsi="Arial"/>
      <w:sz w:val="14"/>
      <w:szCs w:val="14"/>
      <w:lang w:val="en-GB" w:eastAsia="ja-JP"/>
    </w:rPr>
  </w:style>
  <w:style w:type="paragraph" w:customStyle="1" w:styleId="Keywords">
    <w:name w:val="Keywords"/>
    <w:basedOn w:val="Normal"/>
    <w:qFormat/>
    <w:rsid w:val="00792734"/>
    <w:pPr>
      <w:spacing w:before="240" w:after="240" w:line="250" w:lineRule="exact"/>
      <w:jc w:val="left"/>
    </w:pPr>
    <w:rPr>
      <w:rFonts w:ascii="Arial" w:eastAsia="MS Mincho" w:hAnsi="Arial"/>
      <w:sz w:val="17"/>
      <w:lang w:val="en-GB" w:eastAsia="ja-JP"/>
    </w:rPr>
  </w:style>
  <w:style w:type="paragraph" w:customStyle="1" w:styleId="P1withIndendation">
    <w:name w:val="P1_with_Indendation"/>
    <w:basedOn w:val="Normal"/>
    <w:qFormat/>
    <w:rsid w:val="00792734"/>
    <w:pPr>
      <w:spacing w:after="120" w:line="225" w:lineRule="exact"/>
      <w:ind w:firstLine="284"/>
    </w:pPr>
    <w:rPr>
      <w:rFonts w:ascii="Arial" w:eastAsia="MS Mincho" w:hAnsi="Arial"/>
      <w:sz w:val="17"/>
      <w:szCs w:val="14"/>
      <w:lang w:val="en-GB" w:eastAsia="ja-JP"/>
    </w:rPr>
  </w:style>
  <w:style w:type="table" w:styleId="TableGrid">
    <w:name w:val="Table Grid"/>
    <w:basedOn w:val="TableNormal"/>
    <w:rsid w:val="0079273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92734"/>
    <w:pPr>
      <w:jc w:val="left"/>
    </w:pPr>
    <w:rPr>
      <w:rFonts w:ascii="Times New Roman" w:eastAsia="MS Mincho" w:hAnsi="Times New Roman"/>
      <w:b/>
      <w:bCs/>
      <w:color w:val="4F81BD" w:themeColor="accent1"/>
      <w:sz w:val="18"/>
      <w:szCs w:val="18"/>
      <w:lang w:val="de-DE" w:eastAsia="ja-JP"/>
    </w:rPr>
  </w:style>
  <w:style w:type="paragraph" w:customStyle="1" w:styleId="SectionSubtitle">
    <w:name w:val="Section_Subtitle"/>
    <w:basedOn w:val="TAMainText"/>
    <w:link w:val="SectionSubtitleChar"/>
    <w:autoRedefine/>
    <w:rsid w:val="001B6D03"/>
    <w:pPr>
      <w:spacing w:after="120" w:line="276" w:lineRule="auto"/>
      <w:ind w:firstLine="0"/>
    </w:pPr>
    <w:rPr>
      <w:rFonts w:ascii="Cambria Math" w:eastAsia="MS Mincho" w:hAnsi="Cambria Math"/>
      <w:b/>
      <w:i/>
      <w:kern w:val="21"/>
      <w:sz w:val="22"/>
    </w:rPr>
  </w:style>
  <w:style w:type="character" w:customStyle="1" w:styleId="SectionSubtitleChar">
    <w:name w:val="Section_Subtitle Char"/>
    <w:link w:val="SectionSubtitle"/>
    <w:rsid w:val="001B6D03"/>
    <w:rPr>
      <w:rFonts w:ascii="Cambria Math" w:eastAsia="MS Mincho" w:hAnsi="Cambria Math"/>
      <w:b/>
      <w:i/>
      <w:kern w:val="21"/>
      <w:sz w:val="22"/>
    </w:rPr>
  </w:style>
  <w:style w:type="paragraph" w:customStyle="1" w:styleId="StyleTAMainTextBoldLeftFirstline0cm">
    <w:name w:val="Style TA_Main_Text + Bold Left First line:  0 cm"/>
    <w:basedOn w:val="TAMainText"/>
    <w:rsid w:val="00B35CBE"/>
    <w:pPr>
      <w:ind w:firstLine="0"/>
    </w:pPr>
    <w:rPr>
      <w:b/>
      <w:bCs/>
    </w:rPr>
  </w:style>
  <w:style w:type="paragraph" w:styleId="NormalWeb">
    <w:name w:val="Normal (Web)"/>
    <w:basedOn w:val="Normal"/>
    <w:uiPriority w:val="99"/>
    <w:unhideWhenUsed/>
    <w:rsid w:val="002329BB"/>
    <w:pPr>
      <w:spacing w:before="100" w:beforeAutospacing="1" w:after="100" w:afterAutospacing="1"/>
      <w:jc w:val="left"/>
    </w:pPr>
    <w:rPr>
      <w:rFonts w:ascii="Times New Roman" w:eastAsiaTheme="minorEastAsia" w:hAnsi="Times New Roman"/>
      <w:szCs w:val="24"/>
      <w:lang w:val="en-GB" w:eastAsia="en-GB"/>
    </w:rPr>
  </w:style>
  <w:style w:type="character" w:customStyle="1" w:styleId="TCTableBodyChar">
    <w:name w:val="TC_Table_Body Char"/>
    <w:link w:val="TCTableBody"/>
    <w:rsid w:val="0003597F"/>
    <w:rPr>
      <w:rFonts w:ascii="Times" w:hAnsi="Times"/>
    </w:rPr>
  </w:style>
  <w:style w:type="paragraph" w:customStyle="1" w:styleId="StyleTCTableBodyBold">
    <w:name w:val="Style TC_Table_Body + Bold"/>
    <w:basedOn w:val="TCTableBody"/>
    <w:rsid w:val="0003597F"/>
    <w:pPr>
      <w:jc w:val="center"/>
    </w:pPr>
    <w:rPr>
      <w:b/>
      <w:bCs/>
    </w:rPr>
  </w:style>
  <w:style w:type="character" w:styleId="CommentReference">
    <w:name w:val="annotation reference"/>
    <w:basedOn w:val="DefaultParagraphFont"/>
    <w:rsid w:val="00CB4E11"/>
    <w:rPr>
      <w:sz w:val="16"/>
      <w:szCs w:val="16"/>
    </w:rPr>
  </w:style>
  <w:style w:type="paragraph" w:styleId="CommentText">
    <w:name w:val="annotation text"/>
    <w:basedOn w:val="Normal"/>
    <w:link w:val="CommentTextChar"/>
    <w:rsid w:val="00CB4E11"/>
    <w:rPr>
      <w:sz w:val="20"/>
    </w:rPr>
  </w:style>
  <w:style w:type="character" w:customStyle="1" w:styleId="CommentTextChar">
    <w:name w:val="Comment Text Char"/>
    <w:basedOn w:val="DefaultParagraphFont"/>
    <w:link w:val="CommentText"/>
    <w:rsid w:val="00CB4E11"/>
    <w:rPr>
      <w:rFonts w:ascii="Times" w:hAnsi="Times"/>
    </w:rPr>
  </w:style>
  <w:style w:type="paragraph" w:styleId="CommentSubject">
    <w:name w:val="annotation subject"/>
    <w:basedOn w:val="CommentText"/>
    <w:next w:val="CommentText"/>
    <w:link w:val="CommentSubjectChar"/>
    <w:rsid w:val="00CB4E11"/>
    <w:rPr>
      <w:b/>
      <w:bCs/>
    </w:rPr>
  </w:style>
  <w:style w:type="character" w:customStyle="1" w:styleId="CommentSubjectChar">
    <w:name w:val="Comment Subject Char"/>
    <w:basedOn w:val="CommentTextChar"/>
    <w:link w:val="CommentSubject"/>
    <w:rsid w:val="00CB4E11"/>
    <w:rPr>
      <w:rFonts w:ascii="Times" w:hAnsi="Times"/>
      <w:b/>
      <w:bCs/>
    </w:rPr>
  </w:style>
  <w:style w:type="character" w:styleId="PlaceholderText">
    <w:name w:val="Placeholder Text"/>
    <w:basedOn w:val="DefaultParagraphFont"/>
    <w:uiPriority w:val="99"/>
    <w:semiHidden/>
    <w:rsid w:val="00646DAD"/>
    <w:rPr>
      <w:color w:val="808080"/>
    </w:rPr>
  </w:style>
  <w:style w:type="paragraph" w:styleId="Header">
    <w:name w:val="header"/>
    <w:basedOn w:val="Normal"/>
    <w:link w:val="HeaderChar"/>
    <w:rsid w:val="004F77E6"/>
    <w:pPr>
      <w:tabs>
        <w:tab w:val="center" w:pos="4513"/>
        <w:tab w:val="right" w:pos="9026"/>
      </w:tabs>
      <w:spacing w:after="0"/>
    </w:pPr>
  </w:style>
  <w:style w:type="character" w:customStyle="1" w:styleId="HeaderChar">
    <w:name w:val="Header Char"/>
    <w:basedOn w:val="DefaultParagraphFont"/>
    <w:link w:val="Header"/>
    <w:rsid w:val="004F77E6"/>
    <w:rPr>
      <w:rFonts w:ascii="Times" w:hAnsi="Times"/>
      <w:sz w:val="24"/>
    </w:rPr>
  </w:style>
  <w:style w:type="paragraph" w:customStyle="1" w:styleId="PageNumbers">
    <w:name w:val="PageNumbers"/>
    <w:basedOn w:val="Normal"/>
    <w:rsid w:val="00A47193"/>
    <w:pPr>
      <w:spacing w:before="230" w:after="0"/>
      <w:jc w:val="left"/>
    </w:pPr>
    <w:rPr>
      <w:rFonts w:ascii="Arial" w:eastAsia="MS Mincho" w:hAnsi="Arial"/>
      <w:b/>
      <w:i/>
      <w:sz w:val="17"/>
      <w:szCs w:val="24"/>
      <w:lang w:val="de-DE"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rsid w:val="001B6D03"/>
    <w:pPr>
      <w:spacing w:after="240" w:line="480" w:lineRule="auto"/>
      <w:ind w:firstLine="204"/>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rsid w:val="00464979"/>
    <w:pPr>
      <w:spacing w:line="360" w:lineRule="auto"/>
    </w:pPr>
    <w:rPr>
      <w:sz w:val="20"/>
    </w:rPr>
  </w:style>
  <w:style w:type="paragraph" w:customStyle="1" w:styleId="VBChartTitle">
    <w:name w:val="VB_Chart_Title"/>
    <w:basedOn w:val="Normal"/>
    <w:next w:val="Normal"/>
    <w:rsid w:val="00464979"/>
    <w:pPr>
      <w:keepNext/>
      <w:spacing w:after="0" w:line="480" w:lineRule="auto"/>
      <w:jc w:val="center"/>
    </w:pPr>
    <w:rPr>
      <w:sz w:val="20"/>
    </w:r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link w:val="TCTableBodyChar"/>
    <w:rsid w:val="0003597F"/>
    <w:pPr>
      <w:spacing w:before="60" w:after="60"/>
    </w:pPr>
    <w:rPr>
      <w:sz w:val="20"/>
    </w:rPr>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customStyle="1" w:styleId="References">
    <w:name w:val="References"/>
    <w:basedOn w:val="Normal"/>
    <w:qFormat/>
    <w:rsid w:val="00792734"/>
    <w:pPr>
      <w:spacing w:after="0" w:line="200" w:lineRule="exact"/>
      <w:ind w:left="425" w:hanging="425"/>
    </w:pPr>
    <w:rPr>
      <w:rFonts w:ascii="Arial" w:eastAsia="MS Mincho" w:hAnsi="Arial"/>
      <w:sz w:val="14"/>
      <w:szCs w:val="14"/>
      <w:lang w:val="en-GB" w:eastAsia="ja-JP"/>
    </w:rPr>
  </w:style>
  <w:style w:type="paragraph" w:customStyle="1" w:styleId="TableBody">
    <w:name w:val="TableBody"/>
    <w:basedOn w:val="Normal"/>
    <w:rsid w:val="00792734"/>
    <w:pPr>
      <w:pBdr>
        <w:top w:val="single" w:sz="4" w:space="4" w:color="FFFFFF"/>
        <w:left w:val="single" w:sz="4" w:space="4" w:color="FFFFFF"/>
        <w:bottom w:val="single" w:sz="4" w:space="4" w:color="FFFFFF"/>
        <w:right w:val="single" w:sz="4" w:space="4" w:color="FFFFFF"/>
      </w:pBdr>
      <w:spacing w:after="0" w:line="180" w:lineRule="exact"/>
    </w:pPr>
    <w:rPr>
      <w:rFonts w:ascii="Arial" w:eastAsia="MS Mincho" w:hAnsi="Arial"/>
      <w:sz w:val="14"/>
      <w:szCs w:val="14"/>
      <w:lang w:val="en-GB" w:eastAsia="ja-JP"/>
    </w:rPr>
  </w:style>
  <w:style w:type="paragraph" w:customStyle="1" w:styleId="Keywords">
    <w:name w:val="Keywords"/>
    <w:basedOn w:val="Normal"/>
    <w:qFormat/>
    <w:rsid w:val="00792734"/>
    <w:pPr>
      <w:spacing w:before="240" w:after="240" w:line="250" w:lineRule="exact"/>
      <w:jc w:val="left"/>
    </w:pPr>
    <w:rPr>
      <w:rFonts w:ascii="Arial" w:eastAsia="MS Mincho" w:hAnsi="Arial"/>
      <w:sz w:val="17"/>
      <w:lang w:val="en-GB" w:eastAsia="ja-JP"/>
    </w:rPr>
  </w:style>
  <w:style w:type="paragraph" w:customStyle="1" w:styleId="P1withIndendation">
    <w:name w:val="P1_with_Indendation"/>
    <w:basedOn w:val="Normal"/>
    <w:qFormat/>
    <w:rsid w:val="00792734"/>
    <w:pPr>
      <w:spacing w:after="120" w:line="225" w:lineRule="exact"/>
      <w:ind w:firstLine="284"/>
    </w:pPr>
    <w:rPr>
      <w:rFonts w:ascii="Arial" w:eastAsia="MS Mincho" w:hAnsi="Arial"/>
      <w:sz w:val="17"/>
      <w:szCs w:val="14"/>
      <w:lang w:val="en-GB" w:eastAsia="ja-JP"/>
    </w:rPr>
  </w:style>
  <w:style w:type="table" w:styleId="TableGrid">
    <w:name w:val="Table Grid"/>
    <w:basedOn w:val="TableNormal"/>
    <w:rsid w:val="0079273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92734"/>
    <w:pPr>
      <w:jc w:val="left"/>
    </w:pPr>
    <w:rPr>
      <w:rFonts w:ascii="Times New Roman" w:eastAsia="MS Mincho" w:hAnsi="Times New Roman"/>
      <w:b/>
      <w:bCs/>
      <w:color w:val="4F81BD" w:themeColor="accent1"/>
      <w:sz w:val="18"/>
      <w:szCs w:val="18"/>
      <w:lang w:val="de-DE" w:eastAsia="ja-JP"/>
    </w:rPr>
  </w:style>
  <w:style w:type="paragraph" w:customStyle="1" w:styleId="SectionSubtitle">
    <w:name w:val="Section_Subtitle"/>
    <w:basedOn w:val="TAMainText"/>
    <w:link w:val="SectionSubtitleChar"/>
    <w:autoRedefine/>
    <w:rsid w:val="001B6D03"/>
    <w:pPr>
      <w:spacing w:after="120" w:line="276" w:lineRule="auto"/>
      <w:ind w:firstLine="0"/>
    </w:pPr>
    <w:rPr>
      <w:rFonts w:ascii="Cambria Math" w:eastAsia="MS Mincho" w:hAnsi="Cambria Math"/>
      <w:b/>
      <w:i/>
      <w:kern w:val="21"/>
      <w:sz w:val="22"/>
    </w:rPr>
  </w:style>
  <w:style w:type="character" w:customStyle="1" w:styleId="SectionSubtitleChar">
    <w:name w:val="Section_Subtitle Char"/>
    <w:link w:val="SectionSubtitle"/>
    <w:rsid w:val="001B6D03"/>
    <w:rPr>
      <w:rFonts w:ascii="Cambria Math" w:eastAsia="MS Mincho" w:hAnsi="Cambria Math"/>
      <w:b/>
      <w:i/>
      <w:kern w:val="21"/>
      <w:sz w:val="22"/>
    </w:rPr>
  </w:style>
  <w:style w:type="paragraph" w:customStyle="1" w:styleId="StyleTAMainTextBoldLeftFirstline0cm">
    <w:name w:val="Style TA_Main_Text + Bold Left First line:  0 cm"/>
    <w:basedOn w:val="TAMainText"/>
    <w:rsid w:val="00B35CBE"/>
    <w:pPr>
      <w:ind w:firstLine="0"/>
    </w:pPr>
    <w:rPr>
      <w:b/>
      <w:bCs/>
    </w:rPr>
  </w:style>
  <w:style w:type="paragraph" w:styleId="NormalWeb">
    <w:name w:val="Normal (Web)"/>
    <w:basedOn w:val="Normal"/>
    <w:uiPriority w:val="99"/>
    <w:unhideWhenUsed/>
    <w:rsid w:val="002329BB"/>
    <w:pPr>
      <w:spacing w:before="100" w:beforeAutospacing="1" w:after="100" w:afterAutospacing="1"/>
      <w:jc w:val="left"/>
    </w:pPr>
    <w:rPr>
      <w:rFonts w:ascii="Times New Roman" w:eastAsiaTheme="minorEastAsia" w:hAnsi="Times New Roman"/>
      <w:szCs w:val="24"/>
      <w:lang w:val="en-GB" w:eastAsia="en-GB"/>
    </w:rPr>
  </w:style>
  <w:style w:type="character" w:customStyle="1" w:styleId="TCTableBodyChar">
    <w:name w:val="TC_Table_Body Char"/>
    <w:link w:val="TCTableBody"/>
    <w:rsid w:val="0003597F"/>
    <w:rPr>
      <w:rFonts w:ascii="Times" w:hAnsi="Times"/>
    </w:rPr>
  </w:style>
  <w:style w:type="paragraph" w:customStyle="1" w:styleId="StyleTCTableBodyBold">
    <w:name w:val="Style TC_Table_Body + Bold"/>
    <w:basedOn w:val="TCTableBody"/>
    <w:rsid w:val="0003597F"/>
    <w:pPr>
      <w:jc w:val="center"/>
    </w:pPr>
    <w:rPr>
      <w:b/>
      <w:bCs/>
    </w:rPr>
  </w:style>
  <w:style w:type="character" w:styleId="CommentReference">
    <w:name w:val="annotation reference"/>
    <w:basedOn w:val="DefaultParagraphFont"/>
    <w:rsid w:val="00CB4E11"/>
    <w:rPr>
      <w:sz w:val="16"/>
      <w:szCs w:val="16"/>
    </w:rPr>
  </w:style>
  <w:style w:type="paragraph" w:styleId="CommentText">
    <w:name w:val="annotation text"/>
    <w:basedOn w:val="Normal"/>
    <w:link w:val="CommentTextChar"/>
    <w:rsid w:val="00CB4E11"/>
    <w:rPr>
      <w:sz w:val="20"/>
    </w:rPr>
  </w:style>
  <w:style w:type="character" w:customStyle="1" w:styleId="CommentTextChar">
    <w:name w:val="Comment Text Char"/>
    <w:basedOn w:val="DefaultParagraphFont"/>
    <w:link w:val="CommentText"/>
    <w:rsid w:val="00CB4E11"/>
    <w:rPr>
      <w:rFonts w:ascii="Times" w:hAnsi="Times"/>
    </w:rPr>
  </w:style>
  <w:style w:type="paragraph" w:styleId="CommentSubject">
    <w:name w:val="annotation subject"/>
    <w:basedOn w:val="CommentText"/>
    <w:next w:val="CommentText"/>
    <w:link w:val="CommentSubjectChar"/>
    <w:rsid w:val="00CB4E11"/>
    <w:rPr>
      <w:b/>
      <w:bCs/>
    </w:rPr>
  </w:style>
  <w:style w:type="character" w:customStyle="1" w:styleId="CommentSubjectChar">
    <w:name w:val="Comment Subject Char"/>
    <w:basedOn w:val="CommentTextChar"/>
    <w:link w:val="CommentSubject"/>
    <w:rsid w:val="00CB4E11"/>
    <w:rPr>
      <w:rFonts w:ascii="Times" w:hAnsi="Times"/>
      <w:b/>
      <w:bCs/>
    </w:rPr>
  </w:style>
  <w:style w:type="character" w:styleId="PlaceholderText">
    <w:name w:val="Placeholder Text"/>
    <w:basedOn w:val="DefaultParagraphFont"/>
    <w:uiPriority w:val="99"/>
    <w:semiHidden/>
    <w:rsid w:val="00646DAD"/>
    <w:rPr>
      <w:color w:val="808080"/>
    </w:rPr>
  </w:style>
  <w:style w:type="paragraph" w:styleId="Header">
    <w:name w:val="header"/>
    <w:basedOn w:val="Normal"/>
    <w:link w:val="HeaderChar"/>
    <w:rsid w:val="004F77E6"/>
    <w:pPr>
      <w:tabs>
        <w:tab w:val="center" w:pos="4513"/>
        <w:tab w:val="right" w:pos="9026"/>
      </w:tabs>
      <w:spacing w:after="0"/>
    </w:pPr>
  </w:style>
  <w:style w:type="character" w:customStyle="1" w:styleId="HeaderChar">
    <w:name w:val="Header Char"/>
    <w:basedOn w:val="DefaultParagraphFont"/>
    <w:link w:val="Header"/>
    <w:rsid w:val="004F77E6"/>
    <w:rPr>
      <w:rFonts w:ascii="Times" w:hAnsi="Times"/>
      <w:sz w:val="24"/>
    </w:rPr>
  </w:style>
  <w:style w:type="paragraph" w:customStyle="1" w:styleId="PageNumbers">
    <w:name w:val="PageNumbers"/>
    <w:basedOn w:val="Normal"/>
    <w:rsid w:val="00A47193"/>
    <w:pPr>
      <w:spacing w:before="230" w:after="0"/>
      <w:jc w:val="left"/>
    </w:pPr>
    <w:rPr>
      <w:rFonts w:ascii="Arial" w:eastAsia="MS Mincho" w:hAnsi="Arial"/>
      <w:b/>
      <w:i/>
      <w:sz w:val="17"/>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77111114">
      <w:bodyDiv w:val="1"/>
      <w:marLeft w:val="0"/>
      <w:marRight w:val="0"/>
      <w:marTop w:val="0"/>
      <w:marBottom w:val="0"/>
      <w:divBdr>
        <w:top w:val="none" w:sz="0" w:space="0" w:color="auto"/>
        <w:left w:val="none" w:sz="0" w:space="0" w:color="auto"/>
        <w:bottom w:val="none" w:sz="0" w:space="0" w:color="auto"/>
        <w:right w:val="none" w:sz="0" w:space="0" w:color="auto"/>
      </w:divBdr>
      <w:divsChild>
        <w:div w:id="1649704857">
          <w:marLeft w:val="0"/>
          <w:marRight w:val="0"/>
          <w:marTop w:val="0"/>
          <w:marBottom w:val="0"/>
          <w:divBdr>
            <w:top w:val="none" w:sz="0" w:space="0" w:color="auto"/>
            <w:left w:val="none" w:sz="0" w:space="0" w:color="auto"/>
            <w:bottom w:val="none" w:sz="0" w:space="0" w:color="auto"/>
            <w:right w:val="none" w:sz="0" w:space="0" w:color="auto"/>
          </w:divBdr>
          <w:divsChild>
            <w:div w:id="1493834542">
              <w:marLeft w:val="0"/>
              <w:marRight w:val="0"/>
              <w:marTop w:val="0"/>
              <w:marBottom w:val="0"/>
              <w:divBdr>
                <w:top w:val="none" w:sz="0" w:space="0" w:color="auto"/>
                <w:left w:val="none" w:sz="0" w:space="0" w:color="auto"/>
                <w:bottom w:val="none" w:sz="0" w:space="0" w:color="auto"/>
                <w:right w:val="none" w:sz="0" w:space="0" w:color="auto"/>
              </w:divBdr>
              <w:divsChild>
                <w:div w:id="387992362">
                  <w:marLeft w:val="0"/>
                  <w:marRight w:val="0"/>
                  <w:marTop w:val="0"/>
                  <w:marBottom w:val="0"/>
                  <w:divBdr>
                    <w:top w:val="none" w:sz="0" w:space="0" w:color="auto"/>
                    <w:left w:val="none" w:sz="0" w:space="0" w:color="auto"/>
                    <w:bottom w:val="none" w:sz="0" w:space="0" w:color="auto"/>
                    <w:right w:val="none" w:sz="0" w:space="0" w:color="auto"/>
                  </w:divBdr>
                  <w:divsChild>
                    <w:div w:id="2046178369">
                      <w:marLeft w:val="0"/>
                      <w:marRight w:val="0"/>
                      <w:marTop w:val="0"/>
                      <w:marBottom w:val="0"/>
                      <w:divBdr>
                        <w:top w:val="none" w:sz="0" w:space="0" w:color="auto"/>
                        <w:left w:val="none" w:sz="0" w:space="0" w:color="auto"/>
                        <w:bottom w:val="none" w:sz="0" w:space="0" w:color="auto"/>
                        <w:right w:val="none" w:sz="0" w:space="0" w:color="auto"/>
                      </w:divBdr>
                      <w:divsChild>
                        <w:div w:id="212861008">
                          <w:marLeft w:val="0"/>
                          <w:marRight w:val="0"/>
                          <w:marTop w:val="0"/>
                          <w:marBottom w:val="0"/>
                          <w:divBdr>
                            <w:top w:val="none" w:sz="0" w:space="0" w:color="auto"/>
                            <w:left w:val="none" w:sz="0" w:space="0" w:color="auto"/>
                            <w:bottom w:val="none" w:sz="0" w:space="0" w:color="auto"/>
                            <w:right w:val="none" w:sz="0" w:space="0" w:color="auto"/>
                          </w:divBdr>
                          <w:divsChild>
                            <w:div w:id="1642536843">
                              <w:marLeft w:val="0"/>
                              <w:marRight w:val="0"/>
                              <w:marTop w:val="0"/>
                              <w:marBottom w:val="0"/>
                              <w:divBdr>
                                <w:top w:val="none" w:sz="0" w:space="0" w:color="auto"/>
                                <w:left w:val="none" w:sz="0" w:space="0" w:color="auto"/>
                                <w:bottom w:val="none" w:sz="0" w:space="0" w:color="auto"/>
                                <w:right w:val="none" w:sz="0" w:space="0" w:color="auto"/>
                              </w:divBdr>
                              <w:divsChild>
                                <w:div w:id="354309956">
                                  <w:marLeft w:val="0"/>
                                  <w:marRight w:val="0"/>
                                  <w:marTop w:val="0"/>
                                  <w:marBottom w:val="0"/>
                                  <w:divBdr>
                                    <w:top w:val="none" w:sz="0" w:space="0" w:color="auto"/>
                                    <w:left w:val="none" w:sz="0" w:space="0" w:color="auto"/>
                                    <w:bottom w:val="none" w:sz="0" w:space="0" w:color="auto"/>
                                    <w:right w:val="none" w:sz="0" w:space="0" w:color="auto"/>
                                  </w:divBdr>
                                  <w:divsChild>
                                    <w:div w:id="1163664389">
                                      <w:marLeft w:val="0"/>
                                      <w:marRight w:val="0"/>
                                      <w:marTop w:val="0"/>
                                      <w:marBottom w:val="0"/>
                                      <w:divBdr>
                                        <w:top w:val="none" w:sz="0" w:space="0" w:color="auto"/>
                                        <w:left w:val="none" w:sz="0" w:space="0" w:color="auto"/>
                                        <w:bottom w:val="none" w:sz="0" w:space="0" w:color="auto"/>
                                        <w:right w:val="none" w:sz="0" w:space="0" w:color="auto"/>
                                      </w:divBdr>
                                      <w:divsChild>
                                        <w:div w:id="496192581">
                                          <w:marLeft w:val="0"/>
                                          <w:marRight w:val="0"/>
                                          <w:marTop w:val="0"/>
                                          <w:marBottom w:val="0"/>
                                          <w:divBdr>
                                            <w:top w:val="none" w:sz="0" w:space="0" w:color="auto"/>
                                            <w:left w:val="none" w:sz="0" w:space="0" w:color="auto"/>
                                            <w:bottom w:val="none" w:sz="0" w:space="0" w:color="auto"/>
                                            <w:right w:val="none" w:sz="0" w:space="0" w:color="auto"/>
                                          </w:divBdr>
                                          <w:divsChild>
                                            <w:div w:id="2092585145">
                                              <w:marLeft w:val="0"/>
                                              <w:marRight w:val="0"/>
                                              <w:marTop w:val="0"/>
                                              <w:marBottom w:val="0"/>
                                              <w:divBdr>
                                                <w:top w:val="none" w:sz="0" w:space="0" w:color="auto"/>
                                                <w:left w:val="none" w:sz="0" w:space="0" w:color="auto"/>
                                                <w:bottom w:val="none" w:sz="0" w:space="0" w:color="auto"/>
                                                <w:right w:val="none" w:sz="0" w:space="0" w:color="auto"/>
                                              </w:divBdr>
                                              <w:divsChild>
                                                <w:div w:id="2132088572">
                                                  <w:marLeft w:val="0"/>
                                                  <w:marRight w:val="0"/>
                                                  <w:marTop w:val="0"/>
                                                  <w:marBottom w:val="0"/>
                                                  <w:divBdr>
                                                    <w:top w:val="none" w:sz="0" w:space="0" w:color="auto"/>
                                                    <w:left w:val="none" w:sz="0" w:space="0" w:color="auto"/>
                                                    <w:bottom w:val="none" w:sz="0" w:space="0" w:color="auto"/>
                                                    <w:right w:val="none" w:sz="0" w:space="0" w:color="auto"/>
                                                  </w:divBdr>
                                                  <w:divsChild>
                                                    <w:div w:id="1791510742">
                                                      <w:marLeft w:val="0"/>
                                                      <w:marRight w:val="0"/>
                                                      <w:marTop w:val="0"/>
                                                      <w:marBottom w:val="0"/>
                                                      <w:divBdr>
                                                        <w:top w:val="none" w:sz="0" w:space="0" w:color="auto"/>
                                                        <w:left w:val="none" w:sz="0" w:space="0" w:color="auto"/>
                                                        <w:bottom w:val="none" w:sz="0" w:space="0" w:color="auto"/>
                                                        <w:right w:val="none" w:sz="0" w:space="0" w:color="auto"/>
                                                      </w:divBdr>
                                                      <w:divsChild>
                                                        <w:div w:id="542326986">
                                                          <w:marLeft w:val="0"/>
                                                          <w:marRight w:val="0"/>
                                                          <w:marTop w:val="0"/>
                                                          <w:marBottom w:val="0"/>
                                                          <w:divBdr>
                                                            <w:top w:val="none" w:sz="0" w:space="0" w:color="auto"/>
                                                            <w:left w:val="none" w:sz="0" w:space="0" w:color="auto"/>
                                                            <w:bottom w:val="none" w:sz="0" w:space="0" w:color="auto"/>
                                                            <w:right w:val="none" w:sz="0" w:space="0" w:color="auto"/>
                                                          </w:divBdr>
                                                          <w:divsChild>
                                                            <w:div w:id="1661927475">
                                                              <w:marLeft w:val="0"/>
                                                              <w:marRight w:val="0"/>
                                                              <w:marTop w:val="0"/>
                                                              <w:marBottom w:val="0"/>
                                                              <w:divBdr>
                                                                <w:top w:val="none" w:sz="0" w:space="0" w:color="auto"/>
                                                                <w:left w:val="none" w:sz="0" w:space="0" w:color="auto"/>
                                                                <w:bottom w:val="none" w:sz="0" w:space="0" w:color="auto"/>
                                                                <w:right w:val="none" w:sz="0" w:space="0" w:color="auto"/>
                                                              </w:divBdr>
                                                              <w:divsChild>
                                                                <w:div w:id="432894366">
                                                                  <w:marLeft w:val="0"/>
                                                                  <w:marRight w:val="0"/>
                                                                  <w:marTop w:val="0"/>
                                                                  <w:marBottom w:val="0"/>
                                                                  <w:divBdr>
                                                                    <w:top w:val="none" w:sz="0" w:space="0" w:color="auto"/>
                                                                    <w:left w:val="none" w:sz="0" w:space="0" w:color="auto"/>
                                                                    <w:bottom w:val="none" w:sz="0" w:space="0" w:color="auto"/>
                                                                    <w:right w:val="none" w:sz="0" w:space="0" w:color="auto"/>
                                                                  </w:divBdr>
                                                                  <w:divsChild>
                                                                    <w:div w:id="1148202301">
                                                                      <w:marLeft w:val="0"/>
                                                                      <w:marRight w:val="0"/>
                                                                      <w:marTop w:val="0"/>
                                                                      <w:marBottom w:val="0"/>
                                                                      <w:divBdr>
                                                                        <w:top w:val="none" w:sz="0" w:space="0" w:color="auto"/>
                                                                        <w:left w:val="none" w:sz="0" w:space="0" w:color="auto"/>
                                                                        <w:bottom w:val="none" w:sz="0" w:space="0" w:color="auto"/>
                                                                        <w:right w:val="none" w:sz="0" w:space="0" w:color="auto"/>
                                                                      </w:divBdr>
                                                                      <w:divsChild>
                                                                        <w:div w:id="1847287549">
                                                                          <w:marLeft w:val="0"/>
                                                                          <w:marRight w:val="0"/>
                                                                          <w:marTop w:val="0"/>
                                                                          <w:marBottom w:val="0"/>
                                                                          <w:divBdr>
                                                                            <w:top w:val="none" w:sz="0" w:space="0" w:color="auto"/>
                                                                            <w:left w:val="none" w:sz="0" w:space="0" w:color="auto"/>
                                                                            <w:bottom w:val="none" w:sz="0" w:space="0" w:color="auto"/>
                                                                            <w:right w:val="none" w:sz="0" w:space="0" w:color="auto"/>
                                                                          </w:divBdr>
                                                                          <w:divsChild>
                                                                            <w:div w:id="1935093682">
                                                                              <w:marLeft w:val="0"/>
                                                                              <w:marRight w:val="0"/>
                                                                              <w:marTop w:val="0"/>
                                                                              <w:marBottom w:val="0"/>
                                                                              <w:divBdr>
                                                                                <w:top w:val="none" w:sz="0" w:space="0" w:color="auto"/>
                                                                                <w:left w:val="none" w:sz="0" w:space="0" w:color="auto"/>
                                                                                <w:bottom w:val="none" w:sz="0" w:space="0" w:color="auto"/>
                                                                                <w:right w:val="none" w:sz="0" w:space="0" w:color="auto"/>
                                                                              </w:divBdr>
                                                                              <w:divsChild>
                                                                                <w:div w:id="1984196679">
                                                                                  <w:marLeft w:val="0"/>
                                                                                  <w:marRight w:val="0"/>
                                                                                  <w:marTop w:val="0"/>
                                                                                  <w:marBottom w:val="0"/>
                                                                                  <w:divBdr>
                                                                                    <w:top w:val="none" w:sz="0" w:space="0" w:color="auto"/>
                                                                                    <w:left w:val="none" w:sz="0" w:space="0" w:color="auto"/>
                                                                                    <w:bottom w:val="none" w:sz="0" w:space="0" w:color="auto"/>
                                                                                    <w:right w:val="none" w:sz="0" w:space="0" w:color="auto"/>
                                                                                  </w:divBdr>
                                                                                  <w:divsChild>
                                                                                    <w:div w:id="14300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tevensgroup.or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t%20Chapman\Google%20Drive\Imperial\2.%20Project%20files%20and%20writeups\Papers\EnzRAFT%20Polymerisation%20using%20GOx\Manuscripts\Revision%20for%20Macromol\acstemplate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acstemplate_msw2010</Template>
  <TotalTime>1</TotalTime>
  <Pages>23</Pages>
  <Words>16864</Words>
  <Characters>96131</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112770</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Robert Chapman</dc:creator>
  <cp:lastModifiedBy>Pierce, Benjamin F</cp:lastModifiedBy>
  <cp:revision>2</cp:revision>
  <cp:lastPrinted>2014-11-11T11:39:00Z</cp:lastPrinted>
  <dcterms:created xsi:type="dcterms:W3CDTF">2015-03-04T11:52:00Z</dcterms:created>
  <dcterms:modified xsi:type="dcterms:W3CDTF">2015-03-04T11:52:00Z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r.chapman@imperial.ac.uk@www.mendeley.com</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http://www.zotero.org/styles/angewandte-chemie</vt:lpwstr>
  </property>
  <property fmtid="{D5CDD505-2E9C-101B-9397-08002B2CF9AE}" pid="13" name="Mendeley Recent Style Name 4_1">
    <vt:lpwstr>Angewandte Chemie International Edition</vt:lpwstr>
  </property>
  <property fmtid="{D5CDD505-2E9C-101B-9397-08002B2CF9AE}" pid="14" name="Mendeley Recent Style Id 5_1">
    <vt:lpwstr>http://www.zotero.org/styles/chicago-author-date</vt:lpwstr>
  </property>
  <property fmtid="{D5CDD505-2E9C-101B-9397-08002B2CF9AE}" pid="15" name="Mendeley Recent Style Name 5_1">
    <vt:lpwstr>Chicago Manual of Style 16th edition (author-date)</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(author-date)</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http://www.zotero.org/styles/macromolecules</vt:lpwstr>
  </property>
  <property fmtid="{D5CDD505-2E9C-101B-9397-08002B2CF9AE}" pid="21" name="Mendeley Recent Style Name 8_1">
    <vt:lpwstr>Macromolecules</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http://www.zotero.org/styles/macromolecules</vt:lpwstr>
  </property>
</Properties>
</file>