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7FA" w:rsidRDefault="00855071">
      <w:pPr>
        <w:pStyle w:val="Title"/>
      </w:pPr>
      <w:r>
        <w:t>Using high-resolution variant frequencies to empower clinical genome interpretation</w:t>
      </w:r>
    </w:p>
    <w:p w:rsidR="00C057FA" w:rsidRDefault="00855071">
      <w:pPr>
        <w:pStyle w:val="FirstParagraph"/>
      </w:pPr>
      <w:r>
        <w:rPr>
          <w:b/>
        </w:rPr>
        <w:t>Short running title: Allele frequency and genome interpretation</w:t>
      </w:r>
    </w:p>
    <w:p w:rsidR="00C057FA" w:rsidRDefault="00855071">
      <w:pPr>
        <w:pStyle w:val="BodyText"/>
      </w:pPr>
      <w:r>
        <w:t>Nicola Whiffin, PhD</w:t>
      </w:r>
      <w:r>
        <w:rPr>
          <w:vertAlign w:val="superscript"/>
        </w:rPr>
        <w:t>1,2,*</w:t>
      </w:r>
      <w:r>
        <w:t>,Eric Minikel, MS</w:t>
      </w:r>
      <w:r>
        <w:rPr>
          <w:vertAlign w:val="superscript"/>
        </w:rPr>
        <w:t>3,4,*</w:t>
      </w:r>
      <w:r>
        <w:t>,Roddy Walsh, MSc</w:t>
      </w:r>
      <w:r>
        <w:rPr>
          <w:vertAlign w:val="superscript"/>
        </w:rPr>
        <w:t>1,2</w:t>
      </w:r>
      <w:r>
        <w:t>,Anne O'Donnell-Luria, MD, PhD</w:t>
      </w:r>
      <w:r>
        <w:rPr>
          <w:vertAlign w:val="superscript"/>
        </w:rPr>
        <w:t>3,4</w:t>
      </w:r>
      <w:r>
        <w:t>,Konrad Karczewski, PhD</w:t>
      </w:r>
      <w:r>
        <w:rPr>
          <w:vertAlign w:val="superscript"/>
        </w:rPr>
        <w:t>3,4</w:t>
      </w:r>
      <w:r>
        <w:t>,Alexander Y Ing, MS, CGC</w:t>
      </w:r>
      <w:r>
        <w:rPr>
          <w:vertAlign w:val="superscript"/>
        </w:rPr>
        <w:t>5,6</w:t>
      </w:r>
      <w:r>
        <w:t>,Paul JR Barton, PhD</w:t>
      </w:r>
      <w:r>
        <w:rPr>
          <w:vertAlign w:val="superscript"/>
        </w:rPr>
        <w:t>1,2</w:t>
      </w:r>
      <w:r>
        <w:t>,Birgit Funke, PhD, FACMG</w:t>
      </w:r>
      <w:r>
        <w:rPr>
          <w:vertAlign w:val="superscript"/>
        </w:rPr>
        <w:t>5,6</w:t>
      </w:r>
      <w:r>
        <w:t>,Stuart A Cook, PhD, MRCP</w:t>
      </w:r>
      <w:r>
        <w:rPr>
          <w:vertAlign w:val="superscript"/>
        </w:rPr>
        <w:t>1,2,7,8,†</w:t>
      </w:r>
      <w:r>
        <w:t>,Daniel MacArthur, PhD</w:t>
      </w:r>
      <w:r>
        <w:rPr>
          <w:vertAlign w:val="superscript"/>
        </w:rPr>
        <w:t>3,4,9,†</w:t>
      </w:r>
      <w:r>
        <w:t>,James S Ware, PhD, MRCP</w:t>
      </w:r>
      <w:r>
        <w:rPr>
          <w:vertAlign w:val="superscript"/>
        </w:rPr>
        <w:t>1,2,4,10,†,§</w:t>
      </w:r>
    </w:p>
    <w:p w:rsidR="00C057FA" w:rsidRDefault="00855071">
      <w:pPr>
        <w:pStyle w:val="BodyText"/>
      </w:pPr>
      <w:r>
        <w:rPr>
          <w:vertAlign w:val="superscript"/>
        </w:rPr>
        <w:t>1</w:t>
      </w:r>
      <w:r>
        <w:t xml:space="preserve">National Heart &amp; Lung Institute, Imperial College </w:t>
      </w:r>
      <w:r>
        <w:t>London</w:t>
      </w:r>
      <w:r>
        <w:br/>
      </w:r>
      <w:r>
        <w:rPr>
          <w:vertAlign w:val="superscript"/>
        </w:rPr>
        <w:t>2</w:t>
      </w:r>
      <w:r>
        <w:t>NIHR Royal Brompton Cardiovascular Biomedical Research Unit, Royal Brompton &amp; Harefield Hospitals &amp; Imperial College London</w:t>
      </w:r>
      <w:r>
        <w:br/>
      </w:r>
      <w:r>
        <w:rPr>
          <w:vertAlign w:val="superscript"/>
        </w:rPr>
        <w:t>3</w:t>
      </w:r>
      <w:r>
        <w:t>Analytic &amp; Translational Genetics Unit, Massachusetts General Hospital, Boston MA</w:t>
      </w:r>
      <w:r>
        <w:br/>
      </w:r>
      <w:r>
        <w:rPr>
          <w:vertAlign w:val="superscript"/>
        </w:rPr>
        <w:t>4</w:t>
      </w:r>
      <w:r>
        <w:t>Program in Medical and Population Geneti</w:t>
      </w:r>
      <w:r>
        <w:t>cs, Broad Institute of MIT &amp; Harvard, Cambridge MA</w:t>
      </w:r>
      <w:r>
        <w:br/>
      </w:r>
      <w:r>
        <w:rPr>
          <w:vertAlign w:val="superscript"/>
        </w:rPr>
        <w:t>5</w:t>
      </w:r>
      <w:r>
        <w:t>Laboratory for Molecular Medicine, Partners HealthCare Personalized Medicine, Cambridge MA</w:t>
      </w:r>
      <w:r>
        <w:br/>
      </w:r>
      <w:r>
        <w:rPr>
          <w:vertAlign w:val="superscript"/>
        </w:rPr>
        <w:t>6</w:t>
      </w:r>
      <w:r>
        <w:t>Department of Pathology, Massachusetts General Hospital and Harvard Medical School, Boston MA</w:t>
      </w:r>
      <w:r>
        <w:br/>
      </w:r>
      <w:r>
        <w:rPr>
          <w:vertAlign w:val="superscript"/>
        </w:rPr>
        <w:t>7</w:t>
      </w:r>
      <w:r>
        <w:t>National Heart Ce</w:t>
      </w:r>
      <w:r>
        <w:t>ntre Singapore, Singapore</w:t>
      </w:r>
      <w:r>
        <w:br/>
      </w:r>
      <w:r>
        <w:rPr>
          <w:vertAlign w:val="superscript"/>
        </w:rPr>
        <w:t>8</w:t>
      </w:r>
      <w:r>
        <w:t>Duke-National University of Singapore, Singapore</w:t>
      </w:r>
      <w:r>
        <w:br/>
      </w:r>
      <w:r>
        <w:rPr>
          <w:vertAlign w:val="superscript"/>
        </w:rPr>
        <w:t>9</w:t>
      </w:r>
      <w:r>
        <w:t>Department of Medicine, Harvard Medical School, Boston MA</w:t>
      </w:r>
      <w:r>
        <w:br/>
      </w:r>
      <w:r>
        <w:rPr>
          <w:vertAlign w:val="superscript"/>
        </w:rPr>
        <w:t>10</w:t>
      </w:r>
      <w:r>
        <w:t>MRC London Institute of Medical Sciences, Imperial College London</w:t>
      </w:r>
    </w:p>
    <w:p w:rsidR="00C057FA" w:rsidRDefault="00855071">
      <w:pPr>
        <w:pStyle w:val="BodyText"/>
      </w:pPr>
      <w:r>
        <w:rPr>
          <w:vertAlign w:val="superscript"/>
        </w:rPr>
        <w:t>*</w:t>
      </w:r>
      <w:r>
        <w:t>These authors contributed equally to this work</w:t>
      </w:r>
      <w:r>
        <w:br/>
      </w:r>
      <w:r>
        <w:rPr>
          <w:vertAlign w:val="superscript"/>
        </w:rPr>
        <w:t>†</w:t>
      </w:r>
      <w:r>
        <w:t>Thes</w:t>
      </w:r>
      <w:r>
        <w:t>e authors jointly supervised this work</w:t>
      </w:r>
      <w:r>
        <w:br/>
      </w:r>
      <w:r>
        <w:rPr>
          <w:vertAlign w:val="superscript"/>
        </w:rPr>
        <w:t>§</w:t>
      </w:r>
      <w:r>
        <w:t>Corresponding author</w:t>
      </w:r>
    </w:p>
    <w:p w:rsidR="00C057FA" w:rsidRDefault="00855071">
      <w:pPr>
        <w:pStyle w:val="BodyText"/>
      </w:pPr>
      <w:r>
        <w:t xml:space="preserve">Corespondance should be addressed to: Dr James Ware, Cardiovascular Genetics and Genomics, National Heart and Lung Institute, Royal Brompton Hospital Campus, Imperial College London, London, SW3 </w:t>
      </w:r>
      <w:r>
        <w:t xml:space="preserve">6NP; Tel: +44 20 7352 8121; Fax: +44 20 7351 8146; Email: </w:t>
      </w:r>
      <w:hyperlink r:id="rId8">
        <w:r>
          <w:rPr>
            <w:rStyle w:val="Hyperlink"/>
          </w:rPr>
          <w:t>j.ware@imperial.ac.uk</w:t>
        </w:r>
      </w:hyperlink>
    </w:p>
    <w:p w:rsidR="00C057FA" w:rsidRDefault="00855071">
      <w:pPr>
        <w:pStyle w:val="Heading2"/>
      </w:pPr>
      <w:bookmarkStart w:id="0" w:name="conflict-of-interest-notification"/>
      <w:bookmarkEnd w:id="0"/>
      <w:r>
        <w:lastRenderedPageBreak/>
        <w:t>CONFLICT OF INTEREST NOTIFICATION</w:t>
      </w:r>
    </w:p>
    <w:p w:rsidR="00C057FA" w:rsidRDefault="00855071">
      <w:pPr>
        <w:pStyle w:val="FirstParagraph"/>
      </w:pPr>
      <w:r>
        <w:t>The authors have no conflicts of interest to declare.</w:t>
      </w:r>
    </w:p>
    <w:p w:rsidR="00C057FA" w:rsidRDefault="00855071">
      <w:pPr>
        <w:pStyle w:val="Heading2"/>
      </w:pPr>
      <w:bookmarkStart w:id="1" w:name="abstract"/>
      <w:bookmarkEnd w:id="1"/>
      <w:r>
        <w:lastRenderedPageBreak/>
        <w:t>ABSTRACT</w:t>
      </w:r>
    </w:p>
    <w:p w:rsidR="00C057FA" w:rsidRDefault="00855071">
      <w:pPr>
        <w:pStyle w:val="FirstParagraph"/>
      </w:pPr>
      <w:r>
        <w:rPr>
          <w:b/>
        </w:rPr>
        <w:t>Purpose</w:t>
      </w:r>
      <w:r>
        <w:t>: Whole exome and genome</w:t>
      </w:r>
      <w:r>
        <w:t xml:space="preserve"> sequencing have transformed the discovery of genetic variants that cause human Mendelian disease, but discriminating pathogenic from benign variants remains a daunting challenge. Rarity is recognised as a necessary, although not sufficient, criterion for </w:t>
      </w:r>
      <w:r>
        <w:t>pathogenicity, but frequency cutoffs used in Mendelian analysis are often arbitrary and overly lenient. Recent very large reference datasets, such as the Exome Aggregation Consortium (ExAC), provide an unprecedented opportunity to obtain robust frequency e</w:t>
      </w:r>
      <w:r>
        <w:t>stimates even for very rare variants.</w:t>
      </w:r>
    </w:p>
    <w:p w:rsidR="00C057FA" w:rsidRDefault="00855071">
      <w:pPr>
        <w:pStyle w:val="BodyText"/>
      </w:pPr>
      <w:r>
        <w:rPr>
          <w:b/>
        </w:rPr>
        <w:t>Methods</w:t>
      </w:r>
      <w:r>
        <w:t>: We present a statistical framework for the frequency-based filtering of candidate disease-causing variants, accounting for disease prevalence, genetic and allelic heterogeneity, inheritance mode, penetrance, a</w:t>
      </w:r>
      <w:r>
        <w:t>nd sampling variance in reference datasets.</w:t>
      </w:r>
    </w:p>
    <w:p w:rsidR="00C057FA" w:rsidRDefault="00855071">
      <w:pPr>
        <w:pStyle w:val="BodyText"/>
      </w:pPr>
      <w:r>
        <w:rPr>
          <w:b/>
        </w:rPr>
        <w:t>Results</w:t>
      </w:r>
      <w:r>
        <w:t>: Using the example of cardiomyopathy, we show that our approach reduces by two-thirds the number of candidate variants under consideration in the average exome, without removing true pathogenic variants (</w:t>
      </w:r>
      <w:r>
        <w:t>false positive rate&lt;0.001).</w:t>
      </w:r>
    </w:p>
    <w:p w:rsidR="00C057FA" w:rsidRDefault="00855071">
      <w:pPr>
        <w:pStyle w:val="BodyText"/>
      </w:pPr>
      <w:r>
        <w:rPr>
          <w:b/>
        </w:rPr>
        <w:t>Conclusion</w:t>
      </w:r>
      <w:r>
        <w:t>: We outline a statistically robust framework for assessing whether a variant is 'too common' to be causative for a Mendelian disorder of interest. We present precomputed allele frequency cutoffs for all variants in th</w:t>
      </w:r>
      <w:r>
        <w:t>e ExAC dataset.</w:t>
      </w:r>
    </w:p>
    <w:p w:rsidR="00C057FA" w:rsidRDefault="00855071">
      <w:pPr>
        <w:pStyle w:val="BodyText"/>
      </w:pPr>
      <w:r>
        <w:t>Key words: Variant interpretation, Clinical Genomics, Allele frequency, Cardiomyopathy, Inherited Cardiovascular Conditions, ExAC</w:t>
      </w:r>
    </w:p>
    <w:p w:rsidR="00C057FA" w:rsidRDefault="00855071">
      <w:pPr>
        <w:pStyle w:val="Heading2"/>
      </w:pPr>
      <w:bookmarkStart w:id="2" w:name="introduction"/>
      <w:bookmarkEnd w:id="2"/>
      <w:r>
        <w:lastRenderedPageBreak/>
        <w:t>INTRODUCTION</w:t>
      </w:r>
    </w:p>
    <w:p w:rsidR="00C057FA" w:rsidRDefault="00855071">
      <w:pPr>
        <w:pStyle w:val="FirstParagraph"/>
      </w:pPr>
      <w:r>
        <w:t xml:space="preserve">Whole exome and whole genome sequencing have been instrumental in identifying causal variants in </w:t>
      </w:r>
      <w:r>
        <w:t>Mendelian disease patients</w:t>
      </w:r>
      <w:r>
        <w:rPr>
          <w:vertAlign w:val="superscript"/>
        </w:rPr>
        <w:t>1</w:t>
      </w:r>
      <w:r>
        <w:t>. As every individual harbors ~12,000-14,000 predicted protein-altering variants</w:t>
      </w:r>
      <w:r>
        <w:rPr>
          <w:vertAlign w:val="superscript"/>
        </w:rPr>
        <w:t>2</w:t>
      </w:r>
      <w:r>
        <w:t>, distinguishing disease-causing variants from benign bystanders is perhaps the principal challenge in contemporary clinical genetics. A variant's l</w:t>
      </w:r>
      <w:r>
        <w:t>ow frequency in, or absence from, reference databases is recognised as a necessary, but not sufficient, criterion for variant pathogenicity</w:t>
      </w:r>
      <w:r>
        <w:rPr>
          <w:vertAlign w:val="superscript"/>
        </w:rPr>
        <w:t>3,4</w:t>
      </w:r>
      <w:r>
        <w:t>. The recent availability of very large reference databases, such as the Exome Aggregation Consortium (ExAC)</w:t>
      </w:r>
      <w:r>
        <w:rPr>
          <w:vertAlign w:val="superscript"/>
        </w:rPr>
        <w:t>2</w:t>
      </w:r>
      <w:r>
        <w:t xml:space="preserve"> data</w:t>
      </w:r>
      <w:r>
        <w:t xml:space="preserve">set, which has characterised the population allele frequencies of 10 million genomic variants through analysis of exome sequencing data from over 60,000 humans, provides an opportunity to obtain robust frequency estimates even for rare variants, improving </w:t>
      </w:r>
      <w:r>
        <w:t>the theoretical power for allele frequency (AF) filtering in Mendelian variant discovery efforts.</w:t>
      </w:r>
    </w:p>
    <w:p w:rsidR="00C057FA" w:rsidRDefault="00855071">
      <w:pPr>
        <w:pStyle w:val="BodyText"/>
      </w:pPr>
      <w:r>
        <w:t>In practice, there exists considerable ambiguity around what AF should be considered "too common", with the lenient values of 1% and 0.1% often invoked as con</w:t>
      </w:r>
      <w:r>
        <w:t>servative frequency cutoffs for recessive and dominant diseases respectively</w:t>
      </w:r>
      <w:r>
        <w:rPr>
          <w:vertAlign w:val="superscript"/>
        </w:rPr>
        <w:t>5</w:t>
      </w:r>
      <w:r>
        <w:t>. Population genetics, however, dictates that severe disease-causing variants must be much rarer than these cutoffs, except in cases of bottlenecked populations, balancing selection, or other special circumstances</w:t>
      </w:r>
      <w:r>
        <w:rPr>
          <w:vertAlign w:val="superscript"/>
        </w:rPr>
        <w:t>6,7</w:t>
      </w:r>
      <w:r>
        <w:t>.</w:t>
      </w:r>
    </w:p>
    <w:p w:rsidR="00C057FA" w:rsidRDefault="00855071">
      <w:pPr>
        <w:pStyle w:val="BodyText"/>
      </w:pPr>
      <w:r>
        <w:t xml:space="preserve">It is intuitive that when assessing a </w:t>
      </w:r>
      <w:r>
        <w:t>variant for a causative role in a dominant Mendelian disease, the frequency of a variant in a reference sample, not selected for the condition, should not exceed the prevalence of the condition</w:t>
      </w:r>
      <w:r>
        <w:rPr>
          <w:vertAlign w:val="superscript"/>
        </w:rPr>
        <w:t>8,9</w:t>
      </w:r>
      <w:r>
        <w:t>. This rule must, however, be refined to account for differe</w:t>
      </w:r>
      <w:r>
        <w:t>nt inheritance modes, genetic and allelic heterogeneity, and reduced penetrance. In addition, for rare variants, estimation of true population AF is clouded by considerable sampling variance, even in the largest samples currently available. These limitatio</w:t>
      </w:r>
      <w:r>
        <w:t>ns have encouraged the adoption of very lenient AF filtering approaches</w:t>
      </w:r>
      <w:r>
        <w:rPr>
          <w:vertAlign w:val="superscript"/>
        </w:rPr>
        <w:t>10,11</w:t>
      </w:r>
      <w:r>
        <w:t>, and recognition that more stringent approaches that account for disease-specific genetic architecture are urgently needed</w:t>
      </w:r>
      <w:r>
        <w:rPr>
          <w:vertAlign w:val="superscript"/>
        </w:rPr>
        <w:t>8</w:t>
      </w:r>
      <w:r>
        <w:t>.</w:t>
      </w:r>
    </w:p>
    <w:p w:rsidR="00C057FA" w:rsidRDefault="00855071">
      <w:pPr>
        <w:pStyle w:val="BodyText"/>
      </w:pPr>
      <w:r>
        <w:t xml:space="preserve">Here we present a statistical framework for assessing </w:t>
      </w:r>
      <w:r>
        <w:t>whether variants are sufficiently rare to cause penetrant Mendelian disease, while accounting for both architecture and sampling variance in observed allele counts. We demonstrate that AF cutoffs well below 0.1% are justified for a variety of human disease</w:t>
      </w:r>
      <w:r>
        <w:t xml:space="preserve"> phenotypes and that such filters can remove an additional two-thirds of variants from consideration compared to traditionally lenient frequency cutoffs, without discarding true pathogenic variants. We present pre-computed AF filtering values for all varia</w:t>
      </w:r>
      <w:r>
        <w:t>nts in the ExAC database, for comparison with user-defined disease-specific thresholds, which are available through the ExAC data browser and for download, to assist others in applying this framework.</w:t>
      </w:r>
    </w:p>
    <w:p w:rsidR="00C057FA" w:rsidRDefault="00855071">
      <w:pPr>
        <w:pStyle w:val="Heading2"/>
      </w:pPr>
      <w:bookmarkStart w:id="3" w:name="methods"/>
      <w:bookmarkEnd w:id="3"/>
      <w:r>
        <w:lastRenderedPageBreak/>
        <w:t>METHODS</w:t>
      </w:r>
    </w:p>
    <w:p w:rsidR="00C057FA" w:rsidRDefault="00855071">
      <w:pPr>
        <w:pStyle w:val="Heading4"/>
      </w:pPr>
      <w:bookmarkStart w:id="4" w:name="defining-the-statistical-framework"/>
      <w:bookmarkEnd w:id="4"/>
      <w:r>
        <w:rPr>
          <w:i/>
        </w:rPr>
        <w:t>Defining the statistical framework</w:t>
      </w:r>
    </w:p>
    <w:p w:rsidR="00C057FA" w:rsidRDefault="00855071">
      <w:pPr>
        <w:pStyle w:val="FirstParagraph"/>
      </w:pPr>
      <w:r>
        <w:t xml:space="preserve">We define a </w:t>
      </w:r>
      <w:r>
        <w:t>two-stage approach to determine whether a variant observed in a reference sample is too common to cause a given disease. First, we define a maximum population AF that we believe is credible for a pathogenic variant, given the genetic architecture of the di</w:t>
      </w:r>
      <w:r>
        <w:t>sease in question. Second, we determine whether the observed allele count in our reference sample is consistent with a variant having this frequency in the population from which the sample was drawn.</w:t>
      </w:r>
    </w:p>
    <w:p w:rsidR="00C057FA" w:rsidRDefault="00855071">
      <w:pPr>
        <w:pStyle w:val="BodyText"/>
      </w:pPr>
      <w:r>
        <w:t xml:space="preserve">For a penetrant dominant Mendelian allele to be disease </w:t>
      </w:r>
      <w:r>
        <w:t xml:space="preserve">causing, it cannot be present in the general population more frequently that the disease it causes. Furthermore, if the disease is genetically heterogeneous, it must not be more frequent than the proportion of cases attributable to that gene, or indeed to </w:t>
      </w:r>
      <w:r>
        <w:t>any single variant. We can therefore define the maximum credible population AF (for a pathogenic allele) as:</w:t>
      </w:r>
    </w:p>
    <w:p w:rsidR="00C057FA" w:rsidRDefault="00855071">
      <w:pPr>
        <w:pStyle w:val="BodyText"/>
      </w:pPr>
      <w:r>
        <w:rPr>
          <w:i/>
        </w:rPr>
        <w:t>maximum credible population AF = prevalence</w:t>
      </w:r>
      <w:r>
        <w:t xml:space="preserve"> </w:t>
      </w:r>
      <m:oMath>
        <m:r>
          <w:rPr>
            <w:rFonts w:ascii="Cambria Math" w:hAnsi="Cambria Math"/>
          </w:rPr>
          <m:t>×</m:t>
        </m:r>
      </m:oMath>
      <w:r>
        <w:t xml:space="preserve"> </w:t>
      </w:r>
      <w:r>
        <w:rPr>
          <w:i/>
        </w:rPr>
        <w:t>maximum allelic contribution</w:t>
      </w:r>
      <w:r>
        <w:t xml:space="preserve"> </w:t>
      </w:r>
      <m:oMath>
        <m:r>
          <w:rPr>
            <w:rFonts w:ascii="Cambria Math" w:hAnsi="Cambria Math"/>
          </w:rPr>
          <m:t>×</m:t>
        </m:r>
      </m:oMath>
      <w:r>
        <w:t xml:space="preserve"> </w:t>
      </w:r>
      <w:r>
        <w:rPr>
          <w:i/>
        </w:rPr>
        <w:t>1/penetrance</w:t>
      </w:r>
    </w:p>
    <w:p w:rsidR="00C057FA" w:rsidRDefault="00855071">
      <w:pPr>
        <w:pStyle w:val="BodyText"/>
      </w:pPr>
      <w:r>
        <w:t xml:space="preserve">where </w:t>
      </w:r>
      <w:r>
        <w:rPr>
          <w:i/>
        </w:rPr>
        <w:t>maximum allelic contribution</w:t>
      </w:r>
      <w:r>
        <w:t xml:space="preserve"> is the maximum proport</w:t>
      </w:r>
      <w:r>
        <w:t>ion of cases potentially attributable to a single allele, a measure of heterogeneity.</w:t>
      </w:r>
    </w:p>
    <w:p w:rsidR="00C057FA" w:rsidRDefault="00855071">
      <w:pPr>
        <w:pStyle w:val="BodyText"/>
      </w:pPr>
      <w:r>
        <w:t xml:space="preserve">For recessive conditions, the maximum AF is defined as: </w:t>
      </w:r>
      <w:r>
        <w:rPr>
          <w:i/>
        </w:rPr>
        <w:t>maximum credible population AF</w:t>
      </w:r>
      <w:r>
        <w:t xml:space="preserve"> = </w:t>
      </w:r>
      <m:oMath>
        <m:rad>
          <m:radPr>
            <m:degHide m:val="1"/>
            <m:ctrlPr>
              <w:rPr>
                <w:rFonts w:ascii="Cambria Math" w:hAnsi="Cambria Math"/>
              </w:rPr>
            </m:ctrlPr>
          </m:radPr>
          <m:deg/>
          <m:e>
            <m:r>
              <w:rPr>
                <w:rFonts w:ascii="Cambria Math" w:hAnsi="Cambria Math"/>
              </w:rPr>
              <m:t>(</m:t>
            </m:r>
          </m:e>
        </m:rad>
      </m:oMath>
      <w:r>
        <w:rPr>
          <w:i/>
        </w:rPr>
        <w:t>prevalence</w:t>
      </w:r>
      <m:oMath>
        <m:r>
          <w:rPr>
            <w:rFonts w:ascii="Cambria Math" w:hAnsi="Cambria Math"/>
          </w:rPr>
          <m:t>)×</m:t>
        </m:r>
      </m:oMath>
      <w:r>
        <w:t xml:space="preserve"> </w:t>
      </w:r>
      <w:r>
        <w:rPr>
          <w:i/>
        </w:rPr>
        <w:t>maximum allelic contribution</w:t>
      </w:r>
      <w:r>
        <w:t xml:space="preserve"> </w:t>
      </w:r>
      <m:oMath>
        <m:r>
          <w:rPr>
            <w:rFonts w:ascii="Cambria Math" w:hAnsi="Cambria Math"/>
          </w:rPr>
          <m:t>×</m:t>
        </m:r>
        <m:rad>
          <m:radPr>
            <m:degHide m:val="1"/>
            <m:ctrlPr>
              <w:rPr>
                <w:rFonts w:ascii="Cambria Math" w:hAnsi="Cambria Math"/>
              </w:rPr>
            </m:ctrlPr>
          </m:radPr>
          <m:deg/>
          <m:e>
            <m:r>
              <w:rPr>
                <w:rFonts w:ascii="Cambria Math" w:hAnsi="Cambria Math"/>
              </w:rPr>
              <m:t>(</m:t>
            </m:r>
          </m:e>
        </m:rad>
      </m:oMath>
      <w:r>
        <w:rPr>
          <w:i/>
        </w:rPr>
        <w:t>maximum genetic contribution</w:t>
      </w:r>
      <m:oMath>
        <m:r>
          <w:rPr>
            <w:rFonts w:ascii="Cambria Math" w:hAnsi="Cambria Math"/>
          </w:rPr>
          <m:t>)×1/</m:t>
        </m:r>
        <m:rad>
          <m:radPr>
            <m:degHide m:val="1"/>
            <m:ctrlPr>
              <w:rPr>
                <w:rFonts w:ascii="Cambria Math" w:hAnsi="Cambria Math"/>
              </w:rPr>
            </m:ctrlPr>
          </m:radPr>
          <m:deg/>
          <m:e>
            <m:r>
              <w:rPr>
                <w:rFonts w:ascii="Cambria Math" w:hAnsi="Cambria Math"/>
              </w:rPr>
              <m:t>(</m:t>
            </m:r>
          </m:e>
        </m:rad>
      </m:oMath>
      <w:r>
        <w:rPr>
          <w:i/>
        </w:rPr>
        <w:t>pen</w:t>
      </w:r>
      <w:r>
        <w:rPr>
          <w:i/>
        </w:rPr>
        <w:t>etrance</w:t>
      </w:r>
      <m:oMath>
        <m:r>
          <w:rPr>
            <w:rFonts w:ascii="Cambria Math" w:hAnsi="Cambria Math"/>
          </w:rPr>
          <m:t>)</m:t>
        </m:r>
      </m:oMath>
    </w:p>
    <w:p w:rsidR="00C057FA" w:rsidRDefault="00855071">
      <w:pPr>
        <w:pStyle w:val="BodyText"/>
      </w:pPr>
      <w:r>
        <w:t xml:space="preserve">where </w:t>
      </w:r>
      <w:r>
        <w:rPr>
          <w:i/>
        </w:rPr>
        <w:t>maximum genetic contribution</w:t>
      </w:r>
      <w:r>
        <w:t xml:space="preserve"> represents the proportion of all cases that are attributable to the gene under evaluation, and </w:t>
      </w:r>
      <w:r>
        <w:rPr>
          <w:i/>
        </w:rPr>
        <w:t>maximum allelic contribution</w:t>
      </w:r>
      <w:r>
        <w:t xml:space="preserve"> represents the proportion of cases attributable to that gene that are attributable to an</w:t>
      </w:r>
      <w:r>
        <w:t xml:space="preserve"> individual variant (see </w:t>
      </w:r>
      <w:r>
        <w:rPr>
          <w:b/>
        </w:rPr>
        <w:t>Supplementary Methods</w:t>
      </w:r>
      <w:r>
        <w:t xml:space="preserve"> for full derivation).</w:t>
      </w:r>
    </w:p>
    <w:p w:rsidR="00C057FA" w:rsidRDefault="00855071">
      <w:pPr>
        <w:pStyle w:val="BodyText"/>
      </w:pPr>
      <w:r>
        <w:t>Disease prevalence estimates were obtained from the literature and taken as the highest value reported. Cardiovascular disease variants were modeled with a penetrance of 0.5, correspondin</w:t>
      </w:r>
      <w:r>
        <w:t>g to the reported penetrance of the HCM variant used to illustrate our approach</w:t>
      </w:r>
      <w:r>
        <w:rPr>
          <w:vertAlign w:val="superscript"/>
        </w:rPr>
        <w:t>12</w:t>
      </w:r>
      <w:r>
        <w:t xml:space="preserve"> and the minimum found across a range of variants/disorders.</w:t>
      </w:r>
    </w:p>
    <w:p w:rsidR="00C057FA" w:rsidRDefault="00855071">
      <w:pPr>
        <w:pStyle w:val="BodyText"/>
      </w:pPr>
      <w:r>
        <w:t>We do not know the true population AF of any variant, having only an observed AF in a finite population sample. Moreover, confidence intervals around this observed frequency are problematic to estimate given our incomplete knowledge of the frequency spectr</w:t>
      </w:r>
      <w:r>
        <w:t>um of rare variants, which is skewed towards very rare variants. For instance, a variant observed only once in a sample of 10,000 chromosomes is much more likely to have a frequency &lt; 1:10,000 than a frequency &gt;1:10,000.</w:t>
      </w:r>
      <w:r>
        <w:rPr>
          <w:vertAlign w:val="superscript"/>
        </w:rPr>
        <w:t>2</w:t>
      </w:r>
    </w:p>
    <w:p w:rsidR="00C057FA" w:rsidRDefault="00855071">
      <w:pPr>
        <w:pStyle w:val="BodyText"/>
      </w:pPr>
      <w:r>
        <w:t>To address this, we begin by speci</w:t>
      </w:r>
      <w:r>
        <w:t xml:space="preserve">fying a maximum </w:t>
      </w:r>
      <w:r>
        <w:rPr>
          <w:i/>
        </w:rPr>
        <w:t>true</w:t>
      </w:r>
      <w:r>
        <w:t xml:space="preserve"> AF value we are willing to consider in the population (using the equation above), from which we can estimate the probability distribution for allele counts in a given sample size (see </w:t>
      </w:r>
      <w:r>
        <w:rPr>
          <w:b/>
        </w:rPr>
        <w:t xml:space="preserve">Supplementary </w:t>
      </w:r>
      <w:r>
        <w:rPr>
          <w:b/>
        </w:rPr>
        <w:lastRenderedPageBreak/>
        <w:t>Methods</w:t>
      </w:r>
      <w:r>
        <w:t>). This allows us to set an up</w:t>
      </w:r>
      <w:r>
        <w:t>per limit on the number of alleles in a sample that is consistent with a given underlying population frequency. For example, a variant with a true population AF of 0.0001 would be expected to occur in a sample of 100,000 alleles ≤15 times with a probabilit</w:t>
      </w:r>
      <w:r>
        <w:t>y of 0.95.</w:t>
      </w:r>
    </w:p>
    <w:p w:rsidR="00C057FA" w:rsidRDefault="00855071">
      <w:pPr>
        <w:pStyle w:val="BodyText"/>
      </w:pPr>
      <w:r>
        <w:t>We therefore computed a maximum tolerated allele count (AC) as the AC at the upper bound of the one-tailed 95% confidence interval (95%CI AC) of a Poisson distribution, for the specified maximum credible AF, given the sample size (observed allel</w:t>
      </w:r>
      <w:r>
        <w:t>e number, AN).</w:t>
      </w:r>
    </w:p>
    <w:p w:rsidR="00C057FA" w:rsidRDefault="00855071">
      <w:pPr>
        <w:pStyle w:val="Heading3"/>
      </w:pPr>
      <w:bookmarkStart w:id="5" w:name="pre-computing-filtering-allele-frequency"/>
      <w:bookmarkEnd w:id="5"/>
      <w:r>
        <w:t>Pre-computing filtering allele frequency values for ExAC</w:t>
      </w:r>
    </w:p>
    <w:p w:rsidR="00C057FA" w:rsidRDefault="00855071">
      <w:pPr>
        <w:pStyle w:val="FirstParagraph"/>
      </w:pPr>
      <w:r>
        <w:t>We can reverse this process to determine the maximum true population AF that is consistent with a particular observed sample AC, and we applied this to the ExAC dataset (version 0.3.1)</w:t>
      </w:r>
      <w:r>
        <w:t xml:space="preserve">. In order to pre-compute </w:t>
      </w:r>
      <w:r>
        <w:rPr>
          <w:rStyle w:val="VerbatimChar"/>
        </w:rPr>
        <w:t>af_filter</w:t>
      </w:r>
      <w:r>
        <w:t xml:space="preserve"> values for all variants in ExAC, we apply a two-step approach to the AC and AN values for each of the five major continental populations, and take the highest result from any population (more explanation in </w:t>
      </w:r>
      <w:r>
        <w:rPr>
          <w:b/>
        </w:rPr>
        <w:t>Supplementary</w:t>
      </w:r>
      <w:r>
        <w:rPr>
          <w:b/>
        </w:rPr>
        <w:t xml:space="preserve"> Methods</w:t>
      </w:r>
      <w:r>
        <w:t>).</w:t>
      </w:r>
    </w:p>
    <w:p w:rsidR="00C057FA" w:rsidRDefault="00855071">
      <w:pPr>
        <w:pStyle w:val="Compact"/>
        <w:numPr>
          <w:ilvl w:val="0"/>
          <w:numId w:val="27"/>
        </w:numPr>
      </w:pPr>
      <w:r>
        <w:t xml:space="preserve">We use R's </w:t>
      </w:r>
      <w:r>
        <w:rPr>
          <w:rStyle w:val="VerbatimChar"/>
        </w:rPr>
        <w:t>uniroot</w:t>
      </w:r>
      <w:r>
        <w:t xml:space="preserve"> function to find an AF value (though not necessarily the highest AF value) for which the 95%CI AC is one less than the observed AC.</w:t>
      </w:r>
    </w:p>
    <w:p w:rsidR="00C057FA" w:rsidRDefault="00855071">
      <w:pPr>
        <w:pStyle w:val="Compact"/>
        <w:numPr>
          <w:ilvl w:val="0"/>
          <w:numId w:val="27"/>
        </w:numPr>
      </w:pPr>
      <w:r>
        <w:t>We loop, incrementing by units of millionths, and return the highest AF value that still gives</w:t>
      </w:r>
      <w:r>
        <w:t xml:space="preserve"> a 95%CI AC less than the observed AC.</w:t>
      </w:r>
    </w:p>
    <w:p w:rsidR="00C057FA" w:rsidRDefault="00855071">
      <w:pPr>
        <w:pStyle w:val="FirstParagraph"/>
      </w:pPr>
      <w:r>
        <w:t>We used adjusted AC and AN, meaning variant calls with GQ≥20 and DP≥10.</w:t>
      </w:r>
    </w:p>
    <w:p w:rsidR="00C057FA" w:rsidRDefault="00855071">
      <w:pPr>
        <w:pStyle w:val="Heading4"/>
      </w:pPr>
      <w:bookmarkStart w:id="6" w:name="simulated-mendelian-variant-discovery-an"/>
      <w:bookmarkEnd w:id="6"/>
      <w:r>
        <w:t>Simulated Mendelian variant discovery analysis</w:t>
      </w:r>
    </w:p>
    <w:p w:rsidR="00C057FA" w:rsidRDefault="00855071">
      <w:pPr>
        <w:pStyle w:val="FirstParagraph"/>
      </w:pPr>
      <w:r>
        <w:t xml:space="preserve">To simulate Mendelian variant discovery, we randomly selected 100 individuals from each of five major continental populations and filtered their exomes against filtering AFs derived from the remaining 60,206 ExAC individuals. The subset of individuals was </w:t>
      </w:r>
      <w:r>
        <w:t>the same as that previously reported</w:t>
      </w:r>
      <w:r>
        <w:rPr>
          <w:vertAlign w:val="superscript"/>
        </w:rPr>
        <w:t>2</w:t>
      </w:r>
      <w:r>
        <w:t>. Predicted protein-altering variants are defined as missense and equivalent (including in-frame indels, start lost, stop lost, and mature miRNA-altering), and protein-truncating variants (nonsense, essential splice sit</w:t>
      </w:r>
      <w:r>
        <w:t>e, and frameshift).</w:t>
      </w:r>
    </w:p>
    <w:p w:rsidR="00C057FA" w:rsidRDefault="00855071">
      <w:pPr>
        <w:pStyle w:val="Heading3"/>
      </w:pPr>
      <w:bookmarkStart w:id="7" w:name="variant-curation"/>
      <w:bookmarkEnd w:id="7"/>
      <w:r>
        <w:t>Variant curation</w:t>
      </w:r>
    </w:p>
    <w:p w:rsidR="00C057FA" w:rsidRDefault="00855071">
      <w:pPr>
        <w:pStyle w:val="FirstParagraph"/>
      </w:pPr>
      <w:r>
        <w:t>Pathogenic and non-conflicted variants were extracted from ClinVar (July 9, 2015 release) as described previously</w:t>
      </w:r>
      <w:r>
        <w:rPr>
          <w:vertAlign w:val="superscript"/>
        </w:rPr>
        <w:t>2</w:t>
      </w:r>
      <w:r>
        <w:t xml:space="preserve">. ExAC counts were determined by matching on chromosome, position, reference, and alternate alleles. For </w:t>
      </w:r>
      <w:r>
        <w:t>all variants above the proposed maximum tolerated allele count for HCM, literature from both HGMD and PubMed was reviewed and the level of evidence supporting pathogenicity was curated according to ACMG criteria</w:t>
      </w:r>
      <w:r>
        <w:rPr>
          <w:vertAlign w:val="superscript"/>
        </w:rPr>
        <w:t>3</w:t>
      </w:r>
      <w:r>
        <w:t>.</w:t>
      </w:r>
    </w:p>
    <w:p w:rsidR="00C057FA" w:rsidRDefault="00855071">
      <w:pPr>
        <w:pStyle w:val="Heading3"/>
      </w:pPr>
      <w:bookmarkStart w:id="8" w:name="calculating-odds-ratios-for-hcm-variant-"/>
      <w:bookmarkEnd w:id="8"/>
      <w:r>
        <w:lastRenderedPageBreak/>
        <w:t>Calculating odds ratios for HCM variant bu</w:t>
      </w:r>
      <w:r>
        <w:t>rden</w:t>
      </w:r>
    </w:p>
    <w:p w:rsidR="00C057FA" w:rsidRDefault="00855071">
      <w:pPr>
        <w:pStyle w:val="FirstParagraph"/>
      </w:pPr>
      <w:r>
        <w:t>322 HCM patients and 852 healthy volunteers (both confirmed by cardiac MRI) recruited to the NIHR Royal Brompton cardiovascular BRU were sequenced using the IlluminaTruSight Cardio Sequencing Kit</w:t>
      </w:r>
      <w:r>
        <w:rPr>
          <w:vertAlign w:val="superscript"/>
        </w:rPr>
        <w:t>13</w:t>
      </w:r>
      <w:r>
        <w:t xml:space="preserve"> on Illumina MiSeq and NextSeq platforms. This study h</w:t>
      </w:r>
      <w:r>
        <w:t>ad ethical approval (REC: 09/H0504/104+5) and informed consent was obtained for all subjects. The number of rare variants in the eight sarcomeric genes associated with HCM (</w:t>
      </w:r>
      <w:r>
        <w:rPr>
          <w:i/>
        </w:rPr>
        <w:t>MYBPC3</w:t>
      </w:r>
      <w:r>
        <w:t xml:space="preserve">, </w:t>
      </w:r>
      <w:r>
        <w:rPr>
          <w:i/>
        </w:rPr>
        <w:t>MYH7</w:t>
      </w:r>
      <w:r>
        <w:t xml:space="preserve">, </w:t>
      </w:r>
      <w:r>
        <w:rPr>
          <w:i/>
        </w:rPr>
        <w:t>TNNT2</w:t>
      </w:r>
      <w:r>
        <w:t xml:space="preserve">, </w:t>
      </w:r>
      <w:r>
        <w:rPr>
          <w:i/>
        </w:rPr>
        <w:t>TNNI3</w:t>
      </w:r>
      <w:r>
        <w:t xml:space="preserve">, </w:t>
      </w:r>
      <w:r>
        <w:rPr>
          <w:i/>
        </w:rPr>
        <w:t>MYL2</w:t>
      </w:r>
      <w:r>
        <w:t xml:space="preserve">, </w:t>
      </w:r>
      <w:r>
        <w:rPr>
          <w:i/>
        </w:rPr>
        <w:t>MYL3</w:t>
      </w:r>
      <w:r>
        <w:t xml:space="preserve">, </w:t>
      </w:r>
      <w:r>
        <w:rPr>
          <w:i/>
        </w:rPr>
        <w:t>TPM1</w:t>
      </w:r>
      <w:r>
        <w:t xml:space="preserve"> and </w:t>
      </w:r>
      <w:r>
        <w:rPr>
          <w:i/>
        </w:rPr>
        <w:t>ACTC1</w:t>
      </w:r>
      <w:r>
        <w:t>) were calculated for all pro</w:t>
      </w:r>
      <w:r>
        <w:t>tein altering variants (frameshift, nonsense, splice donor/acceptor, missense and in-frame insertions/deletions), with case/control odds ratios calculated separately for non-overlapping ExAC AF bins with the following breakpoints: 4x10</w:t>
      </w:r>
      <w:r>
        <w:rPr>
          <w:vertAlign w:val="superscript"/>
        </w:rPr>
        <w:t>-5</w:t>
      </w:r>
      <w:r>
        <w:t>, 1x10</w:t>
      </w:r>
      <w:r>
        <w:rPr>
          <w:vertAlign w:val="superscript"/>
        </w:rPr>
        <w:t>-4</w:t>
      </w:r>
      <w:r>
        <w:t>, 5x10</w:t>
      </w:r>
      <w:r>
        <w:rPr>
          <w:vertAlign w:val="superscript"/>
        </w:rPr>
        <w:t>-4</w:t>
      </w:r>
      <w:r>
        <w:t xml:space="preserve"> an</w:t>
      </w:r>
      <w:r>
        <w:t>d 1x10</w:t>
      </w:r>
      <w:r>
        <w:rPr>
          <w:vertAlign w:val="superscript"/>
        </w:rPr>
        <w:t>-3</w:t>
      </w:r>
      <w:r>
        <w:t>. Odds Ratios were calculated as OR=(cases with variant/cases without variant)/(controls with variant/controls without variant).</w:t>
      </w:r>
    </w:p>
    <w:p w:rsidR="00C057FA" w:rsidRDefault="00855071">
      <w:pPr>
        <w:pStyle w:val="Heading2"/>
      </w:pPr>
      <w:bookmarkStart w:id="9" w:name="results"/>
      <w:bookmarkEnd w:id="9"/>
      <w:r>
        <w:lastRenderedPageBreak/>
        <w:t>RESULTS</w:t>
      </w:r>
    </w:p>
    <w:p w:rsidR="00C057FA" w:rsidRDefault="00855071">
      <w:pPr>
        <w:pStyle w:val="Heading4"/>
      </w:pPr>
      <w:bookmarkStart w:id="10" w:name="application-and-validation-in-hypertroph"/>
      <w:bookmarkEnd w:id="10"/>
      <w:r>
        <w:rPr>
          <w:i/>
        </w:rPr>
        <w:t>Application and validation in hypertrophic cardiomyopathy</w:t>
      </w:r>
    </w:p>
    <w:p w:rsidR="00C057FA" w:rsidRDefault="00855071">
      <w:pPr>
        <w:pStyle w:val="Heading4"/>
      </w:pPr>
      <w:bookmarkStart w:id="11" w:name="defining-maximum-credible-population-af"/>
      <w:bookmarkEnd w:id="11"/>
      <w:r>
        <w:rPr>
          <w:i/>
        </w:rPr>
        <w:t>Defining maximum credible population AF</w:t>
      </w:r>
    </w:p>
    <w:p w:rsidR="00C057FA" w:rsidRDefault="00855071">
      <w:pPr>
        <w:pStyle w:val="FirstParagraph"/>
      </w:pPr>
      <w:r>
        <w:t>We illustrate</w:t>
      </w:r>
      <w:r>
        <w:t xml:space="preserve"> our generalisable approach using the dominant cardiac disorder hypertrophic cardiomyopathy (HCM), which has an estimated prevalence of 1 in 500 in the general population</w:t>
      </w:r>
      <w:r>
        <w:rPr>
          <w:vertAlign w:val="superscript"/>
        </w:rPr>
        <w:t>14</w:t>
      </w:r>
      <w:r>
        <w:t xml:space="preserve">. As there have been previous large-scale genetic studies of HCM, with series of up </w:t>
      </w:r>
      <w:r>
        <w:t>to 6,179 individuals</w:t>
      </w:r>
      <w:r>
        <w:rPr>
          <w:vertAlign w:val="superscript"/>
        </w:rPr>
        <w:t>14,15</w:t>
      </w:r>
      <w:r>
        <w:t>, we can assume that no newly identified variant will be more frequent in cases that those identified to date (at least for well-studied ancestries), allowing us to define the maximum contribution of any single variant to the disor</w:t>
      </w:r>
      <w:r>
        <w:t xml:space="preserve">der. In these series, the largest proportion of cases is attributable to the missense variant </w:t>
      </w:r>
      <w:r>
        <w:rPr>
          <w:i/>
        </w:rPr>
        <w:t>MYBPC3</w:t>
      </w:r>
      <w:r>
        <w:t xml:space="preserve"> c.1504C&gt;T (p.Arg502Trp), found in 104/6179 HCM cases (1.7%; 95%CI 1.4-2.0%)</w:t>
      </w:r>
      <w:r>
        <w:rPr>
          <w:vertAlign w:val="superscript"/>
        </w:rPr>
        <w:t>14,15</w:t>
      </w:r>
      <w:r>
        <w:t>. We therefore take the upper bound of this proportion (0.02) as an estimat</w:t>
      </w:r>
      <w:r>
        <w:t>e of the maximum allelic contribution in HCM (Table 1). Our maximum expected population AF for this allele, assuming penetrance 0.5 as previously reported</w:t>
      </w:r>
      <w:r>
        <w:rPr>
          <w:vertAlign w:val="superscript"/>
        </w:rPr>
        <w:t>12</w:t>
      </w:r>
      <w:r>
        <w:t xml:space="preserve">, is 1/500 x 1/2 (dividing prevalence per individual by the number of chromosomes per individual) x </w:t>
      </w:r>
      <w:r>
        <w:t>0.02 x 1/0.5 = 4.0x10</w:t>
      </w:r>
      <w:r>
        <w:rPr>
          <w:vertAlign w:val="superscript"/>
        </w:rPr>
        <w:t>-5</w:t>
      </w:r>
      <w:r>
        <w:t>, which we take as the maximum credible population AF for any causative variant for HCM (Table 1).</w:t>
      </w:r>
    </w:p>
    <w:p w:rsidR="00C057FA" w:rsidRDefault="00855071">
      <w:pPr>
        <w:pStyle w:val="Heading4"/>
      </w:pPr>
      <w:bookmarkStart w:id="12" w:name="controlling-for-sample-variation"/>
      <w:bookmarkEnd w:id="12"/>
      <w:r>
        <w:rPr>
          <w:i/>
        </w:rPr>
        <w:t>Controlling for sample variation</w:t>
      </w:r>
    </w:p>
    <w:p w:rsidR="00C057FA" w:rsidRDefault="00855071">
      <w:pPr>
        <w:pStyle w:val="FirstParagraph"/>
      </w:pPr>
      <w:r>
        <w:t xml:space="preserve">To apply this threshold while remaining robust to chance variation in observed allele counts, we ask </w:t>
      </w:r>
      <w:r>
        <w:t>how many times a variant with population AF of 4.0x10</w:t>
      </w:r>
      <w:r>
        <w:rPr>
          <w:vertAlign w:val="superscript"/>
        </w:rPr>
        <w:t>-5</w:t>
      </w:r>
      <w:r>
        <w:t xml:space="preserve"> can be observed in a random population sample (</w:t>
      </w:r>
      <w:r>
        <w:rPr>
          <w:b/>
        </w:rPr>
        <w:t>Methods</w:t>
      </w:r>
      <w:r>
        <w:t>). At a 5% error rate, this yields a maximum tolerated allele count of 9, assuming 50% penetrance (5 for fully penetrant alleles) for variants gen</w:t>
      </w:r>
      <w:r>
        <w:t xml:space="preserve">otyped in the full ExAC cohort (sample size=121,412 chromosomes). The </w:t>
      </w:r>
      <w:r>
        <w:rPr>
          <w:i/>
        </w:rPr>
        <w:t>MYBPC3</w:t>
      </w:r>
      <w:r>
        <w:t>:c.1504C&gt;T variant is observed 3 times in ExAC (freq=2.49x10</w:t>
      </w:r>
      <w:r>
        <w:rPr>
          <w:vertAlign w:val="superscript"/>
        </w:rPr>
        <w:t>-5</w:t>
      </w:r>
      <w:r>
        <w:t>;Table 1).</w:t>
      </w:r>
    </w:p>
    <w:p w:rsidR="00C057FA" w:rsidRDefault="00855071">
      <w:pPr>
        <w:pStyle w:val="BodyText"/>
      </w:pPr>
      <w:r>
        <w:t>To facilitate these calculations, we have produced an online calculator (</w:t>
      </w:r>
      <w:hyperlink r:id="rId9">
        <w:r>
          <w:rPr>
            <w:rStyle w:val="Hyperlink"/>
          </w:rPr>
          <w:t>http://cardiodb.org/alleleFrequencyApp</w:t>
        </w:r>
      </w:hyperlink>
      <w:r>
        <w:t>) that will compute maximum credible population AF and maximum sample allele count for a user-specified genetic architecture, and conversely allow users to dynamically explore what genetic archi</w:t>
      </w:r>
      <w:r>
        <w:t>tecture(s) might be most compatible with an observed variant having a causal role in disease.</w:t>
      </w:r>
    </w:p>
    <w:p w:rsidR="00C057FA" w:rsidRDefault="00855071">
      <w:pPr>
        <w:pStyle w:val="Heading4"/>
      </w:pPr>
      <w:bookmarkStart w:id="13" w:name="assessing-the-accuracy-of-our-approach"/>
      <w:bookmarkEnd w:id="13"/>
      <w:r>
        <w:rPr>
          <w:i/>
        </w:rPr>
        <w:t>Assessing the accuracy of our approach</w:t>
      </w:r>
    </w:p>
    <w:p w:rsidR="00C057FA" w:rsidRDefault="00855071">
      <w:pPr>
        <w:pStyle w:val="FirstParagraph"/>
      </w:pPr>
      <w:r>
        <w:t>For all diseases with cases series that permitted us to define the genetic architecture, the commonest variant in the cases</w:t>
      </w:r>
      <w:r>
        <w:t xml:space="preserve"> series was well within the calculated maximum allele count in ExAC (Table 1).</w:t>
      </w:r>
    </w:p>
    <w:p w:rsidR="00C057FA" w:rsidRDefault="00855071">
      <w:pPr>
        <w:pStyle w:val="BodyText"/>
      </w:pPr>
      <w:r>
        <w:t>To assess the HCM thresholds empirically, we explored the ExAC AF spectrum of 1132 distinct autosomal variants, identified in 6179 published HCM cases referred for diagnostic se</w:t>
      </w:r>
      <w:r>
        <w:t xml:space="preserve">quencing, and individually assessed and clinically reported according to </w:t>
      </w:r>
      <w:r>
        <w:lastRenderedPageBreak/>
        <w:t>international guidelines</w:t>
      </w:r>
      <w:r>
        <w:rPr>
          <w:vertAlign w:val="superscript"/>
        </w:rPr>
        <w:t>14,15</w:t>
      </w:r>
      <w:r>
        <w:t>. 477/479 (99.6%) variants reported as ‘Pathogenic’ or ‘Likely Pathogenic’ fell below our threshold (Figure 1), including all variants with a clear excess</w:t>
      </w:r>
      <w:r>
        <w:t xml:space="preserve"> in cases. The 2 variants historically classified as ‘Likely Pathogenic’, but prevalent in ExAC in this analysis, were reassessed using contemporary ACMG criteria: there was no strong evidence in support of pathogenicity, and they were reclassified in ligh</w:t>
      </w:r>
      <w:r>
        <w:t>t of these findings (Table S1). This analysis identifies 66/653 (10.1%) VUS that are very unlikely to be causative for HCM.</w:t>
      </w:r>
    </w:p>
    <w:p w:rsidR="00C057FA" w:rsidRDefault="00855071">
      <w:pPr>
        <w:pStyle w:val="BodyText"/>
      </w:pPr>
      <w:r>
        <w:t>The above analysis applied a single global allele count limit of 9 for HCM, however, as AFs differ between populations, filtering ba</w:t>
      </w:r>
      <w:r>
        <w:t>sed on frequencies in individual populations may provide greater power</w:t>
      </w:r>
      <w:r>
        <w:rPr>
          <w:vertAlign w:val="superscript"/>
        </w:rPr>
        <w:t>2</w:t>
      </w:r>
      <w:r>
        <w:t>. For example, a variant relatively common in any one population is unlikely pathogenic, even if rare in other populations, provided the disease prevalence and architecture is consisten</w:t>
      </w:r>
      <w:r>
        <w:t xml:space="preserve">t across populations. We therefore compute a maximum tolerated AC for each distinct sub-population of our reference sample, and filter based on the highest AF observed in any major continental population (see </w:t>
      </w:r>
      <w:r>
        <w:rPr>
          <w:b/>
        </w:rPr>
        <w:t>Methods</w:t>
      </w:r>
      <w:r>
        <w:t>).The tightness of the Poisson distribut</w:t>
      </w:r>
      <w:r>
        <w:t>ion used to compute maximum tolerated allele count is a function of sample size, and thus our approach is more conservative when allele number is lower, thus avoiding inappropriately filtering variants due to chance observation of a few alleles in a smalle</w:t>
      </w:r>
      <w:r>
        <w:t xml:space="preserve">r sub-population or at a poorly genotyped site (see </w:t>
      </w:r>
      <w:r>
        <w:rPr>
          <w:b/>
        </w:rPr>
        <w:t>Supplementary Note 3</w:t>
      </w:r>
      <w:r>
        <w:t>).</w:t>
      </w:r>
    </w:p>
    <w:p w:rsidR="00C057FA" w:rsidRDefault="00855071">
      <w:pPr>
        <w:pStyle w:val="BodyText"/>
      </w:pPr>
      <w:r>
        <w:t>To further validate this approach, we examined all 601 variants identified in ClinVar</w:t>
      </w:r>
      <w:r>
        <w:rPr>
          <w:vertAlign w:val="superscript"/>
        </w:rPr>
        <w:t>16</w:t>
      </w:r>
      <w:r>
        <w:t xml:space="preserve"> as "Pathogenic" or "Likely Pathogenic"</w:t>
      </w:r>
      <w:r>
        <w:t xml:space="preserve"> and non-conflicted for HCM. 558 (93%) were sufficiently rare when assessed as described. 43 variants were insufficiently rare in at least one ExAC population, and were therefore re-curated. 42 of these had no segregation or functional data sufficient to d</w:t>
      </w:r>
      <w:r>
        <w:t xml:space="preserve">emonstrate pathogenicity in the heterozygous state, and would be classified by the contemporary ACMG framework as VUS at most. The remaining variant (MYBPC3:c.3330+5G&gt;C) had convincing evidence of pathogenicity, though with uncertain penetrance (see </w:t>
      </w:r>
      <w:r>
        <w:rPr>
          <w:b/>
        </w:rPr>
        <w:t>Supple</w:t>
      </w:r>
      <w:r>
        <w:rPr>
          <w:b/>
        </w:rPr>
        <w:t>mentary Methods</w:t>
      </w:r>
      <w:r>
        <w:t>), and was observed twice in the African/African American ExAC population. This fell outside the 95% confidence interval for an underlying population frequency &lt;4x10</w:t>
      </w:r>
      <w:r>
        <w:rPr>
          <w:vertAlign w:val="superscript"/>
        </w:rPr>
        <w:t>-5</w:t>
      </w:r>
      <w:r>
        <w:t>, but within the 99% confidence threshold: a single outlier due to stochas</w:t>
      </w:r>
      <w:r>
        <w:t>tic variation is unsurprising given that these nominal probabilities are not corrected for multiple testing across 601 variants. In light of our updated assessment, 20 variants were reclassified as Benign/Likely Benign and 22 as VUS according to the Americ</w:t>
      </w:r>
      <w:r>
        <w:t>an College for Medical Genetics and Genomics (ACMG) guidelines for variant interpretation</w:t>
      </w:r>
      <w:r>
        <w:rPr>
          <w:vertAlign w:val="superscript"/>
        </w:rPr>
        <w:t>3</w:t>
      </w:r>
      <w:r>
        <w:t xml:space="preserve"> (Table S1).</w:t>
      </w:r>
    </w:p>
    <w:p w:rsidR="00C057FA" w:rsidRDefault="00855071">
      <w:pPr>
        <w:pStyle w:val="BodyText"/>
      </w:pPr>
      <w:r>
        <w:t>After curating variants above our calculated HCM threshold, the false positive rate was 0/477 (0.000; 95%CI 0.000-0.008) and 1/559 (0.002; 95%CI 0.000-0.</w:t>
      </w:r>
      <w:r>
        <w:t>010) for the published HCM cohort and ClinVar data respectively.</w:t>
      </w:r>
    </w:p>
    <w:p w:rsidR="00C057FA" w:rsidRDefault="00855071">
      <w:pPr>
        <w:pStyle w:val="Heading4"/>
      </w:pPr>
      <w:bookmarkStart w:id="14" w:name="extending-this-approach-to-other-disorde"/>
      <w:bookmarkEnd w:id="14"/>
      <w:r>
        <w:rPr>
          <w:i/>
        </w:rPr>
        <w:t>Extending this approach to other disorders</w:t>
      </w:r>
    </w:p>
    <w:p w:rsidR="00C057FA" w:rsidRDefault="00855071">
      <w:pPr>
        <w:pStyle w:val="FirstParagraph"/>
      </w:pPr>
      <w:r>
        <w:t xml:space="preserve">This framework relies on estimation of the genetic architecture of a condition, which may not be well described. For diseases where large case series are absent, we can </w:t>
      </w:r>
      <w:r>
        <w:lastRenderedPageBreak/>
        <w:t>estimate the genetic architecture parameters by extrapolating from similar disorders an</w:t>
      </w:r>
      <w:r>
        <w:t>d/or variant databases.</w:t>
      </w:r>
    </w:p>
    <w:p w:rsidR="00C057FA" w:rsidRDefault="00855071">
      <w:pPr>
        <w:pStyle w:val="BodyText"/>
      </w:pPr>
      <w:r>
        <w:t xml:space="preserve">Where disease-specific variant databases exist, we can use these to estimate the maximum allelic contribution. For example, Marfan syndrome is a rare connective tissue disorder caused by variants in the </w:t>
      </w:r>
      <w:r>
        <w:rPr>
          <w:i/>
        </w:rPr>
        <w:t>FBN1</w:t>
      </w:r>
      <w:r>
        <w:t xml:space="preserve"> gene. The UMD-FBN1 datab</w:t>
      </w:r>
      <w:r>
        <w:t>ase</w:t>
      </w:r>
      <w:r>
        <w:rPr>
          <w:vertAlign w:val="superscript"/>
        </w:rPr>
        <w:t>17</w:t>
      </w:r>
      <w:r>
        <w:t xml:space="preserve"> contains 3077 variants in </w:t>
      </w:r>
      <w:r>
        <w:rPr>
          <w:i/>
        </w:rPr>
        <w:t>FBN1</w:t>
      </w:r>
      <w:r>
        <w:t xml:space="preserve"> from 280 references (last updated 28/08/14). The most common variant is in 30/3006 records (1.00%; 95CI 0.53-1.46%), which likely overestimates its contribution to disease if related individuals are not systematically e</w:t>
      </w:r>
      <w:r>
        <w:t>xcluded. Taking the upper bound of this frequency as our maximum allelic contribution, we derive a maximum tolerated allele count of 2 (Table 2). None of the five most common variants in the database are present in ExAC.</w:t>
      </w:r>
    </w:p>
    <w:p w:rsidR="00C057FA" w:rsidRDefault="00855071">
      <w:pPr>
        <w:pStyle w:val="BodyText"/>
      </w:pPr>
      <w:r>
        <w:t xml:space="preserve">Where no mutation database exists, </w:t>
      </w:r>
      <w:r>
        <w:t>we can use what is known about similar disorders to estimate the maximum allelic contribution. For the better-characterised cardiac conditions in Table 1, the maximum proportion of cases attributable to any one variant is 6.7% (95CI 4.1-9.2%; PKP2:c.2146-1</w:t>
      </w:r>
      <w:r>
        <w:t>G&gt;C found in 24/361 ARVC cases</w:t>
      </w:r>
      <w:r>
        <w:rPr>
          <w:vertAlign w:val="superscript"/>
        </w:rPr>
        <w:t>15</w:t>
      </w:r>
      <w:r>
        <w:t>). We therefore propose the upper bound of this confidence interval (rounded up to 0.1) as a resonable estimate of the maximum allelic contribution for other genetically heterogeneous cardiac conditions, unless there is dise</w:t>
      </w:r>
      <w:r>
        <w:t>ase-specific evidence to alter it. For Noonan syndrome and Catecholaminergic Polymorphic Ventricular Tachycardia (CPVT - an inherited cardiac arrhythmia syndrome) with prevalences of 1 in 1000</w:t>
      </w:r>
      <w:r>
        <w:rPr>
          <w:vertAlign w:val="superscript"/>
        </w:rPr>
        <w:t>18</w:t>
      </w:r>
      <w:r>
        <w:t xml:space="preserve"> and 1 in 10,000</w:t>
      </w:r>
      <w:r>
        <w:rPr>
          <w:vertAlign w:val="superscript"/>
        </w:rPr>
        <w:t>19</w:t>
      </w:r>
      <w:r>
        <w:t xml:space="preserve"> respectively, this translates to maximum po</w:t>
      </w:r>
      <w:r>
        <w:t>pulation frequencies of 5x10</w:t>
      </w:r>
      <w:r>
        <w:rPr>
          <w:vertAlign w:val="superscript"/>
        </w:rPr>
        <w:t>-5</w:t>
      </w:r>
      <w:r>
        <w:t xml:space="preserve"> and 5x10</w:t>
      </w:r>
      <w:r>
        <w:rPr>
          <w:vertAlign w:val="superscript"/>
        </w:rPr>
        <w:t>-6</w:t>
      </w:r>
      <w:r>
        <w:t xml:space="preserve"> and maximum tolerated ExAC allele counts of 10 and 2 (Table 2).</w:t>
      </w:r>
    </w:p>
    <w:p w:rsidR="00C057FA" w:rsidRDefault="00855071">
      <w:pPr>
        <w:pStyle w:val="BodyText"/>
      </w:pPr>
      <w:r>
        <w:t>Finally, if the allelic heterogeneity of a disorder is not well characterised, it is conservative to assume minimal heterogeneity, so that the contrib</w:t>
      </w:r>
      <w:r>
        <w:t>ution of each gene is modeled as attributable to one allele, and the maximum allelic contribution is substituted by the maximum genetic contribution (i.e the maximum proportion of the disease attributable to single gene). For classic Ehlers-Danlos syndrome</w:t>
      </w:r>
      <w:r>
        <w:t xml:space="preserve">, up to 40% of the disease is caused by variation in the </w:t>
      </w:r>
      <w:r>
        <w:rPr>
          <w:i/>
        </w:rPr>
        <w:t>COL5A1</w:t>
      </w:r>
      <w:r>
        <w:t xml:space="preserve"> gene</w:t>
      </w:r>
      <w:r>
        <w:rPr>
          <w:vertAlign w:val="superscript"/>
        </w:rPr>
        <w:t>20</w:t>
      </w:r>
      <w:r>
        <w:t>. Taking 0.4 as our maximum allelic contribution, and a population prevalence of 1/20,000</w:t>
      </w:r>
      <w:r>
        <w:rPr>
          <w:vertAlign w:val="superscript"/>
        </w:rPr>
        <w:t>20</w:t>
      </w:r>
      <w:r>
        <w:t xml:space="preserve"> we derive a maximum tolerated ExAC AC of 5 (Table 2).</w:t>
      </w:r>
    </w:p>
    <w:p w:rsidR="00C057FA" w:rsidRDefault="00855071">
      <w:pPr>
        <w:pStyle w:val="BodyText"/>
      </w:pPr>
      <w:r>
        <w:t>Here we have illustrated frequencies ana</w:t>
      </w:r>
      <w:r>
        <w:t>lysed at the level of the disease. In some cases this may be further refined by calculating distinct thresholds for individual genes, or even variants. For example, if there is one common founder mutation but no other variants that are recurrent across cas</w:t>
      </w:r>
      <w:r>
        <w:t>es, then it would make sense to have the founder mutation as an exception to the calculated threshold.</w:t>
      </w:r>
    </w:p>
    <w:p w:rsidR="00C057FA" w:rsidRDefault="00855071">
      <w:pPr>
        <w:pStyle w:val="Heading4"/>
      </w:pPr>
      <w:bookmarkStart w:id="15" w:name="application-to-recessive-diseases"/>
      <w:bookmarkEnd w:id="15"/>
      <w:r>
        <w:rPr>
          <w:i/>
        </w:rPr>
        <w:t>Application to recessive diseases</w:t>
      </w:r>
    </w:p>
    <w:p w:rsidR="00C057FA" w:rsidRDefault="00855071">
      <w:pPr>
        <w:pStyle w:val="FirstParagraph"/>
      </w:pPr>
      <w:r>
        <w:t>So far we have considered diseases with a dominant inheritance model. Our framework is readily modified for application</w:t>
      </w:r>
      <w:r>
        <w:t xml:space="preserve"> in recessive disease, and to illustrate this we consider the example of Primary Ciliary Dyskinesia (PCD), which has a prevalence of up to 1 in 10,000 individuals in the general population</w:t>
      </w:r>
      <w:r>
        <w:rPr>
          <w:vertAlign w:val="superscript"/>
        </w:rPr>
        <w:t>21</w:t>
      </w:r>
      <w:r>
        <w:t>.</w:t>
      </w:r>
    </w:p>
    <w:p w:rsidR="00C057FA" w:rsidRDefault="00855071">
      <w:pPr>
        <w:pStyle w:val="BodyText"/>
      </w:pPr>
      <w:r>
        <w:lastRenderedPageBreak/>
        <w:t>Intuitively, if one penetrant recessive variant were to be respo</w:t>
      </w:r>
      <w:r>
        <w:t xml:space="preserve">nsible for all PCD cases, it could have a maximum population frequency of </w:t>
      </w:r>
      <m:oMath>
        <m:rad>
          <m:radPr>
            <m:degHide m:val="1"/>
            <m:ctrlPr>
              <w:rPr>
                <w:rFonts w:ascii="Cambria Math" w:hAnsi="Cambria Math"/>
              </w:rPr>
            </m:ctrlPr>
          </m:radPr>
          <m:deg/>
          <m:e>
            <m:r>
              <w:rPr>
                <w:rFonts w:ascii="Cambria Math" w:hAnsi="Cambria Math"/>
              </w:rPr>
              <m:t>(</m:t>
            </m:r>
          </m:e>
        </m:rad>
        <m:r>
          <w:rPr>
            <w:rFonts w:ascii="Cambria Math" w:hAnsi="Cambria Math"/>
          </w:rPr>
          <m:t>1/10000)</m:t>
        </m:r>
      </m:oMath>
      <w:r>
        <w:t xml:space="preserve">. We can refine our evaluation of PCD by estimating the maximum genetic and allelic contribution (see </w:t>
      </w:r>
      <w:r>
        <w:rPr>
          <w:i/>
        </w:rPr>
        <w:t>Methods</w:t>
      </w:r>
      <w:r>
        <w:t>). Across previously published cohorts of PCD cases</w:t>
      </w:r>
      <w:r>
        <w:rPr>
          <w:vertAlign w:val="superscript"/>
        </w:rPr>
        <w:t>22–24</w:t>
      </w:r>
      <w:r>
        <w:t xml:space="preserve">, </w:t>
      </w:r>
      <w:r>
        <w:rPr>
          <w:i/>
        </w:rPr>
        <w:t>DNAI1</w:t>
      </w:r>
      <w:r>
        <w:t xml:space="preserve"> </w:t>
      </w:r>
      <w:r>
        <w:t xml:space="preserve">IVS1+2_3insT was the most common variant with a total of 17/358 alleles (4.7% 95CI 2.5-7.0%). Given that ~9% of all patients with PCD have disease-causing variants in </w:t>
      </w:r>
      <w:r>
        <w:rPr>
          <w:i/>
        </w:rPr>
        <w:t>DNAI1</w:t>
      </w:r>
      <w:r>
        <w:t xml:space="preserve"> and the IVS1+2_3insT variant is estimated to account for ~57% of variant alleles in</w:t>
      </w:r>
      <w:r>
        <w:t xml:space="preserve"> </w:t>
      </w:r>
      <w:r>
        <w:rPr>
          <w:i/>
        </w:rPr>
        <w:t>DNAI1</w:t>
      </w:r>
      <w:r>
        <w:rPr>
          <w:vertAlign w:val="superscript"/>
        </w:rPr>
        <w:t>22</w:t>
      </w:r>
      <w:r>
        <w:t xml:space="preserve">, we can take these values as estimates of the maximum genetic and allelic contribution for PCD, yielding a maximum expected population AF of </w:t>
      </w:r>
      <m:oMath>
        <m:rad>
          <m:radPr>
            <m:degHide m:val="1"/>
            <m:ctrlPr>
              <w:rPr>
                <w:rFonts w:ascii="Cambria Math" w:hAnsi="Cambria Math"/>
              </w:rPr>
            </m:ctrlPr>
          </m:radPr>
          <m:deg/>
          <m:e>
            <m:r>
              <w:rPr>
                <w:rFonts w:ascii="Cambria Math" w:hAnsi="Cambria Math"/>
              </w:rPr>
              <m:t>(</m:t>
            </m:r>
          </m:e>
        </m:rad>
        <m:r>
          <w:rPr>
            <w:rFonts w:ascii="Cambria Math" w:hAnsi="Cambria Math"/>
          </w:rPr>
          <m:t>1/10000)×0.57×</m:t>
        </m:r>
        <m:rad>
          <m:radPr>
            <m:degHide m:val="1"/>
            <m:ctrlPr>
              <w:rPr>
                <w:rFonts w:ascii="Cambria Math" w:hAnsi="Cambria Math"/>
              </w:rPr>
            </m:ctrlPr>
          </m:radPr>
          <m:deg/>
          <m:e>
            <m:r>
              <w:rPr>
                <w:rFonts w:ascii="Cambria Math" w:hAnsi="Cambria Math"/>
              </w:rPr>
              <m:t>0</m:t>
            </m:r>
          </m:e>
        </m:rad>
        <m:r>
          <w:rPr>
            <w:rFonts w:ascii="Cambria Math" w:hAnsi="Cambria Math"/>
          </w:rPr>
          <m:t>.09×1/</m:t>
        </m:r>
        <m:rad>
          <m:radPr>
            <m:degHide m:val="1"/>
            <m:ctrlPr>
              <w:rPr>
                <w:rFonts w:ascii="Cambria Math" w:hAnsi="Cambria Math"/>
              </w:rPr>
            </m:ctrlPr>
          </m:radPr>
          <m:deg/>
          <m:e>
            <m:r>
              <w:rPr>
                <w:rFonts w:ascii="Cambria Math" w:hAnsi="Cambria Math"/>
              </w:rPr>
              <m:t>0</m:t>
            </m:r>
          </m:e>
        </m:rad>
        <m:r>
          <w:rPr>
            <w:rFonts w:ascii="Cambria Math" w:hAnsi="Cambria Math"/>
          </w:rPr>
          <m:t>.5=2.42×10</m:t>
        </m:r>
      </m:oMath>
      <w:r>
        <w:rPr>
          <w:vertAlign w:val="superscript"/>
        </w:rPr>
        <w:t>-3</w:t>
      </w:r>
      <w:r>
        <w:t xml:space="preserve"> This translates to a maximum tolerated ExAC AC of 322. </w:t>
      </w:r>
      <w:r>
        <w:rPr>
          <w:i/>
        </w:rPr>
        <w:t>DNAI1</w:t>
      </w:r>
      <w:r>
        <w:t xml:space="preserve"> IVS1+2_3i</w:t>
      </w:r>
      <w:r>
        <w:t>nsT is itself present at 56/121108 ExAC alleles (45/66636 non-Finnish European alleles). A single variant reported to cause PCD in ClinVar occurs in ExAC with AC &gt; 332 (</w:t>
      </w:r>
      <w:r>
        <w:rPr>
          <w:i/>
        </w:rPr>
        <w:t>NME8</w:t>
      </w:r>
      <w:r>
        <w:t xml:space="preserve"> NM_016616.4:c.271-27C&gt;T; AC=2306/120984): our model therefore indicates that this </w:t>
      </w:r>
      <w:r>
        <w:t xml:space="preserve">variant frequency is too common to be disease-causing, and consistent with this we note that it meets none of the current ACMG criteria for assertions of pathogenicity, and would reclassify it as VUS (see </w:t>
      </w:r>
      <w:r>
        <w:rPr>
          <w:b/>
        </w:rPr>
        <w:t>Supplementary Methods</w:t>
      </w:r>
      <w:r>
        <w:t>).</w:t>
      </w:r>
    </w:p>
    <w:p w:rsidR="00C057FA" w:rsidRDefault="00855071">
      <w:pPr>
        <w:pStyle w:val="Heading4"/>
      </w:pPr>
      <w:bookmarkStart w:id="16" w:name="pre-computing-threshold-values-for-the-e"/>
      <w:bookmarkEnd w:id="16"/>
      <w:r>
        <w:rPr>
          <w:i/>
        </w:rPr>
        <w:t>Pre-computing threshold val</w:t>
      </w:r>
      <w:r>
        <w:rPr>
          <w:i/>
        </w:rPr>
        <w:t>ues for the ExAC populations</w:t>
      </w:r>
    </w:p>
    <w:p w:rsidR="00C057FA" w:rsidRDefault="00855071">
      <w:pPr>
        <w:pStyle w:val="FirstParagraph"/>
      </w:pPr>
      <w:r>
        <w:t xml:space="preserve">For each ExAC variant, we defined a "filtering AF" that represents the threshold disease-specific "maximum credible AF" at or below which the disease could not plausibly be caused by that variant. A variant with a filtering AF </w:t>
      </w:r>
      <w:r>
        <w:t>≥ the maximum credible AF for the disease under consideration should be filtered, while a variant with a filtering AF below the maximum credible remains a candidate. This filtering AF is not disease specific: it can be applied to any disease of interest by</w:t>
      </w:r>
      <w:r>
        <w:t xml:space="preserve"> comparing with a user-defined disease-specific maximum credible AF (Figure 3). This value has been pre-computed for all variants in ExAC (see </w:t>
      </w:r>
      <w:r>
        <w:rPr>
          <w:b/>
        </w:rPr>
        <w:t>Methods</w:t>
      </w:r>
      <w:r>
        <w:t xml:space="preserve"> and </w:t>
      </w:r>
      <w:r>
        <w:rPr>
          <w:b/>
        </w:rPr>
        <w:t>Supplementary Methods</w:t>
      </w:r>
      <w:r>
        <w:t>), and is available via the ExAC VCF and browser (</w:t>
      </w:r>
      <w:hyperlink r:id="rId10">
        <w:r>
          <w:rPr>
            <w:rStyle w:val="Hyperlink"/>
          </w:rPr>
          <w:t>http://exac.broadinstitute.org</w:t>
        </w:r>
      </w:hyperlink>
      <w:r>
        <w:t>).</w:t>
      </w:r>
    </w:p>
    <w:p w:rsidR="00C057FA" w:rsidRDefault="00855071">
      <w:pPr>
        <w:pStyle w:val="BodyText"/>
      </w:pPr>
      <w:r>
        <w:t xml:space="preserve">To assess the efficiency of our approach, we calculated the filtering AF on 60,206 exomes from ExAC and applied these filters to a simulated dominant Mendelian variant discovery analysis on the remaining 500 exomes (see </w:t>
      </w:r>
      <w:r>
        <w:rPr>
          <w:b/>
        </w:rPr>
        <w:t>Methods</w:t>
      </w:r>
      <w:r>
        <w:t>). Filtering at AFs lower tha</w:t>
      </w:r>
      <w:r>
        <w:t>n 0.1% substantially reduces the number of predicted protein-altering variants in consideration, with the mean number of variants per exome falling from 176 to 63 at cutoffs of 0.1% and 0.0001% respectively (Figure 2a). Additionally, we compared the preval</w:t>
      </w:r>
      <w:r>
        <w:t>ence of variants in HCM genes in cases and controls across the AF spectrum, and computed disease odds ratios for different frequency bins. The odds ratio for disease-association increases markedly at very low AFs (Figure 2b) demonstrating that increasing t</w:t>
      </w:r>
      <w:r>
        <w:t>he stringency of a frequency filter improves the information content of a genetic result.</w:t>
      </w:r>
    </w:p>
    <w:p w:rsidR="00C057FA" w:rsidRDefault="00855071">
      <w:pPr>
        <w:pStyle w:val="Heading2"/>
      </w:pPr>
      <w:bookmarkStart w:id="17" w:name="discussion"/>
      <w:bookmarkEnd w:id="17"/>
      <w:r>
        <w:lastRenderedPageBreak/>
        <w:t>DISCUSSION</w:t>
      </w:r>
    </w:p>
    <w:p w:rsidR="00C057FA" w:rsidRDefault="00855071">
      <w:pPr>
        <w:pStyle w:val="FirstParagraph"/>
      </w:pPr>
      <w:r>
        <w:t xml:space="preserve">We have outlined a statistically robust framework for assessing whether a variant is 'too common' to be causative for a Mendelian disorder of interest. To </w:t>
      </w:r>
      <w:r>
        <w:t>our knowledge, there is currently no equivalent guidance on the use of variant frequency information, resulting in inconsistent thresholds across both clinical and research settings. Furthermore, though disease-specific thresholds are recommended</w:t>
      </w:r>
      <w:r>
        <w:rPr>
          <w:vertAlign w:val="superscript"/>
        </w:rPr>
        <w:t>8</w:t>
      </w:r>
      <w:r>
        <w:t>, in prac</w:t>
      </w:r>
      <w:r>
        <w:t>tice the same thresholds may be used across all diseases, even where they have widely differing genetic architectures and prevalences. We have shown the importance of applying stringent AF thresholds, in that many more variants can be removed from consider</w:t>
      </w:r>
      <w:r>
        <w:t>ation, and the remaining variants have a much higher likelihood of being relevant. We also show, using HCM as an example, how lowering this threshold does not remove true dominant pathogenic variants.</w:t>
      </w:r>
    </w:p>
    <w:p w:rsidR="00C057FA" w:rsidRDefault="00855071">
      <w:pPr>
        <w:pStyle w:val="BodyText"/>
      </w:pPr>
      <w:r>
        <w:t>To assist others in applying our framework, we have pre</w:t>
      </w:r>
      <w:r>
        <w:t>computed a 'filtering AF' for all variants across the ExAC dataset. This is defined such that if the filtering AF of a variant is at or above the user-defined "maximum credible population AF" for the disease in question, then that variant is not a credible</w:t>
      </w:r>
      <w:r>
        <w:t xml:space="preserve"> candidate (in other words, for any population AF below the threshold value, the probability of the observed allele count in the ExAC sample is &lt;0.05). Once a user has determined their "maximum credible population AF", they may remove from consideration Ex</w:t>
      </w:r>
      <w:r>
        <w:t>AC variants for which the filtering AF is greater than or equal to than the chosen value.</w:t>
      </w:r>
    </w:p>
    <w:p w:rsidR="00C057FA" w:rsidRDefault="00855071">
      <w:pPr>
        <w:pStyle w:val="BodyText"/>
      </w:pPr>
      <w:r>
        <w:t>Our method is designed to be complementary to and used along side other gene and variant level methods to filter and prioritise candiate variants (e.g. gene level con</w:t>
      </w:r>
      <w:r>
        <w:t>straint</w:t>
      </w:r>
      <w:r>
        <w:rPr>
          <w:vertAlign w:val="superscript"/>
        </w:rPr>
        <w:t>25</w:t>
      </w:r>
      <w:r>
        <w:t>, amino acid conservation</w:t>
      </w:r>
      <w:r>
        <w:rPr>
          <w:vertAlign w:val="superscript"/>
        </w:rPr>
        <w:t>26,27</w:t>
      </w:r>
      <w:r>
        <w:t xml:space="preserve"> and missense prediction algorithms</w:t>
      </w:r>
      <w:r>
        <w:rPr>
          <w:vertAlign w:val="superscript"/>
        </w:rPr>
        <w:t>28,29</w:t>
      </w:r>
      <w:r>
        <w:t>) along with segregation and functional data.</w:t>
      </w:r>
    </w:p>
    <w:p w:rsidR="00C057FA" w:rsidRDefault="00855071">
      <w:pPr>
        <w:pStyle w:val="BodyText"/>
      </w:pPr>
      <w:r>
        <w:t>We recognise several limitations of our approach. First, we are limited by our understanding of the prevalence and genetic architec</w:t>
      </w:r>
      <w:r>
        <w:t>ture of the disease in question: this characterisation will vary for different diseases and in different populations, though we illustrate approaches for estimation and extrapolation of parameters. In particular, we must be wary of extrapolating to or from</w:t>
      </w:r>
      <w:r>
        <w:t xml:space="preserve"> less-well characterised populations that could harbour population-specific founder mutations. While incomplete knowledge of the genetic architecture of a disease of interest will limit this or any approach to evaluate a specific variant that has been obse</w:t>
      </w:r>
      <w:r>
        <w:t>rved at low frequency in a reference population, our framework and accompanying web tool do at least transparently define the range of disease architectures that are compatible with the observed data. For example, many neurological disorders have Mendelian</w:t>
      </w:r>
      <w:r>
        <w:t xml:space="preserve"> forms as well as idiopathic forms with genetic risk factors of modest effect sizes, high allelic and genetic heterogeneity, and/or dramatic variability in the penetrance of different variants</w:t>
      </w:r>
      <w:r>
        <w:rPr>
          <w:vertAlign w:val="superscript"/>
        </w:rPr>
        <w:t>9,30–33</w:t>
      </w:r>
      <w:r>
        <w:t>. Reference population allele frequency information alone</w:t>
      </w:r>
      <w:r>
        <w:t xml:space="preserve"> can never definitively show that a variant possesses no association to disease, but it can still provide sensible constraints. The calculations described here can be used to show that a variant could could only be causal if the </w:t>
      </w:r>
      <w:r>
        <w:lastRenderedPageBreak/>
        <w:t>prevalence of the disease i</w:t>
      </w:r>
      <w:r>
        <w:t>s higher than published estimates, or its penetrance is below a specified value</w:t>
      </w:r>
      <w:r>
        <w:rPr>
          <w:vertAlign w:val="superscript"/>
        </w:rPr>
        <w:t>34</w:t>
      </w:r>
      <w:r>
        <w:t>.</w:t>
      </w:r>
    </w:p>
    <w:p w:rsidR="00C057FA" w:rsidRDefault="00855071">
      <w:pPr>
        <w:pStyle w:val="BodyText"/>
      </w:pPr>
      <w:r>
        <w:t>Secondly, it is often difficult to obtain accurate penetrance information for reported variants, and it is also difficult to know what degree of penetrance to expect or assu</w:t>
      </w:r>
      <w:r>
        <w:t xml:space="preserve">me for newly discovered pathogenic variants. Although we would argue that variants with low penetrance have questionable diagnostic utility, our calculator app allows a user to define a range of compatible penetrance for a given AF (see </w:t>
      </w:r>
      <w:r>
        <w:rPr>
          <w:b/>
        </w:rPr>
        <w:t>Supplementary Metho</w:t>
      </w:r>
      <w:r>
        <w:rPr>
          <w:b/>
        </w:rPr>
        <w:t>ds</w:t>
      </w:r>
      <w:r>
        <w:t>), and implements methods to estimate variant penetrance from prevalence data in case and control cohorts as previously described</w:t>
      </w:r>
      <w:r>
        <w:rPr>
          <w:vertAlign w:val="superscript"/>
        </w:rPr>
        <w:t>9</w:t>
      </w:r>
      <w:r>
        <w:t>.</w:t>
      </w:r>
    </w:p>
    <w:p w:rsidR="00C057FA" w:rsidRDefault="00855071">
      <w:pPr>
        <w:pStyle w:val="BodyText"/>
      </w:pPr>
      <w:r>
        <w:t>Thirdly, while we believe that ExAC is depleted of severe childhood inherited conditions, and not enriched for cardiomyopa</w:t>
      </w:r>
      <w:r>
        <w:t>thies, it could be enriched relative to the general population for some conditions, including Mendelian forms of common diseases such as diabetes or coronary disease that have been studied in contributing cohorts. Where this is possible, the maximum credib</w:t>
      </w:r>
      <w:r>
        <w:t>le population AF should be derived based on the estimated disease prevalence in the ExAC cohort, rather than the population prevalence.</w:t>
      </w:r>
    </w:p>
    <w:p w:rsidR="00C057FA" w:rsidRDefault="00855071">
      <w:pPr>
        <w:pStyle w:val="BodyText"/>
      </w:pPr>
      <w:r>
        <w:t>Finally, although the resulting AF thresholds are more stringent than those previously used, they are likely to still be</w:t>
      </w:r>
      <w:r>
        <w:t xml:space="preserve"> very lenient for many applications. For instance, we base our calculation on the most prevalent known pathogenic variant from a disease cohort. For HCM, for which more than 6,000 people have been sequenced, it is unlikely that any single newly identified </w:t>
      </w:r>
      <w:r>
        <w:t>variant, not previously catalogued in this large cohort, will explain a similarly large proportion of the disease as the most common causal variant, at least in well-studied populations. Future work may therefore involve modeling the frequency distribution</w:t>
      </w:r>
      <w:r>
        <w:t xml:space="preserve"> of all known variants for a disorder, to further refine these thresholds.</w:t>
      </w:r>
    </w:p>
    <w:p w:rsidR="00C057FA" w:rsidRDefault="00855071">
      <w:pPr>
        <w:pStyle w:val="BodyText"/>
      </w:pPr>
      <w:r>
        <w:t>The power of our approach is limited by currently available datasets. Increases in both the ancestral diversity and size of reference datasets will bring additional power to our met</w:t>
      </w:r>
      <w:r>
        <w:t xml:space="preserve">hod over time. We have avoided filtering on variants observed only once, because a single observation provides little information about true AF (see </w:t>
      </w:r>
      <w:r>
        <w:rPr>
          <w:b/>
        </w:rPr>
        <w:t>Supplementary Methods</w:t>
      </w:r>
      <w:r>
        <w:t>). A ten-fold increase in sample size, resulting from projects such as the US Precisio</w:t>
      </w:r>
      <w:r>
        <w:t>n Medicine Initiative, will separate vanishingly rare variants from those whose frequency really is ~1 in 100,000. Increased phenotypic information linked to reference datasets will also reduce limitations due to uncertain disease status, and improve preva</w:t>
      </w:r>
      <w:r>
        <w:t>lence estimates, adding further power to our approach.</w:t>
      </w:r>
    </w:p>
    <w:p w:rsidR="00C057FA" w:rsidRDefault="00855071">
      <w:pPr>
        <w:pStyle w:val="Heading2"/>
      </w:pPr>
      <w:bookmarkStart w:id="18" w:name="data-availability"/>
      <w:bookmarkEnd w:id="18"/>
      <w:r>
        <w:lastRenderedPageBreak/>
        <w:t>DATA AVAILABILITY</w:t>
      </w:r>
    </w:p>
    <w:p w:rsidR="00C057FA" w:rsidRDefault="00855071">
      <w:pPr>
        <w:pStyle w:val="FirstParagraph"/>
      </w:pPr>
      <w:r>
        <w:t xml:space="preserve">All data required to reproduce the analysis, figures and manuscript (compiled in R) are available at </w:t>
      </w:r>
      <w:hyperlink r:id="rId11">
        <w:r>
          <w:rPr>
            <w:rStyle w:val="Hyperlink"/>
          </w:rPr>
          <w:t>https</w:t>
        </w:r>
        <w:r>
          <w:rPr>
            <w:rStyle w:val="Hyperlink"/>
          </w:rPr>
          <w:t>://github.com/ImperialCardioGenetics/frequencyFilter</w:t>
        </w:r>
      </w:hyperlink>
      <w:r>
        <w:t xml:space="preserve">. Curated variant interpretations are deposited in ClinVar under the submission name "HCM_ExAC_frequency_review_2016". ExAC annotations are available at </w:t>
      </w:r>
      <w:hyperlink r:id="rId12">
        <w:r>
          <w:rPr>
            <w:rStyle w:val="Hyperlink"/>
          </w:rPr>
          <w:t>https://exac.broadinstitute.org</w:t>
        </w:r>
      </w:hyperlink>
      <w:r>
        <w:t xml:space="preserve">. Our AF calculator app is located at </w:t>
      </w:r>
      <w:hyperlink r:id="rId13">
        <w:r>
          <w:rPr>
            <w:rStyle w:val="Hyperlink"/>
          </w:rPr>
          <w:t>http://cardiodb.org/alleleFrequencyApp</w:t>
        </w:r>
      </w:hyperlink>
      <w:r>
        <w:t xml:space="preserve">, with source code available at </w:t>
      </w:r>
      <w:hyperlink r:id="rId14">
        <w:r>
          <w:rPr>
            <w:rStyle w:val="Hyperlink"/>
          </w:rPr>
          <w:t>http://github.com/jamesware/alleleFrequencyApp</w:t>
        </w:r>
      </w:hyperlink>
      <w:r>
        <w:t>.</w:t>
      </w:r>
    </w:p>
    <w:p w:rsidR="00C057FA" w:rsidRDefault="00855071">
      <w:pPr>
        <w:pStyle w:val="Heading2"/>
      </w:pPr>
      <w:bookmarkStart w:id="19" w:name="acknowledgements"/>
      <w:bookmarkEnd w:id="19"/>
      <w:r>
        <w:lastRenderedPageBreak/>
        <w:t>ACKNOWLEDGEMENTS</w:t>
      </w:r>
    </w:p>
    <w:p w:rsidR="00C057FA" w:rsidRDefault="00855071">
      <w:pPr>
        <w:pStyle w:val="FirstParagraph"/>
      </w:pPr>
      <w:r>
        <w:t>This work was supported by the Wellcome Trust (107469/Z/15/Z), the Medical Research Council (UK), the NIHR Biomedical Research Unit in Cardiovascular Disease at Royal Brompton &amp; Harefi</w:t>
      </w:r>
      <w:r>
        <w:t>eld NHS Foundation Trust and Imperial College London, the Fondation Leducq (11 CVD-01), a Health Innovation Challenge Fund award from the Wellcome Trust and Department of Health, UK (HICF-R6-373), and by the National Institute of Diabetes and Digestive and</w:t>
      </w:r>
      <w:r>
        <w:t xml:space="preserve"> Kidney Diseases and the National Institute of General Medical Sciences of the NIH (awards U54DK105566 and R01GM104371). EVM is supported by the National Institutes of Health under a Ruth L. Kirschstein National Research Service Award (NRSA) NIH Individual</w:t>
      </w:r>
      <w:r>
        <w:t xml:space="preserve"> Predoctoral Fellowship (F31) (award AI122592-01A1). AHO-L is supported by National Institutes of Health under Ruth L. Kirschstein National Research Service Award 4T32GM007748.</w:t>
      </w:r>
    </w:p>
    <w:p w:rsidR="00C057FA" w:rsidRDefault="00855071">
      <w:pPr>
        <w:pStyle w:val="BodyText"/>
      </w:pPr>
      <w:r>
        <w:t>This publication includes independent research commissioned by the Health Innov</w:t>
      </w:r>
      <w:r>
        <w:t>ation Challenge Fund (HICF), a parallel funding partnership between the Department of Health and Wellcome Trust. The views expressed in this work are those of the authors and not necessarily those of the Department of Health or Wellcome Trust.</w:t>
      </w:r>
    </w:p>
    <w:p w:rsidR="00C057FA" w:rsidRDefault="00855071">
      <w:pPr>
        <w:pStyle w:val="Heading2"/>
      </w:pPr>
      <w:bookmarkStart w:id="20" w:name="supplementary-information"/>
      <w:bookmarkEnd w:id="20"/>
      <w:r>
        <w:lastRenderedPageBreak/>
        <w:t>SUPPLEMENTAR</w:t>
      </w:r>
      <w:r>
        <w:t>Y INFORMATION</w:t>
      </w:r>
    </w:p>
    <w:p w:rsidR="00C057FA" w:rsidRDefault="00855071">
      <w:pPr>
        <w:pStyle w:val="FirstParagraph"/>
      </w:pPr>
      <w:r>
        <w:t>Supplementary table 1</w:t>
      </w:r>
    </w:p>
    <w:p w:rsidR="00C057FA" w:rsidRDefault="00855071">
      <w:pPr>
        <w:pStyle w:val="BodyText"/>
      </w:pPr>
      <w:r>
        <w:t>Supplementary Methods: - Curation of a high frequency PCD variant - Dealing with penetrance - Treatment of singletons and other populations - Description of the filtering AF</w:t>
      </w:r>
    </w:p>
    <w:p w:rsidR="00C057FA" w:rsidRDefault="00855071">
      <w:pPr>
        <w:pStyle w:val="Heading2"/>
      </w:pPr>
      <w:bookmarkStart w:id="21" w:name="references"/>
      <w:bookmarkEnd w:id="21"/>
      <w:r>
        <w:lastRenderedPageBreak/>
        <w:t>REFERENCES</w:t>
      </w:r>
    </w:p>
    <w:p w:rsidR="00855071" w:rsidRDefault="00855071" w:rsidP="00855071">
      <w:pPr>
        <w:pStyle w:val="Bibliography"/>
      </w:pPr>
      <w:r>
        <w:t xml:space="preserve">1. Chong JX, Buckingham KJ, </w:t>
      </w:r>
      <w:proofErr w:type="spellStart"/>
      <w:r>
        <w:t>Jhangiani</w:t>
      </w:r>
      <w:proofErr w:type="spellEnd"/>
      <w:r>
        <w:t xml:space="preserve"> SN, et al. The genetic basis of </w:t>
      </w:r>
      <w:proofErr w:type="spellStart"/>
      <w:proofErr w:type="gramStart"/>
      <w:r>
        <w:t>mendelian</w:t>
      </w:r>
      <w:proofErr w:type="spellEnd"/>
      <w:proofErr w:type="gramEnd"/>
      <w:r>
        <w:t xml:space="preserve"> phenotypes: Discoveries, challenges, and opportunities. </w:t>
      </w:r>
      <w:proofErr w:type="gramStart"/>
      <w:r>
        <w:rPr>
          <w:i/>
        </w:rPr>
        <w:t>The American Journal of Human Genetics</w:t>
      </w:r>
      <w:r>
        <w:t>.</w:t>
      </w:r>
      <w:proofErr w:type="gramEnd"/>
      <w:r>
        <w:t xml:space="preserve"> 2015</w:t>
      </w:r>
      <w:proofErr w:type="gramStart"/>
      <w:r>
        <w:t>;97</w:t>
      </w:r>
      <w:proofErr w:type="gramEnd"/>
      <w:r>
        <w:t xml:space="preserve">(2):199-215. </w:t>
      </w:r>
      <w:proofErr w:type="gramStart"/>
      <w:r>
        <w:t>doi</w:t>
      </w:r>
      <w:proofErr w:type="gramEnd"/>
      <w:r>
        <w:t>:</w:t>
      </w:r>
      <w:hyperlink r:id="rId15">
        <w:r>
          <w:rPr>
            <w:rStyle w:val="Hyperlink"/>
          </w:rPr>
          <w:t>10.1016/j.ajhg.2015.06.009</w:t>
        </w:r>
      </w:hyperlink>
      <w:r>
        <w:t>.</w:t>
      </w:r>
    </w:p>
    <w:p w:rsidR="00855071" w:rsidRDefault="00855071" w:rsidP="00855071">
      <w:pPr>
        <w:pStyle w:val="Bibliography"/>
      </w:pPr>
      <w:r>
        <w:t xml:space="preserve">2. </w:t>
      </w:r>
      <w:proofErr w:type="spellStart"/>
      <w:r>
        <w:t>Lek</w:t>
      </w:r>
      <w:proofErr w:type="spellEnd"/>
      <w:r>
        <w:t xml:space="preserve"> M, </w:t>
      </w:r>
      <w:proofErr w:type="spellStart"/>
      <w:r>
        <w:t>Karczewski</w:t>
      </w:r>
      <w:proofErr w:type="spellEnd"/>
      <w:r>
        <w:t xml:space="preserve"> KJ, </w:t>
      </w:r>
      <w:proofErr w:type="spellStart"/>
      <w:r>
        <w:t>Minikel</w:t>
      </w:r>
      <w:proofErr w:type="spellEnd"/>
      <w:r>
        <w:t xml:space="preserve"> EV, et al. Analysis of protein-coding genetic variation in 60,706 humans. </w:t>
      </w:r>
      <w:r>
        <w:rPr>
          <w:i/>
        </w:rPr>
        <w:t>Nature</w:t>
      </w:r>
      <w:r>
        <w:t>. 2016</w:t>
      </w:r>
      <w:proofErr w:type="gramStart"/>
      <w:r>
        <w:t>;536</w:t>
      </w:r>
      <w:proofErr w:type="gramEnd"/>
      <w:r>
        <w:t xml:space="preserve">(7616):285-291. </w:t>
      </w:r>
      <w:proofErr w:type="gramStart"/>
      <w:r>
        <w:t>doi</w:t>
      </w:r>
      <w:proofErr w:type="gramEnd"/>
      <w:r>
        <w:t>:</w:t>
      </w:r>
      <w:hyperlink r:id="rId16">
        <w:r>
          <w:rPr>
            <w:rStyle w:val="Hyperlink"/>
          </w:rPr>
          <w:t>10.1038/nature19057</w:t>
        </w:r>
      </w:hyperlink>
      <w:r>
        <w:t>.</w:t>
      </w:r>
    </w:p>
    <w:p w:rsidR="00855071" w:rsidRDefault="00855071" w:rsidP="00855071">
      <w:pPr>
        <w:pStyle w:val="Bibliography"/>
      </w:pPr>
      <w:r>
        <w:t xml:space="preserve">3. Richards S, Aziz N, Bale S, et al. Standards and guidelines for the interpretation of sequence variants: A joint consensus recommendation of the </w:t>
      </w:r>
      <w:proofErr w:type="spellStart"/>
      <w:r>
        <w:t>american</w:t>
      </w:r>
      <w:proofErr w:type="spellEnd"/>
      <w:r>
        <w:t xml:space="preserve"> college of medical genetics and genomics and the association for molecular pathology. </w:t>
      </w:r>
      <w:proofErr w:type="gramStart"/>
      <w:r>
        <w:rPr>
          <w:i/>
        </w:rPr>
        <w:t>Genetics in Medicine</w:t>
      </w:r>
      <w:r>
        <w:t>.</w:t>
      </w:r>
      <w:proofErr w:type="gramEnd"/>
      <w:r>
        <w:t xml:space="preserve"> 2015</w:t>
      </w:r>
      <w:proofErr w:type="gramStart"/>
      <w:r>
        <w:t>;17</w:t>
      </w:r>
      <w:proofErr w:type="gramEnd"/>
      <w:r>
        <w:t xml:space="preserve">(5):405-423. </w:t>
      </w:r>
      <w:proofErr w:type="gramStart"/>
      <w:r>
        <w:t>doi</w:t>
      </w:r>
      <w:proofErr w:type="gramEnd"/>
      <w:r>
        <w:t>:</w:t>
      </w:r>
      <w:hyperlink r:id="rId17">
        <w:r>
          <w:rPr>
            <w:rStyle w:val="Hyperlink"/>
          </w:rPr>
          <w:t>10.1038/gim.2015.30</w:t>
        </w:r>
      </w:hyperlink>
      <w:r>
        <w:t>.</w:t>
      </w:r>
    </w:p>
    <w:p w:rsidR="00855071" w:rsidRDefault="00855071" w:rsidP="00855071">
      <w:pPr>
        <w:pStyle w:val="Bibliography"/>
      </w:pPr>
      <w:r>
        <w:t xml:space="preserve">4. MacArthur DG, </w:t>
      </w:r>
      <w:proofErr w:type="spellStart"/>
      <w:r>
        <w:t>Manolio</w:t>
      </w:r>
      <w:proofErr w:type="spellEnd"/>
      <w:r>
        <w:t xml:space="preserve"> TA, </w:t>
      </w:r>
      <w:proofErr w:type="spellStart"/>
      <w:r>
        <w:t>Dimmock</w:t>
      </w:r>
      <w:proofErr w:type="spellEnd"/>
      <w:r>
        <w:t xml:space="preserve"> DP, et al. Guidelines for investigating causality of sequence variants in human disease. </w:t>
      </w:r>
      <w:r>
        <w:rPr>
          <w:i/>
        </w:rPr>
        <w:t>Nature</w:t>
      </w:r>
      <w:r>
        <w:t>. 2014</w:t>
      </w:r>
      <w:proofErr w:type="gramStart"/>
      <w:r>
        <w:t>;508</w:t>
      </w:r>
      <w:proofErr w:type="gramEnd"/>
      <w:r>
        <w:t xml:space="preserve">(7497):469-476. </w:t>
      </w:r>
      <w:proofErr w:type="gramStart"/>
      <w:r>
        <w:t>doi</w:t>
      </w:r>
      <w:proofErr w:type="gramEnd"/>
      <w:r>
        <w:t>:</w:t>
      </w:r>
      <w:hyperlink r:id="rId18">
        <w:r>
          <w:rPr>
            <w:rStyle w:val="Hyperlink"/>
          </w:rPr>
          <w:t>10.1038/nature13127</w:t>
        </w:r>
      </w:hyperlink>
      <w:r>
        <w:t>.</w:t>
      </w:r>
    </w:p>
    <w:p w:rsidR="00855071" w:rsidRDefault="00855071" w:rsidP="00855071">
      <w:pPr>
        <w:pStyle w:val="Bibliography"/>
      </w:pPr>
      <w:r>
        <w:t xml:space="preserve">5. </w:t>
      </w:r>
      <w:proofErr w:type="spellStart"/>
      <w:r>
        <w:t>Bamshad</w:t>
      </w:r>
      <w:proofErr w:type="spellEnd"/>
      <w:r>
        <w:t xml:space="preserve"> MJ, Ng SB, </w:t>
      </w:r>
      <w:proofErr w:type="spellStart"/>
      <w:r>
        <w:t>Bigham</w:t>
      </w:r>
      <w:proofErr w:type="spellEnd"/>
      <w:r>
        <w:t xml:space="preserve"> AW, et al. </w:t>
      </w:r>
      <w:proofErr w:type="spellStart"/>
      <w:r>
        <w:t>Exome</w:t>
      </w:r>
      <w:proofErr w:type="spellEnd"/>
      <w:r>
        <w:t xml:space="preserve"> sequencing as a tool for </w:t>
      </w:r>
      <w:proofErr w:type="spellStart"/>
      <w:r>
        <w:t>mendelian</w:t>
      </w:r>
      <w:proofErr w:type="spellEnd"/>
      <w:r>
        <w:t xml:space="preserve"> disease gene discovery. </w:t>
      </w:r>
      <w:proofErr w:type="gramStart"/>
      <w:r>
        <w:rPr>
          <w:i/>
        </w:rPr>
        <w:t>Nature Reviews Genetics</w:t>
      </w:r>
      <w:r>
        <w:t>.</w:t>
      </w:r>
      <w:proofErr w:type="gramEnd"/>
      <w:r>
        <w:t xml:space="preserve"> 2011</w:t>
      </w:r>
      <w:proofErr w:type="gramStart"/>
      <w:r>
        <w:t>;12</w:t>
      </w:r>
      <w:proofErr w:type="gramEnd"/>
      <w:r>
        <w:t xml:space="preserve">(11):745-755. </w:t>
      </w:r>
      <w:proofErr w:type="gramStart"/>
      <w:r>
        <w:t>doi</w:t>
      </w:r>
      <w:proofErr w:type="gramEnd"/>
      <w:r>
        <w:t>:</w:t>
      </w:r>
      <w:hyperlink r:id="rId19">
        <w:r>
          <w:rPr>
            <w:rStyle w:val="Hyperlink"/>
          </w:rPr>
          <w:t>10.1038/nrg3031</w:t>
        </w:r>
      </w:hyperlink>
      <w:r>
        <w:t>.</w:t>
      </w:r>
    </w:p>
    <w:p w:rsidR="00855071" w:rsidRDefault="00855071" w:rsidP="00855071">
      <w:pPr>
        <w:pStyle w:val="Bibliography"/>
      </w:pPr>
      <w:r>
        <w:t xml:space="preserve">6. Andres </w:t>
      </w:r>
      <w:proofErr w:type="gramStart"/>
      <w:r>
        <w:t>AM</w:t>
      </w:r>
      <w:proofErr w:type="gramEnd"/>
      <w:r>
        <w:t xml:space="preserve">, </w:t>
      </w:r>
      <w:proofErr w:type="spellStart"/>
      <w:r>
        <w:t>Hubisz</w:t>
      </w:r>
      <w:proofErr w:type="spellEnd"/>
      <w:r>
        <w:t xml:space="preserve"> MJ, </w:t>
      </w:r>
      <w:proofErr w:type="spellStart"/>
      <w:r>
        <w:t>Indap</w:t>
      </w:r>
      <w:proofErr w:type="spellEnd"/>
      <w:r>
        <w:t xml:space="preserve"> A, et al. Targets of balancing selection in the human genome. </w:t>
      </w:r>
      <w:r>
        <w:rPr>
          <w:i/>
        </w:rPr>
        <w:t>Molecular Biology and Evolution</w:t>
      </w:r>
      <w:r>
        <w:t>. 2009</w:t>
      </w:r>
      <w:proofErr w:type="gramStart"/>
      <w:r>
        <w:t>;26</w:t>
      </w:r>
      <w:proofErr w:type="gramEnd"/>
      <w:r>
        <w:t xml:space="preserve">(12):2755-2764. </w:t>
      </w:r>
      <w:proofErr w:type="gramStart"/>
      <w:r>
        <w:t>doi</w:t>
      </w:r>
      <w:proofErr w:type="gramEnd"/>
      <w:r>
        <w:t>:</w:t>
      </w:r>
      <w:hyperlink r:id="rId20">
        <w:r>
          <w:rPr>
            <w:rStyle w:val="Hyperlink"/>
          </w:rPr>
          <w:t>10.1093/molbev/msp190</w:t>
        </w:r>
      </w:hyperlink>
      <w:r>
        <w:t>.</w:t>
      </w:r>
    </w:p>
    <w:p w:rsidR="00855071" w:rsidRDefault="00855071" w:rsidP="00855071">
      <w:pPr>
        <w:pStyle w:val="Bibliography"/>
      </w:pPr>
      <w:r>
        <w:t xml:space="preserve">7. </w:t>
      </w:r>
      <w:proofErr w:type="spellStart"/>
      <w:r>
        <w:t>Zuk</w:t>
      </w:r>
      <w:proofErr w:type="spellEnd"/>
      <w:r>
        <w:t xml:space="preserve"> O, </w:t>
      </w:r>
      <w:proofErr w:type="spellStart"/>
      <w:r>
        <w:t>Schaffner</w:t>
      </w:r>
      <w:proofErr w:type="spellEnd"/>
      <w:r>
        <w:t xml:space="preserve"> SF, </w:t>
      </w:r>
      <w:proofErr w:type="spellStart"/>
      <w:r>
        <w:t>Samocha</w:t>
      </w:r>
      <w:proofErr w:type="spellEnd"/>
      <w:r>
        <w:t xml:space="preserve"> K, et al. </w:t>
      </w:r>
      <w:proofErr w:type="gramStart"/>
      <w:r>
        <w:t>Searching</w:t>
      </w:r>
      <w:proofErr w:type="gramEnd"/>
      <w:r>
        <w:t xml:space="preserve"> for missing heritability: Designing rare variant association studies. </w:t>
      </w:r>
      <w:proofErr w:type="gramStart"/>
      <w:r>
        <w:rPr>
          <w:i/>
        </w:rPr>
        <w:t>Proceedings of the National Academy of Sciences</w:t>
      </w:r>
      <w:r>
        <w:t>.</w:t>
      </w:r>
      <w:proofErr w:type="gramEnd"/>
      <w:r>
        <w:t xml:space="preserve"> 2014</w:t>
      </w:r>
      <w:proofErr w:type="gramStart"/>
      <w:r>
        <w:t>;111</w:t>
      </w:r>
      <w:proofErr w:type="gramEnd"/>
      <w:r>
        <w:t xml:space="preserve">(4):E455-E464. </w:t>
      </w:r>
      <w:proofErr w:type="gramStart"/>
      <w:r>
        <w:t>doi</w:t>
      </w:r>
      <w:proofErr w:type="gramEnd"/>
      <w:r>
        <w:t>:</w:t>
      </w:r>
      <w:hyperlink r:id="rId21">
        <w:r>
          <w:rPr>
            <w:rStyle w:val="Hyperlink"/>
          </w:rPr>
          <w:t>10.1073/pnas.1322563111</w:t>
        </w:r>
      </w:hyperlink>
      <w:r>
        <w:t>.</w:t>
      </w:r>
    </w:p>
    <w:p w:rsidR="00855071" w:rsidRDefault="00855071" w:rsidP="00855071">
      <w:pPr>
        <w:pStyle w:val="Bibliography"/>
      </w:pPr>
      <w:r>
        <w:t xml:space="preserve">8. </w:t>
      </w:r>
      <w:proofErr w:type="spellStart"/>
      <w:r>
        <w:t>Amendola</w:t>
      </w:r>
      <w:proofErr w:type="spellEnd"/>
      <w:r>
        <w:t xml:space="preserve"> LM, </w:t>
      </w:r>
      <w:proofErr w:type="spellStart"/>
      <w:r>
        <w:t>Jarvik</w:t>
      </w:r>
      <w:proofErr w:type="spellEnd"/>
      <w:r>
        <w:t xml:space="preserve"> GP, Leo MC, et al. Performance of ACMG-AMP variant-interpretation guidelines among nine laboratories in the clinical sequencing exploratory research consortium. </w:t>
      </w:r>
      <w:proofErr w:type="gramStart"/>
      <w:r>
        <w:rPr>
          <w:i/>
        </w:rPr>
        <w:t>The American Journal of Human Genetics</w:t>
      </w:r>
      <w:r>
        <w:t>.</w:t>
      </w:r>
      <w:proofErr w:type="gramEnd"/>
      <w:r>
        <w:t xml:space="preserve"> 2016</w:t>
      </w:r>
      <w:proofErr w:type="gramStart"/>
      <w:r>
        <w:t>;98</w:t>
      </w:r>
      <w:proofErr w:type="gramEnd"/>
      <w:r>
        <w:t xml:space="preserve">(6):1067-1076. </w:t>
      </w:r>
      <w:proofErr w:type="gramStart"/>
      <w:r>
        <w:t>doi</w:t>
      </w:r>
      <w:proofErr w:type="gramEnd"/>
      <w:r>
        <w:t>:</w:t>
      </w:r>
      <w:hyperlink r:id="rId22">
        <w:r>
          <w:rPr>
            <w:rStyle w:val="Hyperlink"/>
          </w:rPr>
          <w:t>10.1016/j.ajhg.2016.03.024</w:t>
        </w:r>
      </w:hyperlink>
      <w:r>
        <w:t>.</w:t>
      </w:r>
    </w:p>
    <w:p w:rsidR="00855071" w:rsidRDefault="00855071" w:rsidP="00855071">
      <w:pPr>
        <w:pStyle w:val="Bibliography"/>
      </w:pPr>
      <w:r>
        <w:t xml:space="preserve">9. </w:t>
      </w:r>
      <w:proofErr w:type="spellStart"/>
      <w:r>
        <w:t>Minikel</w:t>
      </w:r>
      <w:proofErr w:type="spellEnd"/>
      <w:r>
        <w:t xml:space="preserve"> EV, </w:t>
      </w:r>
      <w:proofErr w:type="spellStart"/>
      <w:r>
        <w:t>Vallabh</w:t>
      </w:r>
      <w:proofErr w:type="spellEnd"/>
      <w:r>
        <w:t xml:space="preserve"> SM, </w:t>
      </w:r>
      <w:proofErr w:type="spellStart"/>
      <w:r>
        <w:t>Lek</w:t>
      </w:r>
      <w:proofErr w:type="spellEnd"/>
      <w:r>
        <w:t xml:space="preserve"> M, et al. Quantifying prion disease penetrance using large population control cohorts. </w:t>
      </w:r>
      <w:proofErr w:type="gramStart"/>
      <w:r>
        <w:rPr>
          <w:i/>
        </w:rPr>
        <w:t>Science Translational Medicine</w:t>
      </w:r>
      <w:r>
        <w:t>.</w:t>
      </w:r>
      <w:proofErr w:type="gramEnd"/>
      <w:r>
        <w:t xml:space="preserve"> 2016;8(322)</w:t>
      </w:r>
      <w:proofErr w:type="gramStart"/>
      <w:r>
        <w:t>:322ra9</w:t>
      </w:r>
      <w:proofErr w:type="gramEnd"/>
      <w:r>
        <w:t xml:space="preserve">-322ra9. </w:t>
      </w:r>
      <w:proofErr w:type="gramStart"/>
      <w:r>
        <w:t>doi</w:t>
      </w:r>
      <w:proofErr w:type="gramEnd"/>
      <w:r>
        <w:t>:</w:t>
      </w:r>
      <w:hyperlink r:id="rId23">
        <w:r>
          <w:rPr>
            <w:rStyle w:val="Hyperlink"/>
          </w:rPr>
          <w:t>10.1126/scitranslmed.aad5169</w:t>
        </w:r>
      </w:hyperlink>
      <w:r>
        <w:t>.</w:t>
      </w:r>
    </w:p>
    <w:p w:rsidR="00855071" w:rsidRDefault="00855071" w:rsidP="00855071">
      <w:pPr>
        <w:pStyle w:val="Bibliography"/>
      </w:pPr>
      <w:r>
        <w:t xml:space="preserve">10. Wright CF, Fitzgerald TW, Jones WD, et al. Genetic diagnosis of developmental disorders in the DDD study: A scalable analysis of genome-wide research data. </w:t>
      </w:r>
      <w:r>
        <w:rPr>
          <w:i/>
        </w:rPr>
        <w:t>The Lancet</w:t>
      </w:r>
      <w:r>
        <w:t>. 2015</w:t>
      </w:r>
      <w:proofErr w:type="gramStart"/>
      <w:r>
        <w:t>;385</w:t>
      </w:r>
      <w:proofErr w:type="gramEnd"/>
      <w:r>
        <w:t xml:space="preserve">(9975):1305-1314. </w:t>
      </w:r>
      <w:proofErr w:type="gramStart"/>
      <w:r>
        <w:t>doi</w:t>
      </w:r>
      <w:proofErr w:type="gramEnd"/>
      <w:r>
        <w:t>:</w:t>
      </w:r>
      <w:hyperlink r:id="rId24">
        <w:r>
          <w:rPr>
            <w:rStyle w:val="Hyperlink"/>
          </w:rPr>
          <w:t>10.1016/s0140-6736(14)61705-0</w:t>
        </w:r>
      </w:hyperlink>
      <w:r>
        <w:t>.</w:t>
      </w:r>
    </w:p>
    <w:p w:rsidR="00855071" w:rsidRDefault="00855071" w:rsidP="00855071">
      <w:pPr>
        <w:pStyle w:val="Bibliography"/>
      </w:pPr>
      <w:r>
        <w:t xml:space="preserve">11. Taylor JC, Martin HC, </w:t>
      </w:r>
      <w:proofErr w:type="spellStart"/>
      <w:r>
        <w:t>Lise</w:t>
      </w:r>
      <w:proofErr w:type="spellEnd"/>
      <w:r>
        <w:t xml:space="preserve"> S, et al. Factors influencing success of clinical genome sequencing across a broad spectrum of disorders. </w:t>
      </w:r>
      <w:r>
        <w:rPr>
          <w:i/>
        </w:rPr>
        <w:t>Nature Genetics</w:t>
      </w:r>
      <w:r>
        <w:t>. 2015</w:t>
      </w:r>
      <w:proofErr w:type="gramStart"/>
      <w:r>
        <w:t>;47</w:t>
      </w:r>
      <w:proofErr w:type="gramEnd"/>
      <w:r>
        <w:t xml:space="preserve">(7):717-726. </w:t>
      </w:r>
      <w:proofErr w:type="gramStart"/>
      <w:r>
        <w:t>doi</w:t>
      </w:r>
      <w:proofErr w:type="gramEnd"/>
      <w:r>
        <w:t>:</w:t>
      </w:r>
      <w:hyperlink r:id="rId25">
        <w:r>
          <w:rPr>
            <w:rStyle w:val="Hyperlink"/>
          </w:rPr>
          <w:t>10.1038/ng.3304</w:t>
        </w:r>
      </w:hyperlink>
      <w:r>
        <w:t>.</w:t>
      </w:r>
    </w:p>
    <w:p w:rsidR="00855071" w:rsidRDefault="00855071" w:rsidP="00855071">
      <w:pPr>
        <w:pStyle w:val="Bibliography"/>
      </w:pPr>
      <w:r>
        <w:lastRenderedPageBreak/>
        <w:t>12. Saltzman AJ, Mancini-</w:t>
      </w:r>
      <w:proofErr w:type="spellStart"/>
      <w:r>
        <w:t>DiNardo</w:t>
      </w:r>
      <w:proofErr w:type="spellEnd"/>
      <w:r>
        <w:t xml:space="preserve"> D, Li C, et al. Short communication: The cardiac myosin binding protein c arg502Trp mutation: A common cause of hypertrophic cardiomyopathy. </w:t>
      </w:r>
      <w:r>
        <w:rPr>
          <w:i/>
        </w:rPr>
        <w:t>Circulation Research</w:t>
      </w:r>
      <w:r>
        <w:t>. 2010</w:t>
      </w:r>
      <w:proofErr w:type="gramStart"/>
      <w:r>
        <w:t>;106</w:t>
      </w:r>
      <w:proofErr w:type="gramEnd"/>
      <w:r>
        <w:t xml:space="preserve">(9):1549-1552. </w:t>
      </w:r>
      <w:proofErr w:type="gramStart"/>
      <w:r>
        <w:t>doi</w:t>
      </w:r>
      <w:proofErr w:type="gramEnd"/>
      <w:r>
        <w:t>:</w:t>
      </w:r>
      <w:hyperlink r:id="rId26">
        <w:r>
          <w:rPr>
            <w:rStyle w:val="Hyperlink"/>
          </w:rPr>
          <w:t>10.1161/circresaha.109.216291</w:t>
        </w:r>
      </w:hyperlink>
      <w:r>
        <w:t>.</w:t>
      </w:r>
    </w:p>
    <w:p w:rsidR="00855071" w:rsidRDefault="00855071" w:rsidP="00855071">
      <w:pPr>
        <w:pStyle w:val="Bibliography"/>
      </w:pPr>
      <w:r>
        <w:t xml:space="preserve">13. </w:t>
      </w:r>
      <w:proofErr w:type="spellStart"/>
      <w:r>
        <w:t>Pua</w:t>
      </w:r>
      <w:proofErr w:type="spellEnd"/>
      <w:r>
        <w:t xml:space="preserve"> CJ, </w:t>
      </w:r>
      <w:proofErr w:type="spellStart"/>
      <w:r>
        <w:t>Bhalshankar</w:t>
      </w:r>
      <w:proofErr w:type="spellEnd"/>
      <w:r>
        <w:t xml:space="preserve"> J, Miao K, et al. Development of a comprehensive sequencing assay for inherited cardiac condition genes. </w:t>
      </w:r>
      <w:proofErr w:type="gramStart"/>
      <w:r>
        <w:rPr>
          <w:i/>
        </w:rPr>
        <w:t>Journal of Cardiovascular Translational Research</w:t>
      </w:r>
      <w:r>
        <w:t>.</w:t>
      </w:r>
      <w:proofErr w:type="gramEnd"/>
      <w:r>
        <w:t xml:space="preserve"> 2016</w:t>
      </w:r>
      <w:proofErr w:type="gramStart"/>
      <w:r>
        <w:t>;9</w:t>
      </w:r>
      <w:proofErr w:type="gramEnd"/>
      <w:r>
        <w:t xml:space="preserve">(1):3-11. </w:t>
      </w:r>
      <w:proofErr w:type="gramStart"/>
      <w:r>
        <w:t>doi</w:t>
      </w:r>
      <w:proofErr w:type="gramEnd"/>
      <w:r>
        <w:t>:</w:t>
      </w:r>
      <w:hyperlink r:id="rId27">
        <w:r>
          <w:rPr>
            <w:rStyle w:val="Hyperlink"/>
          </w:rPr>
          <w:t>10.1007/s12265-016-9673-5</w:t>
        </w:r>
      </w:hyperlink>
      <w:r>
        <w:t>.</w:t>
      </w:r>
    </w:p>
    <w:p w:rsidR="00855071" w:rsidRDefault="00855071" w:rsidP="00855071">
      <w:pPr>
        <w:pStyle w:val="Bibliography"/>
      </w:pPr>
      <w:r>
        <w:t xml:space="preserve">14. </w:t>
      </w:r>
      <w:proofErr w:type="spellStart"/>
      <w:r>
        <w:t>Alfares</w:t>
      </w:r>
      <w:proofErr w:type="spellEnd"/>
      <w:r>
        <w:t xml:space="preserve"> AA, Kelly MA, McDermott G, et al. Results of clinical genetic testing of 2,912 </w:t>
      </w:r>
      <w:proofErr w:type="spellStart"/>
      <w:r>
        <w:t>probands</w:t>
      </w:r>
      <w:proofErr w:type="spellEnd"/>
      <w:r>
        <w:t xml:space="preserve"> with hypertrophic cardiomyopathy: Expanded panels offer limited additional sensitivity. </w:t>
      </w:r>
      <w:proofErr w:type="gramStart"/>
      <w:r>
        <w:rPr>
          <w:i/>
        </w:rPr>
        <w:t>Genetics in Medicine</w:t>
      </w:r>
      <w:r>
        <w:t>.</w:t>
      </w:r>
      <w:proofErr w:type="gramEnd"/>
      <w:r>
        <w:t xml:space="preserve"> 2015</w:t>
      </w:r>
      <w:proofErr w:type="gramStart"/>
      <w:r>
        <w:t>;17</w:t>
      </w:r>
      <w:proofErr w:type="gramEnd"/>
      <w:r>
        <w:t xml:space="preserve">(11):880-888. </w:t>
      </w:r>
      <w:proofErr w:type="gramStart"/>
      <w:r>
        <w:t>doi</w:t>
      </w:r>
      <w:proofErr w:type="gramEnd"/>
      <w:r>
        <w:t>:</w:t>
      </w:r>
      <w:hyperlink r:id="rId28">
        <w:r>
          <w:rPr>
            <w:rStyle w:val="Hyperlink"/>
          </w:rPr>
          <w:t>10.1038/gim.2014.205</w:t>
        </w:r>
      </w:hyperlink>
      <w:r>
        <w:t>.</w:t>
      </w:r>
    </w:p>
    <w:p w:rsidR="00855071" w:rsidRDefault="00855071" w:rsidP="00855071">
      <w:pPr>
        <w:pStyle w:val="Bibliography"/>
      </w:pPr>
      <w:r>
        <w:t xml:space="preserve">15. Walsh R, Thomson KL, Ware JS, et al. Reassessment of </w:t>
      </w:r>
      <w:proofErr w:type="spellStart"/>
      <w:proofErr w:type="gramStart"/>
      <w:r>
        <w:t>mendelian</w:t>
      </w:r>
      <w:proofErr w:type="spellEnd"/>
      <w:proofErr w:type="gramEnd"/>
      <w:r>
        <w:t xml:space="preserve"> gene pathogenicity using 7,855 cardiomyopathy cases and 60,706 reference samples. </w:t>
      </w:r>
      <w:proofErr w:type="gramStart"/>
      <w:r>
        <w:rPr>
          <w:i/>
        </w:rPr>
        <w:t>Genetics in Medicine</w:t>
      </w:r>
      <w:r>
        <w:t>.</w:t>
      </w:r>
      <w:proofErr w:type="gramEnd"/>
      <w:r>
        <w:t xml:space="preserve"> August 2016. </w:t>
      </w:r>
      <w:proofErr w:type="gramStart"/>
      <w:r>
        <w:t>doi</w:t>
      </w:r>
      <w:proofErr w:type="gramEnd"/>
      <w:r>
        <w:t>:</w:t>
      </w:r>
      <w:hyperlink r:id="rId29">
        <w:r>
          <w:rPr>
            <w:rStyle w:val="Hyperlink"/>
          </w:rPr>
          <w:t>10.1038/gim.2016.90</w:t>
        </w:r>
      </w:hyperlink>
      <w:r>
        <w:t>.</w:t>
      </w:r>
    </w:p>
    <w:p w:rsidR="00855071" w:rsidRDefault="00855071" w:rsidP="00855071">
      <w:pPr>
        <w:pStyle w:val="Bibliography"/>
      </w:pPr>
      <w:r>
        <w:t xml:space="preserve">16. Landrum MJ, Lee JM, Riley GR, et al. </w:t>
      </w:r>
      <w:proofErr w:type="spellStart"/>
      <w:r>
        <w:t>ClinVar</w:t>
      </w:r>
      <w:proofErr w:type="spellEnd"/>
      <w:r>
        <w:t xml:space="preserve">: Public archive of relationships among sequence variation and human phenotype. </w:t>
      </w:r>
      <w:proofErr w:type="gramStart"/>
      <w:r>
        <w:rPr>
          <w:i/>
        </w:rPr>
        <w:t>Nucleic Acids Research</w:t>
      </w:r>
      <w:r>
        <w:t>.</w:t>
      </w:r>
      <w:proofErr w:type="gramEnd"/>
      <w:r>
        <w:t xml:space="preserve"> 2013</w:t>
      </w:r>
      <w:proofErr w:type="gramStart"/>
      <w:r>
        <w:t>;42</w:t>
      </w:r>
      <w:proofErr w:type="gramEnd"/>
      <w:r>
        <w:t xml:space="preserve">(D1):D980-D985. </w:t>
      </w:r>
      <w:proofErr w:type="gramStart"/>
      <w:r>
        <w:t>doi</w:t>
      </w:r>
      <w:proofErr w:type="gramEnd"/>
      <w:r>
        <w:t>:</w:t>
      </w:r>
      <w:hyperlink r:id="rId30">
        <w:r>
          <w:rPr>
            <w:rStyle w:val="Hyperlink"/>
          </w:rPr>
          <w:t>10.1093/nar/gkt1113</w:t>
        </w:r>
      </w:hyperlink>
      <w:r>
        <w:t>.</w:t>
      </w:r>
    </w:p>
    <w:p w:rsidR="00855071" w:rsidRDefault="00855071" w:rsidP="00855071">
      <w:pPr>
        <w:pStyle w:val="Bibliography"/>
      </w:pPr>
      <w:r>
        <w:t xml:space="preserve">17. </w:t>
      </w:r>
      <w:proofErr w:type="spellStart"/>
      <w:r>
        <w:t>Collod-B’eroud</w:t>
      </w:r>
      <w:proofErr w:type="spellEnd"/>
      <w:r>
        <w:t xml:space="preserve"> G, </w:t>
      </w:r>
      <w:proofErr w:type="spellStart"/>
      <w:r>
        <w:t>Bourdelles</w:t>
      </w:r>
      <w:proofErr w:type="spellEnd"/>
      <w:r>
        <w:t xml:space="preserve"> SL, </w:t>
      </w:r>
      <w:proofErr w:type="spellStart"/>
      <w:r>
        <w:t>Ades</w:t>
      </w:r>
      <w:proofErr w:type="spellEnd"/>
      <w:r>
        <w:t xml:space="preserve"> L, et al. Update of the UMD-FBN1mutation database and creation of anFBN1polymorphism database. </w:t>
      </w:r>
      <w:r>
        <w:rPr>
          <w:i/>
        </w:rPr>
        <w:t>Human Mutation</w:t>
      </w:r>
      <w:r>
        <w:t>. 2003</w:t>
      </w:r>
      <w:proofErr w:type="gramStart"/>
      <w:r>
        <w:t>;22</w:t>
      </w:r>
      <w:proofErr w:type="gramEnd"/>
      <w:r>
        <w:t xml:space="preserve">(3):199-208. </w:t>
      </w:r>
      <w:proofErr w:type="gramStart"/>
      <w:r>
        <w:t>doi</w:t>
      </w:r>
      <w:proofErr w:type="gramEnd"/>
      <w:r>
        <w:t>:</w:t>
      </w:r>
      <w:hyperlink r:id="rId31">
        <w:r>
          <w:rPr>
            <w:rStyle w:val="Hyperlink"/>
          </w:rPr>
          <w:t>10.1002/humu.10249</w:t>
        </w:r>
      </w:hyperlink>
      <w:r>
        <w:t>.</w:t>
      </w:r>
    </w:p>
    <w:p w:rsidR="00855071" w:rsidRDefault="00855071" w:rsidP="00855071">
      <w:pPr>
        <w:pStyle w:val="Bibliography"/>
      </w:pPr>
      <w:r>
        <w:t xml:space="preserve">18. Roberts AE, </w:t>
      </w:r>
      <w:proofErr w:type="spellStart"/>
      <w:r>
        <w:t>Allanson</w:t>
      </w:r>
      <w:proofErr w:type="spellEnd"/>
      <w:r>
        <w:t xml:space="preserve"> JE, </w:t>
      </w:r>
      <w:proofErr w:type="spellStart"/>
      <w:r>
        <w:t>Tartaglia</w:t>
      </w:r>
      <w:proofErr w:type="spellEnd"/>
      <w:r>
        <w:t xml:space="preserve"> M, Gelb BD. Noonan syndrome. </w:t>
      </w:r>
      <w:r>
        <w:rPr>
          <w:i/>
        </w:rPr>
        <w:t>The Lancet</w:t>
      </w:r>
      <w:r>
        <w:t>. 2013</w:t>
      </w:r>
      <w:proofErr w:type="gramStart"/>
      <w:r>
        <w:t>;381</w:t>
      </w:r>
      <w:proofErr w:type="gramEnd"/>
      <w:r>
        <w:t xml:space="preserve">(9863):333-342. </w:t>
      </w:r>
      <w:proofErr w:type="gramStart"/>
      <w:r>
        <w:t>doi</w:t>
      </w:r>
      <w:proofErr w:type="gramEnd"/>
      <w:r>
        <w:t>:</w:t>
      </w:r>
      <w:hyperlink r:id="rId32">
        <w:r>
          <w:rPr>
            <w:rStyle w:val="Hyperlink"/>
          </w:rPr>
          <w:t>10.1016/s0140-6736(12)61023-x</w:t>
        </w:r>
      </w:hyperlink>
      <w:r>
        <w:t>.</w:t>
      </w:r>
    </w:p>
    <w:p w:rsidR="00855071" w:rsidRDefault="00855071" w:rsidP="00855071">
      <w:pPr>
        <w:pStyle w:val="Bibliography"/>
      </w:pPr>
      <w:r>
        <w:t xml:space="preserve">19. Napolitano C, </w:t>
      </w:r>
      <w:proofErr w:type="spellStart"/>
      <w:r>
        <w:t>Bloise</w:t>
      </w:r>
      <w:proofErr w:type="spellEnd"/>
      <w:r>
        <w:t xml:space="preserve"> R, </w:t>
      </w:r>
      <w:proofErr w:type="spellStart"/>
      <w:r>
        <w:t>Memmi</w:t>
      </w:r>
      <w:proofErr w:type="spellEnd"/>
      <w:r>
        <w:t xml:space="preserve"> M, Priori SG. Clinical utility gene card for: </w:t>
      </w:r>
      <w:proofErr w:type="spellStart"/>
      <w:r>
        <w:t>Catecholaminergic</w:t>
      </w:r>
      <w:proofErr w:type="spellEnd"/>
      <w:r>
        <w:t xml:space="preserve"> polymorphic ventricular tachycardia (CPVT). </w:t>
      </w:r>
      <w:proofErr w:type="gramStart"/>
      <w:r>
        <w:rPr>
          <w:i/>
        </w:rPr>
        <w:t>European Journal of Human Genetics</w:t>
      </w:r>
      <w:r>
        <w:t>.</w:t>
      </w:r>
      <w:proofErr w:type="gramEnd"/>
      <w:r>
        <w:t xml:space="preserve"> 2013</w:t>
      </w:r>
      <w:proofErr w:type="gramStart"/>
      <w:r>
        <w:t>;22</w:t>
      </w:r>
      <w:proofErr w:type="gramEnd"/>
      <w:r>
        <w:t xml:space="preserve">(1). </w:t>
      </w:r>
      <w:proofErr w:type="gramStart"/>
      <w:r>
        <w:t>doi</w:t>
      </w:r>
      <w:proofErr w:type="gramEnd"/>
      <w:r>
        <w:t>:</w:t>
      </w:r>
      <w:hyperlink r:id="rId33">
        <w:r>
          <w:rPr>
            <w:rStyle w:val="Hyperlink"/>
          </w:rPr>
          <w:t>10.1038/ejhg.2013.55</w:t>
        </w:r>
      </w:hyperlink>
      <w:r>
        <w:t>.</w:t>
      </w:r>
    </w:p>
    <w:p w:rsidR="00855071" w:rsidRDefault="00855071" w:rsidP="00855071">
      <w:pPr>
        <w:pStyle w:val="Bibliography"/>
      </w:pPr>
      <w:r>
        <w:t xml:space="preserve">20. </w:t>
      </w:r>
      <w:proofErr w:type="spellStart"/>
      <w:r>
        <w:t>Malfait</w:t>
      </w:r>
      <w:proofErr w:type="spellEnd"/>
      <w:r>
        <w:t xml:space="preserve"> F, </w:t>
      </w:r>
      <w:proofErr w:type="spellStart"/>
      <w:r>
        <w:t>Wenstrup</w:t>
      </w:r>
      <w:proofErr w:type="spellEnd"/>
      <w:r>
        <w:t xml:space="preserve"> RJ, </w:t>
      </w:r>
      <w:proofErr w:type="spellStart"/>
      <w:r>
        <w:t>Paepe</w:t>
      </w:r>
      <w:proofErr w:type="spellEnd"/>
      <w:r>
        <w:t xml:space="preserve"> AD. </w:t>
      </w:r>
      <w:proofErr w:type="gramStart"/>
      <w:r>
        <w:t xml:space="preserve">Clinical and genetic aspects of </w:t>
      </w:r>
      <w:proofErr w:type="spellStart"/>
      <w:r>
        <w:t>ehlers-danlos</w:t>
      </w:r>
      <w:proofErr w:type="spellEnd"/>
      <w:r>
        <w:t xml:space="preserve"> syndrome, classic type.</w:t>
      </w:r>
      <w:proofErr w:type="gramEnd"/>
      <w:r>
        <w:t xml:space="preserve"> </w:t>
      </w:r>
      <w:proofErr w:type="gramStart"/>
      <w:r>
        <w:rPr>
          <w:i/>
        </w:rPr>
        <w:t>Genetics in Medicine</w:t>
      </w:r>
      <w:r>
        <w:t>.</w:t>
      </w:r>
      <w:proofErr w:type="gramEnd"/>
      <w:r>
        <w:t xml:space="preserve"> 2010</w:t>
      </w:r>
      <w:proofErr w:type="gramStart"/>
      <w:r>
        <w:t>;12</w:t>
      </w:r>
      <w:proofErr w:type="gramEnd"/>
      <w:r>
        <w:t xml:space="preserve">(10):597-605. </w:t>
      </w:r>
      <w:proofErr w:type="gramStart"/>
      <w:r>
        <w:t>doi</w:t>
      </w:r>
      <w:proofErr w:type="gramEnd"/>
      <w:r>
        <w:t>:</w:t>
      </w:r>
      <w:hyperlink r:id="rId34">
        <w:r>
          <w:rPr>
            <w:rStyle w:val="Hyperlink"/>
          </w:rPr>
          <w:t>10.1097/gim.0b013e3181eed412</w:t>
        </w:r>
      </w:hyperlink>
      <w:r>
        <w:t>.</w:t>
      </w:r>
    </w:p>
    <w:p w:rsidR="00855071" w:rsidRDefault="00855071" w:rsidP="00855071">
      <w:pPr>
        <w:pStyle w:val="Bibliography"/>
      </w:pPr>
      <w:r>
        <w:t xml:space="preserve">21. Lucas JS, Burgess A, </w:t>
      </w:r>
      <w:proofErr w:type="spellStart"/>
      <w:r>
        <w:t>Mitchison</w:t>
      </w:r>
      <w:proofErr w:type="spellEnd"/>
      <w:r>
        <w:t xml:space="preserve"> HM, </w:t>
      </w:r>
      <w:proofErr w:type="spellStart"/>
      <w:r>
        <w:t>Moya</w:t>
      </w:r>
      <w:proofErr w:type="spellEnd"/>
      <w:r>
        <w:t xml:space="preserve"> E, Williamson M, and CH. Diagnosis and management of primary </w:t>
      </w:r>
      <w:proofErr w:type="spellStart"/>
      <w:r>
        <w:t>ciliary</w:t>
      </w:r>
      <w:proofErr w:type="spellEnd"/>
      <w:r>
        <w:t xml:space="preserve"> dyskinesia. </w:t>
      </w:r>
      <w:proofErr w:type="gramStart"/>
      <w:r>
        <w:rPr>
          <w:i/>
        </w:rPr>
        <w:t>Archives of Disease in Childhood</w:t>
      </w:r>
      <w:r>
        <w:t>.</w:t>
      </w:r>
      <w:proofErr w:type="gramEnd"/>
      <w:r>
        <w:t xml:space="preserve"> 2014</w:t>
      </w:r>
      <w:proofErr w:type="gramStart"/>
      <w:r>
        <w:t>;99</w:t>
      </w:r>
      <w:proofErr w:type="gramEnd"/>
      <w:r>
        <w:t xml:space="preserve">(9):850-856. </w:t>
      </w:r>
      <w:proofErr w:type="gramStart"/>
      <w:r>
        <w:t>doi</w:t>
      </w:r>
      <w:proofErr w:type="gramEnd"/>
      <w:r>
        <w:t>:</w:t>
      </w:r>
      <w:hyperlink r:id="rId35">
        <w:r>
          <w:rPr>
            <w:rStyle w:val="Hyperlink"/>
          </w:rPr>
          <w:t>10.1136/archdischild-2013-304831</w:t>
        </w:r>
      </w:hyperlink>
      <w:r>
        <w:t>.</w:t>
      </w:r>
    </w:p>
    <w:p w:rsidR="00855071" w:rsidRDefault="00855071" w:rsidP="00855071">
      <w:pPr>
        <w:pStyle w:val="Bibliography"/>
      </w:pPr>
      <w:r>
        <w:t xml:space="preserve">22. </w:t>
      </w:r>
      <w:proofErr w:type="spellStart"/>
      <w:r>
        <w:t>Zariwala</w:t>
      </w:r>
      <w:proofErr w:type="spellEnd"/>
      <w:r>
        <w:t xml:space="preserve"> MA, Leigh MW, </w:t>
      </w:r>
      <w:proofErr w:type="spellStart"/>
      <w:r>
        <w:t>Ceppa</w:t>
      </w:r>
      <w:proofErr w:type="spellEnd"/>
      <w:r>
        <w:t xml:space="preserve"> F, et al. Mutations of DNAI1 in primary </w:t>
      </w:r>
      <w:proofErr w:type="spellStart"/>
      <w:r>
        <w:t>ciliary</w:t>
      </w:r>
      <w:proofErr w:type="spellEnd"/>
      <w:r>
        <w:t xml:space="preserve"> dyskinesia. </w:t>
      </w:r>
      <w:proofErr w:type="gramStart"/>
      <w:r>
        <w:rPr>
          <w:i/>
        </w:rPr>
        <w:t>American Journal of Respiratory and Critical Care Medicine</w:t>
      </w:r>
      <w:r>
        <w:t>.</w:t>
      </w:r>
      <w:proofErr w:type="gramEnd"/>
      <w:r>
        <w:t xml:space="preserve"> 2006</w:t>
      </w:r>
      <w:proofErr w:type="gramStart"/>
      <w:r>
        <w:t>;174</w:t>
      </w:r>
      <w:proofErr w:type="gramEnd"/>
      <w:r>
        <w:t>(8):858-866. doi:</w:t>
      </w:r>
      <w:hyperlink r:id="rId36">
        <w:r>
          <w:rPr>
            <w:rStyle w:val="Hyperlink"/>
          </w:rPr>
          <w:t>10.1164/rccm.200603-370oc</w:t>
        </w:r>
      </w:hyperlink>
      <w:r>
        <w:t>.</w:t>
      </w:r>
    </w:p>
    <w:p w:rsidR="00855071" w:rsidRDefault="00855071" w:rsidP="00855071">
      <w:pPr>
        <w:pStyle w:val="Bibliography"/>
      </w:pPr>
      <w:r>
        <w:t xml:space="preserve">23. </w:t>
      </w:r>
      <w:proofErr w:type="spellStart"/>
      <w:r>
        <w:t>Hornef</w:t>
      </w:r>
      <w:proofErr w:type="spellEnd"/>
      <w:r>
        <w:t xml:space="preserve"> N, </w:t>
      </w:r>
      <w:proofErr w:type="spellStart"/>
      <w:r>
        <w:t>Olbrich</w:t>
      </w:r>
      <w:proofErr w:type="spellEnd"/>
      <w:r>
        <w:t xml:space="preserve"> H, Horvath J, et al. DNAH5 mutations are a common cause of primary </w:t>
      </w:r>
      <w:proofErr w:type="spellStart"/>
      <w:r>
        <w:t>ciliary</w:t>
      </w:r>
      <w:proofErr w:type="spellEnd"/>
      <w:r>
        <w:t xml:space="preserve"> dyskinesia with outer dynein arm defects. </w:t>
      </w:r>
      <w:proofErr w:type="gramStart"/>
      <w:r>
        <w:rPr>
          <w:i/>
        </w:rPr>
        <w:t>American Journal of Respiratory and Critical Care Medicine</w:t>
      </w:r>
      <w:r>
        <w:t>.</w:t>
      </w:r>
      <w:proofErr w:type="gramEnd"/>
      <w:r>
        <w:t xml:space="preserve"> 2006</w:t>
      </w:r>
      <w:proofErr w:type="gramStart"/>
      <w:r>
        <w:t>;174</w:t>
      </w:r>
      <w:proofErr w:type="gramEnd"/>
      <w:r>
        <w:t xml:space="preserve">(2):120-126. </w:t>
      </w:r>
      <w:proofErr w:type="gramStart"/>
      <w:r>
        <w:t>doi</w:t>
      </w:r>
      <w:proofErr w:type="gramEnd"/>
      <w:r>
        <w:t>:</w:t>
      </w:r>
      <w:hyperlink r:id="rId37">
        <w:r>
          <w:rPr>
            <w:rStyle w:val="Hyperlink"/>
          </w:rPr>
          <w:t>10.1164/rccm.200601-084oc</w:t>
        </w:r>
      </w:hyperlink>
      <w:r>
        <w:t>.</w:t>
      </w:r>
    </w:p>
    <w:p w:rsidR="00855071" w:rsidRDefault="00855071" w:rsidP="00855071">
      <w:pPr>
        <w:pStyle w:val="Bibliography"/>
      </w:pPr>
      <w:r>
        <w:lastRenderedPageBreak/>
        <w:t xml:space="preserve">24. </w:t>
      </w:r>
      <w:proofErr w:type="spellStart"/>
      <w:r>
        <w:t>Panizzi</w:t>
      </w:r>
      <w:proofErr w:type="spellEnd"/>
      <w:r>
        <w:t xml:space="preserve"> JR, Becker-Heck A, </w:t>
      </w:r>
      <w:proofErr w:type="spellStart"/>
      <w:r>
        <w:t>Castleman</w:t>
      </w:r>
      <w:proofErr w:type="spellEnd"/>
      <w:r>
        <w:t xml:space="preserve"> VH, et al. CCDC103 mutations cause primary </w:t>
      </w:r>
      <w:proofErr w:type="spellStart"/>
      <w:r>
        <w:t>ciliary</w:t>
      </w:r>
      <w:proofErr w:type="spellEnd"/>
      <w:r>
        <w:t xml:space="preserve"> dyskinesia by disrupting assembly of </w:t>
      </w:r>
      <w:proofErr w:type="spellStart"/>
      <w:r>
        <w:t>ciliary</w:t>
      </w:r>
      <w:proofErr w:type="spellEnd"/>
      <w:r>
        <w:t xml:space="preserve"> dynein arms. </w:t>
      </w:r>
      <w:r>
        <w:rPr>
          <w:i/>
        </w:rPr>
        <w:t>Nature Genetics</w:t>
      </w:r>
      <w:r>
        <w:t>. 2012</w:t>
      </w:r>
      <w:proofErr w:type="gramStart"/>
      <w:r>
        <w:t>;44</w:t>
      </w:r>
      <w:proofErr w:type="gramEnd"/>
      <w:r>
        <w:t xml:space="preserve">(6):714-719. </w:t>
      </w:r>
      <w:proofErr w:type="gramStart"/>
      <w:r>
        <w:t>doi</w:t>
      </w:r>
      <w:proofErr w:type="gramEnd"/>
      <w:r>
        <w:t>:</w:t>
      </w:r>
      <w:hyperlink r:id="rId38">
        <w:r>
          <w:rPr>
            <w:rStyle w:val="Hyperlink"/>
          </w:rPr>
          <w:t>10.1038/ng.2277</w:t>
        </w:r>
      </w:hyperlink>
      <w:r>
        <w:t>.</w:t>
      </w:r>
    </w:p>
    <w:p w:rsidR="00855071" w:rsidRDefault="00855071" w:rsidP="00855071">
      <w:pPr>
        <w:pStyle w:val="Bibliography"/>
      </w:pPr>
      <w:r>
        <w:t xml:space="preserve">25. </w:t>
      </w:r>
      <w:proofErr w:type="spellStart"/>
      <w:r>
        <w:t>Samocha</w:t>
      </w:r>
      <w:proofErr w:type="spellEnd"/>
      <w:r>
        <w:t xml:space="preserve"> KE, Robinson EB, Sanders SJ, et al. </w:t>
      </w:r>
      <w:proofErr w:type="gramStart"/>
      <w:r>
        <w:t>A framework for the interpretation of de novo mutation in human disease.</w:t>
      </w:r>
      <w:proofErr w:type="gramEnd"/>
      <w:r>
        <w:t xml:space="preserve"> </w:t>
      </w:r>
      <w:r>
        <w:rPr>
          <w:i/>
        </w:rPr>
        <w:t>Nature Genetics</w:t>
      </w:r>
      <w:r>
        <w:t>. 2014</w:t>
      </w:r>
      <w:proofErr w:type="gramStart"/>
      <w:r>
        <w:t>;46</w:t>
      </w:r>
      <w:proofErr w:type="gramEnd"/>
      <w:r>
        <w:t xml:space="preserve">(9):944-950. </w:t>
      </w:r>
      <w:proofErr w:type="gramStart"/>
      <w:r>
        <w:t>doi</w:t>
      </w:r>
      <w:proofErr w:type="gramEnd"/>
      <w:r>
        <w:t>:</w:t>
      </w:r>
      <w:hyperlink r:id="rId39">
        <w:r>
          <w:rPr>
            <w:rStyle w:val="Hyperlink"/>
          </w:rPr>
          <w:t>10.1038/ng.3050</w:t>
        </w:r>
      </w:hyperlink>
      <w:r>
        <w:t>.</w:t>
      </w:r>
    </w:p>
    <w:p w:rsidR="00855071" w:rsidRDefault="00855071" w:rsidP="00855071">
      <w:pPr>
        <w:pStyle w:val="Bibliography"/>
      </w:pPr>
      <w:r>
        <w:t xml:space="preserve">26. </w:t>
      </w:r>
      <w:proofErr w:type="spellStart"/>
      <w:r>
        <w:t>Siepel</w:t>
      </w:r>
      <w:proofErr w:type="spellEnd"/>
      <w:r>
        <w:t xml:space="preserve"> A. Evolutionarily conserved elements in vertebrate, insect, worm, and yeast genomes. </w:t>
      </w:r>
      <w:r>
        <w:rPr>
          <w:i/>
        </w:rPr>
        <w:t>Genome Research</w:t>
      </w:r>
      <w:r>
        <w:t>. 2005</w:t>
      </w:r>
      <w:proofErr w:type="gramStart"/>
      <w:r>
        <w:t>;15</w:t>
      </w:r>
      <w:proofErr w:type="gramEnd"/>
      <w:r>
        <w:t>(8):1034-1050. doi:</w:t>
      </w:r>
      <w:hyperlink r:id="rId40">
        <w:r>
          <w:rPr>
            <w:rStyle w:val="Hyperlink"/>
          </w:rPr>
          <w:t>10.1101/gr.3715005</w:t>
        </w:r>
      </w:hyperlink>
      <w:r>
        <w:t>.</w:t>
      </w:r>
    </w:p>
    <w:p w:rsidR="00855071" w:rsidRDefault="00855071" w:rsidP="00855071">
      <w:pPr>
        <w:pStyle w:val="Bibliography"/>
      </w:pPr>
      <w:r>
        <w:t xml:space="preserve">27. Cooper GM. Distribution and intensity of constraint in mammalian genomic sequence. </w:t>
      </w:r>
      <w:r>
        <w:rPr>
          <w:i/>
        </w:rPr>
        <w:t>Genome Research</w:t>
      </w:r>
      <w:r>
        <w:t>. 2005</w:t>
      </w:r>
      <w:proofErr w:type="gramStart"/>
      <w:r>
        <w:t>;15</w:t>
      </w:r>
      <w:proofErr w:type="gramEnd"/>
      <w:r>
        <w:t xml:space="preserve">(7):901-913. </w:t>
      </w:r>
      <w:proofErr w:type="gramStart"/>
      <w:r>
        <w:t>doi</w:t>
      </w:r>
      <w:proofErr w:type="gramEnd"/>
      <w:r>
        <w:t>:</w:t>
      </w:r>
      <w:hyperlink r:id="rId41">
        <w:r>
          <w:rPr>
            <w:rStyle w:val="Hyperlink"/>
          </w:rPr>
          <w:t>10.1101/gr.3577405</w:t>
        </w:r>
      </w:hyperlink>
      <w:r>
        <w:t>.</w:t>
      </w:r>
    </w:p>
    <w:p w:rsidR="00855071" w:rsidRDefault="00855071" w:rsidP="00855071">
      <w:pPr>
        <w:pStyle w:val="Bibliography"/>
      </w:pPr>
      <w:r>
        <w:t xml:space="preserve">28. </w:t>
      </w:r>
      <w:proofErr w:type="spellStart"/>
      <w:r>
        <w:t>Adzhubei</w:t>
      </w:r>
      <w:proofErr w:type="spellEnd"/>
      <w:r>
        <w:t xml:space="preserve"> IA, Schmidt S, </w:t>
      </w:r>
      <w:proofErr w:type="spellStart"/>
      <w:r>
        <w:t>Peshkin</w:t>
      </w:r>
      <w:proofErr w:type="spellEnd"/>
      <w:r>
        <w:t xml:space="preserve"> L, et al. </w:t>
      </w:r>
      <w:proofErr w:type="gramStart"/>
      <w:r>
        <w:t>A method and server for predicting damaging missense mutations.</w:t>
      </w:r>
      <w:proofErr w:type="gramEnd"/>
      <w:r>
        <w:t xml:space="preserve"> </w:t>
      </w:r>
      <w:r>
        <w:rPr>
          <w:i/>
        </w:rPr>
        <w:t>Nature Methods</w:t>
      </w:r>
      <w:r>
        <w:t>. 2010</w:t>
      </w:r>
      <w:proofErr w:type="gramStart"/>
      <w:r>
        <w:t>;7</w:t>
      </w:r>
      <w:proofErr w:type="gramEnd"/>
      <w:r>
        <w:t xml:space="preserve">(4):248-249. </w:t>
      </w:r>
      <w:proofErr w:type="gramStart"/>
      <w:r>
        <w:t>doi</w:t>
      </w:r>
      <w:proofErr w:type="gramEnd"/>
      <w:r>
        <w:t>:</w:t>
      </w:r>
      <w:hyperlink r:id="rId42">
        <w:r>
          <w:rPr>
            <w:rStyle w:val="Hyperlink"/>
          </w:rPr>
          <w:t>10.1038/nmeth0410-248</w:t>
        </w:r>
      </w:hyperlink>
      <w:r>
        <w:t>.</w:t>
      </w:r>
    </w:p>
    <w:p w:rsidR="00855071" w:rsidRDefault="00855071" w:rsidP="00855071">
      <w:pPr>
        <w:pStyle w:val="Bibliography"/>
      </w:pPr>
      <w:r>
        <w:t xml:space="preserve">29. </w:t>
      </w:r>
      <w:proofErr w:type="spellStart"/>
      <w:r>
        <w:t>Sim</w:t>
      </w:r>
      <w:proofErr w:type="spellEnd"/>
      <w:r>
        <w:t xml:space="preserve"> N-L, Kumar P, Hu J, </w:t>
      </w:r>
      <w:proofErr w:type="spellStart"/>
      <w:r>
        <w:t>Henikoff</w:t>
      </w:r>
      <w:proofErr w:type="spellEnd"/>
      <w:r>
        <w:t xml:space="preserve"> S, Schneider G, Ng PC. SIFT web server: Predicting effects of amino acid substitutions on proteins. </w:t>
      </w:r>
      <w:proofErr w:type="gramStart"/>
      <w:r>
        <w:rPr>
          <w:i/>
        </w:rPr>
        <w:t>Nucleic Acids Research</w:t>
      </w:r>
      <w:r>
        <w:t>.</w:t>
      </w:r>
      <w:proofErr w:type="gramEnd"/>
      <w:r>
        <w:t xml:space="preserve"> 2012</w:t>
      </w:r>
      <w:proofErr w:type="gramStart"/>
      <w:r>
        <w:t>;40</w:t>
      </w:r>
      <w:proofErr w:type="gramEnd"/>
      <w:r>
        <w:t xml:space="preserve">(W1):W452-W457. </w:t>
      </w:r>
      <w:proofErr w:type="gramStart"/>
      <w:r>
        <w:t>doi</w:t>
      </w:r>
      <w:proofErr w:type="gramEnd"/>
      <w:r>
        <w:t>:</w:t>
      </w:r>
      <w:hyperlink r:id="rId43">
        <w:r>
          <w:rPr>
            <w:rStyle w:val="Hyperlink"/>
          </w:rPr>
          <w:t>10.1093/nar/gks539</w:t>
        </w:r>
      </w:hyperlink>
      <w:r>
        <w:t>.</w:t>
      </w:r>
    </w:p>
    <w:p w:rsidR="00855071" w:rsidRDefault="00855071" w:rsidP="00855071">
      <w:pPr>
        <w:pStyle w:val="Bibliography"/>
      </w:pPr>
      <w:r>
        <w:t xml:space="preserve">30. </w:t>
      </w:r>
      <w:proofErr w:type="spellStart"/>
      <w:r>
        <w:t>Guerreiro</w:t>
      </w:r>
      <w:proofErr w:type="spellEnd"/>
      <w:r>
        <w:t xml:space="preserve"> R, </w:t>
      </w:r>
      <w:proofErr w:type="spellStart"/>
      <w:r>
        <w:t>Br’as</w:t>
      </w:r>
      <w:proofErr w:type="spellEnd"/>
      <w:r>
        <w:t xml:space="preserve"> J, Hardy J. </w:t>
      </w:r>
      <w:proofErr w:type="spellStart"/>
      <w:r>
        <w:t>SnapShot</w:t>
      </w:r>
      <w:proofErr w:type="spellEnd"/>
      <w:r>
        <w:t xml:space="preserve">: Genetics of </w:t>
      </w:r>
      <w:proofErr w:type="spellStart"/>
      <w:proofErr w:type="gramStart"/>
      <w:r>
        <w:t>alzheimer’s</w:t>
      </w:r>
      <w:proofErr w:type="spellEnd"/>
      <w:proofErr w:type="gramEnd"/>
      <w:r>
        <w:t xml:space="preserve"> disease. </w:t>
      </w:r>
      <w:r>
        <w:rPr>
          <w:i/>
        </w:rPr>
        <w:t>Cell</w:t>
      </w:r>
      <w:r>
        <w:t>. 2013</w:t>
      </w:r>
      <w:proofErr w:type="gramStart"/>
      <w:r>
        <w:t>;155</w:t>
      </w:r>
      <w:proofErr w:type="gramEnd"/>
      <w:r>
        <w:t xml:space="preserve">(4):968-968.e1. </w:t>
      </w:r>
      <w:proofErr w:type="gramStart"/>
      <w:r>
        <w:t>doi</w:t>
      </w:r>
      <w:proofErr w:type="gramEnd"/>
      <w:r>
        <w:t>:</w:t>
      </w:r>
      <w:hyperlink r:id="rId44">
        <w:r>
          <w:rPr>
            <w:rStyle w:val="Hyperlink"/>
          </w:rPr>
          <w:t>10.1016/j.cell.2013.10.037</w:t>
        </w:r>
      </w:hyperlink>
      <w:r>
        <w:t>.</w:t>
      </w:r>
    </w:p>
    <w:p w:rsidR="00855071" w:rsidRDefault="00855071" w:rsidP="00855071">
      <w:pPr>
        <w:pStyle w:val="Bibliography"/>
      </w:pPr>
      <w:r>
        <w:t xml:space="preserve">31. </w:t>
      </w:r>
      <w:proofErr w:type="spellStart"/>
      <w:r>
        <w:t>Br’as</w:t>
      </w:r>
      <w:proofErr w:type="spellEnd"/>
      <w:r>
        <w:t xml:space="preserve"> J, </w:t>
      </w:r>
      <w:proofErr w:type="spellStart"/>
      <w:r>
        <w:t>Guerreiro</w:t>
      </w:r>
      <w:proofErr w:type="spellEnd"/>
      <w:r>
        <w:t xml:space="preserve"> R, Hardy J. </w:t>
      </w:r>
      <w:proofErr w:type="spellStart"/>
      <w:r>
        <w:t>SnapShot</w:t>
      </w:r>
      <w:proofErr w:type="spellEnd"/>
      <w:r>
        <w:t xml:space="preserve">: Genetics of </w:t>
      </w:r>
      <w:proofErr w:type="spellStart"/>
      <w:proofErr w:type="gramStart"/>
      <w:r>
        <w:t>parkinson’s</w:t>
      </w:r>
      <w:proofErr w:type="spellEnd"/>
      <w:proofErr w:type="gramEnd"/>
      <w:r>
        <w:t xml:space="preserve"> disease. </w:t>
      </w:r>
      <w:r>
        <w:rPr>
          <w:i/>
        </w:rPr>
        <w:t>Cell</w:t>
      </w:r>
      <w:r>
        <w:t>. 2015</w:t>
      </w:r>
      <w:proofErr w:type="gramStart"/>
      <w:r>
        <w:t>;160</w:t>
      </w:r>
      <w:proofErr w:type="gramEnd"/>
      <w:r>
        <w:t xml:space="preserve">(3):570-570.e1. </w:t>
      </w:r>
      <w:proofErr w:type="gramStart"/>
      <w:r>
        <w:t>doi</w:t>
      </w:r>
      <w:proofErr w:type="gramEnd"/>
      <w:r>
        <w:t>:</w:t>
      </w:r>
      <w:hyperlink r:id="rId45">
        <w:r>
          <w:rPr>
            <w:rStyle w:val="Hyperlink"/>
          </w:rPr>
          <w:t>10.1016/j.cell.2015.01.019</w:t>
        </w:r>
      </w:hyperlink>
      <w:r>
        <w:t>.</w:t>
      </w:r>
    </w:p>
    <w:p w:rsidR="00855071" w:rsidRDefault="00855071" w:rsidP="00855071">
      <w:pPr>
        <w:pStyle w:val="Bibliography"/>
      </w:pPr>
      <w:r>
        <w:t xml:space="preserve">32. </w:t>
      </w:r>
      <w:proofErr w:type="spellStart"/>
      <w:r>
        <w:t>Guerreiro</w:t>
      </w:r>
      <w:proofErr w:type="spellEnd"/>
      <w:r>
        <w:t xml:space="preserve"> R, </w:t>
      </w:r>
      <w:proofErr w:type="spellStart"/>
      <w:r>
        <w:t>Br’as</w:t>
      </w:r>
      <w:proofErr w:type="spellEnd"/>
      <w:r>
        <w:t xml:space="preserve"> J, Hardy J. </w:t>
      </w:r>
      <w:proofErr w:type="spellStart"/>
      <w:r>
        <w:t>SnapShot</w:t>
      </w:r>
      <w:proofErr w:type="spellEnd"/>
      <w:r>
        <w:t xml:space="preserve">: Genetics of ALS and FTD. </w:t>
      </w:r>
      <w:r>
        <w:rPr>
          <w:i/>
        </w:rPr>
        <w:t>Cell</w:t>
      </w:r>
      <w:r>
        <w:t>. 2015</w:t>
      </w:r>
      <w:proofErr w:type="gramStart"/>
      <w:r>
        <w:t>;160</w:t>
      </w:r>
      <w:proofErr w:type="gramEnd"/>
      <w:r>
        <w:t xml:space="preserve">(4):798-798.e1. </w:t>
      </w:r>
      <w:proofErr w:type="gramStart"/>
      <w:r>
        <w:t>doi</w:t>
      </w:r>
      <w:proofErr w:type="gramEnd"/>
      <w:r>
        <w:t>:</w:t>
      </w:r>
      <w:hyperlink r:id="rId46">
        <w:r>
          <w:rPr>
            <w:rStyle w:val="Hyperlink"/>
          </w:rPr>
          <w:t>10.1016/j.cell.2015.01.052</w:t>
        </w:r>
      </w:hyperlink>
      <w:r>
        <w:t>.</w:t>
      </w:r>
    </w:p>
    <w:p w:rsidR="00855071" w:rsidRDefault="00855071" w:rsidP="00855071">
      <w:pPr>
        <w:pStyle w:val="Bibliography"/>
      </w:pPr>
      <w:r>
        <w:t xml:space="preserve">33. </w:t>
      </w:r>
      <w:proofErr w:type="spellStart"/>
      <w:r>
        <w:t>Lill</w:t>
      </w:r>
      <w:proofErr w:type="spellEnd"/>
      <w:r>
        <w:t xml:space="preserve"> CM, </w:t>
      </w:r>
      <w:proofErr w:type="spellStart"/>
      <w:r>
        <w:t>Roehr</w:t>
      </w:r>
      <w:proofErr w:type="spellEnd"/>
      <w:r>
        <w:t xml:space="preserve"> JT, McQueen MB, et al. Comprehensive research synopsis and systematic meta-analyses in </w:t>
      </w:r>
      <w:proofErr w:type="spellStart"/>
      <w:r>
        <w:t>parkinsons</w:t>
      </w:r>
      <w:proofErr w:type="spellEnd"/>
      <w:r>
        <w:t xml:space="preserve"> disease genetics: The </w:t>
      </w:r>
      <w:proofErr w:type="spellStart"/>
      <w:r>
        <w:t>PDGene</w:t>
      </w:r>
      <w:proofErr w:type="spellEnd"/>
      <w:r>
        <w:t xml:space="preserve"> database. Myers AJ, ed. </w:t>
      </w:r>
      <w:proofErr w:type="spellStart"/>
      <w:r>
        <w:rPr>
          <w:i/>
        </w:rPr>
        <w:t>PLoS</w:t>
      </w:r>
      <w:proofErr w:type="spellEnd"/>
      <w:r>
        <w:rPr>
          <w:i/>
        </w:rPr>
        <w:t xml:space="preserve"> Genetics</w:t>
      </w:r>
      <w:r>
        <w:t>. 2012;8(3)</w:t>
      </w:r>
      <w:proofErr w:type="gramStart"/>
      <w:r>
        <w:t>:e1002548</w:t>
      </w:r>
      <w:proofErr w:type="gramEnd"/>
      <w:r>
        <w:t xml:space="preserve">. </w:t>
      </w:r>
      <w:proofErr w:type="gramStart"/>
      <w:r>
        <w:t>doi</w:t>
      </w:r>
      <w:proofErr w:type="gramEnd"/>
      <w:r>
        <w:t>:</w:t>
      </w:r>
      <w:hyperlink r:id="rId47">
        <w:r>
          <w:rPr>
            <w:rStyle w:val="Hyperlink"/>
          </w:rPr>
          <w:t>10.1371/journal.pgen.1002548</w:t>
        </w:r>
      </w:hyperlink>
      <w:r>
        <w:t>.</w:t>
      </w:r>
    </w:p>
    <w:p w:rsidR="00855071" w:rsidRDefault="00855071" w:rsidP="00855071">
      <w:pPr>
        <w:pStyle w:val="Bibliography"/>
      </w:pPr>
      <w:r>
        <w:t xml:space="preserve">34. </w:t>
      </w:r>
      <w:proofErr w:type="spellStart"/>
      <w:r>
        <w:t>Minikel</w:t>
      </w:r>
      <w:proofErr w:type="spellEnd"/>
      <w:r>
        <w:t xml:space="preserve"> EV, MacArthur DG. Publicly available data provide evidence against NR1H3 r415Q causing multiple sclerosis. </w:t>
      </w:r>
      <w:r>
        <w:rPr>
          <w:i/>
        </w:rPr>
        <w:t>Neuron</w:t>
      </w:r>
      <w:r>
        <w:t>. 2016</w:t>
      </w:r>
      <w:proofErr w:type="gramStart"/>
      <w:r>
        <w:t>;92</w:t>
      </w:r>
      <w:proofErr w:type="gramEnd"/>
      <w:r>
        <w:t xml:space="preserve">(2):336-338. </w:t>
      </w:r>
      <w:proofErr w:type="gramStart"/>
      <w:r>
        <w:t>doi</w:t>
      </w:r>
      <w:proofErr w:type="gramEnd"/>
      <w:r>
        <w:t>:</w:t>
      </w:r>
      <w:hyperlink r:id="rId48">
        <w:r>
          <w:rPr>
            <w:rStyle w:val="Hyperlink"/>
          </w:rPr>
          <w:t>10.1016/j.neuron.2016.09.054</w:t>
        </w:r>
      </w:hyperlink>
      <w:r>
        <w:t>.</w:t>
      </w:r>
    </w:p>
    <w:p w:rsidR="00855071" w:rsidRDefault="00855071" w:rsidP="00855071">
      <w:pPr>
        <w:pStyle w:val="Bibliography"/>
      </w:pPr>
      <w:r>
        <w:t xml:space="preserve">35. Hershberger RE, Hedges DJ, Morales A. Dilated cardiomyopathy: The complexity of a diverse genetic architecture. </w:t>
      </w:r>
      <w:proofErr w:type="gramStart"/>
      <w:r>
        <w:rPr>
          <w:i/>
        </w:rPr>
        <w:t>Nature Reviews Cardiology</w:t>
      </w:r>
      <w:r>
        <w:t>.</w:t>
      </w:r>
      <w:proofErr w:type="gramEnd"/>
      <w:r>
        <w:t xml:space="preserve"> 2013</w:t>
      </w:r>
      <w:proofErr w:type="gramStart"/>
      <w:r>
        <w:t>;10</w:t>
      </w:r>
      <w:proofErr w:type="gramEnd"/>
      <w:r>
        <w:t xml:space="preserve">(9):531-547. </w:t>
      </w:r>
      <w:proofErr w:type="gramStart"/>
      <w:r>
        <w:t>doi</w:t>
      </w:r>
      <w:proofErr w:type="gramEnd"/>
      <w:r>
        <w:t>:</w:t>
      </w:r>
      <w:hyperlink r:id="rId49">
        <w:r>
          <w:rPr>
            <w:rStyle w:val="Hyperlink"/>
          </w:rPr>
          <w:t>10.1038/nrcardio.2013.105</w:t>
        </w:r>
      </w:hyperlink>
      <w:r>
        <w:t>.</w:t>
      </w:r>
    </w:p>
    <w:p w:rsidR="00855071" w:rsidRDefault="00855071" w:rsidP="00855071">
      <w:pPr>
        <w:pStyle w:val="Bibliography"/>
      </w:pPr>
      <w:r>
        <w:t xml:space="preserve">36. Peters S. Advances in the diagnostic management of </w:t>
      </w:r>
      <w:proofErr w:type="spellStart"/>
      <w:r>
        <w:t>arrhythmogenic</w:t>
      </w:r>
      <w:proofErr w:type="spellEnd"/>
      <w:r>
        <w:t xml:space="preserve"> right ventricular </w:t>
      </w:r>
      <w:proofErr w:type="spellStart"/>
      <w:r>
        <w:t>dysplasiacardiomyopathy</w:t>
      </w:r>
      <w:proofErr w:type="spellEnd"/>
      <w:r>
        <w:t xml:space="preserve">. </w:t>
      </w:r>
      <w:proofErr w:type="gramStart"/>
      <w:r>
        <w:rPr>
          <w:i/>
        </w:rPr>
        <w:t>International Journal of Cardiology</w:t>
      </w:r>
      <w:r>
        <w:t>.</w:t>
      </w:r>
      <w:proofErr w:type="gramEnd"/>
      <w:r>
        <w:t xml:space="preserve"> 2006</w:t>
      </w:r>
      <w:proofErr w:type="gramStart"/>
      <w:r>
        <w:t>;113</w:t>
      </w:r>
      <w:proofErr w:type="gramEnd"/>
      <w:r>
        <w:t xml:space="preserve">(1):4-11. </w:t>
      </w:r>
      <w:proofErr w:type="gramStart"/>
      <w:r>
        <w:t>doi</w:t>
      </w:r>
      <w:proofErr w:type="gramEnd"/>
      <w:r>
        <w:t>:</w:t>
      </w:r>
      <w:hyperlink r:id="rId50">
        <w:r>
          <w:rPr>
            <w:rStyle w:val="Hyperlink"/>
          </w:rPr>
          <w:t>10.1016/j.ijcard.2005.12.015</w:t>
        </w:r>
      </w:hyperlink>
      <w:r>
        <w:t>.</w:t>
      </w:r>
    </w:p>
    <w:p w:rsidR="00855071" w:rsidRDefault="00855071" w:rsidP="00855071">
      <w:pPr>
        <w:pStyle w:val="Bibliography"/>
      </w:pPr>
      <w:r>
        <w:lastRenderedPageBreak/>
        <w:t xml:space="preserve">37. </w:t>
      </w:r>
      <w:proofErr w:type="spellStart"/>
      <w:r>
        <w:t>Kapplinger</w:t>
      </w:r>
      <w:proofErr w:type="spellEnd"/>
      <w:r>
        <w:t xml:space="preserve"> JD, Tester DJ, Salisbury BA, et al. Spectrum and prevalence of mutations from the first 2,500 consecutive unrelated patients referred for the FAMILION long QT syndrome genetic test. </w:t>
      </w:r>
      <w:r>
        <w:rPr>
          <w:i/>
        </w:rPr>
        <w:t>Heart Rhythm</w:t>
      </w:r>
      <w:r>
        <w:t>. 2009</w:t>
      </w:r>
      <w:proofErr w:type="gramStart"/>
      <w:r>
        <w:t>;6</w:t>
      </w:r>
      <w:proofErr w:type="gramEnd"/>
      <w:r>
        <w:t xml:space="preserve">(9):1297-1303. </w:t>
      </w:r>
      <w:proofErr w:type="gramStart"/>
      <w:r>
        <w:t>doi</w:t>
      </w:r>
      <w:proofErr w:type="gramEnd"/>
      <w:r>
        <w:t>:</w:t>
      </w:r>
      <w:hyperlink r:id="rId51">
        <w:r>
          <w:rPr>
            <w:rStyle w:val="Hyperlink"/>
          </w:rPr>
          <w:t>10.1016/j.hrthm.2009.05.021</w:t>
        </w:r>
      </w:hyperlink>
      <w:r>
        <w:t>.</w:t>
      </w:r>
    </w:p>
    <w:p w:rsidR="00855071" w:rsidRDefault="00855071" w:rsidP="00855071">
      <w:pPr>
        <w:pStyle w:val="Bibliography"/>
      </w:pPr>
      <w:r>
        <w:t xml:space="preserve">38. Perrin MJ, </w:t>
      </w:r>
      <w:proofErr w:type="spellStart"/>
      <w:r>
        <w:t>Gollob</w:t>
      </w:r>
      <w:proofErr w:type="spellEnd"/>
      <w:r>
        <w:t xml:space="preserve"> MH. </w:t>
      </w:r>
      <w:proofErr w:type="gramStart"/>
      <w:r>
        <w:t>Genetics of cardiac electrical disease.</w:t>
      </w:r>
      <w:proofErr w:type="gramEnd"/>
      <w:r>
        <w:t xml:space="preserve"> </w:t>
      </w:r>
      <w:proofErr w:type="gramStart"/>
      <w:r>
        <w:rPr>
          <w:i/>
        </w:rPr>
        <w:t>Canadian Journal of Cardiology</w:t>
      </w:r>
      <w:r>
        <w:t>.</w:t>
      </w:r>
      <w:proofErr w:type="gramEnd"/>
      <w:r>
        <w:t xml:space="preserve"> 2013</w:t>
      </w:r>
      <w:proofErr w:type="gramStart"/>
      <w:r>
        <w:t>;29</w:t>
      </w:r>
      <w:proofErr w:type="gramEnd"/>
      <w:r>
        <w:t xml:space="preserve">(1):89-99. </w:t>
      </w:r>
      <w:proofErr w:type="gramStart"/>
      <w:r>
        <w:t>doi</w:t>
      </w:r>
      <w:proofErr w:type="gramEnd"/>
      <w:r>
        <w:t>:</w:t>
      </w:r>
      <w:hyperlink r:id="rId52">
        <w:r>
          <w:rPr>
            <w:rStyle w:val="Hyperlink"/>
          </w:rPr>
          <w:t>10.1016/j.cjca.2012.07.847</w:t>
        </w:r>
      </w:hyperlink>
      <w:r>
        <w:t>.</w:t>
      </w:r>
    </w:p>
    <w:p w:rsidR="00855071" w:rsidRDefault="00855071" w:rsidP="00855071">
      <w:pPr>
        <w:pStyle w:val="Bibliography"/>
      </w:pPr>
      <w:r>
        <w:t xml:space="preserve">39. </w:t>
      </w:r>
      <w:proofErr w:type="spellStart"/>
      <w:r>
        <w:t>Kapplinger</w:t>
      </w:r>
      <w:proofErr w:type="spellEnd"/>
      <w:r>
        <w:t xml:space="preserve"> JD, Tester DJ, Alders M, et al. An international compendium of mutations in the SCN5A-encoded cardiac sodium channel in patients referred for </w:t>
      </w:r>
      <w:proofErr w:type="spellStart"/>
      <w:r>
        <w:t>brugada</w:t>
      </w:r>
      <w:proofErr w:type="spellEnd"/>
      <w:r>
        <w:t xml:space="preserve"> syndrome genetic testing. </w:t>
      </w:r>
      <w:r>
        <w:rPr>
          <w:i/>
        </w:rPr>
        <w:t>Heart Rhythm</w:t>
      </w:r>
      <w:r>
        <w:t>. 2010</w:t>
      </w:r>
      <w:proofErr w:type="gramStart"/>
      <w:r>
        <w:t>;7</w:t>
      </w:r>
      <w:proofErr w:type="gramEnd"/>
      <w:r>
        <w:t xml:space="preserve">(1):33-46. </w:t>
      </w:r>
      <w:proofErr w:type="gramStart"/>
      <w:r>
        <w:t>doi</w:t>
      </w:r>
      <w:proofErr w:type="gramEnd"/>
      <w:r>
        <w:t>:</w:t>
      </w:r>
      <w:hyperlink r:id="rId53">
        <w:r>
          <w:rPr>
            <w:rStyle w:val="Hyperlink"/>
          </w:rPr>
          <w:t>10.1016/j.hrthm.2009.09.069</w:t>
        </w:r>
      </w:hyperlink>
      <w:r>
        <w:t>.</w:t>
      </w:r>
    </w:p>
    <w:p w:rsidR="00855071" w:rsidRDefault="00855071" w:rsidP="00855071">
      <w:pPr>
        <w:pStyle w:val="Bibliography"/>
      </w:pPr>
      <w:r>
        <w:t xml:space="preserve">40. </w:t>
      </w:r>
      <w:proofErr w:type="spellStart"/>
      <w:r>
        <w:t>Vohra</w:t>
      </w:r>
      <w:proofErr w:type="spellEnd"/>
      <w:r>
        <w:t xml:space="preserve"> J, </w:t>
      </w:r>
      <w:proofErr w:type="spellStart"/>
      <w:r>
        <w:t>Rajagopalan</w:t>
      </w:r>
      <w:proofErr w:type="spellEnd"/>
      <w:r>
        <w:t xml:space="preserve"> S. Update on the diagnosis and management of </w:t>
      </w:r>
      <w:proofErr w:type="spellStart"/>
      <w:r>
        <w:t>brugada</w:t>
      </w:r>
      <w:proofErr w:type="spellEnd"/>
      <w:r>
        <w:t xml:space="preserve"> syndrome. </w:t>
      </w:r>
      <w:proofErr w:type="gramStart"/>
      <w:r>
        <w:rPr>
          <w:i/>
        </w:rPr>
        <w:t>Heart, Lung and Circulation</w:t>
      </w:r>
      <w:r>
        <w:t>.</w:t>
      </w:r>
      <w:proofErr w:type="gramEnd"/>
      <w:r>
        <w:t xml:space="preserve"> 2015</w:t>
      </w:r>
      <w:proofErr w:type="gramStart"/>
      <w:r>
        <w:t>;24</w:t>
      </w:r>
      <w:proofErr w:type="gramEnd"/>
      <w:r>
        <w:t xml:space="preserve">(12):1141-1148. </w:t>
      </w:r>
      <w:proofErr w:type="gramStart"/>
      <w:r>
        <w:t>doi</w:t>
      </w:r>
      <w:proofErr w:type="gramEnd"/>
      <w:r>
        <w:t>:</w:t>
      </w:r>
      <w:hyperlink r:id="rId54">
        <w:r>
          <w:rPr>
            <w:rStyle w:val="Hyperlink"/>
          </w:rPr>
          <w:t>10.1016/j.hlc.2015.07.020</w:t>
        </w:r>
      </w:hyperlink>
      <w:r>
        <w:t>.</w:t>
      </w:r>
    </w:p>
    <w:p w:rsidR="00855071" w:rsidRDefault="00855071" w:rsidP="00855071">
      <w:pPr>
        <w:pStyle w:val="Bibliography"/>
      </w:pPr>
      <w:r>
        <w:t xml:space="preserve">41. Judge DP, Dietz HC. </w:t>
      </w:r>
      <w:proofErr w:type="spellStart"/>
      <w:r>
        <w:t>Marfans</w:t>
      </w:r>
      <w:proofErr w:type="spellEnd"/>
      <w:r>
        <w:t xml:space="preserve"> syndrome. </w:t>
      </w:r>
      <w:r>
        <w:rPr>
          <w:i/>
        </w:rPr>
        <w:t>The Lancet</w:t>
      </w:r>
      <w:r>
        <w:t>. 2005</w:t>
      </w:r>
      <w:proofErr w:type="gramStart"/>
      <w:r>
        <w:t>;366</w:t>
      </w:r>
      <w:proofErr w:type="gramEnd"/>
      <w:r>
        <w:t xml:space="preserve">(9501):1965-1976. </w:t>
      </w:r>
      <w:proofErr w:type="gramStart"/>
      <w:r>
        <w:t>doi</w:t>
      </w:r>
      <w:proofErr w:type="gramEnd"/>
      <w:r>
        <w:t>:</w:t>
      </w:r>
      <w:hyperlink r:id="rId55">
        <w:r>
          <w:rPr>
            <w:rStyle w:val="Hyperlink"/>
          </w:rPr>
          <w:t>10.1016/s0140-6736(05)67789-6</w:t>
        </w:r>
      </w:hyperlink>
      <w:r>
        <w:t>.</w:t>
      </w:r>
    </w:p>
    <w:p w:rsidR="00855071" w:rsidRPr="00855071" w:rsidRDefault="00855071" w:rsidP="00855071">
      <w:pPr>
        <w:pStyle w:val="BodyText"/>
      </w:pPr>
    </w:p>
    <w:p w:rsidR="00C057FA" w:rsidRDefault="00855071">
      <w:pPr>
        <w:pStyle w:val="Heading2"/>
      </w:pPr>
      <w:bookmarkStart w:id="22" w:name="figure-and-table-legends"/>
      <w:bookmarkEnd w:id="22"/>
      <w:r>
        <w:lastRenderedPageBreak/>
        <w:t>FIGURE AND TABLE LEGENDS</w:t>
      </w:r>
    </w:p>
    <w:p w:rsidR="00C057FA" w:rsidRDefault="00855071">
      <w:pPr>
        <w:pStyle w:val="Heading3"/>
      </w:pPr>
      <w:bookmarkStart w:id="23" w:name="figure-1"/>
      <w:bookmarkEnd w:id="23"/>
      <w:r>
        <w:t>Figure 1</w:t>
      </w:r>
    </w:p>
    <w:p w:rsidR="00C057FA" w:rsidRDefault="00855071">
      <w:pPr>
        <w:pStyle w:val="FirstParagraph"/>
      </w:pPr>
      <w:r>
        <w:t>Plot of ExAC allele count (all populations) against case allele count for variants classified as VUS, Likely Pathogenic or Pathogenic in 6179 HCM cases. The dotted lines represent the maximum tolerated ExAC allele counts in HCM for 50% (dark blue) and 100%</w:t>
      </w:r>
      <w:r>
        <w:t xml:space="preserve"> penetrance (light blue). Variants are colour coded according to reported pathogenicity. Where classifications from contributing laboratories were discordant the more conservative classification is plotted. The inset panel shows the full dataset, while the</w:t>
      </w:r>
      <w:r>
        <w:t xml:space="preserve"> main panel expands the region of primary interest.</w:t>
      </w:r>
    </w:p>
    <w:p w:rsidR="00C057FA" w:rsidRDefault="00855071">
      <w:pPr>
        <w:pStyle w:val="Heading3"/>
      </w:pPr>
      <w:bookmarkStart w:id="24" w:name="figure-2"/>
      <w:bookmarkEnd w:id="24"/>
      <w:r>
        <w:t>Figure 2</w:t>
      </w:r>
    </w:p>
    <w:p w:rsidR="00C057FA" w:rsidRDefault="00855071">
      <w:pPr>
        <w:pStyle w:val="FirstParagraph"/>
      </w:pPr>
      <w:r>
        <w:t>The clinical utility of stringent allele frequency thresholds. (a) The number of predicted protein-altering variants (definition in Methods) per exome as a function of the allele frequency filter</w:t>
      </w:r>
      <w:r>
        <w:t xml:space="preserve"> applied. A one-tailed 95% confidence interval is used, meaning that variants were removed from consideration if their AC would fall within the top 5% of the Poisson probability distribution for the user's maximum credible AF (x axis). (b) The odds ratio f</w:t>
      </w:r>
      <w:r>
        <w:t>or HCM disease-association against allele frequency. The prevalence of variants in sarcomeric HCM-associated genes (</w:t>
      </w:r>
      <w:r>
        <w:rPr>
          <w:i/>
        </w:rPr>
        <w:t>MYH7</w:t>
      </w:r>
      <w:r>
        <w:t xml:space="preserve">, </w:t>
      </w:r>
      <w:r>
        <w:rPr>
          <w:i/>
        </w:rPr>
        <w:t>MYBPC3</w:t>
      </w:r>
      <w:r>
        <w:t xml:space="preserve">, </w:t>
      </w:r>
      <w:r>
        <w:rPr>
          <w:i/>
        </w:rPr>
        <w:t>TNNT2</w:t>
      </w:r>
      <w:r>
        <w:t xml:space="preserve">, </w:t>
      </w:r>
      <w:r>
        <w:rPr>
          <w:i/>
        </w:rPr>
        <w:t>TNNI3</w:t>
      </w:r>
      <w:r>
        <w:t xml:space="preserve">, </w:t>
      </w:r>
      <w:r>
        <w:rPr>
          <w:i/>
        </w:rPr>
        <w:t>MYL2</w:t>
      </w:r>
      <w:r>
        <w:t xml:space="preserve">, </w:t>
      </w:r>
      <w:r>
        <w:rPr>
          <w:i/>
        </w:rPr>
        <w:t>MYL3</w:t>
      </w:r>
      <w:r>
        <w:t xml:space="preserve">, </w:t>
      </w:r>
      <w:r>
        <w:rPr>
          <w:i/>
        </w:rPr>
        <w:t>TPM1</w:t>
      </w:r>
      <w:r>
        <w:t xml:space="preserve"> and </w:t>
      </w:r>
      <w:r>
        <w:rPr>
          <w:i/>
        </w:rPr>
        <w:t>ACTC1</w:t>
      </w:r>
      <w:r>
        <w:t xml:space="preserve">, analysed collectively) in 322 HCM cases and 852 healthy controls were compared for a range of allele frequency bins, and an odds ratio computed (see </w:t>
      </w:r>
      <w:r>
        <w:rPr>
          <w:b/>
        </w:rPr>
        <w:t>Methods</w:t>
      </w:r>
      <w:r>
        <w:t>). Data for each bin is plotted at the upper allele frequency cutoff. Error bars represent 95% con</w:t>
      </w:r>
      <w:r>
        <w:t>fidence intervals. The probability that a variant is pathogenic is much greater at very low allele frequencies.</w:t>
      </w:r>
    </w:p>
    <w:p w:rsidR="00C057FA" w:rsidRDefault="00855071">
      <w:pPr>
        <w:pStyle w:val="Heading3"/>
      </w:pPr>
      <w:bookmarkStart w:id="25" w:name="figure-3"/>
      <w:bookmarkEnd w:id="25"/>
      <w:r>
        <w:t>Figure 3</w:t>
      </w:r>
    </w:p>
    <w:p w:rsidR="00C057FA" w:rsidRDefault="00855071">
      <w:pPr>
        <w:pStyle w:val="FirstParagraph"/>
      </w:pPr>
      <w:r>
        <w:t>A flow diagram of our approach, applied to a dominant condition, and using ExAC as our reference sample. First, a disease-level maximum</w:t>
      </w:r>
      <w:r>
        <w:t xml:space="preserve"> credible population allele frequency is calculated, based on disease prevalence, heterogeneity and penetrance. To evaluate a specific variant, we determine whether the observed variant allele count is compatible with disease by comparing this maximum cred</w:t>
      </w:r>
      <w:r>
        <w:t>ible population AF against the (pre-calculated) filtering allele frequency for the variant. *while filtering allele frequency has been pre-computed for ExAC variants, the same framework can be readily applied using another reference sample.</w:t>
      </w:r>
    </w:p>
    <w:p w:rsidR="00C057FA" w:rsidRDefault="00855071">
      <w:pPr>
        <w:pStyle w:val="Heading3"/>
      </w:pPr>
      <w:bookmarkStart w:id="26" w:name="table-1"/>
      <w:bookmarkEnd w:id="26"/>
      <w:r>
        <w:t>Table 1</w:t>
      </w:r>
    </w:p>
    <w:p w:rsidR="00C057FA" w:rsidRDefault="00855071">
      <w:pPr>
        <w:pStyle w:val="FirstParagraph"/>
      </w:pPr>
      <w:r>
        <w:t>Details</w:t>
      </w:r>
      <w:r>
        <w:t xml:space="preserve"> of the most prevalent pathogenic variants in case cohorts for five cardiac conditions. Shown along with the frequency in cases is the estimated population allele frequency (calculated as: case frequency x disease prevalence x 1/2 x 1/variant penetrance) a</w:t>
      </w:r>
      <w:r>
        <w:t xml:space="preserve">nd the observed frequency in the ExAC dataset. </w:t>
      </w:r>
      <w:r>
        <w:rPr>
          <w:vertAlign w:val="superscript"/>
        </w:rPr>
        <w:t>*</w:t>
      </w:r>
      <w:r>
        <w:t xml:space="preserve">As penetrance estimates for individual variants are not widely available, we have applied an estimate of 0.5 </w:t>
      </w:r>
      <w:r>
        <w:lastRenderedPageBreak/>
        <w:t xml:space="preserve">across these cardiac disorders (see </w:t>
      </w:r>
      <w:r>
        <w:rPr>
          <w:b/>
        </w:rPr>
        <w:t>Supplementary Information</w:t>
      </w:r>
      <w:r>
        <w:t xml:space="preserve">). HCM - hypertrophic cardiomyopathy; </w:t>
      </w:r>
      <w:r>
        <w:t>DCM - dilated cardiomyopathy; ARVC - arrhythmogenic right ventricular cardiomyopathy; LQTS - long QT syndrome. Case cohorts and prevalence estimates (taken as the highest value reported) were obtained from: HCM</w:t>
      </w:r>
      <w:r>
        <w:rPr>
          <w:vertAlign w:val="superscript"/>
        </w:rPr>
        <w:t>14,15</w:t>
      </w:r>
      <w:r>
        <w:t>, DCM</w:t>
      </w:r>
      <w:r>
        <w:rPr>
          <w:vertAlign w:val="superscript"/>
        </w:rPr>
        <w:t>14,15,35</w:t>
      </w:r>
      <w:r>
        <w:t>, ARVC</w:t>
      </w:r>
      <w:r>
        <w:rPr>
          <w:vertAlign w:val="superscript"/>
        </w:rPr>
        <w:t>15,36</w:t>
      </w:r>
      <w:r>
        <w:t>, LQTS</w:t>
      </w:r>
      <w:r>
        <w:rPr>
          <w:vertAlign w:val="superscript"/>
        </w:rPr>
        <w:t>37,38</w:t>
      </w:r>
      <w:r>
        <w:t xml:space="preserve"> and B</w:t>
      </w:r>
      <w:r>
        <w:t>rugada</w:t>
      </w:r>
      <w:r>
        <w:rPr>
          <w:vertAlign w:val="superscript"/>
        </w:rPr>
        <w:t>39,40</w:t>
      </w:r>
      <w:r>
        <w:t>.</w:t>
      </w:r>
    </w:p>
    <w:p w:rsidR="00C057FA" w:rsidRDefault="00855071">
      <w:pPr>
        <w:pStyle w:val="Heading3"/>
      </w:pPr>
      <w:bookmarkStart w:id="27" w:name="table-2"/>
      <w:bookmarkEnd w:id="27"/>
      <w:r>
        <w:t>Table 2</w:t>
      </w:r>
    </w:p>
    <w:p w:rsidR="00C057FA" w:rsidRDefault="00855071">
      <w:pPr>
        <w:pStyle w:val="FirstParagraph"/>
      </w:pPr>
      <w:r>
        <w:t>Maximum credible population frequencies and maximum tolerated ExAC allele counts for variants causative of exemplar inherited cardiac conditions, assuming a penetrance of 0.5 throughout. CPVT - catecholaminergic polymorphic ventricular</w:t>
      </w:r>
      <w:r>
        <w:t xml:space="preserve"> tachycardia; FH - familial hypercholesterolaemia. Prevalence estimates (taken as the highest value reported) were obtained from: Marfan</w:t>
      </w:r>
      <w:r>
        <w:rPr>
          <w:vertAlign w:val="superscript"/>
        </w:rPr>
        <w:t>41</w:t>
      </w:r>
      <w:r>
        <w:t>, Noonan</w:t>
      </w:r>
      <w:r>
        <w:rPr>
          <w:vertAlign w:val="superscript"/>
        </w:rPr>
        <w:t>18</w:t>
      </w:r>
      <w:r>
        <w:t>, CPVT</w:t>
      </w:r>
      <w:r>
        <w:rPr>
          <w:vertAlign w:val="superscript"/>
        </w:rPr>
        <w:t>19</w:t>
      </w:r>
      <w:r>
        <w:t xml:space="preserve"> and classical Ehlers-Danlos</w:t>
      </w:r>
      <w:r>
        <w:rPr>
          <w:vertAlign w:val="superscript"/>
        </w:rPr>
        <w:t>20</w:t>
      </w:r>
      <w:r>
        <w:t>.</w:t>
      </w:r>
      <w:bookmarkStart w:id="28" w:name="_GoBack"/>
      <w:bookmarkEnd w:id="28"/>
    </w:p>
    <w:sectPr w:rsidR="00C057FA">
      <w:footerReference w:type="even" r:id="rId56"/>
      <w:footerReference w:type="default" r:id="rId57"/>
      <w:footnotePr>
        <w:numFmt w:val="lowerLetter"/>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855071">
      <w:pPr>
        <w:spacing w:after="0"/>
      </w:pPr>
      <w:r>
        <w:separator/>
      </w:r>
    </w:p>
  </w:endnote>
  <w:endnote w:type="continuationSeparator" w:id="0">
    <w:p w:rsidR="00000000" w:rsidRDefault="0085507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onsolas">
    <w:panose1 w:val="020B0609020204030204"/>
    <w:charset w:val="00"/>
    <w:family w:val="auto"/>
    <w:pitch w:val="variable"/>
    <w:sig w:usb0="E10002FF" w:usb1="4000F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92A" w:rsidRDefault="00855071" w:rsidP="007C3F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3692A" w:rsidRDefault="00855071" w:rsidP="00F3692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92A" w:rsidRDefault="00855071" w:rsidP="007C3F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F3692A" w:rsidRDefault="00855071" w:rsidP="00F3692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7FA" w:rsidRDefault="00855071">
      <w:r>
        <w:separator/>
      </w:r>
    </w:p>
  </w:footnote>
  <w:footnote w:type="continuationSeparator" w:id="0">
    <w:p w:rsidR="00C057FA" w:rsidRDefault="0085507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DDAAA62"/>
    <w:multiLevelType w:val="multilevel"/>
    <w:tmpl w:val="F09C16D8"/>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
    <w:nsid w:val="AFB025A0"/>
    <w:multiLevelType w:val="multilevel"/>
    <w:tmpl w:val="2E2EE4E6"/>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2">
    <w:nsid w:val="D543AE12"/>
    <w:multiLevelType w:val="multilevel"/>
    <w:tmpl w:val="32F8AE6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3">
    <w:nsid w:val="D8DE0144"/>
    <w:multiLevelType w:val="multilevel"/>
    <w:tmpl w:val="742C5744"/>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4">
    <w:nsid w:val="E17F69BA"/>
    <w:multiLevelType w:val="multilevel"/>
    <w:tmpl w:val="140C87C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5">
    <w:nsid w:val="E7140D71"/>
    <w:multiLevelType w:val="multilevel"/>
    <w:tmpl w:val="56624EB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6">
    <w:nsid w:val="E8918440"/>
    <w:multiLevelType w:val="multilevel"/>
    <w:tmpl w:val="C6B83448"/>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7">
    <w:nsid w:val="E9596B16"/>
    <w:multiLevelType w:val="multilevel"/>
    <w:tmpl w:val="741002B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8">
    <w:nsid w:val="F05D86A8"/>
    <w:multiLevelType w:val="multilevel"/>
    <w:tmpl w:val="691A9EF2"/>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9">
    <w:nsid w:val="FFFFFF1D"/>
    <w:multiLevelType w:val="multilevel"/>
    <w:tmpl w:val="55C276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0">
    <w:nsid w:val="FFFFFF7C"/>
    <w:multiLevelType w:val="singleLevel"/>
    <w:tmpl w:val="8DB624AA"/>
    <w:lvl w:ilvl="0">
      <w:start w:val="1"/>
      <w:numFmt w:val="decimal"/>
      <w:lvlText w:val="%1."/>
      <w:lvlJc w:val="left"/>
      <w:pPr>
        <w:tabs>
          <w:tab w:val="num" w:pos="1800"/>
        </w:tabs>
        <w:ind w:left="1800" w:hanging="360"/>
      </w:pPr>
    </w:lvl>
  </w:abstractNum>
  <w:abstractNum w:abstractNumId="11">
    <w:nsid w:val="FFFFFF7D"/>
    <w:multiLevelType w:val="singleLevel"/>
    <w:tmpl w:val="E60CDEC0"/>
    <w:lvl w:ilvl="0">
      <w:start w:val="1"/>
      <w:numFmt w:val="decimal"/>
      <w:lvlText w:val="%1."/>
      <w:lvlJc w:val="left"/>
      <w:pPr>
        <w:tabs>
          <w:tab w:val="num" w:pos="1440"/>
        </w:tabs>
        <w:ind w:left="1440" w:hanging="360"/>
      </w:pPr>
    </w:lvl>
  </w:abstractNum>
  <w:abstractNum w:abstractNumId="12">
    <w:nsid w:val="FFFFFF7E"/>
    <w:multiLevelType w:val="singleLevel"/>
    <w:tmpl w:val="F02EDCB8"/>
    <w:lvl w:ilvl="0">
      <w:start w:val="1"/>
      <w:numFmt w:val="decimal"/>
      <w:lvlText w:val="%1."/>
      <w:lvlJc w:val="left"/>
      <w:pPr>
        <w:tabs>
          <w:tab w:val="num" w:pos="1080"/>
        </w:tabs>
        <w:ind w:left="1080" w:hanging="360"/>
      </w:pPr>
    </w:lvl>
  </w:abstractNum>
  <w:abstractNum w:abstractNumId="13">
    <w:nsid w:val="FFFFFF7F"/>
    <w:multiLevelType w:val="singleLevel"/>
    <w:tmpl w:val="14FA3EBC"/>
    <w:lvl w:ilvl="0">
      <w:start w:val="1"/>
      <w:numFmt w:val="decimal"/>
      <w:lvlText w:val="%1."/>
      <w:lvlJc w:val="left"/>
      <w:pPr>
        <w:tabs>
          <w:tab w:val="num" w:pos="720"/>
        </w:tabs>
        <w:ind w:left="720" w:hanging="360"/>
      </w:pPr>
    </w:lvl>
  </w:abstractNum>
  <w:abstractNum w:abstractNumId="14">
    <w:nsid w:val="FFFFFF80"/>
    <w:multiLevelType w:val="singleLevel"/>
    <w:tmpl w:val="113C9866"/>
    <w:lvl w:ilvl="0">
      <w:start w:val="1"/>
      <w:numFmt w:val="bullet"/>
      <w:lvlText w:val=""/>
      <w:lvlJc w:val="left"/>
      <w:pPr>
        <w:tabs>
          <w:tab w:val="num" w:pos="1800"/>
        </w:tabs>
        <w:ind w:left="1800" w:hanging="360"/>
      </w:pPr>
      <w:rPr>
        <w:rFonts w:ascii="Symbol" w:hAnsi="Symbol" w:hint="default"/>
      </w:rPr>
    </w:lvl>
  </w:abstractNum>
  <w:abstractNum w:abstractNumId="15">
    <w:nsid w:val="FFFFFF81"/>
    <w:multiLevelType w:val="singleLevel"/>
    <w:tmpl w:val="11100BA0"/>
    <w:lvl w:ilvl="0">
      <w:start w:val="1"/>
      <w:numFmt w:val="bullet"/>
      <w:lvlText w:val=""/>
      <w:lvlJc w:val="left"/>
      <w:pPr>
        <w:tabs>
          <w:tab w:val="num" w:pos="1440"/>
        </w:tabs>
        <w:ind w:left="1440" w:hanging="360"/>
      </w:pPr>
      <w:rPr>
        <w:rFonts w:ascii="Symbol" w:hAnsi="Symbol" w:hint="default"/>
      </w:rPr>
    </w:lvl>
  </w:abstractNum>
  <w:abstractNum w:abstractNumId="16">
    <w:nsid w:val="FFFFFF82"/>
    <w:multiLevelType w:val="singleLevel"/>
    <w:tmpl w:val="67767BFC"/>
    <w:lvl w:ilvl="0">
      <w:start w:val="1"/>
      <w:numFmt w:val="bullet"/>
      <w:lvlText w:val=""/>
      <w:lvlJc w:val="left"/>
      <w:pPr>
        <w:tabs>
          <w:tab w:val="num" w:pos="1080"/>
        </w:tabs>
        <w:ind w:left="1080" w:hanging="360"/>
      </w:pPr>
      <w:rPr>
        <w:rFonts w:ascii="Symbol" w:hAnsi="Symbol" w:hint="default"/>
      </w:rPr>
    </w:lvl>
  </w:abstractNum>
  <w:abstractNum w:abstractNumId="17">
    <w:nsid w:val="FFFFFF83"/>
    <w:multiLevelType w:val="singleLevel"/>
    <w:tmpl w:val="F7EA8DE2"/>
    <w:lvl w:ilvl="0">
      <w:start w:val="1"/>
      <w:numFmt w:val="bullet"/>
      <w:lvlText w:val=""/>
      <w:lvlJc w:val="left"/>
      <w:pPr>
        <w:tabs>
          <w:tab w:val="num" w:pos="720"/>
        </w:tabs>
        <w:ind w:left="720" w:hanging="360"/>
      </w:pPr>
      <w:rPr>
        <w:rFonts w:ascii="Symbol" w:hAnsi="Symbol" w:hint="default"/>
      </w:rPr>
    </w:lvl>
  </w:abstractNum>
  <w:abstractNum w:abstractNumId="18">
    <w:nsid w:val="FFFFFF88"/>
    <w:multiLevelType w:val="singleLevel"/>
    <w:tmpl w:val="1C6E19D2"/>
    <w:lvl w:ilvl="0">
      <w:start w:val="1"/>
      <w:numFmt w:val="decimal"/>
      <w:lvlText w:val="%1."/>
      <w:lvlJc w:val="left"/>
      <w:pPr>
        <w:tabs>
          <w:tab w:val="num" w:pos="360"/>
        </w:tabs>
        <w:ind w:left="360" w:hanging="360"/>
      </w:pPr>
    </w:lvl>
  </w:abstractNum>
  <w:abstractNum w:abstractNumId="19">
    <w:nsid w:val="FFFFFF89"/>
    <w:multiLevelType w:val="singleLevel"/>
    <w:tmpl w:val="B838DFA6"/>
    <w:lvl w:ilvl="0">
      <w:start w:val="1"/>
      <w:numFmt w:val="bullet"/>
      <w:lvlText w:val=""/>
      <w:lvlJc w:val="left"/>
      <w:pPr>
        <w:tabs>
          <w:tab w:val="num" w:pos="360"/>
        </w:tabs>
        <w:ind w:left="360" w:hanging="360"/>
      </w:pPr>
      <w:rPr>
        <w:rFonts w:ascii="Symbol" w:hAnsi="Symbol" w:hint="default"/>
      </w:rPr>
    </w:lvl>
  </w:abstractNum>
  <w:abstractNum w:abstractNumId="20">
    <w:nsid w:val="263B511A"/>
    <w:multiLevelType w:val="multilevel"/>
    <w:tmpl w:val="D784A3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16AC3F2"/>
    <w:multiLevelType w:val="multilevel"/>
    <w:tmpl w:val="4B3836FA"/>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22">
    <w:nsid w:val="3C58257D"/>
    <w:multiLevelType w:val="multilevel"/>
    <w:tmpl w:val="C5C2594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3">
    <w:nsid w:val="4B845CD4"/>
    <w:multiLevelType w:val="hybridMultilevel"/>
    <w:tmpl w:val="D784A306"/>
    <w:lvl w:ilvl="0" w:tplc="2E6E901A">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083C92B"/>
    <w:multiLevelType w:val="multilevel"/>
    <w:tmpl w:val="DC543848"/>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num w:numId="1">
    <w:abstractNumId w:val="4"/>
  </w:num>
  <w:num w:numId="2">
    <w:abstractNumId w:val="7"/>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5">
    <w:abstractNumId w:val="9"/>
  </w:num>
  <w:num w:numId="6">
    <w:abstractNumId w:val="10"/>
  </w:num>
  <w:num w:numId="7">
    <w:abstractNumId w:val="11"/>
  </w:num>
  <w:num w:numId="8">
    <w:abstractNumId w:val="12"/>
  </w:num>
  <w:num w:numId="9">
    <w:abstractNumId w:val="13"/>
  </w:num>
  <w:num w:numId="10">
    <w:abstractNumId w:val="18"/>
  </w:num>
  <w:num w:numId="11">
    <w:abstractNumId w:val="14"/>
  </w:num>
  <w:num w:numId="12">
    <w:abstractNumId w:val="15"/>
  </w:num>
  <w:num w:numId="13">
    <w:abstractNumId w:val="16"/>
  </w:num>
  <w:num w:numId="14">
    <w:abstractNumId w:val="17"/>
  </w:num>
  <w:num w:numId="15">
    <w:abstractNumId w:val="19"/>
  </w:num>
  <w:num w:numId="16">
    <w:abstractNumId w:val="22"/>
  </w:num>
  <w:num w:numId="17">
    <w:abstractNumId w:val="21"/>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9">
    <w:abstractNumId w:val="21"/>
  </w:num>
  <w:num w:numId="20">
    <w:abstractNumId w:val="23"/>
  </w:num>
  <w:num w:numId="21">
    <w:abstractNumId w:val="20"/>
  </w:num>
  <w:num w:numId="22">
    <w:abstractNumId w:val="2"/>
  </w:num>
  <w:num w:numId="23">
    <w:abstractNumId w:val="1"/>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5">
    <w:abstractNumId w:val="1"/>
  </w:num>
  <w:num w:numId="26">
    <w:abstractNumId w:val="5"/>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Fmt w:val="lowerLette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D07"/>
    <w:rsid w:val="00011C8B"/>
    <w:rsid w:val="004E29B3"/>
    <w:rsid w:val="00590D07"/>
    <w:rsid w:val="00784D58"/>
    <w:rsid w:val="00855071"/>
    <w:rsid w:val="008D6863"/>
    <w:rsid w:val="00B86B75"/>
    <w:rsid w:val="00BC48D5"/>
    <w:rsid w:val="00C057FA"/>
    <w:rsid w:val="00C36279"/>
    <w:rsid w:val="00E315A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heading 9"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Revision" w:semiHidden="1"/>
    <w:lsdException w:name="Bibliography" w:semiHidden="1" w:unhideWhenUsed="1"/>
    <w:lsdException w:name="TOC Heading" w:semiHidden="1" w:unhideWhenUsed="1"/>
  </w:latentStyles>
  <w:style w:type="paragraph" w:default="1" w:styleId="Normal">
    <w:name w:val="Normal"/>
    <w:qFormat/>
    <w:rsid w:val="00836647"/>
    <w:rPr>
      <w:rFonts w:ascii="Helvetica" w:hAnsi="Helvetica"/>
    </w:rPr>
  </w:style>
  <w:style w:type="paragraph" w:styleId="Heading1">
    <w:name w:val="heading 1"/>
    <w:basedOn w:val="Normal"/>
    <w:next w:val="BodyText"/>
    <w:uiPriority w:val="9"/>
    <w:qFormat/>
    <w:rsid w:val="007A008C"/>
    <w:pPr>
      <w:keepNext/>
      <w:keepLines/>
      <w:spacing w:before="480" w:after="0"/>
      <w:outlineLvl w:val="0"/>
    </w:pPr>
    <w:rPr>
      <w:rFonts w:asciiTheme="majorHAnsi" w:eastAsiaTheme="majorEastAsia" w:hAnsiTheme="majorHAnsi" w:cstheme="majorBidi"/>
      <w:b/>
      <w:bCs/>
      <w:i/>
      <w:caps/>
      <w:szCs w:val="32"/>
    </w:rPr>
  </w:style>
  <w:style w:type="paragraph" w:styleId="Heading2">
    <w:name w:val="heading 2"/>
    <w:basedOn w:val="Normal"/>
    <w:next w:val="BodyText"/>
    <w:uiPriority w:val="9"/>
    <w:unhideWhenUsed/>
    <w:qFormat/>
    <w:rsid w:val="00AF2C21"/>
    <w:pPr>
      <w:keepNext/>
      <w:keepLines/>
      <w:pageBreakBefore/>
      <w:spacing w:before="200" w:after="0" w:line="480" w:lineRule="auto"/>
      <w:outlineLvl w:val="1"/>
    </w:pPr>
    <w:rPr>
      <w:rFonts w:asciiTheme="majorHAnsi" w:eastAsiaTheme="majorEastAsia" w:hAnsiTheme="majorHAnsi" w:cstheme="majorBidi"/>
      <w:b/>
      <w:bCs/>
      <w:caps/>
      <w:szCs w:val="32"/>
    </w:rPr>
  </w:style>
  <w:style w:type="paragraph" w:styleId="Heading3">
    <w:name w:val="heading 3"/>
    <w:basedOn w:val="Normal"/>
    <w:next w:val="BodyText"/>
    <w:uiPriority w:val="9"/>
    <w:unhideWhenUsed/>
    <w:qFormat/>
    <w:rsid w:val="007A008C"/>
    <w:pPr>
      <w:keepNext/>
      <w:keepLines/>
      <w:spacing w:before="200" w:after="0"/>
      <w:outlineLvl w:val="2"/>
    </w:pPr>
    <w:rPr>
      <w:rFonts w:asciiTheme="majorHAnsi" w:eastAsiaTheme="majorEastAsia" w:hAnsiTheme="majorHAnsi" w:cstheme="majorBidi"/>
      <w:b/>
      <w:bCs/>
      <w:i/>
      <w:szCs w:val="28"/>
    </w:rPr>
  </w:style>
  <w:style w:type="paragraph" w:styleId="Heading4">
    <w:name w:val="heading 4"/>
    <w:basedOn w:val="Normal"/>
    <w:next w:val="BodyText"/>
    <w:uiPriority w:val="9"/>
    <w:unhideWhenUsed/>
    <w:qFormat/>
    <w:rsid w:val="007A008C"/>
    <w:pPr>
      <w:keepNext/>
      <w:keepLines/>
      <w:spacing w:before="200" w:after="0"/>
      <w:outlineLvl w:val="3"/>
    </w:pPr>
    <w:rPr>
      <w:rFonts w:asciiTheme="majorHAnsi" w:eastAsiaTheme="majorEastAsia" w:hAnsiTheme="majorHAnsi" w:cstheme="majorBidi"/>
      <w:b/>
      <w:bCs/>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rsid w:val="00836647"/>
    <w:pPr>
      <w:keepNext/>
      <w:keepLines/>
      <w:spacing w:before="480" w:after="240"/>
      <w:jc w:val="center"/>
    </w:pPr>
    <w:rPr>
      <w:rFonts w:asciiTheme="majorHAnsi" w:eastAsiaTheme="majorEastAsia" w:hAnsiTheme="majorHAnsi" w:cstheme="majorBidi"/>
      <w:b/>
      <w:bCs/>
      <w:color w:val="000000" w:themeColor="text1"/>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FirstParagraph"/>
    <w:next w:val="BodyText"/>
    <w:qFormat/>
    <w:rsid w:val="00AF2C21"/>
    <w:pPr>
      <w:spacing w:line="480" w:lineRule="auto"/>
    </w:pPr>
  </w:style>
  <w:style w:type="paragraph" w:styleId="Bibliography">
    <w:name w:val="Bibliography"/>
    <w:basedOn w:val="Normal"/>
    <w:qFormat/>
  </w:style>
  <w:style w:type="paragraph" w:styleId="BlockText">
    <w:name w:val="Block Text"/>
    <w:basedOn w:val="BodyText"/>
    <w:next w:val="BodyText"/>
    <w:uiPriority w:val="9"/>
    <w:unhideWhenUsed/>
    <w:qFormat/>
    <w:rsid w:val="00F2355D"/>
    <w:pPr>
      <w:spacing w:before="100" w:after="100"/>
      <w:ind w:left="576"/>
    </w:pPr>
    <w:rPr>
      <w:rFonts w:asciiTheme="minorHAnsi" w:eastAsiaTheme="majorEastAsia" w:hAnsiTheme="minorHAnsi" w:cstheme="majorBidi"/>
      <w:bCs/>
      <w:szCs w:val="20"/>
    </w:rPr>
  </w:style>
  <w:style w:type="paragraph" w:styleId="FootnoteText">
    <w:name w:val="footnote text"/>
    <w:basedOn w:val="Normal"/>
    <w:uiPriority w:val="9"/>
    <w:unhideWhenUsed/>
    <w:qFormat/>
    <w:rsid w:val="007A008C"/>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character" w:customStyle="1" w:styleId="BodyTextChar">
    <w:name w:val="Body Text Char"/>
    <w:basedOn w:val="DefaultParagraphFont"/>
    <w:link w:val="BodyText"/>
    <w:rsid w:val="00836647"/>
  </w:style>
  <w:style w:type="paragraph" w:styleId="BalloonText">
    <w:name w:val="Balloon Text"/>
    <w:basedOn w:val="Normal"/>
    <w:link w:val="BalloonTextChar"/>
    <w:semiHidden/>
    <w:unhideWhenUsed/>
    <w:rsid w:val="00316914"/>
    <w:pPr>
      <w:spacing w:after="0"/>
    </w:pPr>
    <w:rPr>
      <w:rFonts w:ascii="Lucida Grande" w:hAnsi="Lucida Grande" w:cs="Lucida Grande"/>
      <w:sz w:val="18"/>
      <w:szCs w:val="18"/>
    </w:rPr>
  </w:style>
  <w:style w:type="character" w:customStyle="1" w:styleId="BalloonTextChar">
    <w:name w:val="Balloon Text Char"/>
    <w:basedOn w:val="DefaultParagraphFont"/>
    <w:link w:val="BalloonText"/>
    <w:semiHidden/>
    <w:rsid w:val="00316914"/>
    <w:rPr>
      <w:rFonts w:ascii="Lucida Grande" w:hAnsi="Lucida Grande" w:cs="Lucida Grande"/>
      <w:sz w:val="18"/>
      <w:szCs w:val="18"/>
    </w:rPr>
  </w:style>
  <w:style w:type="paragraph" w:styleId="Footer">
    <w:name w:val="footer"/>
    <w:basedOn w:val="Normal"/>
    <w:link w:val="FooterChar"/>
    <w:unhideWhenUsed/>
    <w:rsid w:val="00F3692A"/>
    <w:pPr>
      <w:tabs>
        <w:tab w:val="center" w:pos="4320"/>
        <w:tab w:val="right" w:pos="8640"/>
      </w:tabs>
      <w:spacing w:after="0"/>
    </w:pPr>
  </w:style>
  <w:style w:type="character" w:customStyle="1" w:styleId="FooterChar">
    <w:name w:val="Footer Char"/>
    <w:basedOn w:val="DefaultParagraphFont"/>
    <w:link w:val="Footer"/>
    <w:rsid w:val="00F3692A"/>
    <w:rPr>
      <w:rFonts w:ascii="Helvetica" w:hAnsi="Helvetica"/>
    </w:rPr>
  </w:style>
  <w:style w:type="character" w:styleId="PageNumber">
    <w:name w:val="page number"/>
    <w:basedOn w:val="DefaultParagraphFont"/>
    <w:semiHidden/>
    <w:unhideWhenUsed/>
    <w:rsid w:val="00F3692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heading 9"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Revision" w:semiHidden="1"/>
    <w:lsdException w:name="Bibliography" w:semiHidden="1" w:unhideWhenUsed="1"/>
    <w:lsdException w:name="TOC Heading" w:semiHidden="1" w:unhideWhenUsed="1"/>
  </w:latentStyles>
  <w:style w:type="paragraph" w:default="1" w:styleId="Normal">
    <w:name w:val="Normal"/>
    <w:qFormat/>
    <w:rsid w:val="00836647"/>
    <w:rPr>
      <w:rFonts w:ascii="Helvetica" w:hAnsi="Helvetica"/>
    </w:rPr>
  </w:style>
  <w:style w:type="paragraph" w:styleId="Heading1">
    <w:name w:val="heading 1"/>
    <w:basedOn w:val="Normal"/>
    <w:next w:val="BodyText"/>
    <w:uiPriority w:val="9"/>
    <w:qFormat/>
    <w:rsid w:val="007A008C"/>
    <w:pPr>
      <w:keepNext/>
      <w:keepLines/>
      <w:spacing w:before="480" w:after="0"/>
      <w:outlineLvl w:val="0"/>
    </w:pPr>
    <w:rPr>
      <w:rFonts w:asciiTheme="majorHAnsi" w:eastAsiaTheme="majorEastAsia" w:hAnsiTheme="majorHAnsi" w:cstheme="majorBidi"/>
      <w:b/>
      <w:bCs/>
      <w:i/>
      <w:caps/>
      <w:szCs w:val="32"/>
    </w:rPr>
  </w:style>
  <w:style w:type="paragraph" w:styleId="Heading2">
    <w:name w:val="heading 2"/>
    <w:basedOn w:val="Normal"/>
    <w:next w:val="BodyText"/>
    <w:uiPriority w:val="9"/>
    <w:unhideWhenUsed/>
    <w:qFormat/>
    <w:rsid w:val="00AF2C21"/>
    <w:pPr>
      <w:keepNext/>
      <w:keepLines/>
      <w:pageBreakBefore/>
      <w:spacing w:before="200" w:after="0" w:line="480" w:lineRule="auto"/>
      <w:outlineLvl w:val="1"/>
    </w:pPr>
    <w:rPr>
      <w:rFonts w:asciiTheme="majorHAnsi" w:eastAsiaTheme="majorEastAsia" w:hAnsiTheme="majorHAnsi" w:cstheme="majorBidi"/>
      <w:b/>
      <w:bCs/>
      <w:caps/>
      <w:szCs w:val="32"/>
    </w:rPr>
  </w:style>
  <w:style w:type="paragraph" w:styleId="Heading3">
    <w:name w:val="heading 3"/>
    <w:basedOn w:val="Normal"/>
    <w:next w:val="BodyText"/>
    <w:uiPriority w:val="9"/>
    <w:unhideWhenUsed/>
    <w:qFormat/>
    <w:rsid w:val="007A008C"/>
    <w:pPr>
      <w:keepNext/>
      <w:keepLines/>
      <w:spacing w:before="200" w:after="0"/>
      <w:outlineLvl w:val="2"/>
    </w:pPr>
    <w:rPr>
      <w:rFonts w:asciiTheme="majorHAnsi" w:eastAsiaTheme="majorEastAsia" w:hAnsiTheme="majorHAnsi" w:cstheme="majorBidi"/>
      <w:b/>
      <w:bCs/>
      <w:i/>
      <w:szCs w:val="28"/>
    </w:rPr>
  </w:style>
  <w:style w:type="paragraph" w:styleId="Heading4">
    <w:name w:val="heading 4"/>
    <w:basedOn w:val="Normal"/>
    <w:next w:val="BodyText"/>
    <w:uiPriority w:val="9"/>
    <w:unhideWhenUsed/>
    <w:qFormat/>
    <w:rsid w:val="007A008C"/>
    <w:pPr>
      <w:keepNext/>
      <w:keepLines/>
      <w:spacing w:before="200" w:after="0"/>
      <w:outlineLvl w:val="3"/>
    </w:pPr>
    <w:rPr>
      <w:rFonts w:asciiTheme="majorHAnsi" w:eastAsiaTheme="majorEastAsia" w:hAnsiTheme="majorHAnsi" w:cstheme="majorBidi"/>
      <w:b/>
      <w:bCs/>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rsid w:val="00836647"/>
    <w:pPr>
      <w:keepNext/>
      <w:keepLines/>
      <w:spacing w:before="480" w:after="240"/>
      <w:jc w:val="center"/>
    </w:pPr>
    <w:rPr>
      <w:rFonts w:asciiTheme="majorHAnsi" w:eastAsiaTheme="majorEastAsia" w:hAnsiTheme="majorHAnsi" w:cstheme="majorBidi"/>
      <w:b/>
      <w:bCs/>
      <w:color w:val="000000" w:themeColor="text1"/>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FirstParagraph"/>
    <w:next w:val="BodyText"/>
    <w:qFormat/>
    <w:rsid w:val="00AF2C21"/>
    <w:pPr>
      <w:spacing w:line="480" w:lineRule="auto"/>
    </w:pPr>
  </w:style>
  <w:style w:type="paragraph" w:styleId="Bibliography">
    <w:name w:val="Bibliography"/>
    <w:basedOn w:val="Normal"/>
    <w:qFormat/>
  </w:style>
  <w:style w:type="paragraph" w:styleId="BlockText">
    <w:name w:val="Block Text"/>
    <w:basedOn w:val="BodyText"/>
    <w:next w:val="BodyText"/>
    <w:uiPriority w:val="9"/>
    <w:unhideWhenUsed/>
    <w:qFormat/>
    <w:rsid w:val="00F2355D"/>
    <w:pPr>
      <w:spacing w:before="100" w:after="100"/>
      <w:ind w:left="576"/>
    </w:pPr>
    <w:rPr>
      <w:rFonts w:asciiTheme="minorHAnsi" w:eastAsiaTheme="majorEastAsia" w:hAnsiTheme="minorHAnsi" w:cstheme="majorBidi"/>
      <w:bCs/>
      <w:szCs w:val="20"/>
    </w:rPr>
  </w:style>
  <w:style w:type="paragraph" w:styleId="FootnoteText">
    <w:name w:val="footnote text"/>
    <w:basedOn w:val="Normal"/>
    <w:uiPriority w:val="9"/>
    <w:unhideWhenUsed/>
    <w:qFormat/>
    <w:rsid w:val="007A008C"/>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character" w:customStyle="1" w:styleId="BodyTextChar">
    <w:name w:val="Body Text Char"/>
    <w:basedOn w:val="DefaultParagraphFont"/>
    <w:link w:val="BodyText"/>
    <w:rsid w:val="00836647"/>
  </w:style>
  <w:style w:type="paragraph" w:styleId="BalloonText">
    <w:name w:val="Balloon Text"/>
    <w:basedOn w:val="Normal"/>
    <w:link w:val="BalloonTextChar"/>
    <w:semiHidden/>
    <w:unhideWhenUsed/>
    <w:rsid w:val="00316914"/>
    <w:pPr>
      <w:spacing w:after="0"/>
    </w:pPr>
    <w:rPr>
      <w:rFonts w:ascii="Lucida Grande" w:hAnsi="Lucida Grande" w:cs="Lucida Grande"/>
      <w:sz w:val="18"/>
      <w:szCs w:val="18"/>
    </w:rPr>
  </w:style>
  <w:style w:type="character" w:customStyle="1" w:styleId="BalloonTextChar">
    <w:name w:val="Balloon Text Char"/>
    <w:basedOn w:val="DefaultParagraphFont"/>
    <w:link w:val="BalloonText"/>
    <w:semiHidden/>
    <w:rsid w:val="00316914"/>
    <w:rPr>
      <w:rFonts w:ascii="Lucida Grande" w:hAnsi="Lucida Grande" w:cs="Lucida Grande"/>
      <w:sz w:val="18"/>
      <w:szCs w:val="18"/>
    </w:rPr>
  </w:style>
  <w:style w:type="paragraph" w:styleId="Footer">
    <w:name w:val="footer"/>
    <w:basedOn w:val="Normal"/>
    <w:link w:val="FooterChar"/>
    <w:unhideWhenUsed/>
    <w:rsid w:val="00F3692A"/>
    <w:pPr>
      <w:tabs>
        <w:tab w:val="center" w:pos="4320"/>
        <w:tab w:val="right" w:pos="8640"/>
      </w:tabs>
      <w:spacing w:after="0"/>
    </w:pPr>
  </w:style>
  <w:style w:type="character" w:customStyle="1" w:styleId="FooterChar">
    <w:name w:val="Footer Char"/>
    <w:basedOn w:val="DefaultParagraphFont"/>
    <w:link w:val="Footer"/>
    <w:rsid w:val="00F3692A"/>
    <w:rPr>
      <w:rFonts w:ascii="Helvetica" w:hAnsi="Helvetica"/>
    </w:rPr>
  </w:style>
  <w:style w:type="character" w:styleId="PageNumber">
    <w:name w:val="page number"/>
    <w:basedOn w:val="DefaultParagraphFont"/>
    <w:semiHidden/>
    <w:unhideWhenUsed/>
    <w:rsid w:val="00F369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cardiodb.org/alleleFrequencyApp" TargetMode="External"/><Relationship Id="rId14" Type="http://schemas.openxmlformats.org/officeDocument/2006/relationships/hyperlink" Target="http://github.com/jamesware/alleleFrequencyApp" TargetMode="External"/><Relationship Id="rId15" Type="http://schemas.openxmlformats.org/officeDocument/2006/relationships/hyperlink" Target="https://doi.org/10.1016/j.ajhg.2015.06.009" TargetMode="External"/><Relationship Id="rId16" Type="http://schemas.openxmlformats.org/officeDocument/2006/relationships/hyperlink" Target="https://doi.org/10.1038/nature19057" TargetMode="External"/><Relationship Id="rId17" Type="http://schemas.openxmlformats.org/officeDocument/2006/relationships/hyperlink" Target="https://doi.org/10.1038/gim.2015.30" TargetMode="External"/><Relationship Id="rId18" Type="http://schemas.openxmlformats.org/officeDocument/2006/relationships/hyperlink" Target="https://doi.org/10.1038/nature13127" TargetMode="External"/><Relationship Id="rId19" Type="http://schemas.openxmlformats.org/officeDocument/2006/relationships/hyperlink" Target="https://doi.org/10.1038/nrg3031" TargetMode="External"/><Relationship Id="rId50" Type="http://schemas.openxmlformats.org/officeDocument/2006/relationships/hyperlink" Target="https://doi.org/10.1016/j.ijcard.2005.12.015" TargetMode="External"/><Relationship Id="rId51" Type="http://schemas.openxmlformats.org/officeDocument/2006/relationships/hyperlink" Target="https://doi.org/10.1016/j.hrthm.2009.05.021" TargetMode="External"/><Relationship Id="rId52" Type="http://schemas.openxmlformats.org/officeDocument/2006/relationships/hyperlink" Target="https://doi.org/10.1016/j.cjca.2012.07.847" TargetMode="External"/><Relationship Id="rId53" Type="http://schemas.openxmlformats.org/officeDocument/2006/relationships/hyperlink" Target="https://doi.org/10.1016/j.hrthm.2009.09.069" TargetMode="External"/><Relationship Id="rId54" Type="http://schemas.openxmlformats.org/officeDocument/2006/relationships/hyperlink" Target="https://doi.org/10.1016/j.hlc.2015.07.020" TargetMode="External"/><Relationship Id="rId55" Type="http://schemas.openxmlformats.org/officeDocument/2006/relationships/hyperlink" Target="https://doi.org/10.1016/s0140-6736(05)67789-6" TargetMode="External"/><Relationship Id="rId56" Type="http://schemas.openxmlformats.org/officeDocument/2006/relationships/footer" Target="footer1.xml"/><Relationship Id="rId57" Type="http://schemas.openxmlformats.org/officeDocument/2006/relationships/footer" Target="footer2.xml"/><Relationship Id="rId58" Type="http://schemas.openxmlformats.org/officeDocument/2006/relationships/fontTable" Target="fontTable.xml"/><Relationship Id="rId59" Type="http://schemas.openxmlformats.org/officeDocument/2006/relationships/theme" Target="theme/theme1.xml"/><Relationship Id="rId40" Type="http://schemas.openxmlformats.org/officeDocument/2006/relationships/hyperlink" Target="https://doi.org/10.1101/gr.3715005" TargetMode="External"/><Relationship Id="rId41" Type="http://schemas.openxmlformats.org/officeDocument/2006/relationships/hyperlink" Target="https://doi.org/10.1101/gr.3577405" TargetMode="External"/><Relationship Id="rId42" Type="http://schemas.openxmlformats.org/officeDocument/2006/relationships/hyperlink" Target="https://doi.org/10.1038/nmeth0410-248" TargetMode="External"/><Relationship Id="rId43" Type="http://schemas.openxmlformats.org/officeDocument/2006/relationships/hyperlink" Target="https://doi.org/10.1093/nar/gks539" TargetMode="External"/><Relationship Id="rId44" Type="http://schemas.openxmlformats.org/officeDocument/2006/relationships/hyperlink" Target="https://doi.org/10.1016/j.cell.2013.10.037" TargetMode="External"/><Relationship Id="rId45" Type="http://schemas.openxmlformats.org/officeDocument/2006/relationships/hyperlink" Target="https://doi.org/10.1016/j.cell.2015.01.019" TargetMode="External"/><Relationship Id="rId46" Type="http://schemas.openxmlformats.org/officeDocument/2006/relationships/hyperlink" Target="https://doi.org/10.1016/j.cell.2015.01.052" TargetMode="External"/><Relationship Id="rId47" Type="http://schemas.openxmlformats.org/officeDocument/2006/relationships/hyperlink" Target="https://doi.org/10.1371/journal.pgen.1002548" TargetMode="External"/><Relationship Id="rId48" Type="http://schemas.openxmlformats.org/officeDocument/2006/relationships/hyperlink" Target="https://doi.org/10.1016/j.neuron.2016.09.054" TargetMode="External"/><Relationship Id="rId49" Type="http://schemas.openxmlformats.org/officeDocument/2006/relationships/hyperlink" Target="https://doi.org/10.1038/nrcardio.2013.105"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j.ware@imperial.ac.uk" TargetMode="External"/><Relationship Id="rId9" Type="http://schemas.openxmlformats.org/officeDocument/2006/relationships/hyperlink" Target="http://cardiodb.org/alleleFrequencyApp" TargetMode="External"/><Relationship Id="rId30" Type="http://schemas.openxmlformats.org/officeDocument/2006/relationships/hyperlink" Target="https://doi.org/10.1093/nar/gkt1113" TargetMode="External"/><Relationship Id="rId31" Type="http://schemas.openxmlformats.org/officeDocument/2006/relationships/hyperlink" Target="https://doi.org/10.1002/humu.10249" TargetMode="External"/><Relationship Id="rId32" Type="http://schemas.openxmlformats.org/officeDocument/2006/relationships/hyperlink" Target="https://doi.org/10.1016/s0140-6736(12)61023-x" TargetMode="External"/><Relationship Id="rId33" Type="http://schemas.openxmlformats.org/officeDocument/2006/relationships/hyperlink" Target="https://doi.org/10.1038/ejhg.2013.55" TargetMode="External"/><Relationship Id="rId34" Type="http://schemas.openxmlformats.org/officeDocument/2006/relationships/hyperlink" Target="https://doi.org/10.1097/gim.0b013e3181eed412" TargetMode="External"/><Relationship Id="rId35" Type="http://schemas.openxmlformats.org/officeDocument/2006/relationships/hyperlink" Target="https://doi.org/10.1136/archdischild-2013-304831" TargetMode="External"/><Relationship Id="rId36" Type="http://schemas.openxmlformats.org/officeDocument/2006/relationships/hyperlink" Target="https://doi.org/10.1164/rccm.200603-370oc" TargetMode="External"/><Relationship Id="rId37" Type="http://schemas.openxmlformats.org/officeDocument/2006/relationships/hyperlink" Target="https://doi.org/10.1164/rccm.200601-084oc" TargetMode="External"/><Relationship Id="rId38" Type="http://schemas.openxmlformats.org/officeDocument/2006/relationships/hyperlink" Target="https://doi.org/10.1038/ng.2277" TargetMode="External"/><Relationship Id="rId39" Type="http://schemas.openxmlformats.org/officeDocument/2006/relationships/hyperlink" Target="https://doi.org/10.1038/ng.3050" TargetMode="External"/><Relationship Id="rId20" Type="http://schemas.openxmlformats.org/officeDocument/2006/relationships/hyperlink" Target="https://doi.org/10.1093/molbev/msp190" TargetMode="External"/><Relationship Id="rId21" Type="http://schemas.openxmlformats.org/officeDocument/2006/relationships/hyperlink" Target="https://doi.org/10.1073/pnas.1322563111" TargetMode="External"/><Relationship Id="rId22" Type="http://schemas.openxmlformats.org/officeDocument/2006/relationships/hyperlink" Target="https://doi.org/10.1016/j.ajhg.2016.03.024" TargetMode="External"/><Relationship Id="rId23" Type="http://schemas.openxmlformats.org/officeDocument/2006/relationships/hyperlink" Target="https://doi.org/10.1126/scitranslmed.aad5169" TargetMode="External"/><Relationship Id="rId24" Type="http://schemas.openxmlformats.org/officeDocument/2006/relationships/hyperlink" Target="https://doi.org/10.1016/s0140-6736(14)61705-0" TargetMode="External"/><Relationship Id="rId25" Type="http://schemas.openxmlformats.org/officeDocument/2006/relationships/hyperlink" Target="https://doi.org/10.1038/ng.3304" TargetMode="External"/><Relationship Id="rId26" Type="http://schemas.openxmlformats.org/officeDocument/2006/relationships/hyperlink" Target="https://doi.org/10.1161/circresaha.109.216291" TargetMode="External"/><Relationship Id="rId27" Type="http://schemas.openxmlformats.org/officeDocument/2006/relationships/hyperlink" Target="https://doi.org/10.1007/s12265-016-9673-5" TargetMode="External"/><Relationship Id="rId28" Type="http://schemas.openxmlformats.org/officeDocument/2006/relationships/hyperlink" Target="https://doi.org/10.1038/gim.2014.205" TargetMode="External"/><Relationship Id="rId29" Type="http://schemas.openxmlformats.org/officeDocument/2006/relationships/hyperlink" Target="https://doi.org/10.1038/gim.2016.90" TargetMode="External"/><Relationship Id="rId10" Type="http://schemas.openxmlformats.org/officeDocument/2006/relationships/hyperlink" Target="http://exac.broadinstitute.org" TargetMode="External"/><Relationship Id="rId11" Type="http://schemas.openxmlformats.org/officeDocument/2006/relationships/hyperlink" Target="https://github.com/ImperialCardioGenetics/frequencyFilter" TargetMode="External"/><Relationship Id="rId12" Type="http://schemas.openxmlformats.org/officeDocument/2006/relationships/hyperlink" Target="https://exac.broadinstitu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22</Pages>
  <Words>6952</Words>
  <Characters>39630</Characters>
  <Application>Microsoft Macintosh Word</Application>
  <DocSecurity>4</DocSecurity>
  <Lines>330</Lines>
  <Paragraphs>92</Paragraphs>
  <ScaleCrop>false</ScaleCrop>
  <Company>RBHT</Company>
  <LinksUpToDate>false</LinksUpToDate>
  <CharactersWithSpaces>46490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high-resolution variant frequencies to empower clinical genome interpretation</dc:title>
  <dc:creator>Nicola Whiffin</dc:creator>
  <cp:lastModifiedBy>Nicola Whiffin</cp:lastModifiedBy>
  <cp:revision>2</cp:revision>
  <dcterms:created xsi:type="dcterms:W3CDTF">2016-12-16T17:33:00Z</dcterms:created>
  <dcterms:modified xsi:type="dcterms:W3CDTF">2016-12-16T17:33:00Z</dcterms:modified>
</cp:coreProperties>
</file>