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2EBA" w:rsidRPr="00392EBA" w:rsidRDefault="00392EBA" w:rsidP="005B3E7F">
      <w:pPr>
        <w:rPr>
          <w:rFonts w:cstheme="minorHAnsi"/>
          <w:b/>
          <w:i/>
          <w:sz w:val="20"/>
          <w:szCs w:val="20"/>
        </w:rPr>
      </w:pPr>
      <w:r w:rsidRPr="00392EBA">
        <w:rPr>
          <w:rFonts w:cstheme="minorHAnsi"/>
          <w:i/>
          <w:color w:val="000000"/>
          <w:sz w:val="20"/>
          <w:szCs w:val="20"/>
          <w:shd w:val="clear" w:color="auto" w:fill="FFFFFF"/>
        </w:rPr>
        <w:t>This is an author-submitted, peer-reviewed version of a manuscript that has been accepted for publication in the European Respiratory Journal, prior to copy-editing, formatting and typesetting. This version of the manuscript may not be duplicated or r</w:t>
      </w:r>
      <w:bookmarkStart w:id="0" w:name="_GoBack"/>
      <w:bookmarkEnd w:id="0"/>
      <w:r w:rsidRPr="00392EBA">
        <w:rPr>
          <w:rFonts w:cstheme="minorHAnsi"/>
          <w:i/>
          <w:color w:val="000000"/>
          <w:sz w:val="20"/>
          <w:szCs w:val="20"/>
          <w:shd w:val="clear" w:color="auto" w:fill="FFFFFF"/>
        </w:rPr>
        <w:t>eproduced without prior permission from the copyright owner, the European Respiratory Society. The publisher is not responsible or liable for any errors or omissions in this version of the manuscript or in any version derived from it by any other parties. The final, copy-edited, published article, which is the version of record, is available without a subscription 18 months after the date of issue publication</w:t>
      </w:r>
    </w:p>
    <w:p w:rsidR="00392EBA" w:rsidRDefault="00392EBA" w:rsidP="005B3E7F">
      <w:pPr>
        <w:rPr>
          <w:b/>
        </w:rPr>
      </w:pPr>
    </w:p>
    <w:p w:rsidR="005B3E7F" w:rsidRPr="005B3E7F" w:rsidRDefault="005B3E7F" w:rsidP="005B3E7F">
      <w:pPr>
        <w:rPr>
          <w:b/>
        </w:rPr>
      </w:pPr>
      <w:r w:rsidRPr="005B3E7F">
        <w:rPr>
          <w:b/>
        </w:rPr>
        <w:t>Prediction of longitudinal inflammatory phenotypes using baseline sputum transcriptomics in UBIOPRED</w:t>
      </w:r>
    </w:p>
    <w:p w:rsidR="005B3E7F" w:rsidRDefault="005B3E7F" w:rsidP="005B3E7F">
      <w:r>
        <w:t xml:space="preserve">Nazanin </w:t>
      </w:r>
      <w:proofErr w:type="spellStart"/>
      <w:r>
        <w:t>Zounemat</w:t>
      </w:r>
      <w:proofErr w:type="spellEnd"/>
      <w:r>
        <w:t xml:space="preserve"> </w:t>
      </w:r>
      <w:proofErr w:type="spellStart"/>
      <w:r>
        <w:t>Kermani</w:t>
      </w:r>
      <w:proofErr w:type="spellEnd"/>
      <w:r>
        <w:t xml:space="preserve">, Stelios </w:t>
      </w:r>
      <w:proofErr w:type="spellStart"/>
      <w:r>
        <w:t>Pavlidis</w:t>
      </w:r>
      <w:proofErr w:type="spellEnd"/>
      <w:r>
        <w:t>, John H. Riley, Fan Kian Chung, Ian M. Adcock, Yi-Ke Guo</w:t>
      </w:r>
    </w:p>
    <w:p w:rsidR="005B3E7F" w:rsidRDefault="005B3E7F" w:rsidP="005B3E7F">
      <w:r>
        <w:t xml:space="preserve">European Respiratory Journal 2019 54: PA2347; DOI: 10.1183/13993003.congress-2019.PA2347 </w:t>
      </w:r>
    </w:p>
    <w:p w:rsidR="005B3E7F" w:rsidRDefault="005B3E7F" w:rsidP="005B3E7F"/>
    <w:p w:rsidR="005B3E7F" w:rsidRPr="005B3E7F" w:rsidRDefault="005B3E7F" w:rsidP="005B3E7F">
      <w:pPr>
        <w:rPr>
          <w:b/>
        </w:rPr>
      </w:pPr>
      <w:r w:rsidRPr="005B3E7F">
        <w:rPr>
          <w:b/>
        </w:rPr>
        <w:t>Abstract</w:t>
      </w:r>
    </w:p>
    <w:p w:rsidR="005B3E7F" w:rsidRDefault="005B3E7F" w:rsidP="005B3E7F">
      <w:r>
        <w:t xml:space="preserve">Background: 4 inflammatory </w:t>
      </w:r>
      <w:proofErr w:type="gramStart"/>
      <w:r>
        <w:t>phenotypes(</w:t>
      </w:r>
      <w:proofErr w:type="spellStart"/>
      <w:proofErr w:type="gramEnd"/>
      <w:r>
        <w:t>paucigranulocytic</w:t>
      </w:r>
      <w:proofErr w:type="spellEnd"/>
      <w:r>
        <w:t xml:space="preserve"> P; eosinophilic E; neutrophilic N or mixed EN) were previously defined based on the sputum inflammatory cell counts in UBIOPRED severe asthma cohort[1]. These inflammatory phenotypes vary over time according to the effects of the environment or therapy.</w:t>
      </w:r>
    </w:p>
    <w:p w:rsidR="005B3E7F" w:rsidRDefault="005B3E7F" w:rsidP="005B3E7F">
      <w:r w:rsidRPr="005B3E7F">
        <w:rPr>
          <w:b/>
        </w:rPr>
        <w:t>Aim:</w:t>
      </w:r>
      <w:r>
        <w:t xml:space="preserve"> To determine whether sputum transcriptomics can predict the change in the inflammatory phenotype at 1 year.</w:t>
      </w:r>
    </w:p>
    <w:p w:rsidR="005B3E7F" w:rsidRDefault="005B3E7F" w:rsidP="005B3E7F">
      <w:r w:rsidRPr="005B3E7F">
        <w:rPr>
          <w:b/>
        </w:rPr>
        <w:t>Methods:</w:t>
      </w:r>
      <w:r>
        <w:t xml:space="preserve"> We defined EN as the most inflammatory group and the P as the least inflammatory group With E and N being intermediate. Sputum transcriptomics for (n=42) were labelled 1, 2, 3(see Table 1). A random forests classifier based on the Partial Least Squares components and leave-one-out cross-validation(cv) for testing with 3-fold cv for hyper-parameter tuning was used. </w:t>
      </w:r>
      <w:proofErr w:type="spellStart"/>
      <w:r>
        <w:t>EnrichR</w:t>
      </w:r>
      <w:proofErr w:type="spellEnd"/>
      <w:r>
        <w:t xml:space="preserve"> was used for pathway analysis.</w:t>
      </w:r>
    </w:p>
    <w:p w:rsidR="005B3E7F" w:rsidRPr="005B3E7F" w:rsidRDefault="005B3E7F" w:rsidP="005B3E7F">
      <w:pPr>
        <w:spacing w:after="0" w:line="251" w:lineRule="atLeast"/>
        <w:textAlignment w:val="baseline"/>
        <w:rPr>
          <w:rFonts w:ascii="&amp;quot" w:eastAsia="Times New Roman" w:hAnsi="&amp;quot" w:cs="Times New Roman"/>
          <w:color w:val="000000"/>
          <w:sz w:val="18"/>
          <w:szCs w:val="18"/>
          <w:lang w:eastAsia="en-GB"/>
        </w:rPr>
      </w:pPr>
      <w:r w:rsidRPr="005B3E7F">
        <w:rPr>
          <w:rFonts w:ascii="&amp;quot" w:eastAsia="Times New Roman" w:hAnsi="&amp;quot" w:cs="Times New Roman"/>
          <w:b/>
          <w:bCs/>
          <w:color w:val="000000"/>
          <w:sz w:val="18"/>
          <w:szCs w:val="18"/>
          <w:bdr w:val="none" w:sz="0" w:space="0" w:color="auto" w:frame="1"/>
          <w:lang w:eastAsia="en-GB"/>
        </w:rPr>
        <w:t>Table</w:t>
      </w:r>
      <w:r>
        <w:rPr>
          <w:rFonts w:ascii="&amp;quot" w:eastAsia="Times New Roman" w:hAnsi="&amp;quot" w:cs="Times New Roman"/>
          <w:b/>
          <w:bCs/>
          <w:color w:val="000000"/>
          <w:sz w:val="18"/>
          <w:szCs w:val="18"/>
          <w:bdr w:val="none" w:sz="0" w:space="0" w:color="auto" w:frame="1"/>
          <w:lang w:eastAsia="en-GB"/>
        </w:rPr>
        <w:t xml:space="preserve"> </w:t>
      </w:r>
      <w:r w:rsidRPr="005B3E7F">
        <w:rPr>
          <w:rFonts w:ascii="&amp;quot" w:eastAsia="Times New Roman" w:hAnsi="&amp;quot" w:cs="Times New Roman"/>
          <w:b/>
          <w:bCs/>
          <w:color w:val="000000"/>
          <w:sz w:val="18"/>
          <w:szCs w:val="18"/>
          <w:bdr w:val="none" w:sz="0" w:space="0" w:color="auto" w:frame="1"/>
          <w:lang w:eastAsia="en-GB"/>
        </w:rPr>
        <w:t>1.</w:t>
      </w:r>
      <w:r w:rsidRPr="005B3E7F">
        <w:rPr>
          <w:rFonts w:ascii="&amp;quot" w:eastAsia="Times New Roman" w:hAnsi="&amp;quot" w:cs="Times New Roman"/>
          <w:color w:val="000000"/>
          <w:sz w:val="18"/>
          <w:szCs w:val="18"/>
          <w:lang w:eastAsia="en-GB"/>
        </w:rPr>
        <w:t xml:space="preserve"> </w:t>
      </w:r>
    </w:p>
    <w:p w:rsidR="005B3E7F" w:rsidRDefault="005B3E7F" w:rsidP="005B3E7F">
      <w:r>
        <w:t>Observed changes in inflammatory states at baseline (first column) to 1-year visit (first row)-no change 1; raised inflammatory 2; lowered inflammatory 3. N stands for not observed.</w:t>
      </w:r>
    </w:p>
    <w:p w:rsidR="005B3E7F" w:rsidRPr="005B3E7F" w:rsidRDefault="005B3E7F" w:rsidP="005B3E7F">
      <w:pPr>
        <w:spacing w:line="251" w:lineRule="atLeast"/>
        <w:textAlignment w:val="baseline"/>
        <w:rPr>
          <w:rFonts w:ascii="&amp;quot" w:eastAsia="Times New Roman" w:hAnsi="&amp;quot" w:cs="Times New Roman"/>
          <w:color w:val="000000"/>
          <w:sz w:val="18"/>
          <w:szCs w:val="18"/>
          <w:lang w:eastAsia="en-GB"/>
        </w:rPr>
      </w:pPr>
    </w:p>
    <w:tbl>
      <w:tblPr>
        <w:tblW w:w="5473" w:type="dxa"/>
        <w:tblInd w:w="473" w:type="dxa"/>
        <w:tblBorders>
          <w:top w:val="single" w:sz="2" w:space="0" w:color="DADADA"/>
          <w:left w:val="single" w:sz="2" w:space="0" w:color="DADADA"/>
          <w:bottom w:val="single" w:sz="2" w:space="0" w:color="DADADA"/>
          <w:right w:val="single" w:sz="2" w:space="0" w:color="DADADA"/>
        </w:tblBorders>
        <w:tblCellMar>
          <w:left w:w="0" w:type="dxa"/>
          <w:right w:w="0" w:type="dxa"/>
        </w:tblCellMar>
        <w:tblLook w:val="04A0" w:firstRow="1" w:lastRow="0" w:firstColumn="1" w:lastColumn="0" w:noHBand="0" w:noVBand="1"/>
      </w:tblPr>
      <w:tblGrid>
        <w:gridCol w:w="1094"/>
        <w:gridCol w:w="1095"/>
        <w:gridCol w:w="1094"/>
        <w:gridCol w:w="1095"/>
        <w:gridCol w:w="1095"/>
      </w:tblGrid>
      <w:tr w:rsidR="005B3E7F" w:rsidRPr="005B3E7F" w:rsidTr="005B3E7F">
        <w:trPr>
          <w:trHeight w:val="20"/>
        </w:trPr>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rPr>
                <w:rFonts w:eastAsia="Times New Roman" w:cstheme="minorHAnsi"/>
                <w:color w:val="000000"/>
                <w:sz w:val="24"/>
                <w:szCs w:val="18"/>
                <w:lang w:eastAsia="en-GB"/>
              </w:rPr>
            </w:pP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b/>
                <w:bCs/>
                <w:color w:val="000000"/>
                <w:sz w:val="24"/>
                <w:szCs w:val="15"/>
                <w:bdr w:val="none" w:sz="0" w:space="0" w:color="auto" w:frame="1"/>
                <w:lang w:eastAsia="en-GB"/>
              </w:rPr>
              <w:t>P</w:t>
            </w:r>
          </w:p>
        </w:tc>
        <w:tc>
          <w:tcPr>
            <w:tcW w:w="1094"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b/>
                <w:bCs/>
                <w:color w:val="000000"/>
                <w:sz w:val="24"/>
                <w:szCs w:val="15"/>
                <w:bdr w:val="none" w:sz="0" w:space="0" w:color="auto" w:frame="1"/>
                <w:lang w:eastAsia="en-GB"/>
              </w:rPr>
              <w:t>E</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b/>
                <w:bCs/>
                <w:color w:val="000000"/>
                <w:sz w:val="24"/>
                <w:szCs w:val="15"/>
                <w:bdr w:val="none" w:sz="0" w:space="0" w:color="auto" w:frame="1"/>
                <w:lang w:eastAsia="en-GB"/>
              </w:rPr>
              <w:t>N</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b/>
                <w:bCs/>
                <w:color w:val="000000"/>
                <w:sz w:val="24"/>
                <w:szCs w:val="15"/>
                <w:bdr w:val="none" w:sz="0" w:space="0" w:color="auto" w:frame="1"/>
                <w:lang w:eastAsia="en-GB"/>
              </w:rPr>
              <w:t>EN</w:t>
            </w:r>
          </w:p>
        </w:tc>
      </w:tr>
      <w:tr w:rsidR="005B3E7F" w:rsidRPr="005B3E7F" w:rsidTr="005B3E7F">
        <w:trPr>
          <w:trHeight w:val="20"/>
        </w:trPr>
        <w:tc>
          <w:tcPr>
            <w:tcW w:w="1094"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rPr>
                <w:rFonts w:eastAsia="Times New Roman" w:cstheme="minorHAnsi"/>
                <w:color w:val="000000"/>
                <w:sz w:val="24"/>
                <w:szCs w:val="15"/>
                <w:lang w:eastAsia="en-GB"/>
              </w:rPr>
            </w:pPr>
            <w:r w:rsidRPr="005B3E7F">
              <w:rPr>
                <w:rFonts w:eastAsia="Times New Roman" w:cstheme="minorHAnsi"/>
                <w:color w:val="000000"/>
                <w:sz w:val="24"/>
                <w:szCs w:val="15"/>
                <w:lang w:eastAsia="en-GB"/>
              </w:rPr>
              <w:t>P</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1</w:t>
            </w:r>
          </w:p>
        </w:tc>
        <w:tc>
          <w:tcPr>
            <w:tcW w:w="1094"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N</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2</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2</w:t>
            </w:r>
          </w:p>
        </w:tc>
      </w:tr>
      <w:tr w:rsidR="005B3E7F" w:rsidRPr="005B3E7F" w:rsidTr="005B3E7F">
        <w:trPr>
          <w:trHeight w:val="20"/>
        </w:trPr>
        <w:tc>
          <w:tcPr>
            <w:tcW w:w="1094"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rPr>
                <w:rFonts w:eastAsia="Times New Roman" w:cstheme="minorHAnsi"/>
                <w:color w:val="000000"/>
                <w:sz w:val="24"/>
                <w:szCs w:val="15"/>
                <w:lang w:eastAsia="en-GB"/>
              </w:rPr>
            </w:pPr>
            <w:r w:rsidRPr="005B3E7F">
              <w:rPr>
                <w:rFonts w:eastAsia="Times New Roman" w:cstheme="minorHAnsi"/>
                <w:color w:val="000000"/>
                <w:sz w:val="24"/>
                <w:szCs w:val="15"/>
                <w:lang w:eastAsia="en-GB"/>
              </w:rPr>
              <w:t>E</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N</w:t>
            </w:r>
          </w:p>
        </w:tc>
        <w:tc>
          <w:tcPr>
            <w:tcW w:w="1094"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1</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N</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2</w:t>
            </w:r>
          </w:p>
        </w:tc>
      </w:tr>
      <w:tr w:rsidR="005B3E7F" w:rsidRPr="005B3E7F" w:rsidTr="005B3E7F">
        <w:trPr>
          <w:trHeight w:val="20"/>
        </w:trPr>
        <w:tc>
          <w:tcPr>
            <w:tcW w:w="1094"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rPr>
                <w:rFonts w:eastAsia="Times New Roman" w:cstheme="minorHAnsi"/>
                <w:color w:val="000000"/>
                <w:sz w:val="24"/>
                <w:szCs w:val="15"/>
                <w:lang w:eastAsia="en-GB"/>
              </w:rPr>
            </w:pPr>
            <w:r w:rsidRPr="005B3E7F">
              <w:rPr>
                <w:rFonts w:eastAsia="Times New Roman" w:cstheme="minorHAnsi"/>
                <w:color w:val="000000"/>
                <w:sz w:val="24"/>
                <w:szCs w:val="15"/>
                <w:lang w:eastAsia="en-GB"/>
              </w:rPr>
              <w:t>N</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3</w:t>
            </w:r>
          </w:p>
        </w:tc>
        <w:tc>
          <w:tcPr>
            <w:tcW w:w="1094"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N</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1</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2</w:t>
            </w:r>
          </w:p>
        </w:tc>
      </w:tr>
      <w:tr w:rsidR="005B3E7F" w:rsidRPr="005B3E7F" w:rsidTr="005B3E7F">
        <w:trPr>
          <w:trHeight w:val="20"/>
        </w:trPr>
        <w:tc>
          <w:tcPr>
            <w:tcW w:w="1094"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rPr>
                <w:rFonts w:eastAsia="Times New Roman" w:cstheme="minorHAnsi"/>
                <w:color w:val="000000"/>
                <w:sz w:val="24"/>
                <w:szCs w:val="15"/>
                <w:lang w:eastAsia="en-GB"/>
              </w:rPr>
            </w:pPr>
            <w:r w:rsidRPr="005B3E7F">
              <w:rPr>
                <w:rFonts w:eastAsia="Times New Roman" w:cstheme="minorHAnsi"/>
                <w:color w:val="000000"/>
                <w:sz w:val="24"/>
                <w:szCs w:val="15"/>
                <w:lang w:eastAsia="en-GB"/>
              </w:rPr>
              <w:t>EN</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3</w:t>
            </w:r>
          </w:p>
        </w:tc>
        <w:tc>
          <w:tcPr>
            <w:tcW w:w="1094"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3</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3</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120" w:type="dxa"/>
              <w:left w:w="120" w:type="dxa"/>
              <w:bottom w:w="120" w:type="dxa"/>
              <w:right w:w="120" w:type="dxa"/>
            </w:tcMar>
            <w:vAlign w:val="bottom"/>
            <w:hideMark/>
          </w:tcPr>
          <w:p w:rsidR="005B3E7F" w:rsidRPr="005B3E7F" w:rsidRDefault="005B3E7F" w:rsidP="005B3E7F">
            <w:pPr>
              <w:spacing w:after="0" w:line="240" w:lineRule="exact"/>
              <w:jc w:val="center"/>
              <w:rPr>
                <w:rFonts w:eastAsia="Times New Roman" w:cstheme="minorHAnsi"/>
                <w:color w:val="000000"/>
                <w:sz w:val="24"/>
                <w:szCs w:val="15"/>
                <w:lang w:eastAsia="en-GB"/>
              </w:rPr>
            </w:pPr>
            <w:r w:rsidRPr="005B3E7F">
              <w:rPr>
                <w:rFonts w:eastAsia="Times New Roman" w:cstheme="minorHAnsi"/>
                <w:color w:val="000000"/>
                <w:sz w:val="24"/>
                <w:szCs w:val="15"/>
                <w:lang w:eastAsia="en-GB"/>
              </w:rPr>
              <w:t>1</w:t>
            </w:r>
          </w:p>
        </w:tc>
      </w:tr>
    </w:tbl>
    <w:p w:rsidR="005B3E7F" w:rsidRDefault="005B3E7F" w:rsidP="005B3E7F"/>
    <w:p w:rsidR="005B3E7F" w:rsidRDefault="005B3E7F" w:rsidP="005B3E7F">
      <w:r w:rsidRPr="005B3E7F">
        <w:rPr>
          <w:b/>
        </w:rPr>
        <w:t>Results:</w:t>
      </w:r>
      <w:r>
        <w:t xml:space="preserve"> The balanced accuracy of the classifier is 93 ±0.05% for Class 1 (n=23), 78±0.1% for Class 2 (n=8) and 78±0.1% for Class 3(n=11). Pathways are shown in Figure 1.</w:t>
      </w:r>
    </w:p>
    <w:p w:rsidR="005B3E7F" w:rsidRDefault="005B3E7F" w:rsidP="005B3E7F">
      <w:r w:rsidRPr="005B3E7F">
        <w:rPr>
          <w:b/>
        </w:rPr>
        <w:lastRenderedPageBreak/>
        <w:t>Conclusions:</w:t>
      </w:r>
      <w:r>
        <w:t xml:space="preserve"> Baseline sputum transcriptomics may be used to predict changes in inflammatory phenotype at 1 year. These findings need validation.</w:t>
      </w:r>
    </w:p>
    <w:p w:rsidR="00CB3E43" w:rsidRDefault="005B3E7F" w:rsidP="005B3E7F">
      <w:r>
        <w:t xml:space="preserve">Figure 1-Enriched biological processes for upregulated/downregulated genes </w:t>
      </w:r>
      <w:proofErr w:type="spellStart"/>
      <w:r>
        <w:t>pvalue</w:t>
      </w:r>
      <w:proofErr w:type="spellEnd"/>
      <w:r>
        <w:t xml:space="preserve"> &lt;=0.005, + stands for positive.</w:t>
      </w:r>
    </w:p>
    <w:p w:rsidR="005B3E7F" w:rsidRDefault="005B3E7F" w:rsidP="005B3E7F"/>
    <w:sectPr w:rsidR="005B3E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78B6"/>
    <w:multiLevelType w:val="multilevel"/>
    <w:tmpl w:val="587CE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DA0E31"/>
    <w:multiLevelType w:val="multilevel"/>
    <w:tmpl w:val="4EDA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E7F"/>
    <w:rsid w:val="00392EBA"/>
    <w:rsid w:val="00402C7F"/>
    <w:rsid w:val="005B3E7F"/>
    <w:rsid w:val="008E1E18"/>
    <w:rsid w:val="00B05857"/>
    <w:rsid w:val="00CB3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931B0"/>
  <w15:chartTrackingRefBased/>
  <w15:docId w15:val="{5D2C7869-943C-42DB-97AB-69E39AB94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B3E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B3E7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E7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B3E7F"/>
    <w:rPr>
      <w:rFonts w:ascii="Times New Roman" w:eastAsia="Times New Roman" w:hAnsi="Times New Roman" w:cs="Times New Roman"/>
      <w:b/>
      <w:bCs/>
      <w:sz w:val="36"/>
      <w:szCs w:val="36"/>
      <w:lang w:eastAsia="en-GB"/>
    </w:rPr>
  </w:style>
  <w:style w:type="character" w:customStyle="1" w:styleId="highwire-citation-authors">
    <w:name w:val="highwire-citation-authors"/>
    <w:basedOn w:val="DefaultParagraphFont"/>
    <w:rsid w:val="005B3E7F"/>
  </w:style>
  <w:style w:type="character" w:customStyle="1" w:styleId="highwire-citation-author">
    <w:name w:val="highwire-citation-author"/>
    <w:basedOn w:val="DefaultParagraphFont"/>
    <w:rsid w:val="005B3E7F"/>
  </w:style>
  <w:style w:type="character" w:customStyle="1" w:styleId="nlm-given-names">
    <w:name w:val="nlm-given-names"/>
    <w:basedOn w:val="DefaultParagraphFont"/>
    <w:rsid w:val="005B3E7F"/>
  </w:style>
  <w:style w:type="character" w:customStyle="1" w:styleId="nlm-surname">
    <w:name w:val="nlm-surname"/>
    <w:basedOn w:val="DefaultParagraphFont"/>
    <w:rsid w:val="005B3E7F"/>
  </w:style>
  <w:style w:type="character" w:customStyle="1" w:styleId="highwire-cite-metadata-journal">
    <w:name w:val="highwire-cite-metadata-journal"/>
    <w:basedOn w:val="DefaultParagraphFont"/>
    <w:rsid w:val="005B3E7F"/>
  </w:style>
  <w:style w:type="character" w:customStyle="1" w:styleId="highwire-cite-metadata-date">
    <w:name w:val="highwire-cite-metadata-date"/>
    <w:basedOn w:val="DefaultParagraphFont"/>
    <w:rsid w:val="005B3E7F"/>
  </w:style>
  <w:style w:type="character" w:customStyle="1" w:styleId="highwire-cite-metadata-volume">
    <w:name w:val="highwire-cite-metadata-volume"/>
    <w:basedOn w:val="DefaultParagraphFont"/>
    <w:rsid w:val="005B3E7F"/>
  </w:style>
  <w:style w:type="character" w:customStyle="1" w:styleId="highwire-cite-metadata-pages">
    <w:name w:val="highwire-cite-metadata-pages"/>
    <w:basedOn w:val="DefaultParagraphFont"/>
    <w:rsid w:val="005B3E7F"/>
  </w:style>
  <w:style w:type="character" w:customStyle="1" w:styleId="highwire-cite-metadata-doi">
    <w:name w:val="highwire-cite-metadata-doi"/>
    <w:basedOn w:val="DefaultParagraphFont"/>
    <w:rsid w:val="005B3E7F"/>
  </w:style>
  <w:style w:type="character" w:customStyle="1" w:styleId="label">
    <w:name w:val="label"/>
    <w:basedOn w:val="DefaultParagraphFont"/>
    <w:rsid w:val="005B3E7F"/>
  </w:style>
  <w:style w:type="character" w:styleId="Hyperlink">
    <w:name w:val="Hyperlink"/>
    <w:basedOn w:val="DefaultParagraphFont"/>
    <w:uiPriority w:val="99"/>
    <w:semiHidden/>
    <w:unhideWhenUsed/>
    <w:rsid w:val="005B3E7F"/>
    <w:rPr>
      <w:color w:val="0000FF"/>
      <w:u w:val="single"/>
    </w:rPr>
  </w:style>
  <w:style w:type="paragraph" w:styleId="NormalWeb">
    <w:name w:val="Normal (Web)"/>
    <w:basedOn w:val="Normal"/>
    <w:uiPriority w:val="99"/>
    <w:semiHidden/>
    <w:unhideWhenUsed/>
    <w:rsid w:val="005B3E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B3E7F"/>
    <w:rPr>
      <w:b/>
      <w:bCs/>
    </w:rPr>
  </w:style>
  <w:style w:type="character" w:customStyle="1" w:styleId="table-label">
    <w:name w:val="table-label"/>
    <w:basedOn w:val="DefaultParagraphFont"/>
    <w:rsid w:val="005B3E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853000">
      <w:bodyDiv w:val="1"/>
      <w:marLeft w:val="0"/>
      <w:marRight w:val="0"/>
      <w:marTop w:val="0"/>
      <w:marBottom w:val="0"/>
      <w:divBdr>
        <w:top w:val="none" w:sz="0" w:space="0" w:color="auto"/>
        <w:left w:val="none" w:sz="0" w:space="0" w:color="auto"/>
        <w:bottom w:val="none" w:sz="0" w:space="0" w:color="auto"/>
        <w:right w:val="none" w:sz="0" w:space="0" w:color="auto"/>
      </w:divBdr>
      <w:divsChild>
        <w:div w:id="1795367576">
          <w:marLeft w:val="0"/>
          <w:marRight w:val="0"/>
          <w:marTop w:val="0"/>
          <w:marBottom w:val="0"/>
          <w:divBdr>
            <w:top w:val="none" w:sz="0" w:space="0" w:color="auto"/>
            <w:left w:val="none" w:sz="0" w:space="0" w:color="auto"/>
            <w:bottom w:val="none" w:sz="0" w:space="0" w:color="auto"/>
            <w:right w:val="none" w:sz="0" w:space="0" w:color="auto"/>
          </w:divBdr>
          <w:divsChild>
            <w:div w:id="288509660">
              <w:marLeft w:val="0"/>
              <w:marRight w:val="0"/>
              <w:marTop w:val="0"/>
              <w:marBottom w:val="0"/>
              <w:divBdr>
                <w:top w:val="none" w:sz="0" w:space="0" w:color="auto"/>
                <w:left w:val="none" w:sz="0" w:space="0" w:color="auto"/>
                <w:bottom w:val="none" w:sz="0" w:space="0" w:color="auto"/>
                <w:right w:val="none" w:sz="0" w:space="0" w:color="auto"/>
              </w:divBdr>
              <w:divsChild>
                <w:div w:id="741637783">
                  <w:marLeft w:val="0"/>
                  <w:marRight w:val="0"/>
                  <w:marTop w:val="0"/>
                  <w:marBottom w:val="0"/>
                  <w:divBdr>
                    <w:top w:val="none" w:sz="0" w:space="0" w:color="auto"/>
                    <w:left w:val="none" w:sz="0" w:space="0" w:color="auto"/>
                    <w:bottom w:val="none" w:sz="0" w:space="0" w:color="auto"/>
                    <w:right w:val="none" w:sz="0" w:space="0" w:color="auto"/>
                  </w:divBdr>
                  <w:divsChild>
                    <w:div w:id="393815868">
                      <w:marLeft w:val="0"/>
                      <w:marRight w:val="0"/>
                      <w:marTop w:val="0"/>
                      <w:marBottom w:val="300"/>
                      <w:divBdr>
                        <w:top w:val="none" w:sz="0" w:space="0" w:color="auto"/>
                        <w:left w:val="none" w:sz="0" w:space="0" w:color="auto"/>
                        <w:bottom w:val="none" w:sz="0" w:space="0" w:color="auto"/>
                        <w:right w:val="none" w:sz="0" w:space="0" w:color="auto"/>
                      </w:divBdr>
                      <w:divsChild>
                        <w:div w:id="1638487143">
                          <w:marLeft w:val="0"/>
                          <w:marRight w:val="0"/>
                          <w:marTop w:val="0"/>
                          <w:marBottom w:val="0"/>
                          <w:divBdr>
                            <w:top w:val="none" w:sz="0" w:space="0" w:color="auto"/>
                            <w:left w:val="none" w:sz="0" w:space="0" w:color="auto"/>
                            <w:bottom w:val="none" w:sz="0" w:space="0" w:color="auto"/>
                            <w:right w:val="none" w:sz="0" w:space="0" w:color="auto"/>
                          </w:divBdr>
                          <w:divsChild>
                            <w:div w:id="693192558">
                              <w:marLeft w:val="0"/>
                              <w:marRight w:val="0"/>
                              <w:marTop w:val="0"/>
                              <w:marBottom w:val="0"/>
                              <w:divBdr>
                                <w:top w:val="none" w:sz="0" w:space="0" w:color="auto"/>
                                <w:left w:val="none" w:sz="0" w:space="0" w:color="auto"/>
                                <w:bottom w:val="none" w:sz="0" w:space="0" w:color="auto"/>
                                <w:right w:val="none" w:sz="0" w:space="0" w:color="auto"/>
                              </w:divBdr>
                              <w:divsChild>
                                <w:div w:id="1378704465">
                                  <w:marLeft w:val="0"/>
                                  <w:marRight w:val="0"/>
                                  <w:marTop w:val="0"/>
                                  <w:marBottom w:val="0"/>
                                  <w:divBdr>
                                    <w:top w:val="none" w:sz="0" w:space="0" w:color="auto"/>
                                    <w:left w:val="none" w:sz="0" w:space="0" w:color="auto"/>
                                    <w:bottom w:val="none" w:sz="0" w:space="0" w:color="auto"/>
                                    <w:right w:val="none" w:sz="0" w:space="0" w:color="auto"/>
                                  </w:divBdr>
                                  <w:divsChild>
                                    <w:div w:id="111443030">
                                      <w:marLeft w:val="0"/>
                                      <w:marRight w:val="0"/>
                                      <w:marTop w:val="75"/>
                                      <w:marBottom w:val="0"/>
                                      <w:divBdr>
                                        <w:top w:val="none" w:sz="0" w:space="0" w:color="auto"/>
                                        <w:left w:val="none" w:sz="0" w:space="0" w:color="auto"/>
                                        <w:bottom w:val="none" w:sz="0" w:space="0" w:color="auto"/>
                                        <w:right w:val="none" w:sz="0" w:space="0" w:color="auto"/>
                                      </w:divBdr>
                                    </w:div>
                                    <w:div w:id="39847888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8057887">
          <w:marLeft w:val="0"/>
          <w:marRight w:val="75"/>
          <w:marTop w:val="0"/>
          <w:marBottom w:val="0"/>
          <w:divBdr>
            <w:top w:val="none" w:sz="0" w:space="0" w:color="auto"/>
            <w:left w:val="none" w:sz="0" w:space="0" w:color="auto"/>
            <w:bottom w:val="none" w:sz="0" w:space="0" w:color="auto"/>
            <w:right w:val="none" w:sz="0" w:space="0" w:color="auto"/>
          </w:divBdr>
          <w:divsChild>
            <w:div w:id="2082943357">
              <w:marLeft w:val="0"/>
              <w:marRight w:val="0"/>
              <w:marTop w:val="0"/>
              <w:marBottom w:val="0"/>
              <w:divBdr>
                <w:top w:val="none" w:sz="0" w:space="0" w:color="auto"/>
                <w:left w:val="none" w:sz="0" w:space="0" w:color="auto"/>
                <w:bottom w:val="none" w:sz="0" w:space="0" w:color="auto"/>
                <w:right w:val="none" w:sz="0" w:space="0" w:color="auto"/>
              </w:divBdr>
              <w:divsChild>
                <w:div w:id="68038389">
                  <w:marLeft w:val="0"/>
                  <w:marRight w:val="0"/>
                  <w:marTop w:val="0"/>
                  <w:marBottom w:val="0"/>
                  <w:divBdr>
                    <w:top w:val="none" w:sz="0" w:space="0" w:color="auto"/>
                    <w:left w:val="none" w:sz="0" w:space="0" w:color="auto"/>
                    <w:bottom w:val="none" w:sz="0" w:space="0" w:color="auto"/>
                    <w:right w:val="none" w:sz="0" w:space="0" w:color="auto"/>
                  </w:divBdr>
                  <w:divsChild>
                    <w:div w:id="1449161476">
                      <w:marLeft w:val="0"/>
                      <w:marRight w:val="0"/>
                      <w:marTop w:val="0"/>
                      <w:marBottom w:val="300"/>
                      <w:divBdr>
                        <w:top w:val="none" w:sz="0" w:space="0" w:color="auto"/>
                        <w:left w:val="none" w:sz="0" w:space="0" w:color="auto"/>
                        <w:bottom w:val="none" w:sz="0" w:space="0" w:color="auto"/>
                        <w:right w:val="none" w:sz="0" w:space="0" w:color="auto"/>
                      </w:divBdr>
                      <w:divsChild>
                        <w:div w:id="484860250">
                          <w:marLeft w:val="0"/>
                          <w:marRight w:val="0"/>
                          <w:marTop w:val="0"/>
                          <w:marBottom w:val="0"/>
                          <w:divBdr>
                            <w:top w:val="none" w:sz="0" w:space="0" w:color="auto"/>
                            <w:left w:val="none" w:sz="0" w:space="0" w:color="auto"/>
                            <w:bottom w:val="none" w:sz="0" w:space="0" w:color="auto"/>
                            <w:right w:val="none" w:sz="0" w:space="0" w:color="auto"/>
                          </w:divBdr>
                          <w:divsChild>
                            <w:div w:id="119145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840248">
                      <w:marLeft w:val="0"/>
                      <w:marRight w:val="0"/>
                      <w:marTop w:val="0"/>
                      <w:marBottom w:val="300"/>
                      <w:divBdr>
                        <w:top w:val="none" w:sz="0" w:space="0" w:color="auto"/>
                        <w:left w:val="none" w:sz="0" w:space="0" w:color="auto"/>
                        <w:bottom w:val="none" w:sz="0" w:space="0" w:color="auto"/>
                        <w:right w:val="none" w:sz="0" w:space="0" w:color="auto"/>
                      </w:divBdr>
                      <w:divsChild>
                        <w:div w:id="594441919">
                          <w:marLeft w:val="0"/>
                          <w:marRight w:val="0"/>
                          <w:marTop w:val="0"/>
                          <w:marBottom w:val="0"/>
                          <w:divBdr>
                            <w:top w:val="none" w:sz="0" w:space="0" w:color="auto"/>
                            <w:left w:val="none" w:sz="0" w:space="0" w:color="auto"/>
                            <w:bottom w:val="none" w:sz="0" w:space="0" w:color="auto"/>
                            <w:right w:val="none" w:sz="0" w:space="0" w:color="auto"/>
                          </w:divBdr>
                          <w:divsChild>
                            <w:div w:id="1079325664">
                              <w:marLeft w:val="0"/>
                              <w:marRight w:val="0"/>
                              <w:marTop w:val="0"/>
                              <w:marBottom w:val="0"/>
                              <w:divBdr>
                                <w:top w:val="none" w:sz="0" w:space="0" w:color="auto"/>
                                <w:left w:val="none" w:sz="0" w:space="0" w:color="auto"/>
                                <w:bottom w:val="none" w:sz="0" w:space="0" w:color="auto"/>
                                <w:right w:val="none" w:sz="0" w:space="0" w:color="auto"/>
                              </w:divBdr>
                              <w:divsChild>
                                <w:div w:id="1221214795">
                                  <w:marLeft w:val="0"/>
                                  <w:marRight w:val="0"/>
                                  <w:marTop w:val="0"/>
                                  <w:marBottom w:val="0"/>
                                  <w:divBdr>
                                    <w:top w:val="none" w:sz="0" w:space="0" w:color="auto"/>
                                    <w:left w:val="none" w:sz="0" w:space="0" w:color="auto"/>
                                    <w:bottom w:val="none" w:sz="0" w:space="0" w:color="auto"/>
                                    <w:right w:val="none" w:sz="0" w:space="0" w:color="auto"/>
                                  </w:divBdr>
                                  <w:divsChild>
                                    <w:div w:id="1740638741">
                                      <w:marLeft w:val="0"/>
                                      <w:marRight w:val="0"/>
                                      <w:marTop w:val="0"/>
                                      <w:marBottom w:val="0"/>
                                      <w:divBdr>
                                        <w:top w:val="none" w:sz="0" w:space="0" w:color="auto"/>
                                        <w:left w:val="none" w:sz="0" w:space="0" w:color="auto"/>
                                        <w:bottom w:val="none" w:sz="0" w:space="0" w:color="auto"/>
                                        <w:right w:val="none" w:sz="0" w:space="0" w:color="auto"/>
                                      </w:divBdr>
                                      <w:divsChild>
                                        <w:div w:id="1646857603">
                                          <w:marLeft w:val="0"/>
                                          <w:marRight w:val="0"/>
                                          <w:marTop w:val="0"/>
                                          <w:marBottom w:val="0"/>
                                          <w:divBdr>
                                            <w:top w:val="none" w:sz="0" w:space="0" w:color="auto"/>
                                            <w:left w:val="none" w:sz="0" w:space="0" w:color="auto"/>
                                            <w:bottom w:val="none" w:sz="0" w:space="0" w:color="auto"/>
                                            <w:right w:val="none" w:sz="0" w:space="0" w:color="auto"/>
                                          </w:divBdr>
                                          <w:divsChild>
                                            <w:div w:id="312485476">
                                              <w:marLeft w:val="0"/>
                                              <w:marRight w:val="0"/>
                                              <w:marTop w:val="0"/>
                                              <w:marBottom w:val="0"/>
                                              <w:divBdr>
                                                <w:top w:val="none" w:sz="0" w:space="0" w:color="auto"/>
                                                <w:left w:val="none" w:sz="0" w:space="0" w:color="auto"/>
                                                <w:bottom w:val="none" w:sz="0" w:space="0" w:color="auto"/>
                                                <w:right w:val="none" w:sz="0" w:space="0" w:color="auto"/>
                                              </w:divBdr>
                                              <w:divsChild>
                                                <w:div w:id="1354070815">
                                                  <w:marLeft w:val="0"/>
                                                  <w:marRight w:val="0"/>
                                                  <w:marTop w:val="0"/>
                                                  <w:marBottom w:val="300"/>
                                                  <w:divBdr>
                                                    <w:top w:val="none" w:sz="0" w:space="0" w:color="auto"/>
                                                    <w:left w:val="none" w:sz="0" w:space="0" w:color="auto"/>
                                                    <w:bottom w:val="none" w:sz="0" w:space="0" w:color="auto"/>
                                                    <w:right w:val="none" w:sz="0" w:space="0" w:color="auto"/>
                                                  </w:divBdr>
                                                  <w:divsChild>
                                                    <w:div w:id="1738287556">
                                                      <w:marLeft w:val="0"/>
                                                      <w:marRight w:val="0"/>
                                                      <w:marTop w:val="0"/>
                                                      <w:marBottom w:val="0"/>
                                                      <w:divBdr>
                                                        <w:top w:val="none" w:sz="0" w:space="0" w:color="auto"/>
                                                        <w:left w:val="none" w:sz="0" w:space="0" w:color="auto"/>
                                                        <w:bottom w:val="none" w:sz="0" w:space="0" w:color="auto"/>
                                                        <w:right w:val="none" w:sz="0" w:space="0" w:color="auto"/>
                                                      </w:divBdr>
                                                      <w:divsChild>
                                                        <w:div w:id="1546746698">
                                                          <w:marLeft w:val="0"/>
                                                          <w:marRight w:val="0"/>
                                                          <w:marTop w:val="0"/>
                                                          <w:marBottom w:val="0"/>
                                                          <w:divBdr>
                                                            <w:top w:val="none" w:sz="0" w:space="0" w:color="auto"/>
                                                            <w:left w:val="none" w:sz="0" w:space="0" w:color="auto"/>
                                                            <w:bottom w:val="none" w:sz="0" w:space="0" w:color="auto"/>
                                                            <w:right w:val="none" w:sz="0" w:space="0" w:color="auto"/>
                                                          </w:divBdr>
                                                          <w:divsChild>
                                                            <w:div w:id="763035710">
                                                              <w:marLeft w:val="0"/>
                                                              <w:marRight w:val="0"/>
                                                              <w:marTop w:val="0"/>
                                                              <w:marBottom w:val="0"/>
                                                              <w:divBdr>
                                                                <w:top w:val="none" w:sz="0" w:space="0" w:color="auto"/>
                                                                <w:left w:val="none" w:sz="0" w:space="0" w:color="auto"/>
                                                                <w:bottom w:val="none" w:sz="0" w:space="0" w:color="auto"/>
                                                                <w:right w:val="none" w:sz="0" w:space="0" w:color="auto"/>
                                                              </w:divBdr>
                                                              <w:divsChild>
                                                                <w:div w:id="68114776">
                                                                  <w:marLeft w:val="0"/>
                                                                  <w:marRight w:val="0"/>
                                                                  <w:marTop w:val="0"/>
                                                                  <w:marBottom w:val="0"/>
                                                                  <w:divBdr>
                                                                    <w:top w:val="none" w:sz="0" w:space="0" w:color="auto"/>
                                                                    <w:left w:val="none" w:sz="0" w:space="0" w:color="auto"/>
                                                                    <w:bottom w:val="none" w:sz="0" w:space="0" w:color="auto"/>
                                                                    <w:right w:val="none" w:sz="0" w:space="0" w:color="auto"/>
                                                                  </w:divBdr>
                                                                  <w:divsChild>
                                                                    <w:div w:id="2105489475">
                                                                      <w:marLeft w:val="0"/>
                                                                      <w:marRight w:val="0"/>
                                                                      <w:marTop w:val="0"/>
                                                                      <w:marBottom w:val="0"/>
                                                                      <w:divBdr>
                                                                        <w:top w:val="none" w:sz="0" w:space="0" w:color="auto"/>
                                                                        <w:left w:val="none" w:sz="0" w:space="0" w:color="auto"/>
                                                                        <w:bottom w:val="none" w:sz="0" w:space="0" w:color="auto"/>
                                                                        <w:right w:val="none" w:sz="0" w:space="0" w:color="auto"/>
                                                                      </w:divBdr>
                                                                      <w:divsChild>
                                                                        <w:div w:id="1306811665">
                                                                          <w:marLeft w:val="-225"/>
                                                                          <w:marRight w:val="-225"/>
                                                                          <w:marTop w:val="375"/>
                                                                          <w:marBottom w:val="375"/>
                                                                          <w:divBdr>
                                                                            <w:top w:val="single" w:sz="2" w:space="8" w:color="DCDCDC"/>
                                                                            <w:left w:val="single" w:sz="2" w:space="8" w:color="DCDCDC"/>
                                                                            <w:bottom w:val="single" w:sz="12" w:space="8" w:color="DCDCDC"/>
                                                                            <w:right w:val="single" w:sz="2" w:space="8" w:color="DCDCDC"/>
                                                                          </w:divBdr>
                                                                          <w:divsChild>
                                                                            <w:div w:id="1970895872">
                                                                              <w:marLeft w:val="225"/>
                                                                              <w:marRight w:val="0"/>
                                                                              <w:marTop w:val="0"/>
                                                                              <w:marBottom w:val="0"/>
                                                                              <w:divBdr>
                                                                                <w:top w:val="none" w:sz="0" w:space="0" w:color="auto"/>
                                                                                <w:left w:val="none" w:sz="0" w:space="0" w:color="auto"/>
                                                                                <w:bottom w:val="none" w:sz="0" w:space="0" w:color="auto"/>
                                                                                <w:right w:val="none" w:sz="0" w:space="0" w:color="auto"/>
                                                                              </w:divBdr>
                                                                              <w:divsChild>
                                                                                <w:div w:id="2045786883">
                                                                                  <w:marLeft w:val="0"/>
                                                                                  <w:marRight w:val="0"/>
                                                                                  <w:marTop w:val="0"/>
                                                                                  <w:marBottom w:val="0"/>
                                                                                  <w:divBdr>
                                                                                    <w:top w:val="none" w:sz="0" w:space="0" w:color="auto"/>
                                                                                    <w:left w:val="none" w:sz="0" w:space="0" w:color="auto"/>
                                                                                    <w:bottom w:val="none" w:sz="0" w:space="0" w:color="auto"/>
                                                                                    <w:right w:val="none" w:sz="0" w:space="0" w:color="auto"/>
                                                                                  </w:divBdr>
                                                                                </w:div>
                                                                              </w:divsChild>
                                                                            </w:div>
                                                                            <w:div w:id="827478007">
                                                                              <w:marLeft w:val="0"/>
                                                                              <w:marRight w:val="0"/>
                                                                              <w:marTop w:val="0"/>
                                                                              <w:marBottom w:val="0"/>
                                                                              <w:divBdr>
                                                                                <w:top w:val="none" w:sz="0" w:space="0" w:color="auto"/>
                                                                                <w:left w:val="none" w:sz="0" w:space="0" w:color="auto"/>
                                                                                <w:bottom w:val="none" w:sz="0" w:space="0" w:color="auto"/>
                                                                                <w:right w:val="none" w:sz="0" w:space="0" w:color="auto"/>
                                                                              </w:divBdr>
                                                                              <w:divsChild>
                                                                                <w:div w:id="197013972">
                                                                                  <w:marLeft w:val="0"/>
                                                                                  <w:marRight w:val="0"/>
                                                                                  <w:marTop w:val="0"/>
                                                                                  <w:marBottom w:val="0"/>
                                                                                  <w:divBdr>
                                                                                    <w:top w:val="none" w:sz="0" w:space="0" w:color="auto"/>
                                                                                    <w:left w:val="none" w:sz="0" w:space="0" w:color="auto"/>
                                                                                    <w:bottom w:val="none" w:sz="0" w:space="0" w:color="auto"/>
                                                                                    <w:right w:val="none" w:sz="0" w:space="0" w:color="auto"/>
                                                                                  </w:divBdr>
                                                                                  <w:divsChild>
                                                                                    <w:div w:id="1503616987">
                                                                                      <w:marLeft w:val="0"/>
                                                                                      <w:marRight w:val="0"/>
                                                                                      <w:marTop w:val="0"/>
                                                                                      <w:marBottom w:val="0"/>
                                                                                      <w:divBdr>
                                                                                        <w:top w:val="none" w:sz="0" w:space="0" w:color="auto"/>
                                                                                        <w:left w:val="none" w:sz="0" w:space="0" w:color="auto"/>
                                                                                        <w:bottom w:val="none" w:sz="0" w:space="0" w:color="auto"/>
                                                                                        <w:right w:val="none" w:sz="0" w:space="0" w:color="auto"/>
                                                                                      </w:divBdr>
                                                                                      <w:divsChild>
                                                                                        <w:div w:id="115776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Imperial College London</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Adcock, Ian M</dc:creator>
  <cp:keywords/>
  <dc:description/>
  <cp:lastModifiedBy>Murtagh, John P</cp:lastModifiedBy>
  <cp:revision>2</cp:revision>
  <dcterms:created xsi:type="dcterms:W3CDTF">2020-02-25T11:58:00Z</dcterms:created>
  <dcterms:modified xsi:type="dcterms:W3CDTF">2020-02-25T11:58:00Z</dcterms:modified>
</cp:coreProperties>
</file>