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93A48" w14:textId="1AAA1222" w:rsidR="00487F34" w:rsidRDefault="00487F34" w:rsidP="00487F34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  <w:r w:rsidRPr="00487F34">
        <w:rPr>
          <w:rFonts w:ascii="Verdana" w:hAnsi="Verdana"/>
          <w:b/>
          <w:color w:val="000000"/>
          <w:sz w:val="17"/>
          <w:szCs w:val="17"/>
          <w:shd w:val="clear" w:color="auto" w:fill="FFFFFF"/>
        </w:rPr>
        <w:t>#1811</w:t>
      </w:r>
      <w:r>
        <w:rPr>
          <w:rFonts w:ascii="Verdana" w:hAnsi="Verdana"/>
          <w:b/>
          <w:color w:val="000000"/>
          <w:sz w:val="17"/>
          <w:szCs w:val="17"/>
          <w:shd w:val="clear" w:color="auto" w:fill="FFFFFF"/>
        </w:rPr>
        <w:t xml:space="preserve">: Increased serotonin-to-dopamine transporter ratios in Parkinson </w:t>
      </w:r>
      <w:r w:rsidRPr="00487F34">
        <w:rPr>
          <w:rFonts w:ascii="Verdana" w:hAnsi="Verdana"/>
          <w:b/>
          <w:color w:val="000000"/>
          <w:sz w:val="17"/>
          <w:szCs w:val="17"/>
          <w:shd w:val="clear" w:color="auto" w:fill="FFFFFF"/>
        </w:rPr>
        <w:t>disease dyskinesias: a longitudinal study</w:t>
      </w:r>
    </w:p>
    <w:p w14:paraId="0986633E" w14:textId="77777777" w:rsidR="00487F34" w:rsidRPr="00487F34" w:rsidRDefault="00487F34" w:rsidP="00487F34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</w:p>
    <w:p w14:paraId="41DDC162" w14:textId="77777777" w:rsidR="00487F34" w:rsidRPr="00487F34" w:rsidRDefault="00487F34" w:rsidP="00487F34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  <w:r w:rsidRPr="00487F34">
        <w:rPr>
          <w:rFonts w:ascii="Verdana" w:hAnsi="Verdana"/>
          <w:b/>
          <w:color w:val="000000"/>
          <w:sz w:val="17"/>
          <w:szCs w:val="17"/>
          <w:shd w:val="clear" w:color="auto" w:fill="FFFFFF"/>
        </w:rPr>
        <w:t>Authors</w:t>
      </w:r>
    </w:p>
    <w:p w14:paraId="1FBB37CF" w14:textId="7DFD5B07" w:rsidR="00487F34" w:rsidRPr="00487F34" w:rsidRDefault="00487F34" w:rsidP="00487F34">
      <w:pPr>
        <w:spacing w:after="0" w:line="360" w:lineRule="auto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A.A. Roussakis1, N. LaoKaim1, </w:t>
      </w: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>A. Ma</w:t>
      </w: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rtin Bastida1, N. ValleGuzman2, </w:t>
      </w: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Z. Kefalopoulou3, G. Paul4, H. Widner4, M. Politis5, </w:t>
      </w: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T. Foltynie3, R. A. Barker2, P. </w:t>
      </w: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Piccini1; 1Imperial College London, Medicine (Brain Division), London/United Kingdom, 2Cambridge University, Brain </w:t>
      </w: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Repair Centre, Cambridge/United </w:t>
      </w: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Kingdom, 3University College London, Motor </w:t>
      </w:r>
      <w:proofErr w:type="spellStart"/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>Sobell</w:t>
      </w:r>
      <w:proofErr w:type="spellEnd"/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Department, London/United Kingdom, 4Lund/Sweden, 5Kings C</w:t>
      </w: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ollege Hospital, Neurosciences, </w:t>
      </w: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>London/United Kingdom</w:t>
      </w:r>
    </w:p>
    <w:p w14:paraId="7B9A245C" w14:textId="77777777" w:rsidR="00487F34" w:rsidRPr="00487F34" w:rsidRDefault="00487F34" w:rsidP="00487F34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</w:p>
    <w:p w14:paraId="6C58BD0A" w14:textId="77777777" w:rsidR="00487F34" w:rsidRPr="00487F34" w:rsidRDefault="00487F34" w:rsidP="00487F34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  <w:r w:rsidRPr="00487F34">
        <w:rPr>
          <w:rFonts w:ascii="Verdana" w:hAnsi="Verdana"/>
          <w:b/>
          <w:color w:val="000000"/>
          <w:sz w:val="17"/>
          <w:szCs w:val="17"/>
          <w:shd w:val="clear" w:color="auto" w:fill="FFFFFF"/>
        </w:rPr>
        <w:t>Type</w:t>
      </w:r>
    </w:p>
    <w:p w14:paraId="2359155B" w14:textId="77777777" w:rsidR="00487F34" w:rsidRDefault="00487F34" w:rsidP="00487F34">
      <w:pPr>
        <w:spacing w:after="0" w:line="360" w:lineRule="auto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>Abstract</w:t>
      </w:r>
    </w:p>
    <w:p w14:paraId="6371D156" w14:textId="77777777" w:rsidR="00487F34" w:rsidRPr="00487F34" w:rsidRDefault="00487F34" w:rsidP="00487F34">
      <w:pPr>
        <w:spacing w:after="0" w:line="360" w:lineRule="auto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</w:p>
    <w:p w14:paraId="2B950D1E" w14:textId="77777777" w:rsidR="00487F34" w:rsidRPr="00487F34" w:rsidRDefault="00487F34" w:rsidP="00487F34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  <w:r w:rsidRPr="00487F34">
        <w:rPr>
          <w:rFonts w:ascii="Verdana" w:hAnsi="Verdana"/>
          <w:b/>
          <w:color w:val="000000"/>
          <w:sz w:val="17"/>
          <w:szCs w:val="17"/>
          <w:shd w:val="clear" w:color="auto" w:fill="FFFFFF"/>
        </w:rPr>
        <w:t>Topic</w:t>
      </w:r>
    </w:p>
    <w:p w14:paraId="1024EF33" w14:textId="77777777" w:rsidR="00487F34" w:rsidRDefault="00487F34" w:rsidP="00487F34">
      <w:pPr>
        <w:spacing w:after="0" w:line="360" w:lineRule="auto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>Movement disorders</w:t>
      </w:r>
    </w:p>
    <w:p w14:paraId="2078AA15" w14:textId="77777777" w:rsidR="00487F34" w:rsidRPr="00487F34" w:rsidRDefault="00487F34" w:rsidP="00487F34">
      <w:pPr>
        <w:spacing w:after="0" w:line="360" w:lineRule="auto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</w:p>
    <w:p w14:paraId="73F92CF3" w14:textId="77777777" w:rsidR="00487F34" w:rsidRPr="00487F34" w:rsidRDefault="00487F34" w:rsidP="00487F34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  <w:r w:rsidRPr="00487F34">
        <w:rPr>
          <w:rFonts w:ascii="Verdana" w:hAnsi="Verdana"/>
          <w:b/>
          <w:color w:val="000000"/>
          <w:sz w:val="17"/>
          <w:szCs w:val="17"/>
          <w:shd w:val="clear" w:color="auto" w:fill="FFFFFF"/>
        </w:rPr>
        <w:t>Category</w:t>
      </w:r>
    </w:p>
    <w:p w14:paraId="393E53AC" w14:textId="77777777" w:rsidR="00487F34" w:rsidRDefault="00487F34" w:rsidP="00487F34">
      <w:pPr>
        <w:spacing w:after="0" w:line="360" w:lineRule="auto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  <w:r w:rsidRPr="00487F34">
        <w:rPr>
          <w:rFonts w:ascii="Verdana" w:hAnsi="Verdana"/>
          <w:color w:val="000000"/>
          <w:sz w:val="17"/>
          <w:szCs w:val="17"/>
          <w:shd w:val="clear" w:color="auto" w:fill="FFFFFF"/>
        </w:rPr>
        <w:t>Poster or Oral</w:t>
      </w:r>
    </w:p>
    <w:p w14:paraId="376EB087" w14:textId="7AB5B471" w:rsidR="00487F34" w:rsidRDefault="00487F34" w:rsidP="00487F34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  <w:bookmarkStart w:id="0" w:name="_GoBack"/>
      <w:bookmarkEnd w:id="0"/>
    </w:p>
    <w:p w14:paraId="48EF4EB8" w14:textId="25CFFECC" w:rsidR="006A6338" w:rsidRPr="006A6338" w:rsidRDefault="006A6338" w:rsidP="00487F34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  <w:r w:rsidRPr="006A6338">
        <w:rPr>
          <w:rFonts w:ascii="Verdana" w:hAnsi="Verdana"/>
          <w:b/>
          <w:color w:val="000000"/>
          <w:sz w:val="17"/>
          <w:szCs w:val="17"/>
          <w:shd w:val="clear" w:color="auto" w:fill="FFFFFF"/>
        </w:rPr>
        <w:t>Background and aims</w:t>
      </w:r>
    </w:p>
    <w:p w14:paraId="4A8559D9" w14:textId="77777777" w:rsidR="006A6338" w:rsidRDefault="006A6338" w:rsidP="00A378F8">
      <w:pPr>
        <w:spacing w:after="0" w:line="360" w:lineRule="auto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>Serotonergic terminals play an important role in levodopa-induced dyskinesias (LIDs) in patients with Parkinson’s disease (PD). An increased SERT-over-DAT terminal ratio in the putamen has been proposed to be a risk factor for the appearance of LIDs. We investigated the temporal relationship between serotonergic terminal changes and dopaminergic loss in the putamen and the appearance of LIDs.</w:t>
      </w:r>
    </w:p>
    <w:p w14:paraId="5B6EE90C" w14:textId="77777777" w:rsidR="006A6338" w:rsidRDefault="006A6338" w:rsidP="00A378F8">
      <w:pPr>
        <w:spacing w:after="0" w:line="360" w:lineRule="auto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</w:p>
    <w:p w14:paraId="15C0BF58" w14:textId="13D131C4" w:rsidR="006A6338" w:rsidRPr="006A6338" w:rsidRDefault="006A6338" w:rsidP="00A378F8">
      <w:pPr>
        <w:spacing w:after="0" w:line="360" w:lineRule="auto"/>
        <w:jc w:val="both"/>
        <w:rPr>
          <w:rFonts w:ascii="Verdana" w:hAnsi="Verdana"/>
          <w:b/>
          <w:color w:val="000000"/>
          <w:sz w:val="17"/>
          <w:szCs w:val="17"/>
          <w:shd w:val="clear" w:color="auto" w:fill="FFFFFF"/>
        </w:rPr>
      </w:pPr>
      <w:r w:rsidRPr="006A6338">
        <w:rPr>
          <w:rFonts w:ascii="Verdana" w:hAnsi="Verdana"/>
          <w:b/>
          <w:color w:val="000000"/>
          <w:sz w:val="17"/>
          <w:szCs w:val="17"/>
          <w:shd w:val="clear" w:color="auto" w:fill="FFFFFF"/>
        </w:rPr>
        <w:t>Methods</w:t>
      </w:r>
    </w:p>
    <w:p w14:paraId="1DC6ED65" w14:textId="77777777" w:rsidR="006A6338" w:rsidRP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A6338">
        <w:rPr>
          <w:rFonts w:ascii="Arial" w:hAnsi="Arial" w:cs="Arial"/>
          <w:sz w:val="20"/>
          <w:szCs w:val="20"/>
        </w:rPr>
        <w:t>Twelve PD patients underwent PET with 11C-DASB and 11C-PE2I; which are specific in vivo markers of serotonin (SERT) and dopamine transporters (DAT)</w:t>
      </w:r>
      <w:proofErr w:type="gramStart"/>
      <w:r w:rsidRPr="006A6338">
        <w:rPr>
          <w:rFonts w:ascii="Arial" w:hAnsi="Arial" w:cs="Arial"/>
          <w:sz w:val="20"/>
          <w:szCs w:val="20"/>
        </w:rPr>
        <w:t>,respectively</w:t>
      </w:r>
      <w:proofErr w:type="gramEnd"/>
      <w:r w:rsidRPr="006A6338">
        <w:rPr>
          <w:rFonts w:ascii="Arial" w:hAnsi="Arial" w:cs="Arial"/>
          <w:sz w:val="20"/>
          <w:szCs w:val="20"/>
        </w:rPr>
        <w:t xml:space="preserve">. All patients repeated 11C-DASB and 11C-PE2I PET after 17 </w:t>
      </w:r>
      <w:proofErr w:type="gramStart"/>
      <w:r w:rsidRPr="006A6338">
        <w:rPr>
          <w:rFonts w:ascii="Arial" w:hAnsi="Arial" w:cs="Arial"/>
          <w:sz w:val="20"/>
          <w:szCs w:val="20"/>
        </w:rPr>
        <w:t>months(</w:t>
      </w:r>
      <w:proofErr w:type="gramEnd"/>
      <w:r w:rsidRPr="006A6338">
        <w:rPr>
          <w:rFonts w:ascii="Arial" w:hAnsi="Arial" w:cs="Arial"/>
          <w:sz w:val="20"/>
          <w:szCs w:val="20"/>
        </w:rPr>
        <w:t>±11 weeks).</w:t>
      </w:r>
    </w:p>
    <w:p w14:paraId="738E0352" w14:textId="77777777" w:rsidR="006A6338" w:rsidRP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EA594E" w14:textId="77777777" w:rsid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A6338">
        <w:rPr>
          <w:rFonts w:ascii="Arial" w:hAnsi="Arial" w:cs="Arial"/>
          <w:sz w:val="20"/>
          <w:szCs w:val="20"/>
        </w:rPr>
        <w:t>The simplified reference tissue model was employed using the cerebellum as a reference. 11C-DASB binding potential (BP), 11C-PE2I BP and 11C-DASB-to-11C-PE2I BP ratios were calculated.</w:t>
      </w:r>
    </w:p>
    <w:p w14:paraId="7A9795F4" w14:textId="77777777" w:rsid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55BEC9E" w14:textId="02911B4E" w:rsidR="006A6338" w:rsidRPr="006A6338" w:rsidRDefault="006A6338" w:rsidP="006A6338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A6338">
        <w:rPr>
          <w:rFonts w:ascii="Arial" w:hAnsi="Arial" w:cs="Arial"/>
          <w:b/>
          <w:sz w:val="20"/>
          <w:szCs w:val="20"/>
        </w:rPr>
        <w:t>Results</w:t>
      </w:r>
    </w:p>
    <w:p w14:paraId="334A9E53" w14:textId="77777777" w:rsidR="006A6338" w:rsidRP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A6338">
        <w:rPr>
          <w:rFonts w:ascii="Arial" w:hAnsi="Arial" w:cs="Arial"/>
          <w:sz w:val="20"/>
          <w:szCs w:val="20"/>
        </w:rPr>
        <w:t>At baseline, all PD patients were non-dyskinetic. The mean 11C-DASB BP was 1.28(±0.14), the mean 11C-PE2I BP was 1.63(±0.41), and the median of the SERT-to-DAT ratio was 0.779(±0.19).</w:t>
      </w:r>
    </w:p>
    <w:p w14:paraId="50A89790" w14:textId="77777777" w:rsidR="006A6338" w:rsidRP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B0C68F3" w14:textId="77777777" w:rsid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A6338">
        <w:rPr>
          <w:rFonts w:ascii="Arial" w:hAnsi="Arial" w:cs="Arial"/>
          <w:sz w:val="20"/>
          <w:szCs w:val="20"/>
        </w:rPr>
        <w:t>At follow-up, the mean 11C-PE2I BP was (1.39±0.41) reduced by 14.52% from baseline (p&lt;0.001); the 11C-DASB BP had only reduced by 4.32% (1.23±0.19</w:t>
      </w:r>
      <w:proofErr w:type="gramStart"/>
      <w:r w:rsidRPr="006A6338">
        <w:rPr>
          <w:rFonts w:ascii="Arial" w:hAnsi="Arial" w:cs="Arial"/>
          <w:sz w:val="20"/>
          <w:szCs w:val="20"/>
        </w:rPr>
        <w:t>)(</w:t>
      </w:r>
      <w:proofErr w:type="gramEnd"/>
      <w:r w:rsidRPr="006A6338">
        <w:rPr>
          <w:rFonts w:ascii="Arial" w:hAnsi="Arial" w:cs="Arial"/>
          <w:sz w:val="20"/>
          <w:szCs w:val="20"/>
        </w:rPr>
        <w:t xml:space="preserve">p&gt;0.10). Percentage changes in 11C-PE2I BP at follow-up were significantly greater than percentage changes in 11C-DASB BP (p&lt;0.05). The SERT-to-DAT ratios significantly increased by 12.76% (p&lt;0.01) over this time. Three PD patients became </w:t>
      </w:r>
      <w:proofErr w:type="spellStart"/>
      <w:r w:rsidRPr="006A6338">
        <w:rPr>
          <w:rFonts w:ascii="Arial" w:hAnsi="Arial" w:cs="Arial"/>
          <w:sz w:val="20"/>
          <w:szCs w:val="20"/>
        </w:rPr>
        <w:t>dyskinetic</w:t>
      </w:r>
      <w:proofErr w:type="gramStart"/>
      <w:r w:rsidRPr="006A6338">
        <w:rPr>
          <w:rFonts w:ascii="Arial" w:hAnsi="Arial" w:cs="Arial"/>
          <w:sz w:val="20"/>
          <w:szCs w:val="20"/>
        </w:rPr>
        <w:t>;their</w:t>
      </w:r>
      <w:proofErr w:type="spellEnd"/>
      <w:proofErr w:type="gramEnd"/>
      <w:r w:rsidRPr="006A6338">
        <w:rPr>
          <w:rFonts w:ascii="Arial" w:hAnsi="Arial" w:cs="Arial"/>
          <w:sz w:val="20"/>
          <w:szCs w:val="20"/>
        </w:rPr>
        <w:t xml:space="preserve"> SERT-to-DAT ratios were 0.978, 0.878, and 1.282.</w:t>
      </w:r>
    </w:p>
    <w:p w14:paraId="4376A1B2" w14:textId="77777777" w:rsid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538A65A" w14:textId="1952B7A5" w:rsidR="006A6338" w:rsidRPr="006A6338" w:rsidRDefault="006A6338" w:rsidP="006A6338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A6338">
        <w:rPr>
          <w:rFonts w:ascii="Arial" w:hAnsi="Arial" w:cs="Arial"/>
          <w:b/>
          <w:sz w:val="20"/>
          <w:szCs w:val="20"/>
        </w:rPr>
        <w:lastRenderedPageBreak/>
        <w:t>Conclusion</w:t>
      </w:r>
    </w:p>
    <w:p w14:paraId="3925F5A4" w14:textId="533D642B" w:rsid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A6338">
        <w:rPr>
          <w:rFonts w:ascii="Arial" w:hAnsi="Arial" w:cs="Arial"/>
          <w:sz w:val="20"/>
          <w:szCs w:val="20"/>
        </w:rPr>
        <w:t>The imbalance in the rate of SERT and DAT decline reflects the increase of the SERT–to–DAT ratio over time. Our findings suggest that there may be a threshold of SERT-over-DAT availability in the putamen, above which PD patients are likely to become dyskinetic.</w:t>
      </w:r>
    </w:p>
    <w:p w14:paraId="36CBCCA5" w14:textId="77777777" w:rsidR="006A6338" w:rsidRDefault="006A6338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5AC6479" w14:textId="7622F988" w:rsidR="002850D2" w:rsidRPr="0063288C" w:rsidRDefault="004411D5" w:rsidP="006A63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sectPr w:rsidR="002850D2" w:rsidRPr="0063288C" w:rsidSect="004C0BF6">
      <w:headerReference w:type="default" r:id="rId6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1AB44" w14:textId="77777777" w:rsidR="00993A29" w:rsidRDefault="00993A29" w:rsidP="004C0BF6">
      <w:pPr>
        <w:spacing w:after="0" w:line="240" w:lineRule="auto"/>
      </w:pPr>
      <w:r>
        <w:separator/>
      </w:r>
    </w:p>
  </w:endnote>
  <w:endnote w:type="continuationSeparator" w:id="0">
    <w:p w14:paraId="33092CBD" w14:textId="77777777" w:rsidR="00993A29" w:rsidRDefault="00993A29" w:rsidP="004C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E91C1" w14:textId="77777777" w:rsidR="00993A29" w:rsidRDefault="00993A29" w:rsidP="004C0BF6">
      <w:pPr>
        <w:spacing w:after="0" w:line="240" w:lineRule="auto"/>
      </w:pPr>
      <w:r>
        <w:separator/>
      </w:r>
    </w:p>
  </w:footnote>
  <w:footnote w:type="continuationSeparator" w:id="0">
    <w:p w14:paraId="42CD0AB1" w14:textId="77777777" w:rsidR="00993A29" w:rsidRDefault="00993A29" w:rsidP="004C0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E9879" w14:textId="6962B365" w:rsidR="000D4882" w:rsidRDefault="000D4882" w:rsidP="004C0BF6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566"/>
    <w:rsid w:val="0002268C"/>
    <w:rsid w:val="000458FA"/>
    <w:rsid w:val="0004712E"/>
    <w:rsid w:val="00063A90"/>
    <w:rsid w:val="000D4882"/>
    <w:rsid w:val="00131EC2"/>
    <w:rsid w:val="00131F68"/>
    <w:rsid w:val="001355C3"/>
    <w:rsid w:val="00193566"/>
    <w:rsid w:val="001A09A8"/>
    <w:rsid w:val="0022595A"/>
    <w:rsid w:val="00236C29"/>
    <w:rsid w:val="00262E18"/>
    <w:rsid w:val="002850D2"/>
    <w:rsid w:val="00286B7C"/>
    <w:rsid w:val="002A09BF"/>
    <w:rsid w:val="002A1E63"/>
    <w:rsid w:val="0031312D"/>
    <w:rsid w:val="00321E6B"/>
    <w:rsid w:val="003474EC"/>
    <w:rsid w:val="003738D3"/>
    <w:rsid w:val="003774B1"/>
    <w:rsid w:val="003823A6"/>
    <w:rsid w:val="003B0632"/>
    <w:rsid w:val="003B4798"/>
    <w:rsid w:val="003D1F24"/>
    <w:rsid w:val="003F2EBB"/>
    <w:rsid w:val="00421DB9"/>
    <w:rsid w:val="004411D5"/>
    <w:rsid w:val="004414DC"/>
    <w:rsid w:val="004653A4"/>
    <w:rsid w:val="0047279D"/>
    <w:rsid w:val="00480EE5"/>
    <w:rsid w:val="00487F34"/>
    <w:rsid w:val="004C0BF6"/>
    <w:rsid w:val="004F1F37"/>
    <w:rsid w:val="00514A90"/>
    <w:rsid w:val="00594839"/>
    <w:rsid w:val="005A18EC"/>
    <w:rsid w:val="005A1D58"/>
    <w:rsid w:val="005B684E"/>
    <w:rsid w:val="005D2EC9"/>
    <w:rsid w:val="005E5675"/>
    <w:rsid w:val="005F4481"/>
    <w:rsid w:val="00600186"/>
    <w:rsid w:val="00606931"/>
    <w:rsid w:val="006128D2"/>
    <w:rsid w:val="0063288C"/>
    <w:rsid w:val="00637758"/>
    <w:rsid w:val="006604C7"/>
    <w:rsid w:val="006A35F1"/>
    <w:rsid w:val="006A6338"/>
    <w:rsid w:val="006E5D44"/>
    <w:rsid w:val="006E7CD6"/>
    <w:rsid w:val="006F7333"/>
    <w:rsid w:val="007175CC"/>
    <w:rsid w:val="007575B6"/>
    <w:rsid w:val="007913CA"/>
    <w:rsid w:val="007C5348"/>
    <w:rsid w:val="00805D2C"/>
    <w:rsid w:val="00807FF8"/>
    <w:rsid w:val="008352FB"/>
    <w:rsid w:val="00866B56"/>
    <w:rsid w:val="00874C25"/>
    <w:rsid w:val="008D1BBE"/>
    <w:rsid w:val="00913F3E"/>
    <w:rsid w:val="00982C7B"/>
    <w:rsid w:val="00991CB7"/>
    <w:rsid w:val="00993A29"/>
    <w:rsid w:val="00994F5C"/>
    <w:rsid w:val="009B6255"/>
    <w:rsid w:val="009F71A2"/>
    <w:rsid w:val="00A24FF6"/>
    <w:rsid w:val="00A3327D"/>
    <w:rsid w:val="00A378F8"/>
    <w:rsid w:val="00A46219"/>
    <w:rsid w:val="00A51FFC"/>
    <w:rsid w:val="00A81A09"/>
    <w:rsid w:val="00AD6699"/>
    <w:rsid w:val="00AE3940"/>
    <w:rsid w:val="00AF4F0F"/>
    <w:rsid w:val="00B35A61"/>
    <w:rsid w:val="00B461E7"/>
    <w:rsid w:val="00B57D6A"/>
    <w:rsid w:val="00B7131D"/>
    <w:rsid w:val="00BB127E"/>
    <w:rsid w:val="00BC15CD"/>
    <w:rsid w:val="00BD56F5"/>
    <w:rsid w:val="00BD5841"/>
    <w:rsid w:val="00C01045"/>
    <w:rsid w:val="00C52AE0"/>
    <w:rsid w:val="00C81874"/>
    <w:rsid w:val="00C87B09"/>
    <w:rsid w:val="00CA234F"/>
    <w:rsid w:val="00CB092B"/>
    <w:rsid w:val="00CB55B5"/>
    <w:rsid w:val="00CD3338"/>
    <w:rsid w:val="00CD7032"/>
    <w:rsid w:val="00D55E97"/>
    <w:rsid w:val="00D62E38"/>
    <w:rsid w:val="00D84004"/>
    <w:rsid w:val="00DB6F3E"/>
    <w:rsid w:val="00E24397"/>
    <w:rsid w:val="00E252BB"/>
    <w:rsid w:val="00F1785A"/>
    <w:rsid w:val="00F32440"/>
    <w:rsid w:val="00FA3BF5"/>
    <w:rsid w:val="00FA44C3"/>
    <w:rsid w:val="00FE3747"/>
    <w:rsid w:val="00FE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94FB98"/>
  <w15:docId w15:val="{09724AD8-EEDB-48F5-9F4D-6B74FC5B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6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6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6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69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BF6"/>
  </w:style>
  <w:style w:type="paragraph" w:styleId="Footer">
    <w:name w:val="footer"/>
    <w:basedOn w:val="Normal"/>
    <w:link w:val="FooterChar"/>
    <w:uiPriority w:val="99"/>
    <w:unhideWhenUsed/>
    <w:rsid w:val="004C0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36" w:space="0" w:color="B0232A"/>
            <w:right w:val="none" w:sz="0" w:space="0" w:color="auto"/>
          </w:divBdr>
          <w:divsChild>
            <w:div w:id="78685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92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54367">
                      <w:marLeft w:val="0"/>
                      <w:marRight w:val="52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900284">
                      <w:marLeft w:val="0"/>
                      <w:marRight w:val="0"/>
                      <w:marTop w:val="6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6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4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Roussakis, Andreas A</dc:creator>
  <cp:lastModifiedBy>Roussakis, Andreas A</cp:lastModifiedBy>
  <cp:revision>4</cp:revision>
  <dcterms:created xsi:type="dcterms:W3CDTF">2016-01-18T19:35:00Z</dcterms:created>
  <dcterms:modified xsi:type="dcterms:W3CDTF">2016-04-11T12:11:00Z</dcterms:modified>
</cp:coreProperties>
</file>