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AB6810" w:rsidR="008735F7" w:rsidP="35BFB30F" w:rsidRDefault="008735F7" w14:paraId="345F584F" w14:textId="7B56C3A2">
      <w:pPr>
        <w:spacing w:line="480" w:lineRule="auto"/>
        <w:rPr>
          <w:rFonts w:ascii="Arial" w:hAnsi="Arial" w:cs="Arial"/>
          <w:sz w:val="24"/>
          <w:szCs w:val="24"/>
        </w:rPr>
      </w:pPr>
      <w:r w:rsidRPr="00AB6810">
        <w:rPr>
          <w:rFonts w:ascii="Arial" w:hAnsi="Arial" w:cs="Arial"/>
          <w:sz w:val="24"/>
          <w:szCs w:val="24"/>
        </w:rPr>
        <w:t>Article</w:t>
      </w:r>
    </w:p>
    <w:p w:rsidRPr="00AB6810" w:rsidR="008735F7" w:rsidP="35BFB30F" w:rsidRDefault="008735F7" w14:paraId="6D1BD340" w14:textId="5BC32906">
      <w:pPr>
        <w:spacing w:line="480" w:lineRule="auto"/>
        <w:rPr>
          <w:rFonts w:ascii="Arial" w:hAnsi="Arial" w:cs="Arial"/>
          <w:b/>
          <w:bCs/>
          <w:sz w:val="28"/>
          <w:szCs w:val="28"/>
        </w:rPr>
      </w:pPr>
      <w:r w:rsidRPr="00AB6810">
        <w:rPr>
          <w:rFonts w:ascii="Arial" w:hAnsi="Arial" w:cs="Arial"/>
          <w:b/>
          <w:bCs/>
          <w:sz w:val="28"/>
          <w:szCs w:val="28"/>
        </w:rPr>
        <w:t>Pesticides and risk of pancreatic adenocarcinoma in France: a n</w:t>
      </w:r>
      <w:r w:rsidRPr="00AB6810" w:rsidR="3E7E8A9B">
        <w:rPr>
          <w:rFonts w:ascii="Arial" w:hAnsi="Arial" w:cs="Arial"/>
          <w:b/>
          <w:bCs/>
          <w:sz w:val="28"/>
          <w:szCs w:val="28"/>
        </w:rPr>
        <w:t xml:space="preserve">ationwide </w:t>
      </w:r>
      <w:r w:rsidRPr="00AB6810" w:rsidR="00854051">
        <w:rPr>
          <w:rFonts w:ascii="Arial" w:hAnsi="Arial" w:cs="Arial"/>
          <w:b/>
          <w:bCs/>
          <w:sz w:val="28"/>
          <w:szCs w:val="28"/>
        </w:rPr>
        <w:t xml:space="preserve">spatiotemporal </w:t>
      </w:r>
      <w:r w:rsidRPr="00AB6810">
        <w:rPr>
          <w:rFonts w:ascii="Arial" w:hAnsi="Arial" w:cs="Arial"/>
          <w:b/>
          <w:bCs/>
          <w:sz w:val="28"/>
          <w:szCs w:val="28"/>
        </w:rPr>
        <w:t xml:space="preserve">ecological </w:t>
      </w:r>
      <w:r w:rsidRPr="00AB6810" w:rsidR="00854051">
        <w:rPr>
          <w:rFonts w:ascii="Arial" w:hAnsi="Arial" w:cs="Arial"/>
          <w:b/>
          <w:bCs/>
          <w:sz w:val="28"/>
          <w:szCs w:val="28"/>
        </w:rPr>
        <w:t>study</w:t>
      </w:r>
      <w:r w:rsidRPr="00AB6810">
        <w:rPr>
          <w:rFonts w:ascii="Arial" w:hAnsi="Arial" w:cs="Arial"/>
          <w:b/>
          <w:bCs/>
          <w:sz w:val="28"/>
          <w:szCs w:val="28"/>
        </w:rPr>
        <w:t xml:space="preserve"> between 2011 and 2021</w:t>
      </w:r>
    </w:p>
    <w:p w:rsidRPr="00AB6810" w:rsidR="007D7767" w:rsidP="35BFB30F" w:rsidRDefault="007D7767" w14:paraId="67DE0712" w14:textId="4E05E240">
      <w:pPr>
        <w:spacing w:line="480" w:lineRule="auto"/>
        <w:rPr>
          <w:rFonts w:ascii="Arial" w:hAnsi="Arial" w:cs="Arial"/>
          <w:szCs w:val="24"/>
          <w:lang w:val="fr-FR"/>
        </w:rPr>
      </w:pPr>
      <w:r w:rsidRPr="00AB6810">
        <w:rPr>
          <w:rFonts w:ascii="Arial" w:hAnsi="Arial" w:cs="Arial"/>
          <w:szCs w:val="24"/>
          <w:lang w:val="fr-FR"/>
        </w:rPr>
        <w:t>Mathias Brugel</w:t>
      </w:r>
      <w:r w:rsidRPr="00AB6810" w:rsidR="009F6120">
        <w:rPr>
          <w:rFonts w:ascii="Arial" w:hAnsi="Arial" w:cs="Arial"/>
          <w:szCs w:val="24"/>
          <w:lang w:val="fr-FR"/>
        </w:rPr>
        <w:t>, MD</w:t>
      </w:r>
      <w:r w:rsidRPr="00AB6810">
        <w:rPr>
          <w:rFonts w:ascii="Arial" w:hAnsi="Arial" w:cs="Arial"/>
          <w:szCs w:val="24"/>
          <w:vertAlign w:val="superscript"/>
          <w:lang w:val="fr-FR"/>
        </w:rPr>
        <w:t>1,</w:t>
      </w:r>
      <w:r w:rsidRPr="00AB6810" w:rsidR="00854051">
        <w:rPr>
          <w:rFonts w:ascii="Arial" w:hAnsi="Arial" w:cs="Arial"/>
          <w:szCs w:val="24"/>
          <w:vertAlign w:val="superscript"/>
          <w:lang w:val="fr-FR"/>
        </w:rPr>
        <w:t>2,</w:t>
      </w:r>
      <w:r w:rsidRPr="00AB6810">
        <w:rPr>
          <w:rFonts w:ascii="Arial" w:hAnsi="Arial" w:cs="Arial"/>
          <w:szCs w:val="24"/>
          <w:vertAlign w:val="superscript"/>
          <w:lang w:val="fr-FR"/>
        </w:rPr>
        <w:t>3</w:t>
      </w:r>
      <w:r w:rsidRPr="00AB6810">
        <w:rPr>
          <w:rFonts w:ascii="Arial" w:hAnsi="Arial" w:cs="Arial"/>
          <w:szCs w:val="24"/>
          <w:lang w:val="fr-FR"/>
        </w:rPr>
        <w:t>, Victoria Gauthier</w:t>
      </w:r>
      <w:r w:rsidRPr="00AB6810" w:rsidR="009F6120">
        <w:rPr>
          <w:rFonts w:ascii="Arial" w:hAnsi="Arial" w:cs="Arial"/>
          <w:szCs w:val="24"/>
          <w:lang w:val="fr-FR"/>
        </w:rPr>
        <w:t xml:space="preserve">, </w:t>
      </w:r>
      <w:r w:rsidRPr="00AB6810" w:rsidR="00AC2C4F">
        <w:rPr>
          <w:rFonts w:ascii="Arial" w:hAnsi="Arial" w:cs="Arial"/>
          <w:szCs w:val="24"/>
          <w:lang w:val="fr-FR"/>
        </w:rPr>
        <w:t>PhD</w:t>
      </w:r>
      <w:r w:rsidRPr="00AB6810" w:rsidR="0062699F">
        <w:rPr>
          <w:rFonts w:ascii="Arial" w:hAnsi="Arial" w:cs="Arial"/>
          <w:szCs w:val="24"/>
          <w:vertAlign w:val="superscript"/>
          <w:lang w:val="fr-FR"/>
        </w:rPr>
        <w:t>4</w:t>
      </w:r>
      <w:r w:rsidRPr="00AB6810">
        <w:rPr>
          <w:rFonts w:ascii="Arial" w:hAnsi="Arial" w:cs="Arial"/>
          <w:szCs w:val="24"/>
          <w:lang w:val="fr-FR"/>
        </w:rPr>
        <w:t>, Olivier Bouché</w:t>
      </w:r>
      <w:r w:rsidRPr="00AB6810" w:rsidR="009F6120">
        <w:rPr>
          <w:rFonts w:ascii="Arial" w:hAnsi="Arial" w:cs="Arial"/>
          <w:szCs w:val="24"/>
          <w:lang w:val="fr-FR"/>
        </w:rPr>
        <w:t>, PhD</w:t>
      </w:r>
      <w:r w:rsidRPr="00AB6810" w:rsidR="00641BEB">
        <w:rPr>
          <w:rFonts w:ascii="Arial" w:hAnsi="Arial" w:cs="Arial"/>
          <w:szCs w:val="24"/>
          <w:vertAlign w:val="superscript"/>
          <w:lang w:val="fr-FR"/>
        </w:rPr>
        <w:t>5</w:t>
      </w:r>
      <w:r w:rsidRPr="00AB6810">
        <w:rPr>
          <w:rFonts w:ascii="Arial" w:hAnsi="Arial" w:cs="Arial"/>
          <w:szCs w:val="24"/>
          <w:lang w:val="fr-FR"/>
        </w:rPr>
        <w:t>, Marta Blangiardo</w:t>
      </w:r>
      <w:r w:rsidRPr="00AB6810" w:rsidR="009F6120">
        <w:rPr>
          <w:rFonts w:ascii="Arial" w:hAnsi="Arial" w:cs="Arial"/>
          <w:szCs w:val="24"/>
          <w:lang w:val="fr-FR"/>
        </w:rPr>
        <w:t>, PhD</w:t>
      </w:r>
      <w:r w:rsidRPr="00AB6810">
        <w:rPr>
          <w:rFonts w:ascii="Arial" w:hAnsi="Arial" w:cs="Arial"/>
          <w:szCs w:val="24"/>
          <w:vertAlign w:val="superscript"/>
          <w:lang w:val="fr-FR"/>
        </w:rPr>
        <w:t>3</w:t>
      </w:r>
      <w:r w:rsidRPr="00AB6810">
        <w:rPr>
          <w:rFonts w:ascii="Arial" w:hAnsi="Arial" w:cs="Arial"/>
          <w:szCs w:val="24"/>
          <w:lang w:val="fr-FR"/>
        </w:rPr>
        <w:t>, Micha</w:t>
      </w:r>
      <w:r w:rsidRPr="00AB6810" w:rsidR="00A94F24">
        <w:rPr>
          <w:rFonts w:ascii="Arial" w:hAnsi="Arial" w:cs="Arial"/>
          <w:szCs w:val="24"/>
          <w:lang w:val="fr-FR"/>
        </w:rPr>
        <w:t>ë</w:t>
      </w:r>
      <w:r w:rsidRPr="00AB6810">
        <w:rPr>
          <w:rFonts w:ascii="Arial" w:hAnsi="Arial" w:cs="Arial"/>
          <w:szCs w:val="24"/>
          <w:lang w:val="fr-FR"/>
        </w:rPr>
        <w:t>l G</w:t>
      </w:r>
      <w:r w:rsidRPr="00AB6810" w:rsidR="00A94F24">
        <w:rPr>
          <w:rFonts w:ascii="Arial" w:hAnsi="Arial" w:cs="Arial"/>
          <w:szCs w:val="24"/>
          <w:lang w:val="fr-FR"/>
        </w:rPr>
        <w:t>é</w:t>
      </w:r>
      <w:r w:rsidRPr="00AB6810">
        <w:rPr>
          <w:rFonts w:ascii="Arial" w:hAnsi="Arial" w:cs="Arial"/>
          <w:szCs w:val="24"/>
          <w:lang w:val="fr-FR"/>
        </w:rPr>
        <w:t>nin</w:t>
      </w:r>
      <w:r w:rsidRPr="00AB6810" w:rsidR="009F6120">
        <w:rPr>
          <w:rFonts w:ascii="Arial" w:hAnsi="Arial" w:cs="Arial"/>
          <w:szCs w:val="24"/>
          <w:lang w:val="fr-FR"/>
        </w:rPr>
        <w:t>, PhD</w:t>
      </w:r>
      <w:r w:rsidRPr="00AB6810">
        <w:rPr>
          <w:rFonts w:ascii="Arial" w:hAnsi="Arial" w:cs="Arial"/>
          <w:szCs w:val="24"/>
          <w:vertAlign w:val="superscript"/>
          <w:lang w:val="fr-FR"/>
        </w:rPr>
        <w:t>2</w:t>
      </w:r>
    </w:p>
    <w:p w:rsidRPr="00AB6810" w:rsidR="007D7767" w:rsidP="35BFB30F" w:rsidRDefault="007D7767" w14:paraId="6238C557" w14:textId="717E7219">
      <w:pPr>
        <w:spacing w:line="480" w:lineRule="auto"/>
        <w:rPr>
          <w:rFonts w:ascii="Arial" w:hAnsi="Arial" w:cs="Arial"/>
          <w:szCs w:val="24"/>
          <w:lang w:val="fr-FR"/>
        </w:rPr>
      </w:pPr>
      <w:r w:rsidRPr="00AB6810">
        <w:rPr>
          <w:rFonts w:ascii="Arial" w:hAnsi="Arial" w:cs="Arial"/>
          <w:szCs w:val="24"/>
          <w:lang w:val="fr-FR"/>
        </w:rPr>
        <w:t>Affiliation</w:t>
      </w:r>
    </w:p>
    <w:p w:rsidRPr="00AB6810" w:rsidR="008735F7" w:rsidP="35BFB30F" w:rsidRDefault="007D7767" w14:paraId="70A3D2A6" w14:textId="3E0E98C8">
      <w:pPr>
        <w:spacing w:line="480" w:lineRule="auto"/>
        <w:rPr>
          <w:rFonts w:ascii="Arial" w:hAnsi="Arial" w:cs="Arial"/>
          <w:szCs w:val="24"/>
          <w:lang w:val="fr-FR"/>
        </w:rPr>
      </w:pPr>
      <w:r w:rsidRPr="00AB6810">
        <w:rPr>
          <w:rFonts w:ascii="Arial" w:hAnsi="Arial" w:cs="Arial"/>
          <w:szCs w:val="24"/>
          <w:lang w:val="fr-FR"/>
        </w:rPr>
        <w:t xml:space="preserve">1- Digestive Oncology, Hepatology and Gastroenterology Department, </w:t>
      </w:r>
      <w:r w:rsidRPr="00AB6810" w:rsidR="00A01555">
        <w:rPr>
          <w:rFonts w:ascii="Arial" w:hAnsi="Arial" w:cs="Arial"/>
          <w:szCs w:val="24"/>
          <w:lang w:val="fr-FR"/>
        </w:rPr>
        <w:t>Centre Hospitalier de la Côte Basque, Bayonne</w:t>
      </w:r>
      <w:r w:rsidRPr="00AB6810">
        <w:rPr>
          <w:rFonts w:ascii="Arial" w:hAnsi="Arial" w:cs="Arial"/>
          <w:szCs w:val="24"/>
          <w:lang w:val="fr-FR"/>
        </w:rPr>
        <w:t>, France</w:t>
      </w:r>
    </w:p>
    <w:p w:rsidRPr="00AB6810" w:rsidR="007D7767" w:rsidP="35BFB30F" w:rsidRDefault="007D7767" w14:paraId="6EF34D47" w14:textId="21D2BEBD">
      <w:pPr>
        <w:spacing w:line="480" w:lineRule="auto"/>
        <w:rPr>
          <w:rFonts w:ascii="Arial" w:hAnsi="Arial" w:cs="Arial"/>
          <w:szCs w:val="24"/>
          <w:lang w:val="fr-FR"/>
        </w:rPr>
      </w:pPr>
      <w:r w:rsidRPr="00AB6810">
        <w:rPr>
          <w:rFonts w:ascii="Arial" w:hAnsi="Arial" w:cs="Arial"/>
          <w:szCs w:val="24"/>
          <w:lang w:val="fr-FR"/>
        </w:rPr>
        <w:t xml:space="preserve">2- University of Lille, CHU Lille, ULR 2694 - </w:t>
      </w:r>
      <w:bookmarkStart w:name="_Int_hLOrF9e9" w:id="0"/>
      <w:r w:rsidRPr="00AB6810">
        <w:rPr>
          <w:rFonts w:ascii="Arial" w:hAnsi="Arial" w:cs="Arial"/>
          <w:szCs w:val="24"/>
          <w:lang w:val="fr-FR"/>
        </w:rPr>
        <w:t>METRICS:</w:t>
      </w:r>
      <w:bookmarkEnd w:id="0"/>
      <w:r w:rsidRPr="00AB6810">
        <w:rPr>
          <w:rFonts w:ascii="Arial" w:hAnsi="Arial" w:cs="Arial"/>
          <w:szCs w:val="24"/>
          <w:lang w:val="fr-FR"/>
        </w:rPr>
        <w:t xml:space="preserve"> Évaluation des technologies de santé et des pratiques médicales, F-59000 Lille, France.</w:t>
      </w:r>
    </w:p>
    <w:p w:rsidRPr="00AB6810" w:rsidR="007D7767" w:rsidP="35BFB30F" w:rsidRDefault="007D7767" w14:paraId="26C4893A" w14:textId="205108F8">
      <w:pPr>
        <w:spacing w:line="480" w:lineRule="auto"/>
        <w:rPr>
          <w:rFonts w:ascii="Arial" w:hAnsi="Arial" w:cs="Arial"/>
          <w:szCs w:val="24"/>
        </w:rPr>
      </w:pPr>
      <w:r w:rsidRPr="00AB6810">
        <w:rPr>
          <w:rFonts w:ascii="Arial" w:hAnsi="Arial" w:cs="Arial"/>
          <w:szCs w:val="24"/>
        </w:rPr>
        <w:t>3- MRC Centre for Environment &amp; Health, Department of Epidemiology and Biostatistics, School of Public Health, Imperial College London, London, United Kingdom.</w:t>
      </w:r>
    </w:p>
    <w:p w:rsidRPr="00AB6810" w:rsidR="00641BEB" w:rsidP="35BFB30F" w:rsidRDefault="00641BEB" w14:paraId="3EEC75F8" w14:textId="1296DDD1">
      <w:pPr>
        <w:spacing w:line="480" w:lineRule="auto"/>
        <w:rPr>
          <w:rFonts w:ascii="Arial" w:hAnsi="Arial" w:cs="Arial"/>
          <w:szCs w:val="24"/>
          <w:lang w:val="fr-FR"/>
        </w:rPr>
      </w:pPr>
      <w:r w:rsidRPr="00AB6810">
        <w:rPr>
          <w:rFonts w:ascii="Arial" w:hAnsi="Arial" w:cs="Arial"/>
          <w:szCs w:val="24"/>
          <w:lang w:val="fr-FR"/>
        </w:rPr>
        <w:t>4- Univ. Lille, Inserm, CHU Lille, Institut Pasteur de Lille, U1167 - RID-AGE - Facteurs de risque et déterminants moléculaires des maladies liées au vieillissement, Lille, France.</w:t>
      </w:r>
    </w:p>
    <w:p w:rsidRPr="00AB6810" w:rsidR="00A01555" w:rsidP="35BFB30F" w:rsidRDefault="00641BEB" w14:paraId="5FD1D0F5" w14:textId="022D63BC">
      <w:pPr>
        <w:spacing w:line="480" w:lineRule="auto"/>
        <w:rPr>
          <w:rFonts w:ascii="Arial" w:hAnsi="Arial" w:cs="Arial"/>
          <w:szCs w:val="24"/>
        </w:rPr>
      </w:pPr>
      <w:r w:rsidRPr="00AB6810">
        <w:rPr>
          <w:rFonts w:ascii="Arial" w:hAnsi="Arial" w:cs="Arial"/>
          <w:szCs w:val="24"/>
        </w:rPr>
        <w:t>5</w:t>
      </w:r>
      <w:r w:rsidRPr="00AB6810" w:rsidR="00A01555">
        <w:rPr>
          <w:rFonts w:ascii="Arial" w:hAnsi="Arial" w:cs="Arial"/>
          <w:szCs w:val="24"/>
        </w:rPr>
        <w:t>- Digestive Oncology, Hepatology and Gastroenterology Department, C</w:t>
      </w:r>
      <w:r w:rsidRPr="00AB6810" w:rsidR="0062699F">
        <w:rPr>
          <w:rFonts w:ascii="Arial" w:hAnsi="Arial" w:cs="Arial"/>
          <w:szCs w:val="24"/>
        </w:rPr>
        <w:t>HU</w:t>
      </w:r>
      <w:r w:rsidRPr="00AB6810" w:rsidR="00A01555">
        <w:rPr>
          <w:rFonts w:ascii="Arial" w:hAnsi="Arial" w:cs="Arial"/>
          <w:szCs w:val="24"/>
        </w:rPr>
        <w:t xml:space="preserve"> Reims, </w:t>
      </w:r>
      <w:r w:rsidRPr="00AB6810" w:rsidR="0062699F">
        <w:rPr>
          <w:rFonts w:ascii="Arial" w:hAnsi="Arial" w:cs="Arial"/>
          <w:szCs w:val="24"/>
        </w:rPr>
        <w:t xml:space="preserve">Université Reims Champagne-Ardenne, </w:t>
      </w:r>
      <w:r w:rsidRPr="00AB6810" w:rsidR="00A01555">
        <w:rPr>
          <w:rFonts w:ascii="Arial" w:hAnsi="Arial" w:cs="Arial"/>
          <w:szCs w:val="24"/>
        </w:rPr>
        <w:t>Reims, France</w:t>
      </w:r>
    </w:p>
    <w:p w:rsidRPr="00AB6810" w:rsidR="009F6120" w:rsidP="35BFB30F" w:rsidRDefault="009F6120" w14:paraId="7A813C90" w14:textId="77777777">
      <w:pPr>
        <w:spacing w:line="480" w:lineRule="auto"/>
        <w:rPr>
          <w:rFonts w:ascii="Arial" w:hAnsi="Arial" w:cs="Arial"/>
          <w:szCs w:val="24"/>
        </w:rPr>
      </w:pPr>
    </w:p>
    <w:p w:rsidRPr="00AB6810" w:rsidR="009F6120" w:rsidP="35BFB30F" w:rsidRDefault="007D7767" w14:paraId="7965BCDC" w14:textId="77777777">
      <w:pPr>
        <w:spacing w:line="480" w:lineRule="auto"/>
        <w:rPr>
          <w:rFonts w:ascii="Arial" w:hAnsi="Arial" w:cs="Arial"/>
          <w:szCs w:val="24"/>
        </w:rPr>
      </w:pPr>
      <w:r w:rsidRPr="00AB6810">
        <w:rPr>
          <w:rFonts w:ascii="Arial" w:hAnsi="Arial" w:cs="Arial"/>
          <w:szCs w:val="24"/>
        </w:rPr>
        <w:t>Corresponding author</w:t>
      </w:r>
    </w:p>
    <w:p w:rsidRPr="00AB6810" w:rsidR="008D4D75" w:rsidP="00CF781E" w:rsidRDefault="007D7767" w14:paraId="5A6F2823" w14:textId="409422CD">
      <w:pPr>
        <w:spacing w:line="480" w:lineRule="auto"/>
        <w:rPr>
          <w:rFonts w:ascii="Arial" w:hAnsi="Arial" w:cs="Arial"/>
          <w:color w:val="000000" w:themeColor="text1"/>
          <w:szCs w:val="24"/>
        </w:rPr>
      </w:pPr>
      <w:r w:rsidRPr="00AB6810">
        <w:rPr>
          <w:rFonts w:ascii="Arial" w:hAnsi="Arial" w:cs="Arial"/>
          <w:szCs w:val="24"/>
        </w:rPr>
        <w:t xml:space="preserve">Dr. </w:t>
      </w:r>
      <w:r w:rsidRPr="00AB6810">
        <w:rPr>
          <w:rFonts w:ascii="Arial" w:hAnsi="Arial" w:cs="Arial"/>
          <w:color w:val="000000" w:themeColor="text1"/>
          <w:szCs w:val="24"/>
        </w:rPr>
        <w:t>Mathias Brugel,</w:t>
      </w:r>
      <w:r w:rsidRPr="00AB6810" w:rsidR="00A01555">
        <w:rPr>
          <w:rFonts w:ascii="Arial" w:hAnsi="Arial" w:cs="Arial"/>
          <w:color w:val="000000" w:themeColor="text1"/>
          <w:szCs w:val="24"/>
        </w:rPr>
        <w:t xml:space="preserve"> MD,</w:t>
      </w:r>
      <w:r w:rsidRPr="00AB6810">
        <w:rPr>
          <w:rFonts w:ascii="Arial" w:hAnsi="Arial" w:cs="Arial"/>
          <w:color w:val="000000" w:themeColor="text1"/>
          <w:szCs w:val="24"/>
        </w:rPr>
        <w:t xml:space="preserve"> </w:t>
      </w:r>
      <w:r w:rsidRPr="00AB6810" w:rsidR="001537EA">
        <w:rPr>
          <w:rFonts w:ascii="Arial" w:hAnsi="Arial" w:cs="Arial"/>
          <w:szCs w:val="24"/>
        </w:rPr>
        <w:t>Digestive Oncology, Hepatology and Gastroenterology Department, Centre Hospitalier de la Côte Basque, Bayonne, France</w:t>
      </w:r>
      <w:r w:rsidRPr="00AB6810">
        <w:rPr>
          <w:rFonts w:ascii="Arial" w:hAnsi="Arial" w:cs="Arial"/>
          <w:color w:val="000000" w:themeColor="text1"/>
          <w:szCs w:val="24"/>
        </w:rPr>
        <w:t xml:space="preserve">; e-mail: </w:t>
      </w:r>
      <w:hyperlink w:history="1" r:id="rId8">
        <w:r w:rsidRPr="00AB6810" w:rsidR="008D4D75">
          <w:rPr>
            <w:rStyle w:val="Lienhypertexte"/>
            <w:rFonts w:ascii="Arial" w:hAnsi="Arial" w:cs="Arial"/>
            <w:szCs w:val="24"/>
          </w:rPr>
          <w:t>mbrugel@ch-cotebasque.fr</w:t>
        </w:r>
      </w:hyperlink>
    </w:p>
    <w:p w:rsidRPr="00AB6810" w:rsidR="00DF3AE5" w:rsidP="00DF3AE5" w:rsidRDefault="00DF3AE5" w14:paraId="124DAD2C" w14:textId="77777777">
      <w:pPr>
        <w:spacing w:line="480" w:lineRule="auto"/>
        <w:rPr>
          <w:rFonts w:ascii="Arial" w:hAnsi="Arial" w:cs="Arial"/>
          <w:color w:val="000000" w:themeColor="text1"/>
          <w:szCs w:val="24"/>
        </w:rPr>
      </w:pPr>
    </w:p>
    <w:p w:rsidRPr="00AB6810" w:rsidR="008D4D75" w:rsidP="00CF781E" w:rsidRDefault="008D4D75" w14:paraId="7A011DDF" w14:textId="3CCD5E26">
      <w:pPr>
        <w:spacing w:line="480" w:lineRule="auto"/>
        <w:rPr>
          <w:rFonts w:ascii="Arial" w:hAnsi="Arial" w:cs="Arial"/>
          <w:color w:val="000000" w:themeColor="text1"/>
          <w:szCs w:val="24"/>
        </w:rPr>
      </w:pPr>
    </w:p>
    <w:p w:rsidRPr="00AB6810" w:rsidR="00DF3AE5" w:rsidP="00CF781E" w:rsidRDefault="00DF3AE5" w14:paraId="2DA19D0A" w14:textId="77777777">
      <w:pPr>
        <w:spacing w:line="480" w:lineRule="auto"/>
        <w:rPr>
          <w:rFonts w:ascii="Arial" w:hAnsi="Arial" w:cs="Arial"/>
          <w:color w:val="000000" w:themeColor="text1"/>
          <w:szCs w:val="24"/>
        </w:rPr>
      </w:pPr>
    </w:p>
    <w:p w:rsidRPr="00AB6810" w:rsidR="007D7767" w:rsidP="00CF781E" w:rsidRDefault="009E78E0" w14:paraId="549D2741" w14:textId="5EBE031E">
      <w:pPr>
        <w:spacing w:line="480" w:lineRule="auto"/>
        <w:rPr>
          <w:rFonts w:ascii="Arial" w:hAnsi="Arial" w:cs="Arial"/>
          <w:sz w:val="24"/>
          <w:szCs w:val="24"/>
          <w:u w:val="single"/>
        </w:rPr>
      </w:pPr>
      <w:r w:rsidRPr="00AB6810">
        <w:rPr>
          <w:rFonts w:ascii="Arial" w:hAnsi="Arial" w:cs="Arial"/>
          <w:b/>
          <w:sz w:val="24"/>
          <w:szCs w:val="24"/>
          <w:u w:val="single"/>
        </w:rPr>
        <w:t>Abstract</w:t>
      </w:r>
      <w:r w:rsidRPr="00AB6810" w:rsidR="00F55A52">
        <w:rPr>
          <w:rFonts w:ascii="Arial" w:hAnsi="Arial" w:cs="Arial"/>
          <w:sz w:val="24"/>
          <w:szCs w:val="24"/>
          <w:u w:val="single"/>
        </w:rPr>
        <w:t xml:space="preserve"> (</w:t>
      </w:r>
      <w:r w:rsidRPr="00AB6810" w:rsidR="00281DA8">
        <w:rPr>
          <w:rFonts w:ascii="Arial" w:hAnsi="Arial" w:cs="Arial"/>
          <w:sz w:val="24"/>
          <w:szCs w:val="24"/>
          <w:u w:val="single"/>
        </w:rPr>
        <w:t xml:space="preserve">265 </w:t>
      </w:r>
      <w:r w:rsidRPr="00AB6810" w:rsidR="00F55A52">
        <w:rPr>
          <w:rFonts w:ascii="Arial" w:hAnsi="Arial" w:cs="Arial"/>
          <w:sz w:val="24"/>
          <w:szCs w:val="24"/>
          <w:u w:val="single"/>
        </w:rPr>
        <w:t>words</w:t>
      </w:r>
      <w:r w:rsidRPr="00AB6810" w:rsidR="009C3913">
        <w:rPr>
          <w:rFonts w:ascii="Arial" w:hAnsi="Arial" w:cs="Arial"/>
          <w:sz w:val="24"/>
          <w:szCs w:val="24"/>
          <w:u w:val="single"/>
        </w:rPr>
        <w:t>)</w:t>
      </w:r>
    </w:p>
    <w:p w:rsidRPr="00AB6810" w:rsidR="00BA52DE" w:rsidP="00CF781E" w:rsidRDefault="009E78E0" w14:paraId="0F4BDD81" w14:textId="1F80BE73">
      <w:pPr>
        <w:spacing w:line="480" w:lineRule="auto"/>
        <w:rPr>
          <w:rFonts w:ascii="Arial" w:hAnsi="Arial" w:cs="Arial"/>
          <w:b/>
          <w:sz w:val="24"/>
          <w:szCs w:val="24"/>
        </w:rPr>
      </w:pPr>
      <w:r w:rsidRPr="00AB6810">
        <w:rPr>
          <w:rFonts w:ascii="Arial" w:hAnsi="Arial" w:cs="Arial"/>
          <w:b/>
          <w:sz w:val="24"/>
          <w:szCs w:val="24"/>
        </w:rPr>
        <w:t>Background</w:t>
      </w:r>
    </w:p>
    <w:p w:rsidRPr="00AB6810" w:rsidR="001C1841" w:rsidP="00CF781E" w:rsidRDefault="00C25017" w14:paraId="1726A824" w14:textId="32D71AB8">
      <w:pPr>
        <w:spacing w:line="480" w:lineRule="auto"/>
        <w:rPr>
          <w:rStyle w:val="cf01"/>
          <w:rFonts w:ascii="Arial" w:hAnsi="Arial" w:cs="Arial"/>
          <w:sz w:val="24"/>
          <w:szCs w:val="24"/>
        </w:rPr>
      </w:pPr>
      <w:r w:rsidRPr="00AB6810">
        <w:rPr>
          <w:rFonts w:ascii="Arial" w:hAnsi="Arial" w:cs="Arial"/>
          <w:sz w:val="24"/>
          <w:szCs w:val="24"/>
        </w:rPr>
        <w:t>While p</w:t>
      </w:r>
      <w:r w:rsidRPr="00AB6810" w:rsidR="00903AEE">
        <w:rPr>
          <w:rFonts w:ascii="Arial" w:hAnsi="Arial" w:cs="Arial"/>
          <w:sz w:val="24"/>
          <w:szCs w:val="24"/>
        </w:rPr>
        <w:t>ancreatic adenocarcinoma</w:t>
      </w:r>
      <w:r w:rsidRPr="00AB6810" w:rsidR="00060E3F">
        <w:rPr>
          <w:rFonts w:ascii="Arial" w:hAnsi="Arial" w:cs="Arial"/>
          <w:sz w:val="24"/>
          <w:szCs w:val="24"/>
        </w:rPr>
        <w:t xml:space="preserve"> (PA)</w:t>
      </w:r>
      <w:r w:rsidRPr="00AB6810" w:rsidR="00903AEE">
        <w:rPr>
          <w:rFonts w:ascii="Arial" w:hAnsi="Arial" w:cs="Arial"/>
          <w:sz w:val="24"/>
          <w:szCs w:val="24"/>
        </w:rPr>
        <w:t xml:space="preserve"> </w:t>
      </w:r>
      <w:r w:rsidRPr="00AB6810" w:rsidR="006A6059">
        <w:rPr>
          <w:rFonts w:ascii="Arial" w:hAnsi="Arial" w:cs="Arial"/>
          <w:sz w:val="24"/>
          <w:szCs w:val="24"/>
        </w:rPr>
        <w:t xml:space="preserve">incidence </w:t>
      </w:r>
      <w:r w:rsidRPr="00AB6810" w:rsidR="00060E3F">
        <w:rPr>
          <w:rFonts w:ascii="Arial" w:hAnsi="Arial" w:cs="Arial"/>
          <w:sz w:val="24"/>
          <w:szCs w:val="24"/>
        </w:rPr>
        <w:t>is increasing, especially in France</w:t>
      </w:r>
      <w:r w:rsidRPr="00AB6810">
        <w:rPr>
          <w:rFonts w:ascii="Arial" w:hAnsi="Arial" w:cs="Arial"/>
          <w:sz w:val="24"/>
          <w:szCs w:val="24"/>
        </w:rPr>
        <w:t xml:space="preserve">, the </w:t>
      </w:r>
      <w:r w:rsidRPr="00AB6810" w:rsidR="00060E3F">
        <w:rPr>
          <w:rFonts w:ascii="Arial" w:hAnsi="Arial" w:cs="Arial"/>
          <w:sz w:val="24"/>
          <w:szCs w:val="24"/>
        </w:rPr>
        <w:t xml:space="preserve">association between pesticides and PA remains unclear. The aims of this study were </w:t>
      </w:r>
      <w:r w:rsidRPr="00AB6810" w:rsidR="00060E3F">
        <w:rPr>
          <w:rStyle w:val="cf01"/>
          <w:rFonts w:ascii="Arial" w:hAnsi="Arial" w:cs="Arial"/>
          <w:sz w:val="24"/>
          <w:szCs w:val="24"/>
        </w:rPr>
        <w:t>to assess the spatiotemporal distribution of the incidence of PA in</w:t>
      </w:r>
      <w:r w:rsidRPr="00AB6810" w:rsidR="00E75155">
        <w:rPr>
          <w:rStyle w:val="cf01"/>
          <w:rFonts w:ascii="Arial" w:hAnsi="Arial" w:cs="Arial"/>
          <w:sz w:val="24"/>
          <w:szCs w:val="24"/>
        </w:rPr>
        <w:t xml:space="preserve"> France between 2011 and 2021</w:t>
      </w:r>
      <w:r w:rsidRPr="00AB6810" w:rsidR="00060E3F">
        <w:rPr>
          <w:rStyle w:val="cf01"/>
          <w:rFonts w:ascii="Arial" w:hAnsi="Arial" w:cs="Arial"/>
          <w:sz w:val="24"/>
          <w:szCs w:val="24"/>
        </w:rPr>
        <w:t xml:space="preserve"> and to determine whether pesticide exposure was associated with </w:t>
      </w:r>
      <w:r w:rsidRPr="00AB6810" w:rsidR="00E75155">
        <w:rPr>
          <w:rStyle w:val="cf01"/>
          <w:rFonts w:ascii="Arial" w:hAnsi="Arial" w:cs="Arial"/>
          <w:sz w:val="24"/>
          <w:szCs w:val="24"/>
        </w:rPr>
        <w:t>higher</w:t>
      </w:r>
      <w:r w:rsidRPr="00AB6810" w:rsidR="00060E3F">
        <w:rPr>
          <w:rStyle w:val="cf01"/>
          <w:rFonts w:ascii="Arial" w:hAnsi="Arial" w:cs="Arial"/>
          <w:sz w:val="24"/>
          <w:szCs w:val="24"/>
        </w:rPr>
        <w:t xml:space="preserve"> risk of PA.</w:t>
      </w:r>
    </w:p>
    <w:p w:rsidRPr="00AB6810" w:rsidR="009E78E0" w:rsidP="00CF781E" w:rsidRDefault="009E78E0" w14:paraId="79C35171" w14:textId="375D738D">
      <w:pPr>
        <w:spacing w:line="480" w:lineRule="auto"/>
        <w:rPr>
          <w:rFonts w:ascii="Arial" w:hAnsi="Arial" w:cs="Arial"/>
          <w:b/>
          <w:sz w:val="24"/>
          <w:szCs w:val="24"/>
        </w:rPr>
      </w:pPr>
      <w:r w:rsidRPr="00AB6810">
        <w:rPr>
          <w:rFonts w:ascii="Arial" w:hAnsi="Arial" w:cs="Arial"/>
          <w:b/>
          <w:sz w:val="24"/>
          <w:szCs w:val="24"/>
        </w:rPr>
        <w:t>Methods</w:t>
      </w:r>
    </w:p>
    <w:p w:rsidRPr="00AB6810" w:rsidR="00060E3F" w:rsidP="00CF781E" w:rsidRDefault="0027398D" w14:paraId="68D46422" w14:textId="483603B2">
      <w:pPr>
        <w:spacing w:line="480" w:lineRule="auto"/>
        <w:rPr>
          <w:rFonts w:ascii="Arial" w:hAnsi="Arial" w:cs="Arial"/>
          <w:sz w:val="24"/>
          <w:szCs w:val="24"/>
        </w:rPr>
      </w:pPr>
      <w:r w:rsidRPr="00AB6810">
        <w:rPr>
          <w:rFonts w:ascii="Arial" w:hAnsi="Arial" w:cs="Arial"/>
          <w:sz w:val="24"/>
          <w:szCs w:val="24"/>
        </w:rPr>
        <w:t>We employed a</w:t>
      </w:r>
      <w:r w:rsidRPr="00AB6810" w:rsidR="00CB55FB">
        <w:rPr>
          <w:rFonts w:ascii="Arial" w:hAnsi="Arial" w:cs="Arial"/>
          <w:sz w:val="24"/>
          <w:szCs w:val="24"/>
        </w:rPr>
        <w:t xml:space="preserve"> disease-mapping </w:t>
      </w:r>
      <w:r w:rsidRPr="00AB6810" w:rsidR="006562A0">
        <w:rPr>
          <w:rFonts w:ascii="Arial" w:hAnsi="Arial" w:cs="Arial"/>
          <w:sz w:val="24"/>
          <w:szCs w:val="24"/>
        </w:rPr>
        <w:t xml:space="preserve">and </w:t>
      </w:r>
      <w:r w:rsidRPr="00AB6810" w:rsidR="00CB55FB">
        <w:rPr>
          <w:rFonts w:ascii="Arial" w:hAnsi="Arial" w:cs="Arial"/>
          <w:sz w:val="24"/>
          <w:szCs w:val="24"/>
        </w:rPr>
        <w:t>ecological regression</w:t>
      </w:r>
      <w:r w:rsidRPr="00AB6810" w:rsidR="00E75155">
        <w:rPr>
          <w:rFonts w:ascii="Arial" w:hAnsi="Arial" w:cs="Arial"/>
          <w:sz w:val="24"/>
          <w:szCs w:val="24"/>
        </w:rPr>
        <w:t xml:space="preserve"> </w:t>
      </w:r>
      <w:r w:rsidRPr="00AB6810" w:rsidR="006562A0">
        <w:rPr>
          <w:rFonts w:ascii="Arial" w:hAnsi="Arial" w:cs="Arial"/>
          <w:sz w:val="24"/>
          <w:szCs w:val="24"/>
        </w:rPr>
        <w:t xml:space="preserve">approach </w:t>
      </w:r>
      <w:r w:rsidRPr="00AB6810">
        <w:rPr>
          <w:rFonts w:ascii="Arial" w:hAnsi="Arial" w:cs="Arial"/>
          <w:sz w:val="24"/>
          <w:szCs w:val="24"/>
        </w:rPr>
        <w:t>with</w:t>
      </w:r>
      <w:r w:rsidRPr="00AB6810" w:rsidR="00060E3F">
        <w:rPr>
          <w:rFonts w:ascii="Arial" w:hAnsi="Arial" w:cs="Arial"/>
          <w:sz w:val="24"/>
          <w:szCs w:val="24"/>
        </w:rPr>
        <w:t xml:space="preserve"> medicoadministrative data covering 99% of the French population. Exposure data were drawn from </w:t>
      </w:r>
      <w:r w:rsidRPr="00AB6810" w:rsidR="00E75155">
        <w:rPr>
          <w:rFonts w:ascii="Arial" w:hAnsi="Arial" w:cs="Arial"/>
          <w:sz w:val="24"/>
          <w:szCs w:val="24"/>
        </w:rPr>
        <w:t xml:space="preserve">an </w:t>
      </w:r>
      <w:r w:rsidRPr="00AB6810" w:rsidR="00CB55FB">
        <w:rPr>
          <w:rFonts w:ascii="Arial" w:hAnsi="Arial" w:cs="Arial"/>
          <w:sz w:val="24"/>
          <w:szCs w:val="24"/>
        </w:rPr>
        <w:t xml:space="preserve">open purchase database. A pesticide exposure intensity index (PEXI), defined as the logged and scaled median of the ratio quantity of substance over agricultural surface per spatial unit was used for </w:t>
      </w:r>
      <w:r w:rsidRPr="00AB6810" w:rsidR="00094508">
        <w:rPr>
          <w:rFonts w:ascii="Arial" w:hAnsi="Arial" w:cs="Arial"/>
          <w:sz w:val="24"/>
          <w:szCs w:val="24"/>
        </w:rPr>
        <w:t xml:space="preserve">total </w:t>
      </w:r>
      <w:r w:rsidRPr="00AB6810" w:rsidR="00CB55FB">
        <w:rPr>
          <w:rFonts w:ascii="Arial" w:hAnsi="Arial" w:cs="Arial"/>
          <w:sz w:val="24"/>
          <w:szCs w:val="24"/>
        </w:rPr>
        <w:t xml:space="preserve">quantity </w:t>
      </w:r>
      <w:r w:rsidRPr="00AB6810">
        <w:rPr>
          <w:rFonts w:ascii="Arial" w:hAnsi="Arial" w:cs="Arial"/>
          <w:sz w:val="24"/>
          <w:szCs w:val="24"/>
        </w:rPr>
        <w:t>(</w:t>
      </w:r>
      <w:r w:rsidRPr="00AB6810" w:rsidR="00094508">
        <w:rPr>
          <w:rFonts w:ascii="Arial" w:hAnsi="Arial" w:cs="Arial"/>
          <w:sz w:val="24"/>
          <w:szCs w:val="24"/>
        </w:rPr>
        <w:t xml:space="preserve">total </w:t>
      </w:r>
      <w:r w:rsidRPr="00AB6810">
        <w:rPr>
          <w:rFonts w:ascii="Arial" w:hAnsi="Arial" w:cs="Arial"/>
          <w:sz w:val="24"/>
          <w:szCs w:val="24"/>
        </w:rPr>
        <w:t xml:space="preserve">PEXI) </w:t>
      </w:r>
      <w:r w:rsidRPr="00AB6810" w:rsidR="00CB55FB">
        <w:rPr>
          <w:rFonts w:ascii="Arial" w:hAnsi="Arial" w:cs="Arial"/>
          <w:sz w:val="24"/>
          <w:szCs w:val="24"/>
        </w:rPr>
        <w:t>and 9 specific substances</w:t>
      </w:r>
      <w:r w:rsidRPr="00AB6810" w:rsidR="00E75155">
        <w:rPr>
          <w:rFonts w:ascii="Arial" w:hAnsi="Arial" w:cs="Arial"/>
          <w:sz w:val="24"/>
          <w:szCs w:val="24"/>
        </w:rPr>
        <w:t>.</w:t>
      </w:r>
      <w:r w:rsidRPr="00AB6810" w:rsidR="00CB55FB">
        <w:rPr>
          <w:rFonts w:ascii="Arial" w:hAnsi="Arial" w:cs="Arial"/>
          <w:sz w:val="24"/>
          <w:szCs w:val="24"/>
        </w:rPr>
        <w:t xml:space="preserve"> </w:t>
      </w:r>
      <w:r w:rsidRPr="00AB6810" w:rsidR="004E0EB6">
        <w:rPr>
          <w:rFonts w:ascii="Arial" w:hAnsi="Arial" w:cs="Arial"/>
          <w:sz w:val="24"/>
          <w:szCs w:val="24"/>
        </w:rPr>
        <w:t>T</w:t>
      </w:r>
      <w:r w:rsidRPr="00AB6810" w:rsidR="006562A0">
        <w:rPr>
          <w:rFonts w:ascii="Arial" w:hAnsi="Arial" w:cs="Arial"/>
          <w:sz w:val="24"/>
          <w:szCs w:val="24"/>
        </w:rPr>
        <w:t xml:space="preserve">he analyses </w:t>
      </w:r>
      <w:r w:rsidRPr="00AB6810" w:rsidR="004E0EB6">
        <w:rPr>
          <w:rFonts w:ascii="Arial" w:hAnsi="Arial" w:cs="Arial"/>
          <w:sz w:val="24"/>
          <w:szCs w:val="24"/>
        </w:rPr>
        <w:t xml:space="preserve">were adjusted </w:t>
      </w:r>
      <w:r w:rsidRPr="00AB6810" w:rsidR="006562A0">
        <w:rPr>
          <w:rFonts w:ascii="Arial" w:hAnsi="Arial" w:cs="Arial"/>
          <w:sz w:val="24"/>
          <w:szCs w:val="24"/>
        </w:rPr>
        <w:t xml:space="preserve">for </w:t>
      </w:r>
      <w:r w:rsidRPr="00AB6810" w:rsidR="00CB55FB">
        <w:rPr>
          <w:rFonts w:ascii="Arial" w:hAnsi="Arial" w:cs="Arial"/>
          <w:sz w:val="24"/>
          <w:szCs w:val="24"/>
        </w:rPr>
        <w:t>tobacco</w:t>
      </w:r>
      <w:r w:rsidRPr="00AB6810" w:rsidR="00EB7126">
        <w:rPr>
          <w:rFonts w:ascii="Arial" w:hAnsi="Arial" w:cs="Arial"/>
          <w:sz w:val="24"/>
          <w:szCs w:val="24"/>
        </w:rPr>
        <w:t>-induced diseases</w:t>
      </w:r>
      <w:r w:rsidRPr="00AB6810" w:rsidR="00CB55FB">
        <w:rPr>
          <w:rFonts w:ascii="Arial" w:hAnsi="Arial" w:cs="Arial"/>
          <w:sz w:val="24"/>
          <w:szCs w:val="24"/>
        </w:rPr>
        <w:t>, deprivation</w:t>
      </w:r>
      <w:r w:rsidRPr="00AB6810" w:rsidR="00094508">
        <w:rPr>
          <w:rFonts w:ascii="Arial" w:hAnsi="Arial" w:cs="Arial"/>
          <w:sz w:val="24"/>
          <w:szCs w:val="24"/>
        </w:rPr>
        <w:t>,</w:t>
      </w:r>
      <w:r w:rsidRPr="00AB6810" w:rsidR="00CB55FB">
        <w:rPr>
          <w:rFonts w:ascii="Arial" w:hAnsi="Arial" w:cs="Arial"/>
          <w:sz w:val="24"/>
          <w:szCs w:val="24"/>
        </w:rPr>
        <w:t xml:space="preserve"> community medicine accessibility</w:t>
      </w:r>
      <w:r w:rsidRPr="00AB6810" w:rsidR="00094508">
        <w:rPr>
          <w:rFonts w:ascii="Arial" w:hAnsi="Arial" w:cs="Arial"/>
          <w:sz w:val="24"/>
          <w:szCs w:val="24"/>
        </w:rPr>
        <w:t xml:space="preserve">, alcohol-related disease and </w:t>
      </w:r>
      <w:r w:rsidRPr="00AB6810" w:rsidR="00B757B3">
        <w:rPr>
          <w:rFonts w:ascii="Arial" w:hAnsi="Arial" w:cs="Arial"/>
          <w:sz w:val="24"/>
          <w:szCs w:val="24"/>
        </w:rPr>
        <w:t>morbid obesity</w:t>
      </w:r>
      <w:r w:rsidRPr="00AB6810" w:rsidR="00CB55FB">
        <w:rPr>
          <w:rFonts w:ascii="Arial" w:hAnsi="Arial" w:cs="Arial"/>
          <w:sz w:val="24"/>
          <w:szCs w:val="24"/>
        </w:rPr>
        <w:t xml:space="preserve">. </w:t>
      </w:r>
      <w:r w:rsidRPr="00AB6810" w:rsidR="006A6059">
        <w:rPr>
          <w:rFonts w:ascii="Arial" w:hAnsi="Arial" w:cs="Arial"/>
          <w:sz w:val="24"/>
          <w:szCs w:val="24"/>
        </w:rPr>
        <w:t>A</w:t>
      </w:r>
      <w:r w:rsidRPr="00AB6810" w:rsidR="00CB55FB">
        <w:rPr>
          <w:rFonts w:ascii="Arial" w:hAnsi="Arial" w:cs="Arial"/>
          <w:sz w:val="24"/>
          <w:szCs w:val="24"/>
        </w:rPr>
        <w:t xml:space="preserve"> Bayesian hierarchical spatiotemporal model </w:t>
      </w:r>
      <w:r w:rsidRPr="00AB6810" w:rsidR="006A6059">
        <w:rPr>
          <w:rFonts w:ascii="Arial" w:hAnsi="Arial" w:cs="Arial"/>
          <w:sz w:val="24"/>
          <w:szCs w:val="24"/>
        </w:rPr>
        <w:t xml:space="preserve">was used </w:t>
      </w:r>
      <w:r w:rsidRPr="00AB6810" w:rsidR="00CB55FB">
        <w:rPr>
          <w:rFonts w:ascii="Arial" w:hAnsi="Arial" w:cs="Arial"/>
          <w:sz w:val="24"/>
          <w:szCs w:val="24"/>
        </w:rPr>
        <w:t>to both model the incidence over time and space</w:t>
      </w:r>
      <w:r w:rsidRPr="00AB6810" w:rsidR="00F55A52">
        <w:rPr>
          <w:rFonts w:ascii="Arial" w:hAnsi="Arial" w:cs="Arial"/>
          <w:sz w:val="24"/>
          <w:szCs w:val="24"/>
        </w:rPr>
        <w:t>,</w:t>
      </w:r>
      <w:r w:rsidRPr="00AB6810" w:rsidR="00CB55FB">
        <w:rPr>
          <w:rFonts w:ascii="Arial" w:hAnsi="Arial" w:cs="Arial"/>
          <w:sz w:val="24"/>
          <w:szCs w:val="24"/>
        </w:rPr>
        <w:t xml:space="preserve"> and </w:t>
      </w:r>
      <w:r w:rsidRPr="00AB6810" w:rsidR="004E0EB6">
        <w:rPr>
          <w:rFonts w:ascii="Arial" w:hAnsi="Arial" w:cs="Arial"/>
          <w:sz w:val="24"/>
          <w:szCs w:val="24"/>
        </w:rPr>
        <w:t xml:space="preserve">to </w:t>
      </w:r>
      <w:r w:rsidRPr="00AB6810" w:rsidR="00CB55FB">
        <w:rPr>
          <w:rFonts w:ascii="Arial" w:hAnsi="Arial" w:cs="Arial"/>
          <w:sz w:val="24"/>
          <w:szCs w:val="24"/>
        </w:rPr>
        <w:t xml:space="preserve">estimate the risk of PA </w:t>
      </w:r>
      <w:r w:rsidRPr="00AB6810" w:rsidR="006562A0">
        <w:rPr>
          <w:rFonts w:ascii="Arial" w:hAnsi="Arial" w:cs="Arial"/>
          <w:sz w:val="24"/>
          <w:szCs w:val="24"/>
        </w:rPr>
        <w:t xml:space="preserve">for </w:t>
      </w:r>
      <w:r w:rsidRPr="00AB6810" w:rsidR="00CB55FB">
        <w:rPr>
          <w:rFonts w:ascii="Arial" w:hAnsi="Arial" w:cs="Arial"/>
          <w:sz w:val="24"/>
          <w:szCs w:val="24"/>
        </w:rPr>
        <w:t>pesticide</w:t>
      </w:r>
      <w:r w:rsidRPr="00AB6810" w:rsidR="00C25017">
        <w:rPr>
          <w:rFonts w:ascii="Arial" w:hAnsi="Arial" w:cs="Arial"/>
          <w:sz w:val="24"/>
          <w:szCs w:val="24"/>
        </w:rPr>
        <w:t xml:space="preserve"> use</w:t>
      </w:r>
      <w:r w:rsidRPr="00AB6810" w:rsidR="00CB55FB">
        <w:rPr>
          <w:rFonts w:ascii="Arial" w:hAnsi="Arial" w:cs="Arial"/>
          <w:sz w:val="24"/>
          <w:szCs w:val="24"/>
        </w:rPr>
        <w:t>.</w:t>
      </w:r>
    </w:p>
    <w:p w:rsidRPr="00AB6810" w:rsidR="009E78E0" w:rsidP="00CF781E" w:rsidRDefault="0027398D" w14:paraId="72926E92" w14:textId="2F8EE91D">
      <w:pPr>
        <w:spacing w:line="480" w:lineRule="auto"/>
        <w:rPr>
          <w:rFonts w:ascii="Arial" w:hAnsi="Arial" w:cs="Arial"/>
          <w:b/>
          <w:sz w:val="24"/>
          <w:szCs w:val="24"/>
        </w:rPr>
      </w:pPr>
      <w:r w:rsidRPr="00AB6810">
        <w:rPr>
          <w:rFonts w:ascii="Arial" w:hAnsi="Arial" w:cs="Arial"/>
          <w:b/>
          <w:sz w:val="24"/>
          <w:szCs w:val="24"/>
        </w:rPr>
        <w:t>Results</w:t>
      </w:r>
    </w:p>
    <w:p w:rsidRPr="00AB6810" w:rsidR="00CB55FB" w:rsidP="00CF781E" w:rsidRDefault="00E75155" w14:paraId="2EF0C0F9" w14:textId="1B9046C3">
      <w:pPr>
        <w:spacing w:line="480" w:lineRule="auto"/>
        <w:rPr>
          <w:rFonts w:ascii="Arial" w:hAnsi="Arial" w:cs="Arial"/>
          <w:sz w:val="24"/>
          <w:szCs w:val="24"/>
        </w:rPr>
      </w:pPr>
      <w:r w:rsidRPr="00AB6810">
        <w:rPr>
          <w:rFonts w:ascii="Arial" w:hAnsi="Arial" w:cs="Arial"/>
          <w:sz w:val="24"/>
          <w:szCs w:val="24"/>
        </w:rPr>
        <w:t>We identified 1</w:t>
      </w:r>
      <w:r w:rsidRPr="00AB6810" w:rsidR="00CB55FB">
        <w:rPr>
          <w:rFonts w:ascii="Arial" w:hAnsi="Arial" w:cs="Arial"/>
          <w:sz w:val="24"/>
          <w:szCs w:val="24"/>
        </w:rPr>
        <w:t>34</w:t>
      </w:r>
      <w:r w:rsidRPr="00AB6810" w:rsidR="00F55A52">
        <w:rPr>
          <w:rFonts w:ascii="Arial" w:hAnsi="Arial" w:cs="Arial"/>
          <w:sz w:val="24"/>
          <w:szCs w:val="24"/>
        </w:rPr>
        <w:t> </w:t>
      </w:r>
      <w:r w:rsidRPr="00AB6810" w:rsidR="00CB55FB">
        <w:rPr>
          <w:rFonts w:ascii="Arial" w:hAnsi="Arial" w:cs="Arial"/>
          <w:sz w:val="24"/>
          <w:szCs w:val="24"/>
        </w:rPr>
        <w:t>102</w:t>
      </w:r>
      <w:r w:rsidRPr="00AB6810" w:rsidR="00F55A52">
        <w:rPr>
          <w:rFonts w:ascii="Arial" w:hAnsi="Arial" w:cs="Arial"/>
          <w:sz w:val="24"/>
          <w:szCs w:val="24"/>
        </w:rPr>
        <w:t xml:space="preserve"> incident</w:t>
      </w:r>
      <w:r w:rsidRPr="00AB6810" w:rsidR="00CB55FB">
        <w:rPr>
          <w:rFonts w:ascii="Arial" w:hAnsi="Arial" w:cs="Arial"/>
          <w:sz w:val="24"/>
          <w:szCs w:val="24"/>
        </w:rPr>
        <w:t xml:space="preserve"> cases of PA between 2011 and 2021</w:t>
      </w:r>
      <w:r w:rsidRPr="00AB6810" w:rsidR="0027398D">
        <w:rPr>
          <w:rFonts w:ascii="Arial" w:hAnsi="Arial" w:cs="Arial"/>
          <w:sz w:val="24"/>
          <w:szCs w:val="24"/>
        </w:rPr>
        <w:t xml:space="preserve">. </w:t>
      </w:r>
      <w:r w:rsidRPr="00AB6810" w:rsidR="00CB55FB">
        <w:rPr>
          <w:rFonts w:ascii="Arial" w:hAnsi="Arial" w:cs="Arial"/>
          <w:sz w:val="24"/>
          <w:szCs w:val="24"/>
        </w:rPr>
        <w:t xml:space="preserve">The relative risk of PA </w:t>
      </w:r>
      <w:r w:rsidRPr="00AB6810">
        <w:rPr>
          <w:rFonts w:ascii="Arial" w:hAnsi="Arial" w:cs="Arial"/>
          <w:sz w:val="24"/>
          <w:szCs w:val="24"/>
        </w:rPr>
        <w:t>was</w:t>
      </w:r>
      <w:r w:rsidRPr="00AB6810" w:rsidR="00CB55FB">
        <w:rPr>
          <w:rFonts w:ascii="Arial" w:hAnsi="Arial" w:cs="Arial"/>
          <w:sz w:val="24"/>
          <w:szCs w:val="24"/>
        </w:rPr>
        <w:t xml:space="preserve"> heterogene</w:t>
      </w:r>
      <w:r w:rsidRPr="00AB6810">
        <w:rPr>
          <w:rFonts w:ascii="Arial" w:hAnsi="Arial" w:cs="Arial"/>
          <w:sz w:val="24"/>
          <w:szCs w:val="24"/>
        </w:rPr>
        <w:t>ous across space</w:t>
      </w:r>
      <w:r w:rsidRPr="00AB6810" w:rsidR="00CB55FB">
        <w:rPr>
          <w:rFonts w:ascii="Arial" w:hAnsi="Arial" w:cs="Arial"/>
          <w:sz w:val="24"/>
          <w:szCs w:val="24"/>
        </w:rPr>
        <w:t xml:space="preserve"> with greater risk around Paris, central France and </w:t>
      </w:r>
      <w:r w:rsidRPr="00AB6810" w:rsidR="006562A0">
        <w:rPr>
          <w:rFonts w:ascii="Arial" w:hAnsi="Arial" w:cs="Arial"/>
          <w:sz w:val="24"/>
          <w:szCs w:val="24"/>
        </w:rPr>
        <w:t xml:space="preserve">the </w:t>
      </w:r>
      <w:r w:rsidRPr="00AB6810" w:rsidR="00CB55FB">
        <w:rPr>
          <w:rFonts w:ascii="Arial" w:hAnsi="Arial" w:cs="Arial"/>
          <w:sz w:val="24"/>
          <w:szCs w:val="24"/>
        </w:rPr>
        <w:t xml:space="preserve">Mediterranean coast. </w:t>
      </w:r>
      <w:r w:rsidRPr="00AB6810" w:rsidR="006622E6">
        <w:rPr>
          <w:rFonts w:ascii="Arial" w:hAnsi="Arial" w:cs="Arial"/>
          <w:sz w:val="24"/>
          <w:szCs w:val="24"/>
        </w:rPr>
        <w:t xml:space="preserve">We observed </w:t>
      </w:r>
      <w:r w:rsidRPr="00AB6810" w:rsidR="007A1E80">
        <w:rPr>
          <w:rFonts w:ascii="Arial" w:hAnsi="Arial" w:cs="Arial"/>
          <w:sz w:val="24"/>
          <w:szCs w:val="24"/>
        </w:rPr>
        <w:t xml:space="preserve">an </w:t>
      </w:r>
      <w:r w:rsidRPr="00AB6810" w:rsidR="006622E6">
        <w:rPr>
          <w:rFonts w:ascii="Arial" w:hAnsi="Arial" w:cs="Arial"/>
          <w:sz w:val="24"/>
          <w:szCs w:val="24"/>
        </w:rPr>
        <w:t>association</w:t>
      </w:r>
      <w:r w:rsidRPr="00AB6810" w:rsidR="001548FC">
        <w:rPr>
          <w:rFonts w:ascii="Arial" w:hAnsi="Arial" w:cs="Arial"/>
          <w:sz w:val="24"/>
          <w:szCs w:val="24"/>
        </w:rPr>
        <w:t>, albeit small,</w:t>
      </w:r>
      <w:r w:rsidRPr="00AB6810" w:rsidR="006622E6">
        <w:rPr>
          <w:rFonts w:ascii="Arial" w:hAnsi="Arial" w:cs="Arial"/>
          <w:sz w:val="24"/>
          <w:szCs w:val="24"/>
        </w:rPr>
        <w:t xml:space="preserve"> between t</w:t>
      </w:r>
      <w:r w:rsidRPr="00AB6810">
        <w:rPr>
          <w:rFonts w:ascii="Arial" w:hAnsi="Arial" w:cs="Arial"/>
          <w:sz w:val="24"/>
          <w:szCs w:val="24"/>
        </w:rPr>
        <w:t xml:space="preserve">he </w:t>
      </w:r>
      <w:r w:rsidRPr="00AB6810" w:rsidR="00094508">
        <w:rPr>
          <w:rFonts w:ascii="Arial" w:hAnsi="Arial" w:cs="Arial"/>
          <w:sz w:val="24"/>
          <w:szCs w:val="24"/>
        </w:rPr>
        <w:t xml:space="preserve">total </w:t>
      </w:r>
      <w:r w:rsidRPr="00AB6810" w:rsidR="006A6059">
        <w:rPr>
          <w:rFonts w:ascii="Arial" w:hAnsi="Arial" w:cs="Arial"/>
          <w:sz w:val="24"/>
          <w:szCs w:val="24"/>
        </w:rPr>
        <w:t>PEXI</w:t>
      </w:r>
      <w:r w:rsidRPr="00AB6810" w:rsidR="00CB55FB">
        <w:rPr>
          <w:rFonts w:ascii="Arial" w:hAnsi="Arial" w:cs="Arial"/>
          <w:sz w:val="24"/>
          <w:szCs w:val="24"/>
        </w:rPr>
        <w:t xml:space="preserve"> </w:t>
      </w:r>
      <w:r w:rsidRPr="00AB6810" w:rsidR="006622E6">
        <w:rPr>
          <w:rFonts w:ascii="Arial" w:hAnsi="Arial" w:cs="Arial"/>
          <w:sz w:val="24"/>
          <w:szCs w:val="24"/>
        </w:rPr>
        <w:t xml:space="preserve">and </w:t>
      </w:r>
      <w:r w:rsidRPr="00AB6810" w:rsidR="00CB55FB">
        <w:rPr>
          <w:rFonts w:ascii="Arial" w:hAnsi="Arial" w:cs="Arial"/>
          <w:sz w:val="24"/>
          <w:szCs w:val="24"/>
        </w:rPr>
        <w:t>PA incidence over the study period (RR: 1</w:t>
      </w:r>
      <w:r w:rsidRPr="00AB6810" w:rsidR="00872334">
        <w:rPr>
          <w:rFonts w:ascii="Arial" w:hAnsi="Arial" w:cs="Arial"/>
          <w:sz w:val="24"/>
          <w:szCs w:val="24"/>
        </w:rPr>
        <w:t>.</w:t>
      </w:r>
      <w:r w:rsidRPr="00AB6810" w:rsidR="00CB55FB">
        <w:rPr>
          <w:rFonts w:ascii="Arial" w:hAnsi="Arial" w:cs="Arial"/>
          <w:sz w:val="24"/>
          <w:szCs w:val="24"/>
        </w:rPr>
        <w:t>01</w:t>
      </w:r>
      <w:r w:rsidRPr="00AB6810" w:rsidR="0073773E">
        <w:rPr>
          <w:rFonts w:ascii="Arial" w:hAnsi="Arial" w:cs="Arial"/>
          <w:sz w:val="24"/>
          <w:szCs w:val="24"/>
        </w:rPr>
        <w:t>3</w:t>
      </w:r>
      <w:r w:rsidRPr="00AB6810" w:rsidR="00CB55FB">
        <w:rPr>
          <w:rFonts w:ascii="Arial" w:hAnsi="Arial" w:cs="Arial"/>
          <w:sz w:val="24"/>
          <w:szCs w:val="24"/>
        </w:rPr>
        <w:t>0; CI95% [1</w:t>
      </w:r>
      <w:r w:rsidRPr="00AB6810" w:rsidR="00872334">
        <w:rPr>
          <w:rFonts w:ascii="Arial" w:hAnsi="Arial" w:cs="Arial"/>
          <w:sz w:val="24"/>
          <w:szCs w:val="24"/>
        </w:rPr>
        <w:t>.</w:t>
      </w:r>
      <w:r w:rsidRPr="00AB6810" w:rsidR="00CB55FB">
        <w:rPr>
          <w:rFonts w:ascii="Arial" w:hAnsi="Arial" w:cs="Arial"/>
          <w:sz w:val="24"/>
          <w:szCs w:val="24"/>
        </w:rPr>
        <w:t>00</w:t>
      </w:r>
      <w:r w:rsidRPr="00AB6810" w:rsidR="00FD2F86">
        <w:rPr>
          <w:rFonts w:ascii="Arial" w:hAnsi="Arial" w:cs="Arial"/>
          <w:sz w:val="24"/>
          <w:szCs w:val="24"/>
        </w:rPr>
        <w:t>5</w:t>
      </w:r>
      <w:r w:rsidRPr="00AB6810" w:rsidR="00CB55FB">
        <w:rPr>
          <w:rFonts w:ascii="Arial" w:hAnsi="Arial" w:cs="Arial"/>
          <w:sz w:val="24"/>
          <w:szCs w:val="24"/>
        </w:rPr>
        <w:t>7;1</w:t>
      </w:r>
      <w:r w:rsidRPr="00AB6810" w:rsidR="00872334">
        <w:rPr>
          <w:rFonts w:ascii="Arial" w:hAnsi="Arial" w:cs="Arial"/>
          <w:sz w:val="24"/>
          <w:szCs w:val="24"/>
        </w:rPr>
        <w:t>.</w:t>
      </w:r>
      <w:r w:rsidRPr="00AB6810" w:rsidR="00CB55FB">
        <w:rPr>
          <w:rFonts w:ascii="Arial" w:hAnsi="Arial" w:cs="Arial"/>
          <w:sz w:val="24"/>
          <w:szCs w:val="24"/>
        </w:rPr>
        <w:t>02</w:t>
      </w:r>
      <w:r w:rsidRPr="00AB6810" w:rsidR="00FD2F86">
        <w:rPr>
          <w:rFonts w:ascii="Arial" w:hAnsi="Arial" w:cs="Arial"/>
          <w:sz w:val="24"/>
          <w:szCs w:val="24"/>
        </w:rPr>
        <w:t>0</w:t>
      </w:r>
      <w:r w:rsidRPr="00AB6810" w:rsidR="00CB55FB">
        <w:rPr>
          <w:rFonts w:ascii="Arial" w:hAnsi="Arial" w:cs="Arial"/>
          <w:sz w:val="24"/>
          <w:szCs w:val="24"/>
        </w:rPr>
        <w:t>4])</w:t>
      </w:r>
      <w:r w:rsidRPr="00AB6810">
        <w:rPr>
          <w:rFonts w:ascii="Arial" w:hAnsi="Arial" w:cs="Arial"/>
          <w:sz w:val="24"/>
          <w:szCs w:val="24"/>
        </w:rPr>
        <w:t>. Sulphur for spraying</w:t>
      </w:r>
      <w:r w:rsidRPr="00AB6810" w:rsidR="0027398D">
        <w:rPr>
          <w:rFonts w:ascii="Arial" w:hAnsi="Arial" w:cs="Arial"/>
          <w:sz w:val="24"/>
          <w:szCs w:val="24"/>
        </w:rPr>
        <w:t xml:space="preserve">, </w:t>
      </w:r>
      <w:r w:rsidRPr="00AB6810">
        <w:rPr>
          <w:rFonts w:ascii="Arial" w:hAnsi="Arial" w:cs="Arial"/>
          <w:sz w:val="24"/>
          <w:szCs w:val="24"/>
        </w:rPr>
        <w:t>mancozeb</w:t>
      </w:r>
      <w:r w:rsidRPr="00AB6810" w:rsidR="0027398D">
        <w:rPr>
          <w:rFonts w:ascii="Arial" w:hAnsi="Arial" w:cs="Arial"/>
          <w:sz w:val="24"/>
          <w:szCs w:val="24"/>
        </w:rPr>
        <w:t xml:space="preserve">, </w:t>
      </w:r>
      <w:r w:rsidRPr="00AB6810">
        <w:rPr>
          <w:rFonts w:ascii="Arial" w:hAnsi="Arial" w:cs="Arial"/>
          <w:sz w:val="24"/>
          <w:szCs w:val="24"/>
        </w:rPr>
        <w:t xml:space="preserve">and glyphosate </w:t>
      </w:r>
      <w:proofErr w:type="spellStart"/>
      <w:r w:rsidRPr="00AB6810">
        <w:rPr>
          <w:rFonts w:ascii="Arial" w:hAnsi="Arial" w:cs="Arial"/>
          <w:sz w:val="24"/>
          <w:szCs w:val="24"/>
        </w:rPr>
        <w:t>showedevidence</w:t>
      </w:r>
      <w:proofErr w:type="spellEnd"/>
      <w:r w:rsidRPr="00AB6810">
        <w:rPr>
          <w:rFonts w:ascii="Arial" w:hAnsi="Arial" w:cs="Arial"/>
          <w:sz w:val="24"/>
          <w:szCs w:val="24"/>
        </w:rPr>
        <w:t xml:space="preserve"> of an association</w:t>
      </w:r>
      <w:r w:rsidRPr="00AB6810" w:rsidR="00010D7A">
        <w:rPr>
          <w:rFonts w:ascii="Arial" w:hAnsi="Arial" w:cs="Arial"/>
          <w:sz w:val="24"/>
          <w:szCs w:val="24"/>
        </w:rPr>
        <w:t xml:space="preserve"> of the same magnitude</w:t>
      </w:r>
      <w:r w:rsidRPr="00AB6810">
        <w:rPr>
          <w:rFonts w:ascii="Arial" w:hAnsi="Arial" w:cs="Arial"/>
          <w:sz w:val="24"/>
          <w:szCs w:val="24"/>
        </w:rPr>
        <w:t>.</w:t>
      </w:r>
    </w:p>
    <w:p w:rsidRPr="00AB6810" w:rsidR="009E78E0" w:rsidP="00CF781E" w:rsidRDefault="0027398D" w14:paraId="5790AB6A" w14:textId="64D9ADC0">
      <w:pPr>
        <w:spacing w:line="480" w:lineRule="auto"/>
        <w:rPr>
          <w:rFonts w:ascii="Arial" w:hAnsi="Arial" w:cs="Arial"/>
          <w:b/>
          <w:sz w:val="24"/>
          <w:szCs w:val="24"/>
        </w:rPr>
      </w:pPr>
      <w:r w:rsidRPr="00AB6810">
        <w:rPr>
          <w:rFonts w:ascii="Arial" w:hAnsi="Arial" w:cs="Arial"/>
          <w:b/>
          <w:sz w:val="24"/>
          <w:szCs w:val="24"/>
        </w:rPr>
        <w:t>Discussion</w:t>
      </w:r>
    </w:p>
    <w:p w:rsidRPr="00AB6810" w:rsidR="00E75155" w:rsidP="00CF781E" w:rsidRDefault="00E75155" w14:paraId="02C555AC" w14:textId="3FF44465">
      <w:pPr>
        <w:spacing w:line="480" w:lineRule="auto"/>
        <w:rPr>
          <w:rFonts w:ascii="Arial" w:hAnsi="Arial" w:cs="Arial"/>
          <w:sz w:val="24"/>
          <w:szCs w:val="24"/>
        </w:rPr>
      </w:pPr>
      <w:r w:rsidRPr="00AB6810">
        <w:rPr>
          <w:rFonts w:ascii="Arial" w:hAnsi="Arial" w:cs="Arial"/>
          <w:sz w:val="24"/>
          <w:szCs w:val="24"/>
        </w:rPr>
        <w:t>These findings show that new cases of PA occur heterogeneously in space, raising questions about our understanding of PA environmental risk factors. The association with pesticide exposure should be confirmed and underlying mechanisms understood</w:t>
      </w:r>
      <w:r w:rsidRPr="00AB6810" w:rsidR="006562A0">
        <w:rPr>
          <w:rFonts w:ascii="Arial" w:hAnsi="Arial" w:cs="Arial"/>
          <w:sz w:val="24"/>
          <w:szCs w:val="24"/>
        </w:rPr>
        <w:t xml:space="preserve"> using </w:t>
      </w:r>
      <w:r w:rsidRPr="00AB6810" w:rsidR="00475B2B">
        <w:rPr>
          <w:rFonts w:ascii="Arial" w:hAnsi="Arial" w:cs="Arial"/>
          <w:sz w:val="24"/>
          <w:szCs w:val="24"/>
        </w:rPr>
        <w:t>individual-level</w:t>
      </w:r>
      <w:r w:rsidRPr="00AB6810" w:rsidR="006562A0">
        <w:rPr>
          <w:rFonts w:ascii="Arial" w:hAnsi="Arial" w:cs="Arial"/>
          <w:sz w:val="24"/>
          <w:szCs w:val="24"/>
        </w:rPr>
        <w:t xml:space="preserve"> studies</w:t>
      </w:r>
      <w:r w:rsidRPr="00AB6810">
        <w:rPr>
          <w:rFonts w:ascii="Arial" w:hAnsi="Arial" w:cs="Arial"/>
          <w:sz w:val="24"/>
          <w:szCs w:val="24"/>
        </w:rPr>
        <w:t>.</w:t>
      </w:r>
    </w:p>
    <w:p w:rsidRPr="00AB6810" w:rsidR="0027398D" w:rsidP="00CF781E" w:rsidRDefault="0027398D" w14:paraId="6635D6A8" w14:textId="73D18523">
      <w:pPr>
        <w:spacing w:line="480" w:lineRule="auto"/>
        <w:rPr>
          <w:rFonts w:ascii="Arial" w:hAnsi="Arial" w:cs="Arial"/>
          <w:sz w:val="24"/>
          <w:szCs w:val="24"/>
        </w:rPr>
        <w:sectPr w:rsidRPr="00AB6810" w:rsidR="0027398D" w:rsidSect="00AC4310">
          <w:footerReference w:type="default" r:id="rId9"/>
          <w:pgSz w:w="11906" w:h="16838" w:orient="portrait"/>
          <w:pgMar w:top="1417" w:right="1417" w:bottom="1417" w:left="1417" w:header="708" w:footer="708" w:gutter="0"/>
          <w:cols w:space="708"/>
          <w:docGrid w:linePitch="360"/>
        </w:sectPr>
      </w:pPr>
    </w:p>
    <w:p w:rsidRPr="00AB6810" w:rsidR="00BA519E" w:rsidP="00CF781E" w:rsidRDefault="00BA519E" w14:paraId="0C992BE2" w14:textId="4E2BF312">
      <w:pPr>
        <w:spacing w:line="480" w:lineRule="auto"/>
        <w:rPr>
          <w:rFonts w:ascii="Arial" w:hAnsi="Arial" w:cs="Arial"/>
          <w:b/>
          <w:bCs/>
          <w:sz w:val="24"/>
          <w:szCs w:val="24"/>
        </w:rPr>
      </w:pPr>
      <w:r w:rsidRPr="00AB6810">
        <w:rPr>
          <w:rFonts w:ascii="Arial" w:hAnsi="Arial" w:cs="Arial"/>
          <w:b/>
          <w:bCs/>
          <w:sz w:val="24"/>
          <w:szCs w:val="24"/>
        </w:rPr>
        <w:t>Introduction</w:t>
      </w:r>
    </w:p>
    <w:p w:rsidRPr="00AB6810" w:rsidR="00B9797A" w:rsidP="00CF781E" w:rsidRDefault="00B9797A" w14:paraId="707CEB6F" w14:textId="5F2C9403">
      <w:pPr>
        <w:spacing w:line="480" w:lineRule="auto"/>
        <w:rPr>
          <w:rFonts w:ascii="Arial" w:hAnsi="Arial" w:cs="Arial"/>
          <w:sz w:val="24"/>
          <w:szCs w:val="24"/>
        </w:rPr>
      </w:pPr>
      <w:r w:rsidRPr="00AB6810">
        <w:rPr>
          <w:rFonts w:ascii="Arial" w:hAnsi="Arial" w:cs="Arial"/>
          <w:sz w:val="24"/>
          <w:szCs w:val="24"/>
        </w:rPr>
        <w:t xml:space="preserve">Pancreatic adenocarcinoma (PA) is the second most frequent digestive cancer after colorectal cancer in </w:t>
      </w:r>
      <w:r w:rsidRPr="00AB6810" w:rsidR="0004410E">
        <w:rPr>
          <w:rFonts w:ascii="Arial" w:hAnsi="Arial" w:cs="Arial"/>
          <w:sz w:val="24"/>
          <w:szCs w:val="24"/>
        </w:rPr>
        <w:t xml:space="preserve">Western Europe </w:t>
      </w:r>
      <w:r w:rsidRPr="00AB6810" w:rsidR="00A97009">
        <w:rPr>
          <w:rFonts w:ascii="Arial" w:hAnsi="Arial" w:cs="Arial"/>
          <w:sz w:val="24"/>
          <w:szCs w:val="24"/>
        </w:rPr>
        <w:t>and a major cause of cancer-related death</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{"citationID":"vPvYvJDr","properties":{"formattedCitation":"\\super 1\\nosupersub{}","plainCitation":"1","noteIndex":0},"citationItems":[{"id":24300,"uris":["http://zotero.org/users/local/vY69w1Y2/items/DIQ5LMLR","http://zotero.org/users/9040671/items/DIQ5LMLR"],"itemData":{"id":24300,"type":"webpage","abstract":"CANCER TODAY provides data visualization tools that present current national estimates of the incidence, mortality, and prevalence of 36 cancer types in 185 countries, by sex and age group.","language":"en","title":"Cancer today","URL":"http://gco.iarc.fr/today/home","accessed":{"date-parts":[["2022",10,7]]}}}],"schema":"https://github.com/citation-style-language/schema/raw/master/csl-citation.json"}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1</w:t>
      </w:r>
      <w:r w:rsidRPr="00AB6810">
        <w:rPr>
          <w:rFonts w:ascii="Arial" w:hAnsi="Arial" w:cs="Arial"/>
          <w:sz w:val="24"/>
          <w:szCs w:val="24"/>
        </w:rPr>
        <w:fldChar w:fldCharType="end"/>
      </w:r>
      <w:r w:rsidRPr="00AB6810">
        <w:rPr>
          <w:rFonts w:ascii="Arial" w:hAnsi="Arial" w:cs="Arial"/>
          <w:sz w:val="24"/>
          <w:szCs w:val="24"/>
        </w:rPr>
        <w:t xml:space="preserve">. Its risk factors include age, obesity, tobacco smoking, diabetes, chronic pancreatitis, and </w:t>
      </w:r>
      <w:r w:rsidRPr="00AB6810" w:rsidR="00D53453">
        <w:rPr>
          <w:rFonts w:ascii="Arial" w:hAnsi="Arial" w:cs="Arial"/>
          <w:sz w:val="24"/>
          <w:szCs w:val="24"/>
        </w:rPr>
        <w:t xml:space="preserve">a </w:t>
      </w:r>
      <w:r w:rsidRPr="00AB6810">
        <w:rPr>
          <w:rFonts w:ascii="Arial" w:hAnsi="Arial" w:cs="Arial"/>
          <w:sz w:val="24"/>
          <w:szCs w:val="24"/>
        </w:rPr>
        <w:t>familial history.</w:t>
      </w:r>
      <w:r w:rsidRPr="00AB6810" w:rsidR="00D53453">
        <w:rPr>
          <w:rFonts w:ascii="Arial" w:hAnsi="Arial" w:cs="Arial"/>
          <w:sz w:val="24"/>
          <w:szCs w:val="24"/>
        </w:rPr>
        <w:t xml:space="preserve"> </w:t>
      </w:r>
      <w:r w:rsidRPr="00AB6810">
        <w:rPr>
          <w:rFonts w:ascii="Arial" w:hAnsi="Arial" w:cs="Arial"/>
          <w:sz w:val="24"/>
          <w:szCs w:val="24"/>
        </w:rPr>
        <w:t>The</w:t>
      </w:r>
      <w:r w:rsidRPr="00AB6810" w:rsidR="0004410E">
        <w:rPr>
          <w:rFonts w:ascii="Arial" w:hAnsi="Arial" w:cs="Arial"/>
          <w:sz w:val="24"/>
          <w:szCs w:val="24"/>
        </w:rPr>
        <w:t xml:space="preserve"> epidemiology of PA in </w:t>
      </w:r>
      <w:r w:rsidRPr="00AB6810">
        <w:rPr>
          <w:rFonts w:ascii="Arial" w:hAnsi="Arial" w:cs="Arial"/>
          <w:sz w:val="24"/>
          <w:szCs w:val="24"/>
        </w:rPr>
        <w:t xml:space="preserve">France </w:t>
      </w:r>
      <w:r w:rsidRPr="00AB6810" w:rsidR="0004410E">
        <w:rPr>
          <w:rFonts w:ascii="Arial" w:hAnsi="Arial" w:cs="Arial"/>
          <w:sz w:val="24"/>
          <w:szCs w:val="24"/>
        </w:rPr>
        <w:t>is</w:t>
      </w:r>
      <w:r w:rsidRPr="00AB6810">
        <w:rPr>
          <w:rFonts w:ascii="Arial" w:hAnsi="Arial" w:cs="Arial"/>
          <w:sz w:val="24"/>
          <w:szCs w:val="24"/>
        </w:rPr>
        <w:t xml:space="preserve"> atypical</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{"citationID":"ZxNIkNgD","properties":{"formattedCitation":"\\super 2\\nosupersub{}","plainCitation":"2","noteIndex":0},"citationItems":[{"id":23901,"uris":["http://zotero.org/users/local/vY69w1Y2/items/CQAWDD86","http://zotero.org/users/9040671/items/CQAWDD86"],"itemData":{"id":23901,"type":"article-journal","abstract":"Background: Pancreatic cancer is one of the most lethal. Most countries have exhibited a stable or decreasing incidence over time. The aim of this study was to provide updated French temporal trends in pancreatic cancer incidence and mortality over the past three decades.\nMethods: Incidence was estimated using the French National Network of Cancer Registries (FRANCIM) and mortality using the French Mortality Statistics Office. World age-standardized incidence and mortality were modelled by age-period-cohort models. The net cumulative risk of developing pancreatic cancer by birth cohort was calculated, as were annual percentage changes (APCs) in incidence and mortality.\nResults: Between 1982 and 2012, age-standardized incidence increased from 4.8 in 1980 to 9.6 per 100 000 in men and from 2.3 to 6.8 in women. The mean APC was 2.3% (2.1-2.6) and 3.6% (3.3-3.9), respectively. The cumulative risk of developing pancreatic cancer before age 75 rose from 0.62% for males born around 1920 to 1.17% for those born around 1950. It was respectively 0.31% and 0.86% for women. Mortality did not vary in men (8.1 per 100 000). It slightly increased in women from 4.0 in 1982 to 5.4 in 2012.\nConclusion: Pancreatic cancer incidence and mortality exhibited diverging trends. Incidence increased over the last 30 years in France whereas mortality did not vary in men and moderately increased in women. Incidence remained lower than mortality up to 2002. One cannot exclude the possibility that a similar trend may appear in other countries. Etiological studies are required to further explain this increase.","container-title":"International Journal of Epidemiology","DOI":"10.1093/ije/dyx088","ISSN":"1464-3685","issue":"6","journalAbbreviation":"Int J Epidemiol","language":"eng","note":"number: 6\nPMID: 28605500\nPMCID: PMC5837593","page":"1764-1772","source":"PubMed","title":"Focus on an unusual rise in pancreatic cancer incidence in France","volume":"46","author":[{"family":"Bouvier","given":"Anne-Marie"},{"family":"Uhry","given":"Zoé"},{"family":"Jooste","given":"Valérie"},{"family":"Drouillard","given":"Antoine"},{"family":"Remontet","given":"Laurent"},{"family":"Launoy","given":"Guy"},{"family":"Leone","given":"Nathalie"},{"literal":"French Network of Cancer Registries (FRANCIM)"}],"issued":{"date-parts":[["2017"]],"season":"01"}}}],"schema":"https://github.com/citation-style-language/schema/raw/master/csl-citation.json"}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2</w:t>
      </w:r>
      <w:r w:rsidRPr="00AB6810">
        <w:rPr>
          <w:rFonts w:ascii="Arial" w:hAnsi="Arial" w:cs="Arial"/>
          <w:sz w:val="24"/>
          <w:szCs w:val="24"/>
        </w:rPr>
        <w:fldChar w:fldCharType="end"/>
      </w:r>
      <w:r w:rsidRPr="00AB6810">
        <w:rPr>
          <w:rFonts w:ascii="Arial" w:hAnsi="Arial" w:cs="Arial"/>
          <w:sz w:val="24"/>
          <w:szCs w:val="24"/>
        </w:rPr>
        <w:t>. The adjusted standardised incidence has doubled for men and tripled for women between the 1990s and the 2020s</w:t>
      </w:r>
      <w:r w:rsidRPr="00AB6810" w:rsidR="004C5773">
        <w:rPr>
          <w:rFonts w:ascii="Arial" w:hAnsi="Arial" w:cs="Arial"/>
          <w:sz w:val="24"/>
          <w:szCs w:val="24"/>
        </w:rPr>
        <w:fldChar w:fldCharType="begin"/>
      </w:r>
      <w:r w:rsidRPr="00AB6810" w:rsidR="004C5773">
        <w:rPr>
          <w:rFonts w:ascii="Arial" w:hAnsi="Arial" w:cs="Arial"/>
          <w:sz w:val="24"/>
          <w:szCs w:val="24"/>
        </w:rPr>
        <w:instrText xml:space="preserve"> ADDIN ZOTERO_ITEM CSL_CITATION {"citationID":"WmvqD7SN","properties":{"formattedCitation":"\\super 1\\nosupersub{}","plainCitation":"1","noteIndex":0},"citationItems":[{"id":24300,"uris":["http://zotero.org/users/local/vY69w1Y2/items/DIQ5LMLR","http://zotero.org/users/9040671/items/DIQ5LMLR"],"itemData":{"id":24300,"type":"webpage","abstract":"CANCER TODAY provides data visualization tools that present current national estimates of the incidence, mortality, and prevalence of 36 cancer types in 185 countries, by sex and age group.","language":"en","title":"Cancer today","URL":"http://gco.iarc.fr/today/home","accessed":{"date-parts":[["2022",10,7]]}}}],"schema":"https://github.com/citation-style-language/schema/raw/master/csl-citation.json"} </w:instrText>
      </w:r>
      <w:r w:rsidRPr="00AB6810" w:rsidR="004C5773">
        <w:rPr>
          <w:rFonts w:ascii="Arial" w:hAnsi="Arial" w:cs="Arial"/>
          <w:sz w:val="24"/>
          <w:szCs w:val="24"/>
        </w:rPr>
        <w:fldChar w:fldCharType="separate"/>
      </w:r>
      <w:r w:rsidRPr="00AB6810" w:rsidR="004C5773">
        <w:rPr>
          <w:rFonts w:ascii="Arial" w:hAnsi="Arial" w:cs="Arial"/>
          <w:sz w:val="24"/>
          <w:szCs w:val="24"/>
          <w:vertAlign w:val="superscript"/>
        </w:rPr>
        <w:t>1</w:t>
      </w:r>
      <w:r w:rsidRPr="00AB6810" w:rsidR="004C5773">
        <w:rPr>
          <w:rFonts w:ascii="Arial" w:hAnsi="Arial" w:cs="Arial"/>
          <w:sz w:val="24"/>
          <w:szCs w:val="24"/>
        </w:rPr>
        <w:fldChar w:fldCharType="end"/>
      </w:r>
      <w:r w:rsidRPr="00AB6810" w:rsidR="0004410E">
        <w:rPr>
          <w:rFonts w:ascii="Arial" w:hAnsi="Arial" w:cs="Arial"/>
          <w:sz w:val="24"/>
          <w:szCs w:val="24"/>
        </w:rPr>
        <w:t>. T</w:t>
      </w:r>
      <w:r w:rsidRPr="00AB6810">
        <w:rPr>
          <w:rFonts w:ascii="Arial" w:hAnsi="Arial" w:cs="Arial"/>
          <w:sz w:val="24"/>
          <w:szCs w:val="24"/>
        </w:rPr>
        <w:t xml:space="preserve">he </w:t>
      </w:r>
      <w:r w:rsidRPr="00AB6810" w:rsidR="00D53453">
        <w:rPr>
          <w:rFonts w:ascii="Arial" w:hAnsi="Arial" w:cs="Arial"/>
          <w:sz w:val="24"/>
          <w:szCs w:val="24"/>
        </w:rPr>
        <w:t xml:space="preserve">average </w:t>
      </w:r>
      <w:r w:rsidRPr="00AB6810">
        <w:rPr>
          <w:rFonts w:ascii="Arial" w:hAnsi="Arial" w:cs="Arial"/>
          <w:sz w:val="24"/>
          <w:szCs w:val="24"/>
        </w:rPr>
        <w:t xml:space="preserve">annual percentage change has </w:t>
      </w:r>
      <w:r w:rsidRPr="00AB6810" w:rsidR="0004410E">
        <w:rPr>
          <w:rFonts w:ascii="Arial" w:hAnsi="Arial" w:cs="Arial"/>
          <w:sz w:val="24"/>
          <w:szCs w:val="24"/>
        </w:rPr>
        <w:t>surpassed all other European countries</w:t>
      </w:r>
      <w:r w:rsidRPr="00AB6810">
        <w:rPr>
          <w:rFonts w:ascii="Arial" w:hAnsi="Arial" w:cs="Arial"/>
          <w:sz w:val="24"/>
          <w:szCs w:val="24"/>
        </w:rPr>
        <w:t xml:space="preserve"> (3</w:t>
      </w:r>
      <w:r w:rsidRPr="00AB6810" w:rsidR="00872334">
        <w:rPr>
          <w:rFonts w:ascii="Arial" w:hAnsi="Arial" w:cs="Arial"/>
          <w:sz w:val="24"/>
          <w:szCs w:val="24"/>
        </w:rPr>
        <w:t>.</w:t>
      </w:r>
      <w:r w:rsidRPr="00AB6810">
        <w:rPr>
          <w:rFonts w:ascii="Arial" w:hAnsi="Arial" w:cs="Arial"/>
          <w:sz w:val="24"/>
          <w:szCs w:val="24"/>
        </w:rPr>
        <w:t>11% for men, 3</w:t>
      </w:r>
      <w:r w:rsidRPr="00AB6810" w:rsidR="00872334">
        <w:rPr>
          <w:rFonts w:ascii="Arial" w:hAnsi="Arial" w:cs="Arial"/>
          <w:sz w:val="24"/>
          <w:szCs w:val="24"/>
        </w:rPr>
        <w:t>.</w:t>
      </w:r>
      <w:r w:rsidRPr="00AB6810">
        <w:rPr>
          <w:rFonts w:ascii="Arial" w:hAnsi="Arial" w:cs="Arial"/>
          <w:sz w:val="24"/>
          <w:szCs w:val="24"/>
        </w:rPr>
        <w:t>87% for women)</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{"citationID":"A1XpNesu","properties":{"formattedCitation":"\\super 1,2\\nosupersub{}","plainCitation":"1,2","noteIndex":0},"citationItems":[{"id":24300,"uris":["http://zotero.org/users/local/vY69w1Y2/items/DIQ5LMLR","http://zotero.org/users/9040671/items/DIQ5LMLR"],"itemData":{"id":24300,"type":"webpage","abstract":"CANCER TODAY provides data visualization tools that present current national estimates of the incidence, mortality, and prevalence of 36 cancer types in 185 countries, by sex and age group.","language":"en","title":"Cancer today","URL":"http://gco.iarc.fr/today/home","accessed":{"date-parts":[["2022",10,7]]}}},{"id":23901,"uris":["http://zotero.org/users/local/vY69w1Y2/items/CQAWDD86","http://zotero.org/users/9040671/items/CQAWDD86"],"itemData":{"id":23901,"type":"article-journal","abstract":"Background: Pancreatic cancer is one of the most lethal. Most countries have exhibited a stable or decreasing incidence over time. The aim of this study was to provide updated French temporal trends in pancreatic cancer incidence and mortality over the past three decades.\nMethods: Incidence was estimated using the French National Network of Cancer Registries (FRANCIM) and mortality using the French Mortality Statistics Office. World age-standardized incidence and mortality were modelled by age-period-cohort models. The net cumulative risk of developing pancreatic cancer by birth cohort was calculated, as were annual percentage changes (APCs) in incidence and mortality.\nResults: Between 1982 and 2012, age-standardized incidence increased from 4.8 in 1980 to 9.6 per 100 000 in men and from 2.3 to 6.8 in women. The mean APC was 2.3% (2.1-2.6) and 3.6% (3.3-3.9), respectively. The cumulative risk of developing pancreatic cancer before age 75 rose from 0.62% for males born around 1920 to 1.17% for those born around 1950. It was respectively 0.31% and 0.86% for women. Mortality did not vary in men (8.1 per 100 000). It slightly increased in women from 4.0 in 1982 to 5.4 in 2012.\nConclusion: Pancreatic cancer incidence and mortality exhibited diverging trends. Incidence increased over the last 30 years in France whereas mortality did not vary in men and moderately increased in women. Incidence remained lower than mortality up to 2002. One cannot exclude the possibility that a similar trend may appear in other countries. Etiological studies are required to further explain this increase.","container-title":"International Journal of Epidemiology","DOI":"10.1093/ije/dyx088","ISSN":"1464-3685","issue":"6","journalAbbreviation":"Int J Epidemiol","language":"eng","note":"number: 6\nPMID: 28605500\nPMCID: PMC5837593","page":"1764-1772","source":"PubMed","title":"Focus on an unusual rise in pancreatic cancer incidence in France","volume":"46","author":[{"family":"Bouvier","given":"Anne-Marie"},{"family":"Uhry","given":"Zoé"},{"family":"Jooste","given":"Valérie"},{"family":"Drouillard","given":"Antoine"},{"family":"Remontet","given":"Laurent"},{"family":"Launoy","given":"Guy"},{"family":"Leone","given":"Nathalie"},{"literal":"French Network of Cancer Registries (FRANCIM)"}],"issued":{"date-parts":[["2017"]],"season":"01"}}}],"schema":"https://github.com/citation-style-language/schema/raw/master/csl-citation.json"}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1,2</w:t>
      </w:r>
      <w:r w:rsidRPr="00AB6810">
        <w:rPr>
          <w:rFonts w:ascii="Arial" w:hAnsi="Arial" w:cs="Arial"/>
          <w:sz w:val="24"/>
          <w:szCs w:val="24"/>
        </w:rPr>
        <w:fldChar w:fldCharType="end"/>
      </w:r>
      <w:r w:rsidRPr="00AB6810">
        <w:rPr>
          <w:rFonts w:ascii="Arial" w:hAnsi="Arial" w:cs="Arial"/>
          <w:sz w:val="24"/>
          <w:szCs w:val="24"/>
        </w:rPr>
        <w:t xml:space="preserve">. </w:t>
      </w:r>
      <w:r w:rsidRPr="00AB6810" w:rsidR="0004410E">
        <w:rPr>
          <w:rFonts w:ascii="Arial" w:hAnsi="Arial" w:cs="Arial"/>
          <w:sz w:val="24"/>
          <w:szCs w:val="24"/>
        </w:rPr>
        <w:t>H</w:t>
      </w:r>
      <w:r w:rsidRPr="00AB6810">
        <w:rPr>
          <w:rFonts w:ascii="Arial" w:hAnsi="Arial" w:cs="Arial"/>
          <w:sz w:val="24"/>
          <w:szCs w:val="24"/>
        </w:rPr>
        <w:t>ypotheses have been formulated to explain this increasing trend</w:t>
      </w:r>
      <w:r w:rsidRPr="00AB6810" w:rsidR="0004410E">
        <w:rPr>
          <w:rFonts w:ascii="Arial" w:hAnsi="Arial" w:cs="Arial"/>
          <w:sz w:val="24"/>
          <w:szCs w:val="24"/>
        </w:rPr>
        <w:t>, without being confirmed</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{"citationID":"zaYSg9pk","properties":{"formattedCitation":"\\super 2,3\\nosupersub{}","plainCitation":"2,3","noteIndex":0},"citationItems":[{"id":23901,"uris":["http://zotero.org/users/local/vY69w1Y2/items/CQAWDD86","http://zotero.org/users/9040671/items/CQAWDD86"],"itemData":{"id":23901,"type":"article-journal","abstract":"Background: Pancreatic cancer is one of the most lethal. Most countries have exhibited a stable or decreasing incidence over time. The aim of this study was to provide updated French temporal trends in pancreatic cancer incidence and mortality over the past three decades.\nMethods: Incidence was estimated using the French National Network of Cancer Registries (FRANCIM) and mortality using the French Mortality Statistics Office. World age-standardized incidence and mortality were modelled by age-period-cohort models. The net cumulative risk of developing pancreatic cancer by birth cohort was calculated, as were annual percentage changes (APCs) in incidence and mortality.\nResults: Between 1982 and 2012, age-standardized incidence increased from 4.8 in 1980 to 9.6 per 100 000 in men and from 2.3 to 6.8 in women. The mean APC was 2.3% (2.1-2.6) and 3.6% (3.3-3.9), respectively. The cumulative risk of developing pancreatic cancer before age 75 rose from 0.62% for males born around 1920 to 1.17% for those born around 1950. It was respectively 0.31% and 0.86% for women. Mortality did not vary in men (8.1 per 100 000). It slightly increased in women from 4.0 in 1982 to 5.4 in 2012.\nConclusion: Pancreatic cancer incidence and mortality exhibited diverging trends. Incidence increased over the last 30 years in France whereas mortality did not vary in men and moderately increased in women. Incidence remained lower than mortality up to 2002. One cannot exclude the possibility that a similar trend may appear in other countries. Etiological studies are required to further explain this increase.","container-title":"International Journal of Epidemiology","DOI":"10.1093/ije/dyx088","ISSN":"1464-3685","issue":"6","journalAbbreviation":"Int J Epidemiol","language":"eng","note":"number: 6\nPMID: 28605500\nPMCID: PMC5837593","page":"1764-1772","source":"PubMed","title":"Focus on an unusual rise in pancreatic cancer incidence in France","volume":"46","author":[{"family":"Bouvier","given":"Anne-Marie"},{"family":"Uhry","given":"Zoé"},{"family":"Jooste","given":"Valérie"},{"family":"Drouillard","given":"Antoine"},{"family":"Remontet","given":"Laurent"},{"family":"Launoy","given":"Guy"},{"family":"Leone","given":"Nathalie"},{"literal":"French Network of Cancer Registries (FRANCIM)"}],"issued":{"date-parts":[["2017"]],"season":"01"}}},{"id":21724,"uris":["http://zotero.org/users/local/S5ttDqnf/items/4QHZAFNB","http://zotero.org/users/9040671/items/4QHZAFNB"],"itemData":{"id":21724,"type":"article-journal","container-title":"The Lancet. Gastroenterology &amp; Hepatology","DOI":"10.1016/S2468-1253(23)00039-0","ISSN":"2468-1253","issue":"4","journalAbbreviation":"Lancet Gastroenterol Hepatol","language":"eng","page":"287","source":"PubMed","title":"Cause for concern: the rising incidence of early-onset pancreatic cancer","title-short":"Cause for concern","volume":"8","author":[{"family":"The Lancet Gastroenterology Hepatology","given":"null"}],"issued":{"date-parts":[["2023",4]]}}}],"schema":"https://github.com/citation-style-language/schema/raw/master/csl-citation.json"}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2,3</w:t>
      </w:r>
      <w:r w:rsidRPr="00AB6810">
        <w:rPr>
          <w:rFonts w:ascii="Arial" w:hAnsi="Arial" w:cs="Arial"/>
          <w:sz w:val="24"/>
          <w:szCs w:val="24"/>
        </w:rPr>
        <w:fldChar w:fldCharType="end"/>
      </w:r>
      <w:r w:rsidRPr="00AB6810">
        <w:rPr>
          <w:rFonts w:ascii="Arial" w:hAnsi="Arial" w:cs="Arial"/>
          <w:sz w:val="24"/>
          <w:szCs w:val="24"/>
        </w:rPr>
        <w:t>. Besides, the plausibility of an environmental risk factor has never been</w:t>
      </w:r>
      <w:r w:rsidRPr="00AB6810" w:rsidR="0004410E">
        <w:rPr>
          <w:rFonts w:ascii="Arial" w:hAnsi="Arial" w:cs="Arial"/>
          <w:sz w:val="24"/>
          <w:szCs w:val="24"/>
        </w:rPr>
        <w:t xml:space="preserve"> confirmed nor</w:t>
      </w:r>
      <w:r w:rsidRPr="00AB6810">
        <w:rPr>
          <w:rFonts w:ascii="Arial" w:hAnsi="Arial" w:cs="Arial"/>
          <w:sz w:val="24"/>
          <w:szCs w:val="24"/>
        </w:rPr>
        <w:t xml:space="preserve"> ruled out</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{"citationID":"axD3yWol","properties":{"formattedCitation":"\\super 4\\nosupersub{}","plainCitation":"4","noteIndex":0},"citationItems":[{"id":23182,"uris":["http://zotero.org/users/9040671/items/MFB2DJFI"],"itemData":{"id":23182,"type":"article-journal","abstract":"Pancreatic cancer is a leading cause of cancer death worldwide and its global burden has more than doubled over the past 25 years. The highest incidence regions for pancreatic cancer include North America, Europe and Australia, and although much of this increase is due to ageing worldwide populations, there are key modifiable risk factors for pancreatic cancer such as cigarette smoking, obesity, diabetes and alcohol intake. The prevalence of these risk factors is increasing in many global regions, resulting in increasing age-adjusted incidence rates for pancreatic cancer, but the relative contribution from these risk factors varies globally due to variation in the underlying prevalence and prevention strategies. Inherited genetic factors, although not directly modifiable, are an important component of pancreatic cancer risk, and include pathogenic variants in hereditary cancer genes, genes associated with hereditary pancreatitis, as well as common variants identified in genome-wide association studies. Identification of the genetic changes that underlie pancreatic cancer not only provides insight into the aetiology of this cancer but also provides an opportunity to guide early detection strategies. The goal of this Review is to provide an up-to-date overview of the established modifiable and inherited risk factors for pancreatic cancer.","container-title":"Nature Reviews. Gastroenterology &amp; Hepatology","DOI":"10.1038/s41575-021-00457-x","ISSN":"1759-5053","issue":"7","journalAbbreviation":"Nat Rev Gastroenterol Hepatol","language":"eng","note":"PMID: 34002083\nPMCID: PMC9265847","page":"493-502","source":"PubMed","title":"Pancreatic cancer epidemiology: understanding the role of lifestyle and inherited risk factors","title-short":"Pancreatic cancer epidemiology","volume":"18","author":[{"family":"Klein","given":"Alison P."}],"issued":{"date-parts":[["2021",7]]}}}],"schema":"https://github.com/citation-style-language/schema/raw/master/csl-citation.json"}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4</w:t>
      </w:r>
      <w:r w:rsidRPr="00AB6810">
        <w:rPr>
          <w:rFonts w:ascii="Arial" w:hAnsi="Arial" w:cs="Arial"/>
          <w:sz w:val="24"/>
          <w:szCs w:val="24"/>
        </w:rPr>
        <w:fldChar w:fldCharType="end"/>
      </w:r>
      <w:r w:rsidRPr="00AB6810">
        <w:rPr>
          <w:rFonts w:ascii="Arial" w:hAnsi="Arial" w:cs="Arial"/>
          <w:sz w:val="24"/>
          <w:szCs w:val="24"/>
        </w:rPr>
        <w:t>.</w:t>
      </w:r>
    </w:p>
    <w:p w:rsidRPr="00AB6810" w:rsidR="00B9797A" w:rsidP="00CF781E" w:rsidRDefault="00B9797A" w14:paraId="04AC0159" w14:textId="032EE48E">
      <w:pPr>
        <w:spacing w:line="480" w:lineRule="auto"/>
        <w:rPr>
          <w:rFonts w:ascii="Arial" w:hAnsi="Arial" w:cs="Arial"/>
          <w:sz w:val="24"/>
          <w:szCs w:val="24"/>
        </w:rPr>
      </w:pPr>
      <w:r w:rsidRPr="00AB6810">
        <w:rPr>
          <w:rFonts w:ascii="Arial" w:hAnsi="Arial" w:cs="Arial"/>
          <w:sz w:val="24"/>
          <w:szCs w:val="24"/>
        </w:rPr>
        <w:t xml:space="preserve">Plant </w:t>
      </w:r>
      <w:r w:rsidRPr="00AB6810" w:rsidR="00094508">
        <w:rPr>
          <w:rFonts w:ascii="Arial" w:hAnsi="Arial" w:cs="Arial"/>
          <w:sz w:val="24"/>
          <w:szCs w:val="24"/>
        </w:rPr>
        <w:t xml:space="preserve">protection </w:t>
      </w:r>
      <w:r w:rsidRPr="00AB6810">
        <w:rPr>
          <w:rFonts w:ascii="Arial" w:hAnsi="Arial" w:cs="Arial"/>
          <w:sz w:val="24"/>
          <w:szCs w:val="24"/>
        </w:rPr>
        <w:t>products, often called pesticides, are substances used to protect crops, desirable or useful plants.</w:t>
      </w:r>
      <w:r w:rsidRPr="00AB6810" w:rsidR="0004410E">
        <w:rPr>
          <w:rFonts w:ascii="Arial" w:hAnsi="Arial" w:cs="Arial"/>
          <w:sz w:val="24"/>
          <w:szCs w:val="24"/>
        </w:rPr>
        <w:t xml:space="preserve"> France is one of the largest pesticide users in the World</w:t>
      </w:r>
      <w:r w:rsidRPr="00AB6810" w:rsidR="0004410E">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{"citationID":"P9NzTeoB","properties":{"formattedCitation":"\\super 5\\nosupersub{}","plainCitation":"5","noteIndex":0},"citationItems":[{"id":24623,"uris":["http://zotero.org/users/local/vY69w1Y2/items/U7GU6EYW","http://zotero.org/users/9040671/items/U7GU6EYW"],"itemData":{"id":24623,"type":"article-journal","abstract":"Pancreatic adenocarcinoma (PA) incidence is rising worldwide, especially in France. The evolution of known risk factors such as tobacco smoking, obesity, type 2 diabetes, chronic pancreatitis, or constitutional mutations is not sufficient to explain this trend. Pesticides are known risk factors in other malignancies. Previous studies have outlined pesticides' influence in PA, such as dichlorodiphenyltrichloroethane as plausible risk factors. The general population is directly or indirectly exposed to pesticides through air, food or water. Some of these chemicals may accumulate in the body all along lifetime and may harm carriers. The toxic mixing effects of these chemicals are not well documented. Several hypotheses have been put forward to explain how pesticides can induce indirect (fatty pancreas, induced diabetes) or direct (oxidative stress, cell damage) carcinogenesis in pancreatic cells through inflammation. A strong corpus exists acknowledging pesticides as a PA risk factor. However, published studies do not provide a sufficient level of evidence to prove causality and current prospective case-control studies are still ongoing.","container-title":"Digestive and Liver Disease: Official Journal of the Italian Society of Gastroenterology and the Italian Association for the Study of the Liver","DOI":"10.1016/j.dld.2022.08.023","ISSN":"1878-3562","journalAbbreviation":"Dig Liver Dis","language":"eng","note":"PMID: 36089524","page":"S1590-8658(22)00654-5","source":"PubMed","title":"Pesticides and pancreatic adenocarcinoma: A transversal epidemiological, environmental and mechanistic narrative review","title-short":"Pesticides and pancreatic adenocarcinoma","author":[{"family":"Brugel","given":"Mathias"},{"family":"Carlier","given":"Claire"},{"family":"Reyes-Castellanos","given":"Gabriela"},{"family":"Callon","given":"Sidonie"},{"family":"Carrier","given":"Alice"},{"family":"Bouché","given":"Olivier"}],"issued":{"date-parts":[["2022",9,8]]}}}],"schema":"https://github.com/citation-style-language/schema/raw/master/csl-citation.json"} </w:instrText>
      </w:r>
      <w:r w:rsidRPr="00AB6810" w:rsidR="0004410E">
        <w:rPr>
          <w:rFonts w:ascii="Arial" w:hAnsi="Arial" w:cs="Arial"/>
          <w:sz w:val="24"/>
          <w:szCs w:val="24"/>
        </w:rPr>
        <w:fldChar w:fldCharType="separate"/>
      </w:r>
      <w:r w:rsidRPr="00AB6810" w:rsidR="00EC530C">
        <w:rPr>
          <w:rFonts w:ascii="Arial" w:hAnsi="Arial" w:cs="Arial"/>
          <w:sz w:val="24"/>
          <w:szCs w:val="24"/>
          <w:vertAlign w:val="superscript"/>
        </w:rPr>
        <w:t>5</w:t>
      </w:r>
      <w:r w:rsidRPr="00AB6810" w:rsidR="0004410E">
        <w:rPr>
          <w:rFonts w:ascii="Arial" w:hAnsi="Arial" w:cs="Arial"/>
          <w:sz w:val="24"/>
          <w:szCs w:val="24"/>
        </w:rPr>
        <w:fldChar w:fldCharType="end"/>
      </w:r>
      <w:r w:rsidRPr="00AB6810" w:rsidR="0004410E">
        <w:rPr>
          <w:rFonts w:ascii="Arial" w:hAnsi="Arial" w:cs="Arial"/>
          <w:sz w:val="24"/>
          <w:szCs w:val="24"/>
        </w:rPr>
        <w:t>. Half of the mainland surface is covered by crops and more than 90% of the use is concentrated around agriculture</w:t>
      </w:r>
      <w:r w:rsidRPr="00AB6810" w:rsidR="0004410E">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{"citationID":"DCQ8DGt0","properties":{"formattedCitation":"\\super 6\\nosupersub{}","plainCitation":"6","noteIndex":0},"citationItems":[{"id":23223,"uris":["http://zotero.org/users/local/vY69w1Y2/items/HF9QAPVC","http://zotero.org/users/9040671/items/HF9QAPVC"],"itemData":{"id":23223,"type":"webpage","title":"Recensement agricole 2020 - Indicateurs : cartes, données et graphiques","URL":"https://stats.agriculture.gouv.fr/cartostat/#view=map11&amp;c=indicator","accessed":{"date-parts":[["2023",6,9]]}}}],"schema":"https://github.com/citation-style-language/schema/raw/master/csl-citation.json"} </w:instrText>
      </w:r>
      <w:r w:rsidRPr="00AB6810" w:rsidR="0004410E">
        <w:rPr>
          <w:rFonts w:ascii="Arial" w:hAnsi="Arial" w:cs="Arial"/>
          <w:sz w:val="24"/>
          <w:szCs w:val="24"/>
        </w:rPr>
        <w:fldChar w:fldCharType="separate"/>
      </w:r>
      <w:r w:rsidRPr="00AB6810" w:rsidR="00EC530C">
        <w:rPr>
          <w:rFonts w:ascii="Arial" w:hAnsi="Arial" w:cs="Arial"/>
          <w:sz w:val="24"/>
          <w:szCs w:val="24"/>
          <w:vertAlign w:val="superscript"/>
        </w:rPr>
        <w:t>6</w:t>
      </w:r>
      <w:r w:rsidRPr="00AB6810" w:rsidR="0004410E">
        <w:rPr>
          <w:rFonts w:ascii="Arial" w:hAnsi="Arial" w:cs="Arial"/>
          <w:sz w:val="24"/>
          <w:szCs w:val="24"/>
        </w:rPr>
        <w:fldChar w:fldCharType="end"/>
      </w:r>
      <w:r w:rsidRPr="00AB6810" w:rsidR="0004410E">
        <w:rPr>
          <w:rFonts w:ascii="Arial" w:hAnsi="Arial" w:cs="Arial"/>
          <w:sz w:val="24"/>
          <w:szCs w:val="24"/>
        </w:rPr>
        <w:t>.</w:t>
      </w:r>
      <w:r w:rsidRPr="00AB6810">
        <w:rPr>
          <w:rFonts w:ascii="Arial" w:hAnsi="Arial" w:cs="Arial"/>
          <w:sz w:val="24"/>
          <w:szCs w:val="24"/>
        </w:rPr>
        <w:t xml:space="preserve"> </w:t>
      </w:r>
      <w:r w:rsidRPr="00AB6810" w:rsidR="0004410E">
        <w:rPr>
          <w:rFonts w:ascii="Arial" w:hAnsi="Arial" w:cs="Arial"/>
          <w:sz w:val="24"/>
          <w:szCs w:val="24"/>
        </w:rPr>
        <w:t>In the last decades, pesticide use</w:t>
      </w:r>
      <w:r w:rsidRPr="00AB6810">
        <w:rPr>
          <w:rFonts w:ascii="Arial" w:hAnsi="Arial" w:cs="Arial"/>
          <w:sz w:val="24"/>
          <w:szCs w:val="24"/>
        </w:rPr>
        <w:t xml:space="preserve"> has been an important cause for concern for farmers, rural residents and citizens</w:t>
      </w:r>
      <w:r w:rsidRPr="00AB6810" w:rsidR="0004410E">
        <w:rPr>
          <w:rFonts w:ascii="Arial" w:hAnsi="Arial" w:cs="Arial"/>
          <w:sz w:val="24"/>
          <w:szCs w:val="24"/>
        </w:rPr>
        <w:t xml:space="preserve"> in general</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{"citationID":"iQW2EjwP","properties":{"formattedCitation":"\\super 7\\nosupersub{}","plainCitation":"7","noteIndex":0},"citationItems":[{"id":29883,"uris":["http://zotero.org/users/local/vY69w1Y2/items/QQIQZTER","http://zotero.org/users/9040671/items/QQIQZTER"],"itemData":{"id":29883,"type":"webpage","abstract":"Ce document présente la synthèse issue des travaux du groupe d’experts réunis par l'Inserm dans le cadre de la procédure d’expertise collective pour répondre à la demande de cinq directions de l’État, la Direction générale de la prévention des risques, la Direction générale de la santé, la Direction générale du…","language":"fr-FR","note":"section: Expertises collectives","title":"Effects of pesticides on health: New data","URL":"https://www.inserm.fr/expertise-collective/pesticides-et-sante-nouvelles-donnees-2021/","author":[{"family":"Inserm","given":""}]}}],"schema":"https://github.com/citation-style-language/schema/raw/master/csl-citation.json"}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7</w:t>
      </w:r>
      <w:r w:rsidRPr="00AB6810">
        <w:rPr>
          <w:rFonts w:ascii="Arial" w:hAnsi="Arial" w:cs="Arial"/>
          <w:sz w:val="24"/>
          <w:szCs w:val="24"/>
        </w:rPr>
        <w:fldChar w:fldCharType="end"/>
      </w:r>
      <w:r w:rsidRPr="00AB6810">
        <w:rPr>
          <w:rFonts w:ascii="Arial" w:hAnsi="Arial" w:cs="Arial"/>
          <w:sz w:val="24"/>
          <w:szCs w:val="24"/>
        </w:rPr>
        <w:t xml:space="preserve">. Previous expert reports described </w:t>
      </w:r>
      <w:r w:rsidRPr="00AB6810" w:rsidR="0004410E">
        <w:rPr>
          <w:rFonts w:ascii="Arial" w:hAnsi="Arial" w:cs="Arial"/>
          <w:sz w:val="24"/>
          <w:szCs w:val="24"/>
        </w:rPr>
        <w:t>ubiquitous</w:t>
      </w:r>
      <w:r w:rsidRPr="00AB6810">
        <w:rPr>
          <w:rFonts w:ascii="Arial" w:hAnsi="Arial" w:cs="Arial"/>
          <w:sz w:val="24"/>
          <w:szCs w:val="24"/>
        </w:rPr>
        <w:t xml:space="preserve"> </w:t>
      </w:r>
      <w:r w:rsidRPr="00AB6810" w:rsidR="0004410E">
        <w:rPr>
          <w:rFonts w:ascii="Arial" w:hAnsi="Arial" w:cs="Arial"/>
          <w:sz w:val="24"/>
          <w:szCs w:val="24"/>
        </w:rPr>
        <w:t xml:space="preserve">pesticide </w:t>
      </w:r>
      <w:r w:rsidRPr="00AB6810">
        <w:rPr>
          <w:rFonts w:ascii="Arial" w:hAnsi="Arial" w:cs="Arial"/>
          <w:sz w:val="24"/>
          <w:szCs w:val="24"/>
        </w:rPr>
        <w:t xml:space="preserve">contamination of </w:t>
      </w:r>
      <w:r w:rsidRPr="00AB6810" w:rsidR="0004410E">
        <w:rPr>
          <w:rFonts w:ascii="Arial" w:hAnsi="Arial" w:cs="Arial"/>
          <w:sz w:val="24"/>
          <w:szCs w:val="24"/>
        </w:rPr>
        <w:t>the environment and the general population</w:t>
      </w:r>
      <w:r w:rsidRPr="00AB6810" w:rsidR="0004410E">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{"citationID":"tUi83HRb","properties":{"formattedCitation":"\\super 8,9\\nosupersub{}","plainCitation":"8,9","noteIndex":0},"citationItems":[{"id":23183,"uris":["http://zotero.org/users/local/vY69w1Y2/items/MJ22FETW","http://zotero.org/users/9040671/items/MJ22FETW"],"itemData":{"id":23183,"type":"article-journal","abstract":"BACKGROUND: Numerous industries use organic solvents, and many workers from various occupational sectors are exposed to these known neurotoxicants, including pregnant women. Our objective is to explore whether occupational exposure of pregnant women to solvents may impair the neurodevelopment of their babies and consequently affect their behavior in childhood.\nMETHODS: Within the French birth cohort PELAGIE, parents assessed their children's internalizing and externalizing behaviors using items from the Child Behavior Checklist and the Preschool Social Behavior Questionnaire at age 2, and the Strength and Difficulties Questionnaire at age 6. The occupational exposure to solvents of the pregnant women was self-reported prospectively at the beginning of their pregnancy (N = 715). We applied structural equation modeling to capture the longitudinal association of prenatal exposure to solvents with children's behavioral traits at 2 and 6 years.\nRESULTS: Increased externalizing behavior score at age 2 was associated with prenatal exposure to solvents (standardized score: 0.34 (95% CI = 0.11, 0.57) for occasional exposure and 0.26 (0.05, 0.48) for regular exposure). This association was attenuated at age 6 (0.22 (- 0.02, 0.47) for occasional exposure and 0.07 (- 0.14, 0.28) for regular exposure). No association was observed for internalizing behavior.\nCONCLUSIONS: Pregnant women's occupational exposure to solvents may affect their children's behavior in early childhood. This effect may be attenuated with aging or diluted by the effects of other postnatal predictors.","container-title":"Environmental Health: A Global Access Science Source","DOI":"10.1186/s12940-018-0406-x","ISSN":"1476-069X","issue":"1","journalAbbreviation":"Environ Health","language":"eng","note":"PMID: 30053883\nPMCID: PMC6062867","page":"63","source":"PubMed","title":"Occupational exposure to organic solvents during pregnancy and childhood behavior: findings from the PELAGIE birth cohort (France, 2002-2013)","title-short":"Occupational exposure to organic solvents during pregnancy and childhood behavior","volume":"17","author":[{"family":"Costet","given":"Nathalie"},{"family":"Béranger","given":"Rémi"},{"family":"Garlantézec","given":"Ronan"},{"family":"Rouget","given":"Florence"},{"family":"Monfort","given":"Christine"},{"family":"Cordier","given":"Sylvaine"},{"family":"Pelé","given":"Fabienne"},{"family":"Chevrier","given":"Cécile"}],"issued":{"date-parts":[["2018",7,27]]}}},{"id":23184,"uris":["http://zotero.org/users/local/vY69w1Y2/items/QF394Q3N","http://zotero.org/users/9040671/items/QF394Q3N"],"itemData":{"id":23184,"type":"article-journal","abstract":"BACKGROUND: A growing body of studies now suggests that the general population is continuously and ubiquitously exposed to numerous pesticides. However, studies investigating the possible role of environmental exposure to pesticides on fetal growth have focused on a limited set of substances, despite the hundreds of modern pesticides currently available.\nAIM: To explore the relation between maternal hair concentrations of 64 pesticides and metabolites and their newborns' measurements at birth, with data from the ELFE French nationwide birth cohort.\nMETHODS: We measured 64 compounds (10-100% detection) in bundles of hair 9 cm long collected at birth from 311 women who gave birth in France in 2011. We assessed their associations with birth weight, length, and head circumference, adjusted for potential confounders, and used elastic net regularization to simultaneously select the strongest predictors of measurements at birth. Selected variables were multiply imputed for missing values, and unpenalized estimators were assessed by standard linear regression.\nRESULTS: We observed statistically significant associations between maternal hair concentrations of seven pesticides or pesticide metabolites and birth measurements (weight: fipronil sulfone; length: TCPy, bitertanol, DEP, and isoproturon; head circumference: tebuconazole and prochloraz). Analyses restricted to boys identified 12 additional compounds: 8 independently associated with birth weight (3Me4NP, DCPMU, DMST, fipronil, mecoprop, propoxur, fenhexamid, and thiabendazole), 2 with birth length (dieldrin and β-endosulfan), and 6 with head circumference (β-endosulfan, β-HCH, fenuron, DCPMU, propoxur, and thiabendazole).\nCONCLUSION: Our results suggest that prenatal exposure to 19 pesticides or metabolites from various chemical families may influence measurements at birth. As with any exploratory research findings, results should be interpreted cautiously, until they are replicated or verified by further epidemiological or mechanistic studies.","container-title":"International Journal of Hygiene and Environmental Health","DOI":"10.1016/j.ijheh.2019.10.010","ISSN":"1618-131X","issue":"1","journalAbbreviation":"Int J Hyg Environ Health","language":"eng","note":"PMID: 31708466","page":"22-33","source":"PubMed","title":"Multiple pesticides in mothers' hair samples and children's measurements at birth: Results from the French national birth cohort (ELFE)","title-short":"Multiple pesticides in mothers' hair samples and children's measurements at birth","volume":"223","author":[{"family":"Béranger","given":"Rémi"},{"family":"Hardy","given":"Emilie M."},{"family":"Binter","given":"Anne-Claire"},{"family":"Charles","given":"Marie-Aline"},{"family":"Zaros","given":"Cécile"},{"family":"Appenzeller","given":"Brice M. R."},{"family":"Chevrier","given":"Cécile"}],"issued":{"date-parts":[["2020",1]]}},"label":"page"}],"schema":"https://github.com/citation-style-language/schema/raw/master/csl-citation.json"} </w:instrText>
      </w:r>
      <w:r w:rsidRPr="00AB6810" w:rsidR="0004410E">
        <w:rPr>
          <w:rFonts w:ascii="Arial" w:hAnsi="Arial" w:cs="Arial"/>
          <w:sz w:val="24"/>
          <w:szCs w:val="24"/>
        </w:rPr>
        <w:fldChar w:fldCharType="separate"/>
      </w:r>
      <w:r w:rsidRPr="00AB6810" w:rsidR="00EC530C">
        <w:rPr>
          <w:rFonts w:ascii="Arial" w:hAnsi="Arial" w:cs="Arial"/>
          <w:sz w:val="24"/>
          <w:szCs w:val="24"/>
          <w:vertAlign w:val="superscript"/>
        </w:rPr>
        <w:t>8,9</w:t>
      </w:r>
      <w:r w:rsidRPr="00AB6810" w:rsidR="0004410E">
        <w:rPr>
          <w:rFonts w:ascii="Arial" w:hAnsi="Arial" w:cs="Arial"/>
          <w:sz w:val="24"/>
          <w:szCs w:val="24"/>
        </w:rPr>
        <w:fldChar w:fldCharType="end"/>
      </w:r>
      <w:r w:rsidRPr="00AB6810">
        <w:rPr>
          <w:rFonts w:ascii="Arial" w:hAnsi="Arial" w:cs="Arial"/>
          <w:sz w:val="24"/>
          <w:szCs w:val="24"/>
        </w:rPr>
        <w:t xml:space="preserve">. </w:t>
      </w:r>
      <w:r w:rsidRPr="00AB6810" w:rsidR="00AD2EFE">
        <w:rPr>
          <w:rFonts w:ascii="Arial" w:hAnsi="Arial" w:cs="Arial"/>
          <w:sz w:val="24"/>
          <w:szCs w:val="24"/>
        </w:rPr>
        <w:t>Several m</w:t>
      </w:r>
      <w:r w:rsidRPr="00AB6810">
        <w:rPr>
          <w:rFonts w:ascii="Arial" w:hAnsi="Arial" w:cs="Arial"/>
          <w:sz w:val="24"/>
          <w:szCs w:val="24"/>
        </w:rPr>
        <w:t xml:space="preserve">echanisms by which </w:t>
      </w:r>
      <w:r w:rsidRPr="00AB6810" w:rsidR="00D53453">
        <w:rPr>
          <w:rFonts w:ascii="Arial" w:hAnsi="Arial" w:cs="Arial"/>
          <w:sz w:val="24"/>
          <w:szCs w:val="24"/>
        </w:rPr>
        <w:t>pesticides</w:t>
      </w:r>
      <w:r w:rsidRPr="00AB6810">
        <w:rPr>
          <w:rFonts w:ascii="Arial" w:hAnsi="Arial" w:cs="Arial"/>
          <w:sz w:val="24"/>
          <w:szCs w:val="24"/>
        </w:rPr>
        <w:t xml:space="preserve"> can directly or indirectly damage genes are known</w:t>
      </w:r>
      <w:r w:rsidRPr="00AB681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{"citationID":"Z5HMBpYJ","properties":{"formattedCitation":"\\super 5,7\\nosupersub{}","plainCitation":"5,7","noteIndex":0},"citationItems":[{"id":29883,"uris":["http://zotero.org/users/local/vY69w1Y2/items/QQIQZTER","http://zotero.org/users/9040671/items/QQIQZTER"],"itemData":{"id":29883,"type":"webpage","abstract":"Ce document présente la synthèse issue des travaux du groupe d’experts réunis par l'Inserm dans le cadre de la procédure d’expertise collective pour répondre à la demande de cinq directions de l’État, la Direction générale de la prévention des risques, la Direction générale de la santé, la Direction générale du…","language":"fr-FR","note":"section: Expertises collectives","title":"Effects of pesticides on health: New data","URL":"https://www.inserm.fr/expertise-collective/pesticides-et-sante-nouvelles-donnees-2021/","author":[{"family":"Inserm","given":""}]}},{"id":24623,"uris":["http://zotero.org/users/local/vY69w1Y2/items/U7GU6EYW","http://zotero.org/users/9040671/items/U7GU6EYW"],"itemData":{"id":24623,"type":"article-journal","abstract":"Pancreatic adenocarcinoma (PA) incidence is rising worldwide, especially in France. The evolution of known risk factors such as tobacco smoking, obesity, type 2 diabetes, chronic pancreatitis, or constitutional mutations is not sufficient to explain this trend. Pesticides are known risk factors in other malignancies. Previous studies have outlined pesticides' influence in PA, such as dichlorodiphenyltrichloroethane as plausible risk factors. The general population is directly or indirectly exposed to pesticides through air, food or water. Some of these chemicals may accumulate in the body all along lifetime and may harm carriers. The toxic mixing effects of these chemicals are not well documented. Several hypotheses have been put forward to explain how pesticides can induce indirect (fatty pancreas, induced diabetes) or direct (oxidative stress, cell damage) carcinogenesis in pancreatic cells through inflammation. A strong corpus exists acknowledging pesticides as a PA risk factor. However, published studies do not provide a sufficient level of evidence to prove causality and current prospective case-control studies are still ongoing.","container-title":"Digestive and Liver Disease: Official Journal of the Italian Society of Gastroenterology and the Italian Association for the Study of the Liver","DOI":"10.1016/j.dld.2022.08.023","ISSN":"1878-3562","journalAbbreviation":"Dig Liver Dis","language":"eng","note":"PMID: 36089524","page":"S1590-8658(22)00654-5","source":"PubMed","title":"Pesticides and pancreatic adenocarcinoma: A transversal epidemiological, environmental and mechanistic narrative review","title-short":"Pesticides and pancreatic adenocarcinoma","author":[{"family":"Brugel","given":"Mathias"},{"family":"Carlier","given":"Claire"},{"family":"Reyes-Castellanos","given":"Gabriela"},{"family":"Callon","given":"Sidonie"},{"family":"Carrier","given":"Alice"},{"family":"Bouché","given":"Olivier"}],"issued":{"date-parts":[["2022",9,8]]}}}],"schema":"https://github.com/citation-style-language/schema/raw/master/csl-citation.json"} </w:instrText>
      </w:r>
      <w:r w:rsidRPr="00AB6810">
        <w:rPr>
          <w:rFonts w:ascii="Arial" w:hAnsi="Arial" w:cs="Arial"/>
          <w:sz w:val="24"/>
          <w:szCs w:val="24"/>
        </w:rPr>
        <w:fldChar w:fldCharType="separate"/>
      </w:r>
      <w:r w:rsidRPr="00AB6810" w:rsidR="00EC530C">
        <w:rPr>
          <w:rFonts w:ascii="Arial" w:hAnsi="Arial" w:cs="Arial"/>
          <w:sz w:val="24"/>
          <w:szCs w:val="24"/>
          <w:vertAlign w:val="superscript"/>
        </w:rPr>
        <w:t>5,7</w:t>
      </w:r>
      <w:r w:rsidRPr="00AB6810">
        <w:rPr>
          <w:rFonts w:ascii="Arial" w:hAnsi="Arial" w:cs="Arial"/>
          <w:sz w:val="24"/>
          <w:szCs w:val="24"/>
        </w:rPr>
        <w:fldChar w:fldCharType="end"/>
      </w:r>
      <w:r w:rsidRPr="00AB6810">
        <w:rPr>
          <w:rFonts w:ascii="Arial" w:hAnsi="Arial" w:cs="Arial"/>
          <w:sz w:val="24"/>
          <w:szCs w:val="24"/>
        </w:rPr>
        <w:t>.</w:t>
      </w:r>
    </w:p>
    <w:p w:rsidRPr="00AB6810" w:rsidR="00B9797A" w:rsidP="00CF781E" w:rsidRDefault="00AD2EFE" w14:paraId="44839FF6" w14:textId="0A44B16A">
      <w:pPr>
        <w:spacing w:line="480" w:lineRule="auto"/>
        <w:rPr>
          <w:rFonts w:ascii="Arial" w:hAnsi="Arial" w:cs="Arial"/>
          <w:sz w:val="24"/>
          <w:szCs w:val="24"/>
        </w:rPr>
      </w:pPr>
      <w:r w:rsidRPr="00AB6810">
        <w:rPr>
          <w:rFonts w:ascii="Arial" w:hAnsi="Arial" w:cs="Arial"/>
          <w:sz w:val="24"/>
          <w:szCs w:val="24"/>
        </w:rPr>
        <w:t>Multiple</w:t>
      </w:r>
      <w:r w:rsidRPr="00AB6810" w:rsidR="0004410E">
        <w:rPr>
          <w:rFonts w:ascii="Arial" w:hAnsi="Arial" w:cs="Arial"/>
          <w:sz w:val="24"/>
          <w:szCs w:val="24"/>
        </w:rPr>
        <w:t xml:space="preserve"> </w:t>
      </w:r>
      <w:r w:rsidRPr="00AB6810" w:rsidR="00B9797A">
        <w:rPr>
          <w:rFonts w:ascii="Arial" w:hAnsi="Arial" w:cs="Arial"/>
          <w:sz w:val="24"/>
          <w:szCs w:val="24"/>
        </w:rPr>
        <w:t>studies have</w:t>
      </w:r>
      <w:r w:rsidRPr="00AB6810" w:rsidR="00273004">
        <w:rPr>
          <w:rFonts w:ascii="Arial" w:hAnsi="Arial" w:cs="Arial"/>
          <w:sz w:val="24"/>
          <w:szCs w:val="24"/>
        </w:rPr>
        <w:t xml:space="preserve"> provided strong evidence of a link between </w:t>
      </w:r>
      <w:r w:rsidRPr="00AB6810" w:rsidR="0004410E">
        <w:rPr>
          <w:rFonts w:ascii="Arial" w:hAnsi="Arial" w:cs="Arial"/>
          <w:sz w:val="24"/>
          <w:szCs w:val="24"/>
        </w:rPr>
        <w:t>pesticide</w:t>
      </w:r>
      <w:r w:rsidRPr="00AB6810" w:rsidR="00B9797A">
        <w:rPr>
          <w:rFonts w:ascii="Arial" w:hAnsi="Arial" w:cs="Arial"/>
          <w:sz w:val="24"/>
          <w:szCs w:val="24"/>
        </w:rPr>
        <w:t xml:space="preserve"> use </w:t>
      </w:r>
      <w:r w:rsidRPr="00AB6810" w:rsidR="00273004">
        <w:rPr>
          <w:rFonts w:ascii="Arial" w:hAnsi="Arial" w:cs="Arial"/>
          <w:sz w:val="24"/>
          <w:szCs w:val="24"/>
        </w:rPr>
        <w:t>and cancers</w:t>
      </w:r>
      <w:r w:rsidRPr="00AB6810" w:rsidR="0004410E">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{"citationID":"AaQlWxUd","properties":{"formattedCitation":"\\super 7\\nosupersub{}","plainCitation":"7","noteIndex":0},"citationItems":[{"id":29883,"uris":["http://zotero.org/users/local/vY69w1Y2/items/QQIQZTER","http://zotero.org/users/9040671/items/QQIQZTER"],"itemData":{"id":29883,"type":"webpage","abstract":"Ce document présente la synthèse issue des travaux du groupe d’experts réunis par l'Inserm dans le cadre de la procédure d’expertise collective pour répondre à la demande de cinq directions de l’État, la Direction générale de la prévention des risques, la Direction générale de la santé, la Direction générale du…","language":"fr-FR","note":"section: Expertises collectives","title":"Effects of pesticides on health: New data","URL":"https://www.inserm.fr/expertise-collective/pesticides-et-sante-nouvelles-donnees-2021/","author":[{"family":"Inserm","given":""}]}}],"schema":"https://github.com/citation-style-language/schema/raw/master/csl-citation.json"} </w:instrText>
      </w:r>
      <w:r w:rsidRPr="00AB6810" w:rsidR="0004410E">
        <w:rPr>
          <w:rFonts w:ascii="Arial" w:hAnsi="Arial" w:cs="Arial"/>
          <w:sz w:val="24"/>
          <w:szCs w:val="24"/>
        </w:rPr>
        <w:fldChar w:fldCharType="separate"/>
      </w:r>
      <w:r w:rsidRPr="00AB6810" w:rsidR="00EC530C">
        <w:rPr>
          <w:rFonts w:ascii="Arial" w:hAnsi="Arial" w:cs="Arial"/>
          <w:sz w:val="24"/>
          <w:szCs w:val="24"/>
          <w:vertAlign w:val="superscript"/>
        </w:rPr>
        <w:t>7</w:t>
      </w:r>
      <w:r w:rsidRPr="00AB6810" w:rsidR="0004410E">
        <w:rPr>
          <w:rFonts w:ascii="Arial" w:hAnsi="Arial" w:cs="Arial"/>
          <w:sz w:val="24"/>
          <w:szCs w:val="24"/>
        </w:rPr>
        <w:fldChar w:fldCharType="end"/>
      </w:r>
      <w:r w:rsidRPr="00AB6810" w:rsidR="00B9797A">
        <w:rPr>
          <w:rFonts w:ascii="Arial" w:hAnsi="Arial" w:cs="Arial"/>
          <w:sz w:val="24"/>
          <w:szCs w:val="24"/>
        </w:rPr>
        <w:t>.</w:t>
      </w:r>
      <w:r w:rsidRPr="00AB6810" w:rsidR="0004410E">
        <w:rPr>
          <w:rFonts w:ascii="Arial" w:hAnsi="Arial" w:cs="Arial"/>
          <w:sz w:val="24"/>
          <w:szCs w:val="24"/>
        </w:rPr>
        <w:t xml:space="preserve"> However, the relationship between PA and pesticides remains unclear</w:t>
      </w:r>
      <w:r w:rsidRPr="00AB6810" w:rsidR="0004410E">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{"citationID":"C06RrXos","properties":{"formattedCitation":"\\super 5\\nosupersub{}","plainCitation":"5","noteIndex":0},"citationItems":[{"id":24623,"uris":["http://zotero.org/users/local/vY69w1Y2/items/U7GU6EYW","http://zotero.org/users/9040671/items/U7GU6EYW"],"itemData":{"id":24623,"type":"article-journal","abstract":"Pancreatic adenocarcinoma (PA) incidence is rising worldwide, especially in France. The evolution of known risk factors such as tobacco smoking, obesity, type 2 diabetes, chronic pancreatitis, or constitutional mutations is not sufficient to explain this trend. Pesticides are known risk factors in other malignancies. Previous studies have outlined pesticides' influence in PA, such as dichlorodiphenyltrichloroethane as plausible risk factors. The general population is directly or indirectly exposed to pesticides through air, food or water. Some of these chemicals may accumulate in the body all along lifetime and may harm carriers. The toxic mixing effects of these chemicals are not well documented. Several hypotheses have been put forward to explain how pesticides can induce indirect (fatty pancreas, induced diabetes) or direct (oxidative stress, cell damage) carcinogenesis in pancreatic cells through inflammation. A strong corpus exists acknowledging pesticides as a PA risk factor. However, published studies do not provide a sufficient level of evidence to prove causality and current prospective case-control studies are still ongoing.","container-title":"Digestive and Liver Disease: Official Journal of the Italian Society of Gastroenterology and the Italian Association for the Study of the Liver","DOI":"10.1016/j.dld.2022.08.023","ISSN":"1878-3562","journalAbbreviation":"Dig Liver Dis","language":"eng","note":"PMID: 36089524","page":"S1590-8658(22)00654-5","source":"PubMed","title":"Pesticides and pancreatic adenocarcinoma: A transversal epidemiological, environmental and mechanistic narrative review","title-short":"Pesticides and pancreatic adenocarcinoma","author":[{"family":"Brugel","given":"Mathias"},{"family":"Carlier","given":"Claire"},{"family":"Reyes-Castellanos","given":"Gabriela"},{"family":"Callon","given":"Sidonie"},{"family":"Carrier","given":"Alice"},{"family":"Bouché","given":"Olivier"}],"issued":{"date-parts":[["2022",9,8]]}},"label":"page"}],"schema":"https://github.com/citation-style-language/schema/raw/master/csl-citation.json"} </w:instrText>
      </w:r>
      <w:r w:rsidRPr="00AB6810" w:rsidR="0004410E">
        <w:rPr>
          <w:rFonts w:ascii="Arial" w:hAnsi="Arial" w:cs="Arial"/>
          <w:sz w:val="24"/>
          <w:szCs w:val="24"/>
        </w:rPr>
        <w:fldChar w:fldCharType="separate"/>
      </w:r>
      <w:r w:rsidRPr="00AB6810" w:rsidR="001D1A77">
        <w:rPr>
          <w:rFonts w:ascii="Arial" w:hAnsi="Arial" w:cs="Arial"/>
          <w:sz w:val="24"/>
          <w:szCs w:val="24"/>
          <w:vertAlign w:val="superscript"/>
        </w:rPr>
        <w:t>5</w:t>
      </w:r>
      <w:r w:rsidRPr="00AB6810" w:rsidR="0004410E">
        <w:rPr>
          <w:rFonts w:ascii="Arial" w:hAnsi="Arial" w:cs="Arial"/>
          <w:sz w:val="24"/>
          <w:szCs w:val="24"/>
        </w:rPr>
        <w:fldChar w:fldCharType="end"/>
      </w:r>
      <w:r w:rsidRPr="00AB6810" w:rsidR="0004410E">
        <w:rPr>
          <w:rFonts w:ascii="Arial" w:hAnsi="Arial" w:cs="Arial"/>
          <w:sz w:val="24"/>
          <w:szCs w:val="24"/>
        </w:rPr>
        <w:t>. These inconsistencies call for new insights</w:t>
      </w:r>
      <w:r w:rsidRPr="00AB6810" w:rsidR="00E722C6">
        <w:rPr>
          <w:rFonts w:ascii="Arial" w:hAnsi="Arial" w:cs="Arial"/>
          <w:sz w:val="24"/>
          <w:szCs w:val="24"/>
        </w:rPr>
        <w:t xml:space="preserve"> to better understand the incidence dynamics and the relationship between pesticide and PA</w:t>
      </w:r>
      <w:r w:rsidRPr="00AB6810" w:rsidR="0004410E">
        <w:rPr>
          <w:rFonts w:ascii="Arial" w:hAnsi="Arial" w:cs="Arial"/>
          <w:sz w:val="24"/>
          <w:szCs w:val="24"/>
        </w:rPr>
        <w:t>.</w:t>
      </w:r>
      <w:r w:rsidRPr="00AB6810" w:rsidR="00E900CD">
        <w:rPr>
          <w:rFonts w:ascii="Arial" w:hAnsi="Arial" w:cs="Arial"/>
          <w:sz w:val="24"/>
          <w:szCs w:val="24"/>
        </w:rPr>
        <w:t xml:space="preserve"> </w:t>
      </w:r>
      <w:r w:rsidRPr="00AB6810" w:rsidR="00584A0F">
        <w:rPr>
          <w:rFonts w:ascii="Arial" w:hAnsi="Arial" w:cs="Arial"/>
          <w:sz w:val="24"/>
          <w:szCs w:val="24"/>
        </w:rPr>
        <w:t xml:space="preserve">Pesticide exposure can be complex to assess due to </w:t>
      </w:r>
      <w:r w:rsidRPr="00AB6810" w:rsidR="000E67E4">
        <w:rPr>
          <w:rFonts w:ascii="Arial" w:hAnsi="Arial" w:cs="Arial"/>
          <w:sz w:val="24"/>
          <w:szCs w:val="24"/>
        </w:rPr>
        <w:t>the lack of robust measured exposure</w:t>
      </w:r>
      <w:r w:rsidRPr="00AB6810" w:rsidR="00584A0F">
        <w:rPr>
          <w:rFonts w:ascii="Arial" w:hAnsi="Arial" w:cs="Arial"/>
          <w:sz w:val="24"/>
          <w:szCs w:val="24"/>
        </w:rPr>
        <w:t xml:space="preserve"> </w:t>
      </w:r>
      <w:r w:rsidRPr="00AB6810" w:rsidR="000E67E4">
        <w:rPr>
          <w:rFonts w:ascii="Arial" w:hAnsi="Arial" w:cs="Arial"/>
          <w:sz w:val="24"/>
          <w:szCs w:val="24"/>
        </w:rPr>
        <w:t>data in the general population</w:t>
      </w:r>
      <w:r w:rsidRPr="00AB6810" w:rsidR="00584A0F">
        <w:rPr>
          <w:rFonts w:ascii="Arial" w:hAnsi="Arial" w:cs="Arial"/>
          <w:sz w:val="24"/>
          <w:szCs w:val="24"/>
        </w:rPr>
        <w:t>. However, i</w:t>
      </w:r>
      <w:r w:rsidRPr="00AB6810" w:rsidR="0004410E">
        <w:rPr>
          <w:rFonts w:ascii="Arial" w:hAnsi="Arial" w:cs="Arial"/>
          <w:sz w:val="24"/>
          <w:szCs w:val="24"/>
        </w:rPr>
        <w:t>ndirect</w:t>
      </w:r>
      <w:r w:rsidRPr="00AB6810" w:rsidR="00B9797A">
        <w:rPr>
          <w:rFonts w:ascii="Arial" w:hAnsi="Arial" w:cs="Arial"/>
          <w:sz w:val="24"/>
          <w:szCs w:val="24"/>
        </w:rPr>
        <w:t xml:space="preserve"> ways of assessing pesticide exposure are </w:t>
      </w:r>
      <w:r w:rsidRPr="00AB6810" w:rsidR="0004410E">
        <w:rPr>
          <w:rFonts w:ascii="Arial" w:hAnsi="Arial" w:cs="Arial"/>
          <w:sz w:val="24"/>
          <w:szCs w:val="24"/>
        </w:rPr>
        <w:t>accessible</w:t>
      </w:r>
      <w:r w:rsidRPr="00AB6810" w:rsidR="00E722C6">
        <w:rPr>
          <w:rFonts w:ascii="Arial" w:hAnsi="Arial" w:cs="Arial"/>
          <w:sz w:val="24"/>
          <w:szCs w:val="24"/>
        </w:rPr>
        <w:t>, including secondary databases</w:t>
      </w:r>
      <w:r w:rsidRPr="00AB6810" w:rsidR="009F0FCD">
        <w:rPr>
          <w:rFonts w:ascii="Arial" w:hAnsi="Arial" w:cs="Arial"/>
          <w:sz w:val="24"/>
          <w:szCs w:val="24"/>
        </w:rPr>
        <w:t xml:space="preserve"> with spatially referenced data, where</w:t>
      </w:r>
      <w:r w:rsidRPr="00AB6810" w:rsidR="42446D42">
        <w:rPr>
          <w:rFonts w:ascii="Arial" w:hAnsi="Arial" w:cs="Arial"/>
          <w:sz w:val="24"/>
          <w:szCs w:val="24"/>
        </w:rPr>
        <w:t xml:space="preserve"> </w:t>
      </w:r>
      <w:r w:rsidRPr="00AB6810">
        <w:rPr>
          <w:rFonts w:ascii="Arial" w:hAnsi="Arial" w:cs="Arial"/>
          <w:sz w:val="24"/>
          <w:szCs w:val="24"/>
        </w:rPr>
        <w:t>e</w:t>
      </w:r>
      <w:r w:rsidRPr="00AB6810" w:rsidR="00A97009">
        <w:rPr>
          <w:rFonts w:ascii="Arial" w:hAnsi="Arial" w:cs="Arial"/>
          <w:sz w:val="24"/>
          <w:szCs w:val="24"/>
        </w:rPr>
        <w:t xml:space="preserve">cological spatiotemporal studies </w:t>
      </w:r>
      <w:r w:rsidRPr="00AB6810" w:rsidR="009F0FCD">
        <w:rPr>
          <w:rFonts w:ascii="Arial" w:hAnsi="Arial" w:cs="Arial"/>
          <w:sz w:val="24"/>
          <w:szCs w:val="24"/>
        </w:rPr>
        <w:t xml:space="preserve">can be used </w:t>
      </w:r>
      <w:r w:rsidRPr="00AB6810" w:rsidR="00A97009">
        <w:rPr>
          <w:rFonts w:ascii="Arial" w:hAnsi="Arial" w:cs="Arial"/>
          <w:sz w:val="24"/>
          <w:szCs w:val="24"/>
        </w:rPr>
        <w:t>to generate new hypotheses</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{"citationID":"tnYdTuAG","properties":{"formattedCitation":"\\super 10\\nosupersub{}","plainCitation":"10","noteIndex":0},"citationItems":[{"id":23178,"uris":["http://zotero.org/users/local/vY69w1Y2/items/6ZVS6ULL","http://zotero.org/users/9040671/items/6ZVS6ULL"],"itemData":{"id":23178,"type":"article-journal","abstract":"BACKGROUND: Exposure assessment represents a major challenge for studies on the relation between pesticides and health.\nOBJECTIVE: We developed a method combining information from crop-exposure matrices (CEMs) and land use data, in order to compute indices of environmental and occupational pesticide exposure. We illustrate our approach using French data (1979-2010).\nMETHODS: We used CEMs for five crops (straw cereals, grain corn, corn fodder, potatoes, vineyards) that describe use (annual probability, frequency, intensity) of pesticide subgroups, chemical families, and active substances by region and time since 1960. We combined these data with land use data from agricultural censuses (1979, 1988, 2000, 2010) to compute indices of environmental and occupational pesticide exposure in cantons (small French administrative units). Indices of environmental exposure were calculated based on the area of each crop in the cantons, while indices of occupational exposure depended on combinations of crops in each farm from the cantons. To illustrate our approach, we selected a pesticide group (herbicides), chemical family of herbicides (phenoxyacetic acids), and active substance from the phenoxyacetic acids chemical family (2,4-D).\nRESULTS: The estimated proportion of the area of crops with CEMs and of farms sprayed with herbicides was close to 100% between 1979-2010, but the estimated average annual number of applications increased. There were decreasing time-trends for phenoxyacetic acids and 2,4-D over the same period for all indices of exposure. There was a high use of herbicides throughout France in 2010, except in the South coast. For phenoxyacetic acids and 2,4-D, the spatial distribution was heterogeneous for all indices of exposure, with the highest values in the Centre and North regions.\nIMPACT STATEMENT: Assessment of pesticide exposure is a key issue for epidemiological studies on their association with health outcomes. However, it presents some unique challenges, particularly for retrospective exposure and the investigation of chronic diseases. We present a method to compute indices of exposure by combining information from crop-exposure matrices for five crops and land use data. Specificities of environmental and occupational exposure are addressed using different methods. These methods are applied to pesticides used in agriculture in France for five crops (3 groups, 91 chemical families, 197 active substances) to produce indices at a small geographic scale from 1979 to 2010 for the whole metropolitan France. Besides using these indices in French epidemiological studies, our approach could be relevant for other countries.","container-title":"Journal of Exposure Science &amp; Environmental Epidemiology","DOI":"10.1038/s41370-023-00562-w","ISSN":"1559-064X","journalAbbreviation":"J Expo Sci Environ Epidemiol","language":"eng","note":"PMID: 37316534","source":"PubMed","title":"Combining crop-exposure matrices and land use data to estimate indices of environmental and occupational exposure to pesticides","author":[{"family":"Perrin","given":"Laëtitia"},{"family":"Moisan","given":"Frédéric"},{"family":"Spinosi","given":"Johan"},{"family":"Chaperon","given":"Laura"},{"family":"Jezewski-Serra","given":"Delphine"},{"family":"Elbaz","given":"Alexis"}],"issued":{"date-parts":[["2023",6,14]]}},"label":"page"}],"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10</w:t>
      </w:r>
      <w:r w:rsidRPr="00AB6810">
        <w:rPr>
          <w:rFonts w:ascii="Arial" w:hAnsi="Arial" w:cs="Arial"/>
          <w:sz w:val="24"/>
          <w:szCs w:val="24"/>
        </w:rPr>
        <w:fldChar w:fldCharType="end"/>
      </w:r>
      <w:r w:rsidRPr="00AB6810" w:rsidR="00A97009">
        <w:rPr>
          <w:rFonts w:ascii="Arial" w:hAnsi="Arial" w:cs="Arial"/>
          <w:sz w:val="24"/>
          <w:szCs w:val="24"/>
        </w:rPr>
        <w:t>.</w:t>
      </w:r>
      <w:r w:rsidRPr="00AB6810" w:rsidR="00D415D2">
        <w:rPr>
          <w:rFonts w:ascii="Arial" w:hAnsi="Arial" w:cs="Arial"/>
          <w:sz w:val="24"/>
          <w:szCs w:val="24"/>
        </w:rPr>
        <w:t xml:space="preserve"> </w:t>
      </w:r>
      <w:r w:rsidRPr="00AB6810" w:rsidR="00B9797A">
        <w:rPr>
          <w:rFonts w:ascii="Arial" w:hAnsi="Arial" w:cs="Arial"/>
          <w:sz w:val="24"/>
          <w:szCs w:val="24"/>
        </w:rPr>
        <w:t xml:space="preserve">To our knowledge, PA incidence has never been modelled, </w:t>
      </w:r>
      <w:r w:rsidRPr="00AB6810" w:rsidR="12D47286">
        <w:rPr>
          <w:rFonts w:ascii="Arial" w:hAnsi="Arial" w:cs="Arial"/>
          <w:sz w:val="24"/>
          <w:szCs w:val="24"/>
        </w:rPr>
        <w:t xml:space="preserve">yearly </w:t>
      </w:r>
      <w:r w:rsidRPr="00AB6810" w:rsidR="00B9797A">
        <w:rPr>
          <w:rFonts w:ascii="Arial" w:hAnsi="Arial" w:cs="Arial"/>
          <w:sz w:val="24"/>
          <w:szCs w:val="24"/>
        </w:rPr>
        <w:t xml:space="preserve">at a </w:t>
      </w:r>
      <w:r w:rsidRPr="00AB6810" w:rsidR="00B9797A">
        <w:rPr>
          <w:rFonts w:ascii="Arial" w:hAnsi="Arial" w:cs="Arial"/>
          <w:sz w:val="24"/>
          <w:szCs w:val="24"/>
        </w:rPr>
        <w:t>fine spatial scale</w:t>
      </w:r>
      <w:r w:rsidRPr="00AB6810" w:rsidR="00AC2C4F">
        <w:rPr>
          <w:rFonts w:ascii="Arial" w:hAnsi="Arial" w:cs="Arial"/>
          <w:sz w:val="24"/>
          <w:szCs w:val="24"/>
        </w:rPr>
        <w:t xml:space="preserve"> </w:t>
      </w:r>
      <w:r w:rsidRPr="00AB6810" w:rsidR="009F0FCD">
        <w:rPr>
          <w:rFonts w:ascii="Arial" w:hAnsi="Arial" w:cs="Arial"/>
          <w:sz w:val="24"/>
          <w:szCs w:val="24"/>
        </w:rPr>
        <w:t>across the country</w:t>
      </w:r>
      <w:r w:rsidRPr="00AB6810" w:rsidR="00B9797A">
        <w:rPr>
          <w:rFonts w:ascii="Arial" w:hAnsi="Arial" w:cs="Arial"/>
          <w:sz w:val="24"/>
          <w:szCs w:val="24"/>
        </w:rPr>
        <w:t>. Moreover, the effect of pesticides on the risk of PA has never been studied in the general population</w:t>
      </w:r>
      <w:r w:rsidRPr="00AB6810" w:rsidR="00AC2C4F">
        <w:rPr>
          <w:rFonts w:ascii="Arial" w:hAnsi="Arial" w:cs="Arial"/>
          <w:sz w:val="24"/>
          <w:szCs w:val="24"/>
        </w:rPr>
        <w:t xml:space="preserve"> using an ecological study with a fine spatial granularity.</w:t>
      </w:r>
    </w:p>
    <w:p w:rsidRPr="00AB6810" w:rsidR="00D415D2" w:rsidP="35BFB30F" w:rsidRDefault="00D415D2" w14:paraId="11659849" w14:textId="0AB78427">
      <w:pPr>
        <w:spacing w:line="480" w:lineRule="auto"/>
        <w:rPr>
          <w:rStyle w:val="cf01"/>
          <w:rFonts w:ascii="Arial" w:hAnsi="Arial" w:cs="Arial"/>
          <w:sz w:val="24"/>
          <w:szCs w:val="24"/>
        </w:rPr>
      </w:pPr>
      <w:r w:rsidRPr="00AB6810">
        <w:rPr>
          <w:rStyle w:val="cf01"/>
          <w:rFonts w:ascii="Arial" w:hAnsi="Arial" w:cs="Arial"/>
          <w:sz w:val="24"/>
          <w:szCs w:val="24"/>
        </w:rPr>
        <w:t>The aims of this ecological study were i) to assess the spatio-temporal distribution of the incidence of PA in the general population in France between 2011 and 2021, and ii) to determine whether pesticide exposure was associated with the risk of PA.</w:t>
      </w:r>
    </w:p>
    <w:p w:rsidRPr="00AB6810" w:rsidR="00BA519E" w:rsidP="00CF781E" w:rsidRDefault="00BA519E" w14:paraId="5DEDC7DC" w14:textId="7B3F956F">
      <w:pPr>
        <w:spacing w:line="480" w:lineRule="auto"/>
        <w:rPr>
          <w:rFonts w:ascii="Arial" w:hAnsi="Arial" w:cs="Arial"/>
          <w:b/>
          <w:bCs/>
          <w:sz w:val="24"/>
          <w:szCs w:val="24"/>
        </w:rPr>
      </w:pPr>
      <w:r w:rsidRPr="00AB6810">
        <w:rPr>
          <w:rFonts w:ascii="Arial" w:hAnsi="Arial" w:cs="Arial"/>
          <w:b/>
          <w:bCs/>
          <w:sz w:val="24"/>
          <w:szCs w:val="24"/>
        </w:rPr>
        <w:t>Methods</w:t>
      </w:r>
    </w:p>
    <w:p w:rsidRPr="00AB6810" w:rsidR="25C47016" w:rsidP="2A051D83" w:rsidRDefault="25C47016" w14:paraId="34AAD965" w14:textId="0F699F0B">
      <w:pPr>
        <w:spacing w:line="480" w:lineRule="auto"/>
        <w:rPr>
          <w:rFonts w:ascii="Arial" w:hAnsi="Arial" w:cs="Arial"/>
          <w:i/>
          <w:iCs/>
          <w:sz w:val="24"/>
          <w:szCs w:val="24"/>
          <w:u w:val="single"/>
        </w:rPr>
      </w:pPr>
      <w:r w:rsidRPr="00AB6810">
        <w:rPr>
          <w:rFonts w:ascii="Arial" w:hAnsi="Arial" w:cs="Arial"/>
          <w:i/>
          <w:iCs/>
          <w:sz w:val="24"/>
          <w:szCs w:val="24"/>
          <w:u w:val="single"/>
        </w:rPr>
        <w:t>Study setting</w:t>
      </w:r>
    </w:p>
    <w:p w:rsidRPr="00AB6810" w:rsidR="00E722C6" w:rsidP="2A051D83" w:rsidRDefault="00E722C6" w14:paraId="6B562243" w14:textId="7A42F8A4">
      <w:pPr>
        <w:spacing w:line="480" w:lineRule="auto"/>
        <w:rPr>
          <w:rFonts w:ascii="Arial" w:hAnsi="Arial" w:cs="Arial"/>
          <w:sz w:val="24"/>
          <w:szCs w:val="24"/>
        </w:rPr>
      </w:pPr>
      <w:r w:rsidRPr="00AB6810">
        <w:rPr>
          <w:rFonts w:ascii="Arial" w:hAnsi="Arial" w:cs="Arial"/>
          <w:sz w:val="24"/>
          <w:szCs w:val="24"/>
        </w:rPr>
        <w:t xml:space="preserve">France is a country of 543 940 square kilometres with a population of </w:t>
      </w:r>
      <w:r w:rsidRPr="00AB6810" w:rsidR="583F97DD">
        <w:rPr>
          <w:rFonts w:ascii="Arial" w:hAnsi="Arial" w:eastAsia="Arial" w:cs="Arial"/>
          <w:sz w:val="24"/>
          <w:szCs w:val="24"/>
        </w:rPr>
        <w:t>68 042 591</w:t>
      </w:r>
      <w:r w:rsidRPr="00AB6810">
        <w:rPr>
          <w:rFonts w:ascii="Arial" w:hAnsi="Arial" w:cs="Arial"/>
          <w:sz w:val="24"/>
          <w:szCs w:val="24"/>
        </w:rPr>
        <w:t xml:space="preserve"> inhabitants in 2023. </w:t>
      </w:r>
      <w:r w:rsidRPr="00AB6810" w:rsidR="42D9D136">
        <w:rPr>
          <w:rFonts w:ascii="Arial" w:hAnsi="Arial" w:cs="Arial"/>
          <w:sz w:val="24"/>
          <w:szCs w:val="24"/>
        </w:rPr>
        <w:t xml:space="preserve">The </w:t>
      </w:r>
      <w:r w:rsidRPr="00AB6810">
        <w:rPr>
          <w:rFonts w:ascii="Arial" w:hAnsi="Arial" w:cs="Arial"/>
          <w:sz w:val="24"/>
          <w:szCs w:val="24"/>
        </w:rPr>
        <w:t>French national healthcare insurance covers 99% of the general population</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{"citationID":"fhR6Sn11","properties":{"formattedCitation":"\\super 11\\nosupersub{}","plainCitation":"11","noteIndex":0},"citationItems":[{"id":24919,"uris":["http://zotero.org/users/9040671/items/D5IDRDMC"],"itemData":{"id":24919,"type":"webpage","abstract":"Le site officiel de l'Assurance Maladie. Actualités – Droits et Démarches – Remboursements – Prestations et aides – Santé – Offres de prévention","language":"fr","title":"ameli, le site de l’Assurance Maladie en ligne | ameli.fr | Assuré","URL":"https://www.ameli.fr/assure","accessed":{"date-parts":[["2023",8,7]]},"issued":{"date-parts":[["2023",7,26]]}}}],"schema":"https://github.com/citation-style-language/schema/raw/master/csl-citation.json"}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11</w:t>
      </w:r>
      <w:r w:rsidRPr="00AB6810">
        <w:rPr>
          <w:rFonts w:ascii="Arial" w:hAnsi="Arial" w:cs="Arial"/>
          <w:sz w:val="24"/>
          <w:szCs w:val="24"/>
        </w:rPr>
        <w:fldChar w:fldCharType="end"/>
      </w:r>
      <w:r w:rsidRPr="00AB6810">
        <w:rPr>
          <w:rFonts w:ascii="Arial" w:hAnsi="Arial" w:cs="Arial"/>
          <w:sz w:val="24"/>
          <w:szCs w:val="24"/>
        </w:rPr>
        <w:t xml:space="preserve">. </w:t>
      </w:r>
      <w:r w:rsidRPr="00AB6810" w:rsidR="2CD8EEF7">
        <w:rPr>
          <w:rFonts w:ascii="Arial" w:hAnsi="Arial" w:cs="Arial"/>
          <w:sz w:val="24"/>
          <w:szCs w:val="24"/>
        </w:rPr>
        <w:t xml:space="preserve">Each </w:t>
      </w:r>
      <w:r w:rsidRPr="00AB6810" w:rsidR="333F855B">
        <w:rPr>
          <w:rFonts w:ascii="Arial" w:hAnsi="Arial" w:cs="Arial"/>
          <w:sz w:val="24"/>
          <w:szCs w:val="24"/>
        </w:rPr>
        <w:t xml:space="preserve">hospital </w:t>
      </w:r>
      <w:bookmarkStart w:name="_Int_2fAfhefM" w:id="1"/>
      <w:r w:rsidRPr="00AB6810" w:rsidR="333F855B">
        <w:rPr>
          <w:rFonts w:ascii="Arial" w:hAnsi="Arial" w:cs="Arial"/>
          <w:sz w:val="24"/>
          <w:szCs w:val="24"/>
        </w:rPr>
        <w:t>stay</w:t>
      </w:r>
      <w:bookmarkEnd w:id="1"/>
      <w:r w:rsidRPr="00AB6810" w:rsidR="333F855B">
        <w:rPr>
          <w:rFonts w:ascii="Arial" w:hAnsi="Arial" w:cs="Arial"/>
          <w:sz w:val="24"/>
          <w:szCs w:val="24"/>
        </w:rPr>
        <w:t xml:space="preserve"> or medical procedure</w:t>
      </w:r>
      <w:r w:rsidRPr="00AB6810" w:rsidR="2CD8EEF7">
        <w:rPr>
          <w:rFonts w:ascii="Arial" w:hAnsi="Arial" w:cs="Arial"/>
          <w:sz w:val="24"/>
          <w:szCs w:val="24"/>
        </w:rPr>
        <w:t xml:space="preserve"> of an insured individual </w:t>
      </w:r>
      <w:r w:rsidRPr="00AB6810" w:rsidR="0516E2AF">
        <w:rPr>
          <w:rFonts w:ascii="Arial" w:hAnsi="Arial" w:cs="Arial"/>
          <w:sz w:val="24"/>
          <w:szCs w:val="24"/>
        </w:rPr>
        <w:t xml:space="preserve">in </w:t>
      </w:r>
      <w:r w:rsidRPr="00AB6810" w:rsidR="2CD8EEF7">
        <w:rPr>
          <w:rFonts w:ascii="Arial" w:hAnsi="Arial" w:cs="Arial"/>
          <w:sz w:val="24"/>
          <w:szCs w:val="24"/>
        </w:rPr>
        <w:t>a public hospital or a private clinic leads to a record in the</w:t>
      </w:r>
      <w:r w:rsidRPr="00AB6810" w:rsidR="003B76D9">
        <w:rPr>
          <w:rFonts w:ascii="Arial" w:hAnsi="Arial" w:cs="Arial"/>
          <w:sz w:val="24"/>
          <w:szCs w:val="24"/>
        </w:rPr>
        <w:t xml:space="preserve"> French national hospital discharge database</w:t>
      </w:r>
      <w:r w:rsidRPr="00AB6810">
        <w:rPr>
          <w:rFonts w:ascii="Arial" w:hAnsi="Arial" w:cs="Arial"/>
          <w:sz w:val="24"/>
          <w:szCs w:val="24"/>
        </w:rPr>
        <w:t xml:space="preserve"> </w:t>
      </w:r>
      <w:r w:rsidRPr="00AB6810" w:rsidR="003B76D9">
        <w:rPr>
          <w:rFonts w:ascii="Arial" w:hAnsi="Arial" w:cs="Arial"/>
          <w:sz w:val="24"/>
          <w:szCs w:val="24"/>
        </w:rPr>
        <w:t>(</w:t>
      </w:r>
      <w:r w:rsidRPr="00AB6810">
        <w:rPr>
          <w:rFonts w:ascii="Arial" w:hAnsi="Arial" w:cs="Arial"/>
          <w:i/>
          <w:iCs/>
          <w:sz w:val="24"/>
          <w:szCs w:val="24"/>
        </w:rPr>
        <w:t>Programme de Médicalisation des Systèmes d'Information</w:t>
      </w:r>
      <w:r w:rsidRPr="00AB6810">
        <w:rPr>
          <w:rFonts w:ascii="Arial" w:hAnsi="Arial" w:cs="Arial"/>
          <w:sz w:val="24"/>
          <w:szCs w:val="24"/>
        </w:rPr>
        <w:t xml:space="preserve"> </w:t>
      </w:r>
      <w:r w:rsidRPr="00AB6810" w:rsidR="107DE6AB">
        <w:rPr>
          <w:rFonts w:ascii="Arial" w:hAnsi="Arial" w:cs="Arial"/>
          <w:sz w:val="24"/>
          <w:szCs w:val="24"/>
        </w:rPr>
        <w:t>[</w:t>
      </w:r>
      <w:r w:rsidRPr="00AB6810">
        <w:rPr>
          <w:rFonts w:ascii="Arial" w:hAnsi="Arial" w:cs="Arial"/>
          <w:sz w:val="24"/>
          <w:szCs w:val="24"/>
        </w:rPr>
        <w:t>PMSI</w:t>
      </w:r>
      <w:r w:rsidRPr="00AB6810" w:rsidR="5E60D88D">
        <w:rPr>
          <w:rFonts w:ascii="Arial" w:hAnsi="Arial" w:cs="Arial"/>
          <w:sz w:val="24"/>
          <w:szCs w:val="24"/>
        </w:rPr>
        <w:t>]</w:t>
      </w:r>
      <w:r w:rsidRPr="00AB6810" w:rsidR="003B76D9">
        <w:rPr>
          <w:rFonts w:ascii="Arial" w:hAnsi="Arial" w:cs="Arial"/>
          <w:sz w:val="24"/>
          <w:szCs w:val="24"/>
        </w:rPr>
        <w:t>)</w:t>
      </w:r>
      <w:r w:rsidRPr="00AB6810">
        <w:rPr>
          <w:rFonts w:ascii="Arial" w:hAnsi="Arial" w:cs="Arial"/>
          <w:sz w:val="24"/>
          <w:szCs w:val="24"/>
        </w:rPr>
        <w:t xml:space="preserve">. </w:t>
      </w:r>
      <w:r w:rsidRPr="00AB6810" w:rsidR="00F36645">
        <w:rPr>
          <w:rFonts w:ascii="Arial" w:hAnsi="Arial" w:cs="Arial"/>
          <w:sz w:val="24"/>
          <w:szCs w:val="24"/>
        </w:rPr>
        <w:t xml:space="preserve">Each </w:t>
      </w:r>
      <w:r w:rsidRPr="00AB6810" w:rsidR="1A2A1743">
        <w:rPr>
          <w:rFonts w:ascii="Arial" w:hAnsi="Arial" w:cs="Arial"/>
          <w:sz w:val="24"/>
          <w:szCs w:val="24"/>
        </w:rPr>
        <w:t>record includes t</w:t>
      </w:r>
      <w:r w:rsidRPr="00AB6810">
        <w:rPr>
          <w:rFonts w:ascii="Arial" w:hAnsi="Arial" w:cs="Arial"/>
          <w:sz w:val="24"/>
          <w:szCs w:val="24"/>
        </w:rPr>
        <w:t xml:space="preserve">he </w:t>
      </w:r>
      <w:r w:rsidRPr="00AB6810" w:rsidR="6E0E1A99">
        <w:rPr>
          <w:rFonts w:ascii="Arial" w:hAnsi="Arial" w:cs="Arial"/>
          <w:sz w:val="24"/>
          <w:szCs w:val="24"/>
        </w:rPr>
        <w:t xml:space="preserve">final and associated </w:t>
      </w:r>
      <w:r w:rsidRPr="00AB6810" w:rsidR="1A79E238">
        <w:rPr>
          <w:rFonts w:ascii="Arial" w:hAnsi="Arial" w:cs="Arial"/>
          <w:sz w:val="24"/>
          <w:szCs w:val="24"/>
        </w:rPr>
        <w:t xml:space="preserve">discharge </w:t>
      </w:r>
      <w:r w:rsidRPr="00AB6810">
        <w:rPr>
          <w:rFonts w:ascii="Arial" w:hAnsi="Arial" w:cs="Arial"/>
          <w:sz w:val="24"/>
          <w:szCs w:val="24"/>
        </w:rPr>
        <w:t>diagnos</w:t>
      </w:r>
      <w:r w:rsidRPr="00AB6810" w:rsidR="2CD48351">
        <w:rPr>
          <w:rFonts w:ascii="Arial" w:hAnsi="Arial" w:cs="Arial"/>
          <w:sz w:val="24"/>
          <w:szCs w:val="24"/>
        </w:rPr>
        <w:t xml:space="preserve">is codes </w:t>
      </w:r>
      <w:r w:rsidRPr="00AB6810">
        <w:rPr>
          <w:rFonts w:ascii="Arial" w:hAnsi="Arial" w:cs="Arial"/>
          <w:sz w:val="24"/>
          <w:szCs w:val="24"/>
        </w:rPr>
        <w:t>(using the International Classification of Disease [ICD] 10</w:t>
      </w:r>
      <w:r w:rsidRPr="00AB6810">
        <w:rPr>
          <w:rFonts w:ascii="Arial" w:hAnsi="Arial" w:cs="Arial"/>
          <w:sz w:val="24"/>
          <w:szCs w:val="24"/>
          <w:vertAlign w:val="superscript"/>
        </w:rPr>
        <w:t>th</w:t>
      </w:r>
      <w:r w:rsidRPr="00AB6810">
        <w:rPr>
          <w:rFonts w:ascii="Arial" w:hAnsi="Arial" w:cs="Arial"/>
          <w:sz w:val="24"/>
          <w:szCs w:val="24"/>
        </w:rPr>
        <w:t xml:space="preserve"> version), along with age, gender and </w:t>
      </w:r>
      <w:r w:rsidRPr="00AB6810" w:rsidR="0E654EBF">
        <w:rPr>
          <w:rFonts w:ascii="Arial" w:hAnsi="Arial" w:cs="Arial"/>
          <w:sz w:val="24"/>
          <w:szCs w:val="24"/>
        </w:rPr>
        <w:t xml:space="preserve">the </w:t>
      </w:r>
      <w:r w:rsidRPr="00AB6810" w:rsidR="24438681">
        <w:rPr>
          <w:rFonts w:ascii="Arial" w:hAnsi="Arial" w:cs="Arial"/>
          <w:sz w:val="24"/>
          <w:szCs w:val="24"/>
        </w:rPr>
        <w:t>place of residence</w:t>
      </w:r>
      <w:r w:rsidRPr="00AB6810" w:rsidR="00273004">
        <w:rPr>
          <w:rFonts w:ascii="Arial" w:hAnsi="Arial" w:cs="Arial"/>
          <w:sz w:val="24"/>
          <w:szCs w:val="24"/>
        </w:rPr>
        <w:t xml:space="preserve">, </w:t>
      </w:r>
      <w:r w:rsidRPr="00AB6810" w:rsidR="455F31A4">
        <w:rPr>
          <w:rFonts w:ascii="Arial" w:hAnsi="Arial" w:cs="Arial"/>
          <w:sz w:val="24"/>
          <w:szCs w:val="24"/>
        </w:rPr>
        <w:t xml:space="preserve">available </w:t>
      </w:r>
      <w:r w:rsidRPr="00AB6810" w:rsidR="17C673B9">
        <w:rPr>
          <w:rFonts w:ascii="Arial" w:hAnsi="Arial" w:cs="Arial"/>
          <w:sz w:val="24"/>
          <w:szCs w:val="24"/>
        </w:rPr>
        <w:t>at</w:t>
      </w:r>
      <w:r w:rsidRPr="00AB6810">
        <w:rPr>
          <w:rFonts w:ascii="Arial" w:hAnsi="Arial" w:cs="Arial"/>
          <w:sz w:val="24"/>
          <w:szCs w:val="24"/>
        </w:rPr>
        <w:t xml:space="preserve"> a specific spatial </w:t>
      </w:r>
      <w:r w:rsidRPr="00AB6810" w:rsidR="624E19D6">
        <w:rPr>
          <w:rFonts w:ascii="Arial" w:hAnsi="Arial" w:cs="Arial"/>
          <w:sz w:val="24"/>
          <w:szCs w:val="24"/>
        </w:rPr>
        <w:t xml:space="preserve">scale </w:t>
      </w:r>
      <w:r w:rsidRPr="00AB6810" w:rsidR="00D415D2">
        <w:rPr>
          <w:rFonts w:ascii="Arial" w:hAnsi="Arial" w:cs="Arial"/>
          <w:sz w:val="24"/>
          <w:szCs w:val="24"/>
        </w:rPr>
        <w:t xml:space="preserve">known </w:t>
      </w:r>
      <w:r w:rsidRPr="00AB6810" w:rsidR="00AC2C4F">
        <w:rPr>
          <w:rFonts w:ascii="Arial" w:hAnsi="Arial" w:cs="Arial"/>
          <w:sz w:val="24"/>
          <w:szCs w:val="24"/>
        </w:rPr>
        <w:t>as</w:t>
      </w:r>
      <w:r w:rsidRPr="00AB6810">
        <w:rPr>
          <w:rFonts w:ascii="Arial" w:hAnsi="Arial" w:cs="Arial"/>
          <w:sz w:val="24"/>
          <w:szCs w:val="24"/>
        </w:rPr>
        <w:t xml:space="preserve"> the PMSI geocode</w:t>
      </w:r>
      <w:r w:rsidRPr="00AB6810" w:rsidR="61EBC423">
        <w:rPr>
          <w:rFonts w:ascii="Arial" w:hAnsi="Arial" w:cs="Arial"/>
          <w:sz w:val="24"/>
          <w:szCs w:val="24"/>
        </w:rPr>
        <w:t xml:space="preserve">. </w:t>
      </w:r>
      <w:r w:rsidRPr="00AB6810" w:rsidR="4A030551">
        <w:rPr>
          <w:rFonts w:ascii="Arial" w:hAnsi="Arial" w:cs="Arial"/>
          <w:sz w:val="24"/>
          <w:szCs w:val="24"/>
        </w:rPr>
        <w:t xml:space="preserve">The </w:t>
      </w:r>
      <w:r w:rsidRPr="00AB6810" w:rsidR="61EBC423">
        <w:rPr>
          <w:rFonts w:ascii="Arial" w:hAnsi="Arial" w:cs="Arial"/>
          <w:sz w:val="24"/>
          <w:szCs w:val="24"/>
        </w:rPr>
        <w:t>PMSI geocode</w:t>
      </w:r>
      <w:r w:rsidRPr="00AB6810" w:rsidR="535E817D">
        <w:rPr>
          <w:rFonts w:ascii="Arial" w:hAnsi="Arial" w:cs="Arial"/>
          <w:sz w:val="24"/>
          <w:szCs w:val="24"/>
        </w:rPr>
        <w:t xml:space="preserve"> was used as the spatial unit of reference in this study.</w:t>
      </w:r>
    </w:p>
    <w:p w:rsidRPr="00AB6810" w:rsidR="00E722C6" w:rsidP="35BFB30F" w:rsidRDefault="00E722C6" w14:paraId="626D42E6" w14:textId="101206F6">
      <w:pPr>
        <w:spacing w:line="480" w:lineRule="auto"/>
        <w:rPr>
          <w:rFonts w:ascii="Arial" w:hAnsi="Arial" w:cs="Arial"/>
          <w:sz w:val="24"/>
          <w:szCs w:val="24"/>
        </w:rPr>
      </w:pPr>
      <w:r w:rsidRPr="00AB6810">
        <w:rPr>
          <w:rFonts w:ascii="Arial" w:hAnsi="Arial" w:cs="Arial"/>
          <w:sz w:val="24"/>
          <w:szCs w:val="24"/>
        </w:rPr>
        <w:t xml:space="preserve">France </w:t>
      </w:r>
      <w:r w:rsidRPr="00AB6810" w:rsidR="0001727F">
        <w:rPr>
          <w:rFonts w:ascii="Arial" w:hAnsi="Arial" w:cs="Arial"/>
          <w:sz w:val="24"/>
          <w:szCs w:val="24"/>
        </w:rPr>
        <w:t>is</w:t>
      </w:r>
      <w:r w:rsidRPr="00AB6810">
        <w:rPr>
          <w:rFonts w:ascii="Arial" w:hAnsi="Arial" w:cs="Arial"/>
          <w:sz w:val="24"/>
          <w:szCs w:val="24"/>
        </w:rPr>
        <w:t xml:space="preserve"> divided into 55</w:t>
      </w:r>
      <w:r w:rsidRPr="00AB6810" w:rsidR="1E9BD2C7">
        <w:rPr>
          <w:rFonts w:ascii="Arial" w:hAnsi="Arial" w:cs="Arial"/>
          <w:sz w:val="24"/>
          <w:szCs w:val="24"/>
        </w:rPr>
        <w:t>29</w:t>
      </w:r>
      <w:r w:rsidRPr="00AB6810">
        <w:rPr>
          <w:rFonts w:ascii="Arial" w:hAnsi="Arial" w:cs="Arial"/>
          <w:sz w:val="24"/>
          <w:szCs w:val="24"/>
        </w:rPr>
        <w:t xml:space="preserve"> PMSI geocodes </w:t>
      </w:r>
      <w:r w:rsidRPr="00AB6810" w:rsidR="59D4DE42">
        <w:rPr>
          <w:rFonts w:ascii="Arial" w:hAnsi="Arial" w:cs="Arial"/>
          <w:sz w:val="24"/>
          <w:szCs w:val="24"/>
        </w:rPr>
        <w:t xml:space="preserve">of a </w:t>
      </w:r>
      <w:r w:rsidRPr="00AB6810" w:rsidR="53C0274D">
        <w:rPr>
          <w:rFonts w:ascii="Arial" w:hAnsi="Arial" w:cs="Arial"/>
          <w:sz w:val="24"/>
          <w:szCs w:val="24"/>
        </w:rPr>
        <w:t xml:space="preserve">median </w:t>
      </w:r>
      <w:r w:rsidRPr="00AB6810" w:rsidR="59D4DE42">
        <w:rPr>
          <w:rFonts w:ascii="Arial" w:hAnsi="Arial" w:cs="Arial"/>
          <w:sz w:val="24"/>
          <w:szCs w:val="24"/>
        </w:rPr>
        <w:t xml:space="preserve">surface of </w:t>
      </w:r>
      <w:r w:rsidRPr="00AB6810" w:rsidR="507FA970">
        <w:rPr>
          <w:rFonts w:ascii="Arial" w:hAnsi="Arial" w:cs="Arial"/>
          <w:sz w:val="24"/>
          <w:szCs w:val="24"/>
        </w:rPr>
        <w:t>69</w:t>
      </w:r>
      <w:r w:rsidRPr="00AB6810" w:rsidR="00872334">
        <w:rPr>
          <w:rFonts w:ascii="Arial" w:hAnsi="Arial" w:cs="Arial"/>
          <w:sz w:val="24"/>
          <w:szCs w:val="24"/>
        </w:rPr>
        <w:t>.</w:t>
      </w:r>
      <w:r w:rsidRPr="00AB6810" w:rsidR="507FA970">
        <w:rPr>
          <w:rFonts w:ascii="Arial" w:hAnsi="Arial" w:cs="Arial"/>
          <w:sz w:val="24"/>
          <w:szCs w:val="24"/>
        </w:rPr>
        <w:t>9</w:t>
      </w:r>
      <w:r w:rsidRPr="00AB6810" w:rsidR="59D4DE42">
        <w:rPr>
          <w:rFonts w:ascii="Arial" w:hAnsi="Arial" w:cs="Arial"/>
          <w:sz w:val="24"/>
          <w:szCs w:val="24"/>
        </w:rPr>
        <w:t>km²</w:t>
      </w:r>
      <w:r w:rsidRPr="00AB6810">
        <w:rPr>
          <w:rFonts w:ascii="Arial" w:hAnsi="Arial" w:cs="Arial"/>
          <w:sz w:val="24"/>
          <w:szCs w:val="24"/>
        </w:rPr>
        <w:t xml:space="preserve"> </w:t>
      </w:r>
      <w:r w:rsidRPr="00AB6810" w:rsidR="15597BE0">
        <w:rPr>
          <w:rFonts w:ascii="Arial" w:hAnsi="Arial" w:cs="Arial"/>
          <w:sz w:val="24"/>
          <w:szCs w:val="24"/>
        </w:rPr>
        <w:t>(</w:t>
      </w:r>
      <w:r w:rsidRPr="00AB6810" w:rsidR="4DDDC30B">
        <w:rPr>
          <w:rFonts w:ascii="Arial" w:hAnsi="Arial" w:cs="Arial"/>
          <w:sz w:val="24"/>
          <w:szCs w:val="24"/>
        </w:rPr>
        <w:t>IQR: 21</w:t>
      </w:r>
      <w:r w:rsidRPr="00AB6810" w:rsidR="00872334">
        <w:rPr>
          <w:rFonts w:ascii="Arial" w:hAnsi="Arial" w:cs="Arial"/>
          <w:sz w:val="24"/>
          <w:szCs w:val="24"/>
        </w:rPr>
        <w:t>.</w:t>
      </w:r>
      <w:r w:rsidRPr="00AB6810" w:rsidR="4DDDC30B">
        <w:rPr>
          <w:rFonts w:ascii="Arial" w:hAnsi="Arial" w:cs="Arial"/>
          <w:sz w:val="24"/>
          <w:szCs w:val="24"/>
        </w:rPr>
        <w:t xml:space="preserve">4 </w:t>
      </w:r>
      <w:r w:rsidRPr="00AB6810" w:rsidR="175FB196">
        <w:rPr>
          <w:rFonts w:ascii="Arial" w:hAnsi="Arial" w:cs="Arial"/>
          <w:sz w:val="24"/>
          <w:szCs w:val="24"/>
        </w:rPr>
        <w:t>–</w:t>
      </w:r>
      <w:r w:rsidRPr="00AB6810" w:rsidR="4DDDC30B">
        <w:rPr>
          <w:rFonts w:ascii="Arial" w:hAnsi="Arial" w:cs="Arial"/>
          <w:sz w:val="24"/>
          <w:szCs w:val="24"/>
        </w:rPr>
        <w:t xml:space="preserve"> 147</w:t>
      </w:r>
      <w:r w:rsidRPr="00AB6810" w:rsidR="00872334">
        <w:rPr>
          <w:rFonts w:ascii="Arial" w:hAnsi="Arial" w:cs="Arial"/>
          <w:sz w:val="24"/>
          <w:szCs w:val="24"/>
        </w:rPr>
        <w:t>.</w:t>
      </w:r>
      <w:r w:rsidRPr="00AB6810" w:rsidR="4DDDC30B">
        <w:rPr>
          <w:rFonts w:ascii="Arial" w:hAnsi="Arial" w:cs="Arial"/>
          <w:sz w:val="24"/>
          <w:szCs w:val="24"/>
        </w:rPr>
        <w:t xml:space="preserve">6) </w:t>
      </w:r>
      <w:r w:rsidRPr="00AB6810" w:rsidR="1D0839FA">
        <w:rPr>
          <w:rFonts w:ascii="Arial" w:hAnsi="Arial" w:cs="Arial"/>
          <w:sz w:val="24"/>
          <w:szCs w:val="24"/>
        </w:rPr>
        <w:t>and</w:t>
      </w:r>
      <w:r w:rsidRPr="00AB6810">
        <w:rPr>
          <w:rFonts w:ascii="Arial" w:hAnsi="Arial" w:cs="Arial"/>
          <w:sz w:val="24"/>
          <w:szCs w:val="24"/>
        </w:rPr>
        <w:t xml:space="preserve"> </w:t>
      </w:r>
      <w:r w:rsidRPr="00AB6810" w:rsidR="006D2819">
        <w:rPr>
          <w:rFonts w:ascii="Arial" w:hAnsi="Arial" w:cs="Arial"/>
          <w:sz w:val="24"/>
          <w:szCs w:val="24"/>
        </w:rPr>
        <w:t xml:space="preserve">a median of </w:t>
      </w:r>
      <w:r w:rsidRPr="00AB6810" w:rsidR="6C45D3E4">
        <w:rPr>
          <w:rFonts w:ascii="Arial" w:hAnsi="Arial" w:cs="Arial"/>
          <w:sz w:val="24"/>
          <w:szCs w:val="24"/>
        </w:rPr>
        <w:t xml:space="preserve">6448 </w:t>
      </w:r>
      <w:r w:rsidRPr="00AB6810">
        <w:rPr>
          <w:rFonts w:ascii="Arial" w:hAnsi="Arial" w:cs="Arial"/>
          <w:sz w:val="24"/>
          <w:szCs w:val="24"/>
        </w:rPr>
        <w:t>individuals</w:t>
      </w:r>
      <w:r w:rsidRPr="00AB6810" w:rsidR="2E54A2C8">
        <w:rPr>
          <w:rFonts w:ascii="Arial" w:hAnsi="Arial" w:cs="Arial"/>
          <w:sz w:val="24"/>
          <w:szCs w:val="24"/>
        </w:rPr>
        <w:t xml:space="preserve"> (IQR: </w:t>
      </w:r>
      <w:r w:rsidRPr="00AB6810" w:rsidR="795F9BD7">
        <w:rPr>
          <w:rFonts w:ascii="Arial" w:hAnsi="Arial" w:cs="Arial"/>
          <w:sz w:val="24"/>
          <w:szCs w:val="24"/>
        </w:rPr>
        <w:t xml:space="preserve">3507 </w:t>
      </w:r>
      <w:r w:rsidRPr="00AB6810" w:rsidR="4672C943">
        <w:rPr>
          <w:rFonts w:ascii="Arial" w:hAnsi="Arial" w:cs="Arial"/>
          <w:sz w:val="24"/>
          <w:szCs w:val="24"/>
        </w:rPr>
        <w:t>–</w:t>
      </w:r>
      <w:r w:rsidRPr="00AB6810" w:rsidR="795F9BD7">
        <w:rPr>
          <w:rFonts w:ascii="Arial" w:hAnsi="Arial" w:cs="Arial"/>
          <w:sz w:val="24"/>
          <w:szCs w:val="24"/>
        </w:rPr>
        <w:t xml:space="preserve"> 12240</w:t>
      </w:r>
      <w:r w:rsidRPr="00AB6810" w:rsidR="2E54A2C8">
        <w:rPr>
          <w:rFonts w:ascii="Arial" w:hAnsi="Arial" w:cs="Arial"/>
          <w:sz w:val="24"/>
          <w:szCs w:val="24"/>
        </w:rPr>
        <w:t>)</w:t>
      </w:r>
      <w:r w:rsidRPr="00AB6810">
        <w:rPr>
          <w:rFonts w:ascii="Arial" w:hAnsi="Arial" w:cs="Arial"/>
          <w:sz w:val="24"/>
          <w:szCs w:val="24"/>
        </w:rPr>
        <w:t xml:space="preserve"> per unit</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{"citationID":"CJtsWmlR","properties":{"formattedCitation":"\\super 12\\nosupersub{}","plainCitation":"12","noteIndex":0},"citationItems":[{"id":23229,"uris":["http://zotero.org/users/local/vY69w1Y2/items/YTVQ3P7I","http://zotero.org/users/9040671/items/YTVQ3P7I"],"itemData":{"id":23229,"type":"webpage","title":"Cartographie PMSI - Indicateurs : cartes, données et graphiques","URL":"https://cartographie.atih.sante.fr/#c=indicator&amp;e=000000000&amp;f=TT&amp;i=sejoursmco.eft&amp;s=2021&amp;t=A02&amp;view=map1","accessed":{"date-parts":[["2023",6,9]]}}}],"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12</w:t>
      </w:r>
      <w:r w:rsidRPr="00AB6810">
        <w:rPr>
          <w:rFonts w:ascii="Arial" w:hAnsi="Arial" w:cs="Arial"/>
          <w:sz w:val="24"/>
          <w:szCs w:val="24"/>
        </w:rPr>
        <w:fldChar w:fldCharType="end"/>
      </w:r>
      <w:r w:rsidRPr="00AB6810">
        <w:rPr>
          <w:rFonts w:ascii="Arial" w:hAnsi="Arial" w:cs="Arial"/>
          <w:sz w:val="24"/>
          <w:szCs w:val="24"/>
        </w:rPr>
        <w:t>. Correspondence tables</w:t>
      </w:r>
      <w:r w:rsidRPr="00AB6810" w:rsidR="007158CF">
        <w:rPr>
          <w:rFonts w:ascii="Arial" w:hAnsi="Arial" w:cs="Arial"/>
          <w:sz w:val="24"/>
          <w:szCs w:val="24"/>
        </w:rPr>
        <w:t xml:space="preserve"> and methods</w:t>
      </w:r>
      <w:r w:rsidRPr="00AB6810">
        <w:rPr>
          <w:rFonts w:ascii="Arial" w:hAnsi="Arial" w:cs="Arial"/>
          <w:sz w:val="24"/>
          <w:szCs w:val="24"/>
        </w:rPr>
        <w:t xml:space="preserve"> to </w:t>
      </w:r>
      <w:r w:rsidRPr="00AB6810" w:rsidR="009B0DD5">
        <w:rPr>
          <w:rFonts w:ascii="Arial" w:hAnsi="Arial" w:cs="Arial"/>
          <w:sz w:val="24"/>
          <w:szCs w:val="24"/>
        </w:rPr>
        <w:t xml:space="preserve">match </w:t>
      </w:r>
      <w:r w:rsidRPr="00AB6810">
        <w:rPr>
          <w:rFonts w:ascii="Arial" w:hAnsi="Arial" w:cs="Arial"/>
          <w:sz w:val="24"/>
          <w:szCs w:val="24"/>
        </w:rPr>
        <w:t xml:space="preserve">different </w:t>
      </w:r>
      <w:r w:rsidRPr="00AB6810" w:rsidR="4A72F0D6">
        <w:rPr>
          <w:rFonts w:ascii="Arial" w:hAnsi="Arial" w:cs="Arial"/>
          <w:sz w:val="24"/>
          <w:szCs w:val="24"/>
        </w:rPr>
        <w:t xml:space="preserve">databases’ </w:t>
      </w:r>
      <w:r w:rsidRPr="00AB6810">
        <w:rPr>
          <w:rFonts w:ascii="Arial" w:hAnsi="Arial" w:cs="Arial"/>
          <w:sz w:val="24"/>
          <w:szCs w:val="24"/>
        </w:rPr>
        <w:t xml:space="preserve">spatial scales </w:t>
      </w:r>
      <w:r w:rsidRPr="00AB6810" w:rsidR="5A2A083B">
        <w:rPr>
          <w:rFonts w:ascii="Arial" w:hAnsi="Arial" w:cs="Arial"/>
          <w:sz w:val="24"/>
          <w:szCs w:val="24"/>
        </w:rPr>
        <w:t>(</w:t>
      </w:r>
      <w:r w:rsidRPr="00AB6810" w:rsidR="00E328D2">
        <w:rPr>
          <w:rFonts w:ascii="Arial" w:hAnsi="Arial" w:cs="Arial"/>
          <w:sz w:val="24"/>
          <w:szCs w:val="24"/>
        </w:rPr>
        <w:t xml:space="preserve">municipality </w:t>
      </w:r>
      <w:r w:rsidRPr="00AB6810" w:rsidR="5A2A083B">
        <w:rPr>
          <w:rFonts w:ascii="Arial" w:hAnsi="Arial" w:cs="Arial"/>
          <w:sz w:val="24"/>
          <w:szCs w:val="24"/>
        </w:rPr>
        <w:t xml:space="preserve">or zip code) to PMSI geocodes </w:t>
      </w:r>
      <w:r w:rsidRPr="00AB6810" w:rsidR="007158CF">
        <w:rPr>
          <w:rFonts w:ascii="Arial" w:hAnsi="Arial" w:cs="Arial"/>
          <w:sz w:val="24"/>
          <w:szCs w:val="24"/>
        </w:rPr>
        <w:t>ha</w:t>
      </w:r>
      <w:r w:rsidRPr="00AB6810" w:rsidR="3FFAE705">
        <w:rPr>
          <w:rFonts w:ascii="Arial" w:hAnsi="Arial" w:cs="Arial"/>
          <w:sz w:val="24"/>
          <w:szCs w:val="24"/>
        </w:rPr>
        <w:t>ve</w:t>
      </w:r>
      <w:r w:rsidRPr="00AB6810" w:rsidR="007158CF">
        <w:rPr>
          <w:rFonts w:ascii="Arial" w:hAnsi="Arial" w:cs="Arial"/>
          <w:sz w:val="24"/>
          <w:szCs w:val="24"/>
        </w:rPr>
        <w:t xml:space="preserve"> been previously studied</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{"citationID":"TIPSNGoO","properties":{"formattedCitation":"\\super 13\\nosupersub{}","plainCitation":"13","noteIndex":0},"citationItems":[{"id":29727,"uris":["http://zotero.org/users/9040671/items/EM75ARUP"],"itemData":{"id":29727,"type":"article-journal","abstract":"BACKGROUND: The availability of big data in healthcare and the intensive development of data reuse and georeferencing have opened up perspectives for health spatial analysis. However, fine-scale spatial studies of ecological and medical databases are limited by the change of support problem and thus a lack of spatial unit interoperability. The use of spatial disaggregation methods to solve this problem introduces errors into the spatial estimations. Here, we present a generic, two-step method for merging medical and ecological databases that avoids the use of spatial disaggregation methods, while maximizing the spatial resolution.\nMETHODS: Firstly, a mapping table is created after one or more transition matrices have been defined. The latter link the spatial units of the original databases to the spatial units of the final database. Secondly, the mapping table is validated by (1) comparing the covariates contained in the two original databases, and (2) checking the spatial validity with a spatial continuity criterion and a spatial resolution index.\nRESULTS: We used our novel method to merge a medical database (the French national diagnosis-related group database, containing 5644 spatial units) with an ecological database (produced by the French National Institute of Statistics and Economic Studies, and containing with 36,594 spatial units). The mapping table yielded 5632 final spatial units. The mapping table's validity was evaluated by comparing the number of births in the medical database and the ecological databases in each final spatial unit. The median [interquartile range] relative difference was 2.3% [0; 5.7]. The spatial continuity criterion was low (2.4%), and the spatial resolution index was greater than for most French administrative areas.\nCONCLUSIONS: Our innovative approach improves interoperability between medical and ecological databases and facilitates fine-scale spatial analyses. We have shown that disaggregation models and large aggregation techniques are not necessarily the best ways to tackle the change of support problem.","container-title":"International Journal of Health Geographics","DOI":"10.1186/s12942-017-0109-5","ISSN":"1476-072X","issue":"1","journalAbbreviation":"Int J Health Geogr","language":"eng","note":"PMID: 28974262\nPMCID: PMC5627422","page":"36","source":"PubMed","title":"A generic method for improving the spatial interoperability of medical and ecological databases","volume":"16","author":[{"family":"Ghenassia","given":"A."},{"family":"Beuscart","given":"J. B."},{"family":"Ficheur","given":"G."},{"family":"Occelli","given":"F."},{"family":"Babykina","given":"E."},{"family":"Chazard","given":"E."},{"family":"Genin","given":"M."}],"issued":{"date-parts":[["2017",10,3]]}},"label":"page"}],"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13</w:t>
      </w:r>
      <w:r w:rsidRPr="00AB6810">
        <w:rPr>
          <w:rFonts w:ascii="Arial" w:hAnsi="Arial" w:cs="Arial"/>
          <w:sz w:val="24"/>
          <w:szCs w:val="24"/>
        </w:rPr>
        <w:fldChar w:fldCharType="end"/>
      </w:r>
      <w:r w:rsidRPr="00AB6810">
        <w:rPr>
          <w:rFonts w:ascii="Arial" w:hAnsi="Arial" w:cs="Arial"/>
          <w:sz w:val="24"/>
          <w:szCs w:val="24"/>
        </w:rPr>
        <w:t>.</w:t>
      </w:r>
    </w:p>
    <w:p w:rsidRPr="00AB6810" w:rsidR="00E722C6" w:rsidP="00CF781E" w:rsidRDefault="00E722C6" w14:paraId="322E23D8" w14:textId="77777777">
      <w:pPr>
        <w:spacing w:line="480" w:lineRule="auto"/>
        <w:rPr>
          <w:rFonts w:ascii="Arial" w:hAnsi="Arial" w:cs="Arial"/>
          <w:i/>
          <w:iCs/>
          <w:sz w:val="24"/>
          <w:szCs w:val="24"/>
          <w:u w:val="single"/>
        </w:rPr>
      </w:pPr>
      <w:bookmarkStart w:name="_Toc142947702" w:id="2"/>
      <w:r w:rsidRPr="00AB6810">
        <w:rPr>
          <w:rFonts w:ascii="Arial" w:hAnsi="Arial" w:cs="Arial"/>
          <w:i/>
          <w:iCs/>
          <w:sz w:val="24"/>
          <w:szCs w:val="24"/>
          <w:u w:val="single"/>
        </w:rPr>
        <w:t>Outcome: pancreatic adenocarcinoma</w:t>
      </w:r>
      <w:bookmarkEnd w:id="2"/>
    </w:p>
    <w:p w:rsidRPr="00AB6810" w:rsidR="00E722C6" w:rsidP="35BFB30F" w:rsidRDefault="00E722C6" w14:paraId="05D87370" w14:textId="60C6E3DD">
      <w:pPr>
        <w:spacing w:line="480" w:lineRule="auto"/>
        <w:rPr>
          <w:rFonts w:ascii="Arial" w:hAnsi="Arial" w:cs="Arial"/>
          <w:sz w:val="24"/>
          <w:szCs w:val="24"/>
        </w:rPr>
      </w:pPr>
      <w:r w:rsidRPr="00AB6810">
        <w:rPr>
          <w:rFonts w:ascii="Arial" w:hAnsi="Arial" w:cs="Arial"/>
          <w:sz w:val="24"/>
          <w:szCs w:val="24"/>
        </w:rPr>
        <w:t xml:space="preserve">The yearly number of cases of PA per spatial unit, age, and sex between 2011 and 2021 was </w:t>
      </w:r>
      <w:r w:rsidRPr="00AB6810" w:rsidR="004C5773">
        <w:rPr>
          <w:rFonts w:ascii="Arial" w:hAnsi="Arial" w:cs="Arial"/>
          <w:sz w:val="24"/>
          <w:szCs w:val="24"/>
        </w:rPr>
        <w:t>retrieved</w:t>
      </w:r>
      <w:r w:rsidRPr="00AB6810">
        <w:rPr>
          <w:rFonts w:ascii="Arial" w:hAnsi="Arial" w:cs="Arial"/>
          <w:sz w:val="24"/>
          <w:szCs w:val="24"/>
        </w:rPr>
        <w:t xml:space="preserve"> from the PMSI database. </w:t>
      </w:r>
      <w:r w:rsidRPr="00AB6810" w:rsidR="2A1E4DB4">
        <w:rPr>
          <w:rFonts w:ascii="Arial" w:hAnsi="Arial" w:cs="Arial"/>
          <w:sz w:val="24"/>
          <w:szCs w:val="24"/>
        </w:rPr>
        <w:t>Cases of PA were identified using</w:t>
      </w:r>
      <w:r w:rsidRPr="00AB6810">
        <w:rPr>
          <w:rFonts w:ascii="Arial" w:hAnsi="Arial" w:cs="Arial"/>
          <w:sz w:val="24"/>
          <w:szCs w:val="24"/>
        </w:rPr>
        <w:t xml:space="preserve"> ICD-10 codes </w:t>
      </w:r>
      <w:r w:rsidRPr="00AB6810">
        <w:rPr>
          <w:rFonts w:ascii="Arial" w:hAnsi="Arial" w:cs="Arial"/>
          <w:sz w:val="24"/>
          <w:szCs w:val="24"/>
        </w:rPr>
        <w:t>C25</w:t>
      </w:r>
      <w:r w:rsidRPr="00AB6810" w:rsidR="00872334">
        <w:rPr>
          <w:rFonts w:ascii="Arial" w:hAnsi="Arial" w:cs="Arial"/>
          <w:sz w:val="24"/>
          <w:szCs w:val="24"/>
        </w:rPr>
        <w:t>.</w:t>
      </w:r>
      <w:r w:rsidRPr="00AB6810">
        <w:rPr>
          <w:rFonts w:ascii="Arial" w:hAnsi="Arial" w:cs="Arial"/>
          <w:sz w:val="24"/>
          <w:szCs w:val="24"/>
        </w:rPr>
        <w:t xml:space="preserve">0,1,2,3,7,8 or 9. </w:t>
      </w:r>
      <w:r w:rsidRPr="00AB6810" w:rsidR="285B966E">
        <w:rPr>
          <w:rFonts w:ascii="Arial" w:hAnsi="Arial" w:cs="Arial"/>
          <w:sz w:val="24"/>
          <w:szCs w:val="24"/>
        </w:rPr>
        <w:t>C</w:t>
      </w:r>
      <w:r w:rsidRPr="00AB6810">
        <w:rPr>
          <w:rFonts w:ascii="Arial" w:hAnsi="Arial" w:cs="Arial"/>
          <w:sz w:val="24"/>
          <w:szCs w:val="24"/>
        </w:rPr>
        <w:t>ases who had bee</w:t>
      </w:r>
      <w:r w:rsidRPr="00AB6810" w:rsidR="74679BEC">
        <w:rPr>
          <w:rFonts w:ascii="Arial" w:hAnsi="Arial" w:cs="Arial"/>
          <w:sz w:val="24"/>
          <w:szCs w:val="24"/>
        </w:rPr>
        <w:t xml:space="preserve">n </w:t>
      </w:r>
      <w:r w:rsidRPr="00AB6810" w:rsidR="15B9BAF3">
        <w:rPr>
          <w:rFonts w:ascii="Arial" w:hAnsi="Arial" w:cs="Arial"/>
          <w:sz w:val="24"/>
          <w:szCs w:val="24"/>
        </w:rPr>
        <w:t>previously recorded</w:t>
      </w:r>
      <w:r w:rsidRPr="00AB6810">
        <w:rPr>
          <w:rFonts w:ascii="Arial" w:hAnsi="Arial" w:cs="Arial"/>
          <w:sz w:val="24"/>
          <w:szCs w:val="24"/>
        </w:rPr>
        <w:t xml:space="preserve"> for the same diagnosis in the </w:t>
      </w:r>
      <w:r w:rsidRPr="00AB6810" w:rsidR="002CE2AD">
        <w:rPr>
          <w:rFonts w:ascii="Arial" w:hAnsi="Arial" w:cs="Arial"/>
          <w:sz w:val="24"/>
          <w:szCs w:val="24"/>
        </w:rPr>
        <w:t xml:space="preserve">preceding </w:t>
      </w:r>
      <w:r w:rsidRPr="00AB6810">
        <w:rPr>
          <w:rFonts w:ascii="Arial" w:hAnsi="Arial" w:cs="Arial"/>
          <w:sz w:val="24"/>
          <w:szCs w:val="24"/>
        </w:rPr>
        <w:t xml:space="preserve">24 months </w:t>
      </w:r>
      <w:r w:rsidRPr="00AB6810" w:rsidR="274D4152">
        <w:rPr>
          <w:rFonts w:ascii="Arial" w:hAnsi="Arial" w:cs="Arial"/>
          <w:sz w:val="24"/>
          <w:szCs w:val="24"/>
        </w:rPr>
        <w:t xml:space="preserve">were considered </w:t>
      </w:r>
      <w:r w:rsidRPr="00AB6810" w:rsidR="038FC995">
        <w:rPr>
          <w:rFonts w:ascii="Arial" w:hAnsi="Arial" w:cs="Arial"/>
          <w:sz w:val="24"/>
          <w:szCs w:val="24"/>
        </w:rPr>
        <w:t>a recurrence</w:t>
      </w:r>
      <w:r w:rsidRPr="00AB6810" w:rsidR="274D4152">
        <w:rPr>
          <w:rFonts w:ascii="Arial" w:hAnsi="Arial" w:cs="Arial"/>
          <w:sz w:val="24"/>
          <w:szCs w:val="24"/>
        </w:rPr>
        <w:t xml:space="preserve"> and were excluded</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{"citationID":"rTUJYyM6","properties":{"formattedCitation":"\\super 14\\nosupersub{}","plainCitation":"14","noteIndex":0},"citationItems":[{"id":23191,"uris":["http://zotero.org/users/local/vY69w1Y2/items/VU7FVU4G","http://zotero.org/users/9040671/items/VU7FVU4G"],"itemData":{"id":23191,"type":"article-journal","abstract":"IMPORTANCE: Early results at 3 years from the PRODIGE 24/Canadian Cancer Trials Group PA6 randomized clinical trial showed survival benefits with adjuvant treatment with modified FOLFIRINOX vs gemcitabine in patients with resected pancreatic ductal adenocarcinoma; mature data are now available.\nOBJECTIVE: To report 5-year outcomes and explore prognostic factors for overall survival.\nDESIGN, SETTING, AND PARTICIPANTS: This open-label, phase 3 randomized clinical trial was conducted at 77 hospitals in France and Canada and included patients aged 18 to 79 years with histologically confirmed pancreatic ductal adenocarcinoma who had undergone complete macroscopic (R0/R1) resection within 3 to 12 weeks before randomization. Patients were included from April 16, 2012, through October 3, 2016. The cutoff date for this analysis was June 28, 2021.\nINTERVENTIONS: A total of 493 patients were randomized (1:1) to receive treatment with modified FOLFIRINOX (oxaliplatin, 85 mg/m2 of body surface area; irinotecan, 150-180 mg/m2; leucovorin, 400 mg/m2; and fluorouracil, 2400 mg/m2, every 2 weeks) or gemcitabine (1000 mg/m2, days 1, 8, and 15, every 4 weeks) as adjuvant therapy for 24 weeks.\nMAIN OUTCOMES AND MEASURES: Primary end point was disease-free survival. Secondary end points included overall survival, metastasis-free survival, and cancer-specific survival. Prognostic factors for overall survival were determined.\nRESULTS: Of the 493 patients, 216 (43.8%) were women, and the mean (SD) age was 62.0 (8.9) years. At a median of 69.7 months' follow-up, 367 disease-free survival events were observed. In patients receiving chemotherapy with modified FOLFIRINOX vs gemcitabine, median disease-free survival was 21.4 months (95% CI, 17.5-26.7) vs 12.8 months (95% CI, 11.6-15.2) (hazard ratio [HR], 0.66; 95% CI, 0.54-0.82; P &lt; .001) and 5-year disease-free survival was 26.1% vs 19.0%; median overall survival was 53.5 months (95% CI, 43.5-58.4) vs 35.5 months (95% CI, 30.1-40.3) (HR, 0.68; 95% CI, 0.54-0.85; P = .001), and 5-year overall survival was 43.2% vs 31.4%; median metastasis-free survival was 29.4 months (95% CI, 21.4-40.1) vs 17.7 months (95% CI, 14.0-21.2) (HR, 0.64; 95% CI, 0.52-0.80; P &lt; .001); and median cancer-specific survival was 54.7 months (95% CI, 45.8-68.4) vs 36.3 months (95% CI, 30.5-43.9) (HR, 0.65; 95% CI, 0.51-0.82; P &lt; .001). Multivariable analysis identified modified FOLFIRINOX, age, tumor grade, tumor staging, and larger-volume center as significant favorable prognostic factors for overall survival. Shorter relapse delay was an adverse prognostic factor.\nCONCLUSIONS AND RELEVANCE: The final 5-year results from the PRODIGE 24/Canadian Cancer Trials Group PA6 randomized clinical trial indicate that adjuvant treatment with modified FOLFIRINOX yields significantly longer survival than gemcitabine in patients with resected pancreatic ductal adenocarcinoma.\nTRIAL REGISTRATION: EudraCT: 2011-002026-52; ClinicalTrials.gov Identifier: NCT01526135.","container-title":"JAMA oncology","DOI":"10.1001/jamaoncol.2022.3829","ISSN":"2374-2445","issue":"11","journalAbbreviation":"JAMA Oncol","language":"eng","note":"PMID: 36048453\nPMCID: PMC9437831","page":"1571-1578","source":"PubMed","title":"Five-Year Outcomes of FOLFIRINOX vs Gemcitabine as Adjuvant Therapy for Pancreatic Cancer: A Randomized Clinical Trial","title-short":"Five-Year Outcomes of FOLFIRINOX vs Gemcitabine as Adjuvant Therapy for Pancreatic Cancer","volume":"8","author":[{"family":"Conroy","given":"Thierry"},{"family":"Castan","given":"Florence"},{"family":"Lopez","given":"Anthony"},{"family":"Turpin","given":"Anthony"},{"family":"Ben Abdelghani","given":"Meher"},{"family":"Wei","given":"Alice C."},{"family":"Mitry","given":"Emmanuel"},{"family":"Biagi","given":"James J."},{"family":"Evesque","given":"Ludovic"},{"family":"Artru","given":"Pascal"},{"family":"Lecomte","given":"Thierry"},{"family":"Assenat","given":"Eric"},{"family":"Bauguion","given":"Lucile"},{"family":"Ychou","given":"Marc"},{"family":"Bouché","given":"Olivier"},{"family":"Monard","given":"Laure"},{"family":"Lambert","given":"Aurélien"},{"family":"Hammel","given":"Pascal"},{"literal":"Canadian Cancer Trials Group and the Unicancer-GI–PRODIGE Group"}],"issued":{"date-parts":[["2022",11,1]]}},"label":"page"}],"schema":"https://github.com/citation-style-language/schema/raw/master/csl-citation.json"}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14</w:t>
      </w:r>
      <w:r w:rsidRPr="00AB6810">
        <w:rPr>
          <w:rFonts w:ascii="Arial" w:hAnsi="Arial" w:cs="Arial"/>
          <w:sz w:val="24"/>
          <w:szCs w:val="24"/>
        </w:rPr>
        <w:fldChar w:fldCharType="end"/>
      </w:r>
      <w:r w:rsidRPr="00AB6810" w:rsidR="00155D5E">
        <w:rPr>
          <w:rFonts w:ascii="Arial" w:hAnsi="Arial" w:cs="Arial"/>
          <w:sz w:val="24"/>
          <w:szCs w:val="24"/>
        </w:rPr>
        <w:t>.</w:t>
      </w:r>
    </w:p>
    <w:p w:rsidRPr="00AB6810" w:rsidR="00E722C6" w:rsidP="0C84C4B5" w:rsidRDefault="00E722C6" w14:paraId="071B87A6" w14:textId="77777777">
      <w:pPr>
        <w:spacing w:line="480" w:lineRule="auto"/>
        <w:rPr>
          <w:rFonts w:ascii="Arial" w:hAnsi="Arial" w:cs="Arial"/>
          <w:i/>
          <w:iCs/>
          <w:sz w:val="24"/>
          <w:szCs w:val="24"/>
          <w:u w:val="single"/>
        </w:rPr>
      </w:pPr>
      <w:bookmarkStart w:name="_Toc142947703" w:id="3"/>
      <w:r w:rsidRPr="00AB6810">
        <w:rPr>
          <w:rFonts w:ascii="Arial" w:hAnsi="Arial" w:cs="Arial"/>
          <w:i/>
          <w:iCs/>
          <w:sz w:val="24"/>
          <w:szCs w:val="24"/>
          <w:u w:val="single"/>
        </w:rPr>
        <w:t>Exposure: pesticides and crop surface</w:t>
      </w:r>
      <w:bookmarkEnd w:id="3"/>
    </w:p>
    <w:p w:rsidRPr="00AB6810" w:rsidR="00E722C6" w:rsidP="00CF781E" w:rsidRDefault="00E722C6" w14:paraId="462F9677" w14:textId="1156119B">
      <w:pPr>
        <w:spacing w:line="480" w:lineRule="auto"/>
        <w:rPr>
          <w:rFonts w:ascii="Arial" w:hAnsi="Arial" w:cs="Arial"/>
          <w:sz w:val="24"/>
          <w:szCs w:val="24"/>
        </w:rPr>
      </w:pPr>
      <w:r w:rsidRPr="00AB6810">
        <w:rPr>
          <w:rFonts w:ascii="Arial" w:hAnsi="Arial" w:cs="Arial"/>
          <w:sz w:val="24"/>
          <w:szCs w:val="24"/>
        </w:rPr>
        <w:t xml:space="preserve">Pesticides can be </w:t>
      </w:r>
      <w:r w:rsidRPr="00AB6810" w:rsidR="000A7F08">
        <w:rPr>
          <w:rFonts w:ascii="Arial" w:hAnsi="Arial" w:cs="Arial"/>
          <w:sz w:val="24"/>
          <w:szCs w:val="24"/>
        </w:rPr>
        <w:t xml:space="preserve">classified </w:t>
      </w:r>
      <w:r w:rsidRPr="00AB6810">
        <w:rPr>
          <w:rFonts w:ascii="Arial" w:hAnsi="Arial" w:cs="Arial"/>
          <w:sz w:val="24"/>
          <w:szCs w:val="24"/>
        </w:rPr>
        <w:t xml:space="preserve">into active substances, which are then mixed with additives to be sold on the market or used in crops. Around 300 </w:t>
      </w:r>
      <w:r w:rsidRPr="00AB6810" w:rsidR="00FE3500">
        <w:rPr>
          <w:rFonts w:ascii="Arial" w:hAnsi="Arial" w:cs="Arial"/>
          <w:sz w:val="24"/>
          <w:szCs w:val="24"/>
        </w:rPr>
        <w:t xml:space="preserve">products </w:t>
      </w:r>
      <w:r w:rsidRPr="00AB6810" w:rsidR="00A34ECE">
        <w:rPr>
          <w:rFonts w:ascii="Arial" w:hAnsi="Arial" w:cs="Arial"/>
          <w:sz w:val="24"/>
          <w:szCs w:val="24"/>
        </w:rPr>
        <w:t>are</w:t>
      </w:r>
      <w:r w:rsidRPr="00AB6810">
        <w:rPr>
          <w:rFonts w:ascii="Arial" w:hAnsi="Arial" w:cs="Arial"/>
          <w:sz w:val="24"/>
          <w:szCs w:val="24"/>
        </w:rPr>
        <w:t xml:space="preserve"> authorised for us</w:t>
      </w:r>
      <w:r w:rsidRPr="00AB6810" w:rsidR="00A34ECE">
        <w:rPr>
          <w:rFonts w:ascii="Arial" w:hAnsi="Arial" w:cs="Arial"/>
          <w:sz w:val="24"/>
          <w:szCs w:val="24"/>
        </w:rPr>
        <w:t>e and monitored</w:t>
      </w:r>
      <w:r w:rsidRPr="00AB6810">
        <w:rPr>
          <w:rFonts w:ascii="Arial" w:hAnsi="Arial" w:cs="Arial"/>
          <w:sz w:val="24"/>
          <w:szCs w:val="24"/>
        </w:rPr>
        <w:t xml:space="preserve"> in France</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{"citationID":"JZXmHRgE","properties":{"formattedCitation":"\\super 15\\nosupersub{}","plainCitation":"15","noteIndex":0},"citationItems":[{"id":24742,"uris":["http://zotero.org/users/local/vY69w1Y2/items/FJE9AXWK","http://zotero.org/users/9040671/items/FJE9AXWK"],"itemData":{"id":24742,"type":"webpage","title":"EU Pesticides Database - Active substances","URL":"https://ec.europa.eu/food/plant/pesticides/eu-pesticides-database/start/screen/active-substances","accessed":{"date-parts":[["2022",11,29]]}}}],"schema":"https://github.com/citation-style-language/schema/raw/master/csl-citation.json"}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15</w:t>
      </w:r>
      <w:r w:rsidRPr="00AB6810">
        <w:rPr>
          <w:rFonts w:ascii="Arial" w:hAnsi="Arial" w:cs="Arial"/>
          <w:sz w:val="24"/>
          <w:szCs w:val="24"/>
        </w:rPr>
        <w:fldChar w:fldCharType="end"/>
      </w:r>
      <w:r w:rsidRPr="00AB6810">
        <w:rPr>
          <w:rFonts w:ascii="Arial" w:hAnsi="Arial" w:cs="Arial"/>
          <w:sz w:val="24"/>
          <w:szCs w:val="24"/>
        </w:rPr>
        <w:t xml:space="preserve">. </w:t>
      </w:r>
      <w:r w:rsidRPr="00AB6810" w:rsidR="00A34ECE">
        <w:rPr>
          <w:rFonts w:ascii="Arial" w:hAnsi="Arial" w:cs="Arial"/>
          <w:sz w:val="24"/>
          <w:szCs w:val="24"/>
        </w:rPr>
        <w:t xml:space="preserve">The </w:t>
      </w:r>
      <w:r w:rsidRPr="00AB6810" w:rsidR="00A34ECE">
        <w:rPr>
          <w:rFonts w:ascii="Arial" w:hAnsi="Arial" w:cs="Arial"/>
          <w:i/>
          <w:iCs/>
          <w:sz w:val="24"/>
          <w:szCs w:val="24"/>
        </w:rPr>
        <w:t>Bureau National des Ventes de produits pharmaceutiques par les Distributeurs agréés</w:t>
      </w:r>
      <w:r w:rsidRPr="00AB6810" w:rsidR="00A34ECE">
        <w:rPr>
          <w:rFonts w:ascii="Arial" w:hAnsi="Arial" w:cs="Arial"/>
          <w:sz w:val="24"/>
          <w:szCs w:val="24"/>
        </w:rPr>
        <w:t xml:space="preserve"> (BNVD) </w:t>
      </w:r>
      <w:r w:rsidRPr="00AB6810">
        <w:rPr>
          <w:rFonts w:ascii="Arial" w:hAnsi="Arial" w:cs="Arial"/>
          <w:sz w:val="24"/>
          <w:szCs w:val="24"/>
        </w:rPr>
        <w:t>publish</w:t>
      </w:r>
      <w:r w:rsidRPr="00AB6810" w:rsidR="00A34ECE">
        <w:rPr>
          <w:rFonts w:ascii="Arial" w:hAnsi="Arial" w:cs="Arial"/>
          <w:sz w:val="24"/>
          <w:szCs w:val="24"/>
        </w:rPr>
        <w:t>es</w:t>
      </w:r>
      <w:r w:rsidRPr="00AB6810">
        <w:rPr>
          <w:rFonts w:ascii="Arial" w:hAnsi="Arial" w:cs="Arial"/>
          <w:sz w:val="24"/>
          <w:szCs w:val="24"/>
        </w:rPr>
        <w:t xml:space="preserve"> the number of kilograms of active substances bought per zip code, per year</w:t>
      </w:r>
      <w:r w:rsidRPr="00AB6810" w:rsidR="008C4CA4">
        <w:rPr>
          <w:rFonts w:ascii="Arial" w:hAnsi="Arial" w:cs="Arial"/>
          <w:sz w:val="24"/>
          <w:szCs w:val="24"/>
        </w:rPr>
        <w:t xml:space="preserve"> since 2013</w:t>
      </w:r>
      <w:r w:rsidRPr="00AB6810">
        <w:rPr>
          <w:rFonts w:ascii="Arial" w:hAnsi="Arial" w:cs="Arial"/>
          <w:sz w:val="24"/>
          <w:szCs w:val="24"/>
        </w:rPr>
        <w:t xml:space="preserve"> </w:t>
      </w:r>
      <w:r w:rsidRPr="00AB6810" w:rsidR="001D1A77">
        <w:rPr>
          <w:rFonts w:ascii="Arial" w:hAnsi="Arial" w:cs="Arial"/>
          <w:sz w:val="24"/>
          <w:szCs w:val="24"/>
        </w:rPr>
        <w:t xml:space="preserve">(available at </w:t>
      </w:r>
      <w:hyperlink w:history="1" r:id="rId10">
        <w:r w:rsidRPr="00AB6810" w:rsidR="00F33AA9">
          <w:rPr>
            <w:rStyle w:val="Lienhypertexte"/>
            <w:rFonts w:ascii="Arial" w:hAnsi="Arial" w:cs="Arial"/>
            <w:sz w:val="24"/>
            <w:szCs w:val="24"/>
          </w:rPr>
          <w:t>geo.data.gouv.fr</w:t>
        </w:r>
      </w:hyperlink>
      <w:r w:rsidRPr="00AB6810" w:rsidR="00F33AA9">
        <w:rPr>
          <w:rFonts w:ascii="Arial" w:hAnsi="Arial" w:cs="Arial"/>
          <w:sz w:val="24"/>
          <w:szCs w:val="24"/>
        </w:rPr>
        <w:t>)</w:t>
      </w:r>
      <w:r w:rsidRPr="00AB6810">
        <w:rPr>
          <w:rFonts w:ascii="Arial" w:hAnsi="Arial" w:cs="Arial"/>
          <w:sz w:val="24"/>
          <w:szCs w:val="24"/>
        </w:rPr>
        <w:t xml:space="preserve">. To get a general overview of pesticide exposure, we considered the </w:t>
      </w:r>
      <w:r w:rsidRPr="00AB6810" w:rsidR="00EE2E3F">
        <w:rPr>
          <w:rFonts w:ascii="Arial" w:hAnsi="Arial" w:cs="Arial"/>
          <w:sz w:val="24"/>
          <w:szCs w:val="24"/>
        </w:rPr>
        <w:t>total</w:t>
      </w:r>
      <w:r w:rsidRPr="00AB6810">
        <w:rPr>
          <w:rFonts w:ascii="Arial" w:hAnsi="Arial" w:cs="Arial"/>
          <w:sz w:val="24"/>
          <w:szCs w:val="24"/>
        </w:rPr>
        <w:t xml:space="preserve"> quantity of active substances bought per area. Additionally, we </w:t>
      </w:r>
      <w:r w:rsidRPr="00AB6810" w:rsidR="000A7F08">
        <w:rPr>
          <w:rFonts w:ascii="Arial" w:hAnsi="Arial" w:cs="Arial"/>
          <w:sz w:val="24"/>
          <w:szCs w:val="24"/>
        </w:rPr>
        <w:t xml:space="preserve">individually </w:t>
      </w:r>
      <w:r w:rsidRPr="00AB6810">
        <w:rPr>
          <w:rFonts w:ascii="Arial" w:hAnsi="Arial" w:cs="Arial"/>
          <w:sz w:val="24"/>
          <w:szCs w:val="24"/>
        </w:rPr>
        <w:t xml:space="preserve">considered </w:t>
      </w:r>
      <w:r w:rsidRPr="00AB6810" w:rsidR="000A7F08">
        <w:rPr>
          <w:rFonts w:ascii="Arial" w:hAnsi="Arial" w:cs="Arial"/>
          <w:sz w:val="24"/>
          <w:szCs w:val="24"/>
        </w:rPr>
        <w:t xml:space="preserve">the most commonly bought substances </w:t>
      </w:r>
      <w:r w:rsidRPr="00AB6810">
        <w:rPr>
          <w:rFonts w:ascii="Arial" w:hAnsi="Arial" w:cs="Arial"/>
          <w:sz w:val="24"/>
          <w:szCs w:val="24"/>
        </w:rPr>
        <w:t>(glyphosate [12%], sulphur for spraying [10</w:t>
      </w:r>
      <w:r w:rsidRPr="00AB6810" w:rsidR="00872334">
        <w:rPr>
          <w:rFonts w:ascii="Arial" w:hAnsi="Arial" w:cs="Arial"/>
          <w:sz w:val="24"/>
          <w:szCs w:val="24"/>
        </w:rPr>
        <w:t>.</w:t>
      </w:r>
      <w:r w:rsidRPr="00AB6810">
        <w:rPr>
          <w:rFonts w:ascii="Arial" w:hAnsi="Arial" w:cs="Arial"/>
          <w:sz w:val="24"/>
          <w:szCs w:val="24"/>
        </w:rPr>
        <w:t>4%], prosulfocarb [6</w:t>
      </w:r>
      <w:r w:rsidRPr="00AB6810" w:rsidR="00872334">
        <w:rPr>
          <w:rFonts w:ascii="Arial" w:hAnsi="Arial" w:cs="Arial"/>
          <w:sz w:val="24"/>
          <w:szCs w:val="24"/>
        </w:rPr>
        <w:t>.</w:t>
      </w:r>
      <w:r w:rsidRPr="00AB6810">
        <w:rPr>
          <w:rFonts w:ascii="Arial" w:hAnsi="Arial" w:cs="Arial"/>
          <w:sz w:val="24"/>
          <w:szCs w:val="24"/>
        </w:rPr>
        <w:t>4%], sulphur [3</w:t>
      </w:r>
      <w:r w:rsidRPr="00AB6810" w:rsidR="00872334">
        <w:rPr>
          <w:rFonts w:ascii="Arial" w:hAnsi="Arial" w:cs="Arial"/>
          <w:sz w:val="24"/>
          <w:szCs w:val="24"/>
        </w:rPr>
        <w:t>.</w:t>
      </w:r>
      <w:r w:rsidRPr="00AB6810">
        <w:rPr>
          <w:rFonts w:ascii="Arial" w:hAnsi="Arial" w:cs="Arial"/>
          <w:sz w:val="24"/>
          <w:szCs w:val="24"/>
        </w:rPr>
        <w:t>7%] and mancozeb [3</w:t>
      </w:r>
      <w:r w:rsidRPr="00AB6810" w:rsidR="00872334">
        <w:rPr>
          <w:rFonts w:ascii="Arial" w:hAnsi="Arial" w:cs="Arial"/>
          <w:sz w:val="24"/>
          <w:szCs w:val="24"/>
        </w:rPr>
        <w:t>.</w:t>
      </w:r>
      <w:r w:rsidRPr="00AB6810">
        <w:rPr>
          <w:rFonts w:ascii="Arial" w:hAnsi="Arial" w:cs="Arial"/>
          <w:sz w:val="24"/>
          <w:szCs w:val="24"/>
        </w:rPr>
        <w:t xml:space="preserve">5%], summing up to 36% of the total quantity of sold active substances) </w:t>
      </w:r>
      <w:r w:rsidRPr="00AB6810" w:rsidR="000A7F08">
        <w:rPr>
          <w:rFonts w:ascii="Arial" w:hAnsi="Arial" w:cs="Arial"/>
          <w:sz w:val="24"/>
          <w:szCs w:val="24"/>
        </w:rPr>
        <w:t xml:space="preserve">as well as the ones </w:t>
      </w:r>
      <w:r w:rsidRPr="00AB6810">
        <w:rPr>
          <w:rFonts w:ascii="Arial" w:hAnsi="Arial" w:cs="Arial"/>
          <w:sz w:val="24"/>
          <w:szCs w:val="24"/>
        </w:rPr>
        <w:t>classified as potentially harmful by the WHO (mancozeb [14</w:t>
      </w:r>
      <w:r w:rsidRPr="00AB6810" w:rsidR="00872334">
        <w:rPr>
          <w:rFonts w:ascii="Arial" w:hAnsi="Arial" w:cs="Arial"/>
          <w:sz w:val="24"/>
          <w:szCs w:val="24"/>
        </w:rPr>
        <w:t>.</w:t>
      </w:r>
      <w:r w:rsidRPr="00AB6810">
        <w:rPr>
          <w:rFonts w:ascii="Arial" w:hAnsi="Arial" w:cs="Arial"/>
          <w:sz w:val="24"/>
          <w:szCs w:val="24"/>
        </w:rPr>
        <w:t>3%], chlorothalonil [11%], chlorotoluron [9</w:t>
      </w:r>
      <w:r w:rsidRPr="00AB6810" w:rsidR="00872334">
        <w:rPr>
          <w:rFonts w:ascii="Arial" w:hAnsi="Arial" w:cs="Arial"/>
          <w:sz w:val="24"/>
          <w:szCs w:val="24"/>
        </w:rPr>
        <w:t>.</w:t>
      </w:r>
      <w:r w:rsidRPr="00AB6810">
        <w:rPr>
          <w:rFonts w:ascii="Arial" w:hAnsi="Arial" w:cs="Arial"/>
          <w:sz w:val="24"/>
          <w:szCs w:val="24"/>
        </w:rPr>
        <w:t>2%], folpel [6</w:t>
      </w:r>
      <w:r w:rsidRPr="00AB6810" w:rsidR="00872334">
        <w:rPr>
          <w:rFonts w:ascii="Arial" w:hAnsi="Arial" w:cs="Arial"/>
          <w:sz w:val="24"/>
          <w:szCs w:val="24"/>
        </w:rPr>
        <w:t>.</w:t>
      </w:r>
      <w:r w:rsidRPr="00AB6810">
        <w:rPr>
          <w:rFonts w:ascii="Arial" w:hAnsi="Arial" w:cs="Arial"/>
          <w:sz w:val="24"/>
          <w:szCs w:val="24"/>
        </w:rPr>
        <w:t>1%] and isoproturon [5</w:t>
      </w:r>
      <w:r w:rsidRPr="00AB6810" w:rsidR="00872334">
        <w:rPr>
          <w:rFonts w:ascii="Arial" w:hAnsi="Arial" w:cs="Arial"/>
          <w:sz w:val="24"/>
          <w:szCs w:val="24"/>
        </w:rPr>
        <w:t>.</w:t>
      </w:r>
      <w:r w:rsidRPr="00AB6810">
        <w:rPr>
          <w:rFonts w:ascii="Arial" w:hAnsi="Arial" w:cs="Arial"/>
          <w:sz w:val="24"/>
          <w:szCs w:val="24"/>
        </w:rPr>
        <w:t>9%], summing up to 46</w:t>
      </w:r>
      <w:r w:rsidRPr="00AB6810" w:rsidR="00872334">
        <w:rPr>
          <w:rFonts w:ascii="Arial" w:hAnsi="Arial" w:cs="Arial"/>
          <w:sz w:val="24"/>
          <w:szCs w:val="24"/>
        </w:rPr>
        <w:t>.</w:t>
      </w:r>
      <w:r w:rsidRPr="00AB6810">
        <w:rPr>
          <w:rFonts w:ascii="Arial" w:hAnsi="Arial" w:cs="Arial"/>
          <w:sz w:val="24"/>
          <w:szCs w:val="24"/>
        </w:rPr>
        <w:t>5% of the potentially harmful quantity of sold active substances)</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{"citationID":"R4FIxFR0","properties":{"formattedCitation":"\\super 16\\nosupersub{}","plainCitation":"16","noteIndex":0},"citationItems":[{"id":24740,"uris":["http://zotero.org/users/local/vY69w1Y2/items/7VQTPEA7","http://zotero.org/users/9040671/items/7VQTPEA7"],"itemData":{"id":24740,"type":"webpage","title":"BNVD TRAÇABILITÉ","URL":"https://ventes-produits-phytopharmaceutiques.eaufrance.fr/search","accessed":{"date-parts":[["2022",11,29]]}}}],"schema":"https://github.com/citation-style-language/schema/raw/master/csl-citation.json"}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16</w:t>
      </w:r>
      <w:r w:rsidRPr="00AB6810">
        <w:rPr>
          <w:rFonts w:ascii="Arial" w:hAnsi="Arial" w:cs="Arial"/>
          <w:sz w:val="24"/>
          <w:szCs w:val="24"/>
        </w:rPr>
        <w:fldChar w:fldCharType="end"/>
      </w:r>
      <w:r w:rsidRPr="00AB6810">
        <w:rPr>
          <w:rFonts w:ascii="Arial" w:hAnsi="Arial" w:cs="Arial"/>
          <w:sz w:val="24"/>
          <w:szCs w:val="24"/>
        </w:rPr>
        <w:t>. Mancozeb was common to both lists and was accounted for only once.</w:t>
      </w:r>
      <w:r w:rsidRPr="00AB6810" w:rsidR="006D6A33">
        <w:rPr>
          <w:rFonts w:ascii="Arial" w:hAnsi="Arial" w:cs="Arial"/>
          <w:sz w:val="24"/>
          <w:szCs w:val="24"/>
        </w:rPr>
        <w:t xml:space="preserve"> As no pesticide sales data were available for years 2011 and 2012, </w:t>
      </w:r>
      <w:r w:rsidRPr="00AB6810" w:rsidR="00273004">
        <w:rPr>
          <w:rFonts w:ascii="Arial" w:hAnsi="Arial" w:cs="Arial"/>
          <w:sz w:val="24"/>
          <w:szCs w:val="24"/>
        </w:rPr>
        <w:t xml:space="preserve">we used the 2013 data for 2011 and 2012. </w:t>
      </w:r>
      <w:r w:rsidRPr="00AB6810" w:rsidR="006D6A33">
        <w:rPr>
          <w:rFonts w:ascii="Arial" w:hAnsi="Arial" w:cs="Arial"/>
          <w:sz w:val="24"/>
          <w:szCs w:val="24"/>
        </w:rPr>
        <w:t>Every active substance that was not recorded in the sales registry at a specific year and spatial unit was considered as not sold in the database.</w:t>
      </w:r>
    </w:p>
    <w:p w:rsidRPr="00AB6810" w:rsidR="00E722C6" w:rsidP="00CF781E" w:rsidRDefault="00E722C6" w14:paraId="39E8CF00" w14:textId="2266C41E">
      <w:pPr>
        <w:spacing w:line="480" w:lineRule="auto"/>
        <w:rPr>
          <w:rFonts w:ascii="Arial" w:hAnsi="Arial" w:cs="Arial"/>
          <w:sz w:val="24"/>
          <w:szCs w:val="24"/>
        </w:rPr>
      </w:pPr>
      <w:r w:rsidRPr="00AB6810">
        <w:rPr>
          <w:rFonts w:ascii="Arial" w:hAnsi="Arial" w:cs="Arial"/>
          <w:sz w:val="24"/>
          <w:szCs w:val="24"/>
        </w:rPr>
        <w:t xml:space="preserve">The agricultural surfaces of each spatial unit were approximated using </w:t>
      </w:r>
      <w:r w:rsidRPr="00AB6810" w:rsidR="0636588E">
        <w:rPr>
          <w:rFonts w:ascii="Arial" w:hAnsi="Arial" w:cs="Arial"/>
          <w:sz w:val="24"/>
          <w:szCs w:val="24"/>
        </w:rPr>
        <w:t xml:space="preserve">satellite images </w:t>
      </w:r>
      <w:r w:rsidRPr="00AB6810" w:rsidR="3440AC92">
        <w:rPr>
          <w:rFonts w:ascii="Arial" w:hAnsi="Arial" w:cs="Arial"/>
          <w:sz w:val="24"/>
          <w:szCs w:val="24"/>
        </w:rPr>
        <w:t>(</w:t>
      </w:r>
      <w:r w:rsidRPr="00AB6810">
        <w:rPr>
          <w:rFonts w:ascii="Arial" w:hAnsi="Arial" w:cs="Arial"/>
          <w:sz w:val="24"/>
          <w:szCs w:val="24"/>
        </w:rPr>
        <w:t>C</w:t>
      </w:r>
      <w:r w:rsidRPr="00AB6810" w:rsidR="004E4BA9">
        <w:rPr>
          <w:rFonts w:ascii="Arial" w:hAnsi="Arial" w:cs="Arial"/>
          <w:sz w:val="24"/>
          <w:szCs w:val="24"/>
        </w:rPr>
        <w:t xml:space="preserve">orine Land Cover </w:t>
      </w:r>
      <w:r w:rsidRPr="00AB6810" w:rsidR="2A3AA60F">
        <w:rPr>
          <w:rFonts w:ascii="Arial" w:hAnsi="Arial" w:cs="Arial"/>
          <w:sz w:val="24"/>
          <w:szCs w:val="24"/>
        </w:rPr>
        <w:t>[</w:t>
      </w:r>
      <w:r w:rsidRPr="00AB6810" w:rsidR="004E4BA9">
        <w:rPr>
          <w:rFonts w:ascii="Arial" w:hAnsi="Arial" w:cs="Arial"/>
          <w:sz w:val="24"/>
          <w:szCs w:val="24"/>
        </w:rPr>
        <w:t>CLC</w:t>
      </w:r>
      <w:r w:rsidRPr="00AB6810" w:rsidR="1399C813">
        <w:rPr>
          <w:rFonts w:ascii="Arial" w:hAnsi="Arial" w:cs="Arial"/>
          <w:sz w:val="24"/>
          <w:szCs w:val="24"/>
        </w:rPr>
        <w:t>]</w:t>
      </w:r>
      <w:r w:rsidRPr="00AB6810" w:rsidR="291FCCB0">
        <w:rPr>
          <w:rFonts w:ascii="Arial" w:hAnsi="Arial" w:cs="Arial"/>
          <w:sz w:val="24"/>
          <w:szCs w:val="24"/>
        </w:rPr>
        <w:t>)</w:t>
      </w:r>
      <w:r w:rsidRPr="00AB6810">
        <w:rPr>
          <w:rFonts w:ascii="Arial" w:hAnsi="Arial" w:cs="Arial"/>
          <w:sz w:val="24"/>
          <w:szCs w:val="24"/>
        </w:rPr>
        <w:t>, in 2018</w:t>
      </w:r>
      <w:r w:rsidRPr="00AB6810">
        <w:rPr>
          <w:rFonts w:ascii="Arial" w:hAnsi="Arial" w:cs="Arial"/>
          <w:sz w:val="24"/>
          <w:szCs w:val="24"/>
        </w:rPr>
        <w:fldChar w:fldCharType="begin"/>
      </w:r>
      <w:r w:rsidRPr="00AB6810" w:rsidR="00F33AA9">
        <w:rPr>
          <w:rFonts w:ascii="Arial" w:hAnsi="Arial" w:cs="Arial"/>
          <w:sz w:val="24"/>
          <w:szCs w:val="24"/>
        </w:rPr>
        <w:instrText xml:space="preserve"> ADDIN ZOTERO_ITEM CSL_CITATION {"citationID":"wwcHupTS","properties":{"formattedCitation":"\\super 17\\nosupersub{}","plainCitation":"17","noteIndex":0},"citationItems":[{"id":24550,"uris":["http://zotero.org/users/local/vY69w1Y2/items/KK8KF3SX","http://zotero.org/users/9040671/items/KK8KF3SX"],"itemData":{"id":24550,"type":"webpage","abstract":"The Corine Land Cover inventory was initiated in 1985 (reference year 1990).  Updates have been produced in 2000 and 2006, and the latest 2012 update is under production. It consists of an inventory of land cover in 44 classes. CLC uses a Minimum Mapping Unit (MMU) of 25 ha for areal phenomena and a minimum width of 100 m for linear phenomena. The time series are complemented by change layers, which highlight changes in land cover with an MMU of 5 ha.","genre":"Land Section","language":"en","title":"CORINE Land Cover — Copernicus Land Monitoring Service","URL":"https://land.copernicus.eu/pan-european/corine-land-cover","accessed":{"date-parts":[["2022",11,29]]}}}],"schema":"https://github.com/citation-style-language/schema/raw/master/csl-citation.json"} </w:instrText>
      </w:r>
      <w:r w:rsidRPr="00AB6810">
        <w:rPr>
          <w:rFonts w:ascii="Arial" w:hAnsi="Arial" w:cs="Arial"/>
          <w:sz w:val="24"/>
          <w:szCs w:val="24"/>
        </w:rPr>
        <w:fldChar w:fldCharType="separate"/>
      </w:r>
      <w:r w:rsidRPr="00AB6810" w:rsidR="00F33AA9">
        <w:rPr>
          <w:rFonts w:ascii="Arial" w:hAnsi="Arial" w:cs="Arial"/>
          <w:sz w:val="24"/>
          <w:szCs w:val="24"/>
          <w:vertAlign w:val="superscript"/>
        </w:rPr>
        <w:t>17</w:t>
      </w:r>
      <w:r w:rsidRPr="00AB6810">
        <w:rPr>
          <w:rFonts w:ascii="Arial" w:hAnsi="Arial" w:cs="Arial"/>
          <w:sz w:val="24"/>
          <w:szCs w:val="24"/>
        </w:rPr>
        <w:fldChar w:fldCharType="end"/>
      </w:r>
      <w:r w:rsidRPr="00AB6810">
        <w:rPr>
          <w:rFonts w:ascii="Arial" w:hAnsi="Arial" w:cs="Arial"/>
          <w:sz w:val="24"/>
          <w:szCs w:val="24"/>
        </w:rPr>
        <w:t>. The total surface of agriculture (including arable lands, permanent crops, pastures, and heterogeneous agricultural areas, in which pesticides could be used) was evaluated at 33 534 051 hectares in the CLC database in 2018 in France</w:t>
      </w:r>
      <w:r w:rsidRPr="00AB6810" w:rsidR="6BDBEE49">
        <w:rPr>
          <w:rFonts w:ascii="Arial" w:hAnsi="Arial" w:cs="Arial"/>
          <w:sz w:val="24"/>
          <w:szCs w:val="24"/>
        </w:rPr>
        <w:t>, with a median of 3494</w:t>
      </w:r>
      <w:r w:rsidRPr="00AB6810" w:rsidR="00872334">
        <w:rPr>
          <w:rFonts w:ascii="Arial" w:hAnsi="Arial" w:cs="Arial"/>
          <w:sz w:val="24"/>
          <w:szCs w:val="24"/>
        </w:rPr>
        <w:t>.</w:t>
      </w:r>
      <w:r w:rsidRPr="00AB6810" w:rsidR="6BDBEE49">
        <w:rPr>
          <w:rFonts w:ascii="Arial" w:hAnsi="Arial" w:cs="Arial"/>
          <w:sz w:val="24"/>
          <w:szCs w:val="24"/>
        </w:rPr>
        <w:t>8 hectares per spatial unit (IQR: 893</w:t>
      </w:r>
      <w:r w:rsidRPr="00AB6810" w:rsidR="00872334">
        <w:rPr>
          <w:rFonts w:ascii="Arial" w:hAnsi="Arial" w:cs="Arial"/>
          <w:sz w:val="24"/>
          <w:szCs w:val="24"/>
        </w:rPr>
        <w:t>.</w:t>
      </w:r>
      <w:r w:rsidRPr="00AB6810" w:rsidR="6BDBEE49">
        <w:rPr>
          <w:rFonts w:ascii="Arial" w:hAnsi="Arial" w:cs="Arial"/>
          <w:sz w:val="24"/>
          <w:szCs w:val="24"/>
        </w:rPr>
        <w:t xml:space="preserve">1 </w:t>
      </w:r>
      <w:r w:rsidRPr="00AB6810" w:rsidR="1A70A1A6">
        <w:rPr>
          <w:rFonts w:ascii="Arial" w:hAnsi="Arial" w:cs="Arial"/>
          <w:sz w:val="24"/>
          <w:szCs w:val="24"/>
        </w:rPr>
        <w:t>–</w:t>
      </w:r>
      <w:r w:rsidRPr="00AB6810" w:rsidR="6BDBEE49">
        <w:rPr>
          <w:rFonts w:ascii="Arial" w:hAnsi="Arial" w:cs="Arial"/>
          <w:sz w:val="24"/>
          <w:szCs w:val="24"/>
        </w:rPr>
        <w:t xml:space="preserve"> 9340</w:t>
      </w:r>
      <w:r w:rsidRPr="00AB6810" w:rsidR="00872334">
        <w:rPr>
          <w:rFonts w:ascii="Arial" w:hAnsi="Arial" w:cs="Arial"/>
          <w:sz w:val="24"/>
          <w:szCs w:val="24"/>
        </w:rPr>
        <w:t>.</w:t>
      </w:r>
      <w:r w:rsidRPr="00AB6810" w:rsidR="6BDBEE49">
        <w:rPr>
          <w:rFonts w:ascii="Arial" w:hAnsi="Arial" w:cs="Arial"/>
          <w:sz w:val="24"/>
          <w:szCs w:val="24"/>
        </w:rPr>
        <w:t>1)</w:t>
      </w:r>
      <w:r w:rsidRPr="00AB6810" w:rsidR="00F33AA9">
        <w:rPr>
          <w:rFonts w:ascii="Arial" w:hAnsi="Arial" w:cs="Arial"/>
          <w:sz w:val="24"/>
          <w:szCs w:val="24"/>
        </w:rPr>
        <w:fldChar w:fldCharType="begin"/>
      </w:r>
      <w:r w:rsidRPr="00AB6810" w:rsidR="00F33AA9">
        <w:rPr>
          <w:rFonts w:ascii="Arial" w:hAnsi="Arial" w:cs="Arial"/>
          <w:sz w:val="24"/>
          <w:szCs w:val="24"/>
        </w:rPr>
        <w:instrText xml:space="preserve"> ADDIN ZOTERO_ITEM CSL_CITATION {"citationID":"X9Xng7yK","properties":{"formattedCitation":"\\super 6\\nosupersub{}","plainCitation":"6","noteIndex":0},"citationItems":[{"id":23223,"uris":["http://zotero.org/users/local/vY69w1Y2/items/HF9QAPVC","http://zotero.org/users/9040671/items/HF9QAPVC"],"itemData":{"id":23223,"type":"webpage","title":"Recensement agricole 2020 - Indicateurs : cartes, données et graphiques","URL":"https://stats.agriculture.gouv.fr/cartostat/#view=map11&amp;c=indicator","accessed":{"date-parts":[["2023",6,9]]}}}],"schema":"https://github.com/citation-style-language/schema/raw/master/csl-citation.json"} </w:instrText>
      </w:r>
      <w:r w:rsidRPr="00AB6810" w:rsidR="00F33AA9">
        <w:rPr>
          <w:rFonts w:ascii="Arial" w:hAnsi="Arial" w:cs="Arial"/>
          <w:sz w:val="24"/>
          <w:szCs w:val="24"/>
        </w:rPr>
        <w:fldChar w:fldCharType="separate"/>
      </w:r>
      <w:r w:rsidRPr="00AB6810" w:rsidR="00F33AA9">
        <w:rPr>
          <w:rFonts w:ascii="Arial" w:hAnsi="Arial" w:cs="Arial"/>
          <w:sz w:val="24"/>
          <w:szCs w:val="24"/>
          <w:vertAlign w:val="superscript"/>
        </w:rPr>
        <w:t>6</w:t>
      </w:r>
      <w:r w:rsidRPr="00AB6810" w:rsidR="00F33AA9">
        <w:rPr>
          <w:rFonts w:ascii="Arial" w:hAnsi="Arial" w:cs="Arial"/>
          <w:sz w:val="24"/>
          <w:szCs w:val="24"/>
        </w:rPr>
        <w:fldChar w:fldCharType="end"/>
      </w:r>
      <w:r w:rsidRPr="00AB6810">
        <w:rPr>
          <w:rFonts w:ascii="Arial" w:hAnsi="Arial" w:cs="Arial"/>
          <w:sz w:val="24"/>
          <w:szCs w:val="24"/>
        </w:rPr>
        <w:t>. The crop surface area over time was considered stable during the period of the study</w:t>
      </w:r>
      <w:r w:rsidRPr="00AB6810" w:rsidR="001C1841">
        <w:rPr>
          <w:rFonts w:ascii="Arial" w:hAnsi="Arial" w:cs="Arial"/>
          <w:sz w:val="24"/>
          <w:szCs w:val="24"/>
        </w:rPr>
        <w:t xml:space="preserve">. </w:t>
      </w:r>
      <w:r w:rsidRPr="00AB6810">
        <w:rPr>
          <w:rFonts w:ascii="Arial" w:hAnsi="Arial" w:cs="Arial"/>
          <w:sz w:val="24"/>
          <w:szCs w:val="24"/>
        </w:rPr>
        <w:t xml:space="preserve">The </w:t>
      </w:r>
      <w:r w:rsidRPr="00AB6810">
        <w:rPr>
          <w:rFonts w:ascii="Arial" w:hAnsi="Arial" w:cs="Arial"/>
          <w:sz w:val="24"/>
          <w:szCs w:val="24"/>
        </w:rPr>
        <w:t>median relative evolution of agricultural surface between 2012 and 2018 was below 1% (IQR: 0</w:t>
      </w:r>
      <w:r w:rsidRPr="00AB6810" w:rsidR="28D94EB3">
        <w:rPr>
          <w:rFonts w:ascii="Arial" w:hAnsi="Arial" w:cs="Arial"/>
          <w:sz w:val="24"/>
          <w:szCs w:val="24"/>
        </w:rPr>
        <w:t xml:space="preserve"> – </w:t>
      </w:r>
      <w:r w:rsidRPr="00AB6810">
        <w:rPr>
          <w:rFonts w:ascii="Arial" w:hAnsi="Arial" w:cs="Arial"/>
          <w:sz w:val="24"/>
          <w:szCs w:val="24"/>
        </w:rPr>
        <w:t>16</w:t>
      </w:r>
      <w:r w:rsidRPr="00AB6810" w:rsidR="00872334">
        <w:rPr>
          <w:rFonts w:ascii="Arial" w:hAnsi="Arial" w:cs="Arial"/>
          <w:sz w:val="24"/>
          <w:szCs w:val="24"/>
        </w:rPr>
        <w:t>.</w:t>
      </w:r>
      <w:r w:rsidRPr="00AB6810">
        <w:rPr>
          <w:rFonts w:ascii="Arial" w:hAnsi="Arial" w:cs="Arial"/>
          <w:sz w:val="24"/>
          <w:szCs w:val="24"/>
        </w:rPr>
        <w:t>7</w:t>
      </w:r>
      <w:r w:rsidRPr="00AB6810" w:rsidR="008C4CA4">
        <w:rPr>
          <w:rFonts w:ascii="Arial" w:hAnsi="Arial" w:cs="Arial"/>
          <w:sz w:val="24"/>
          <w:szCs w:val="24"/>
        </w:rPr>
        <w:t>%</w:t>
      </w:r>
      <w:r w:rsidRPr="00AB6810">
        <w:rPr>
          <w:rFonts w:ascii="Arial" w:hAnsi="Arial" w:cs="Arial"/>
          <w:sz w:val="24"/>
          <w:szCs w:val="24"/>
        </w:rPr>
        <w:t xml:space="preserve">). </w:t>
      </w:r>
      <w:r w:rsidRPr="00AB6810" w:rsidR="00A34ECE">
        <w:rPr>
          <w:rFonts w:ascii="Arial" w:hAnsi="Arial" w:cs="Arial"/>
          <w:sz w:val="24"/>
          <w:szCs w:val="24"/>
        </w:rPr>
        <w:t xml:space="preserve">The intensity of use per spatial unit </w:t>
      </w:r>
      <w:r w:rsidRPr="00AB6810" w:rsidR="00601D3A">
        <w:rPr>
          <w:rFonts w:ascii="Arial" w:hAnsi="Arial" w:cs="Arial"/>
          <w:sz w:val="24"/>
          <w:szCs w:val="24"/>
        </w:rPr>
        <w:t>could be</w:t>
      </w:r>
      <w:r w:rsidRPr="00AB6810" w:rsidR="00A34ECE">
        <w:rPr>
          <w:rFonts w:ascii="Arial" w:hAnsi="Arial" w:cs="Arial"/>
          <w:sz w:val="24"/>
          <w:szCs w:val="24"/>
        </w:rPr>
        <w:t xml:space="preserve"> approximated by </w:t>
      </w:r>
      <w:r w:rsidRPr="00AB6810" w:rsidR="00C31D67">
        <w:rPr>
          <w:rFonts w:ascii="Arial" w:hAnsi="Arial" w:cs="Arial"/>
          <w:sz w:val="24"/>
          <w:szCs w:val="24"/>
        </w:rPr>
        <w:t>the ratio</w:t>
      </w:r>
      <w:r w:rsidRPr="00AB6810" w:rsidR="00A34ECE">
        <w:rPr>
          <w:rFonts w:ascii="Arial" w:hAnsi="Arial" w:cs="Arial"/>
          <w:sz w:val="24"/>
          <w:szCs w:val="24"/>
        </w:rPr>
        <w:t xml:space="preserve"> between the quantity of active substance bought </w:t>
      </w:r>
      <w:r w:rsidRPr="00AB6810" w:rsidR="0015220E">
        <w:rPr>
          <w:rFonts w:ascii="Arial" w:hAnsi="Arial" w:cs="Arial"/>
          <w:sz w:val="24"/>
          <w:szCs w:val="24"/>
        </w:rPr>
        <w:t xml:space="preserve">and </w:t>
      </w:r>
      <w:r w:rsidRPr="00AB6810" w:rsidR="00A34ECE">
        <w:rPr>
          <w:rFonts w:ascii="Arial" w:hAnsi="Arial" w:cs="Arial"/>
          <w:sz w:val="24"/>
          <w:szCs w:val="24"/>
        </w:rPr>
        <w:t xml:space="preserve">the corresponding </w:t>
      </w:r>
      <w:r w:rsidRPr="00AB6810" w:rsidR="0015220E">
        <w:rPr>
          <w:rFonts w:ascii="Arial" w:hAnsi="Arial" w:cs="Arial"/>
          <w:sz w:val="24"/>
          <w:szCs w:val="24"/>
        </w:rPr>
        <w:t xml:space="preserve">agricultural </w:t>
      </w:r>
      <w:r w:rsidRPr="00AB6810" w:rsidR="00A34ECE">
        <w:rPr>
          <w:rFonts w:ascii="Arial" w:hAnsi="Arial" w:cs="Arial"/>
          <w:sz w:val="24"/>
          <w:szCs w:val="24"/>
        </w:rPr>
        <w:t xml:space="preserve">surface </w:t>
      </w:r>
      <w:r w:rsidRPr="00AB6810" w:rsidR="00601D3A">
        <w:rPr>
          <w:rFonts w:ascii="Arial" w:hAnsi="Arial" w:cs="Arial"/>
          <w:sz w:val="24"/>
          <w:szCs w:val="24"/>
        </w:rPr>
        <w:t>per</w:t>
      </w:r>
      <w:r w:rsidRPr="00AB6810" w:rsidR="00A34ECE">
        <w:rPr>
          <w:rFonts w:ascii="Arial" w:hAnsi="Arial" w:cs="Arial"/>
          <w:sz w:val="24"/>
          <w:szCs w:val="24"/>
        </w:rPr>
        <w:t xml:space="preserve"> each spatial unit.</w:t>
      </w:r>
      <w:r w:rsidRPr="00AB6810" w:rsidR="00C31D67">
        <w:rPr>
          <w:rFonts w:ascii="Arial" w:hAnsi="Arial" w:cs="Arial"/>
          <w:sz w:val="24"/>
          <w:szCs w:val="24"/>
        </w:rPr>
        <w:t xml:space="preserve"> </w:t>
      </w:r>
      <w:r w:rsidRPr="00AB6810" w:rsidR="003C345D">
        <w:rPr>
          <w:rFonts w:ascii="Arial" w:hAnsi="Arial" w:cs="Arial"/>
          <w:sz w:val="24"/>
          <w:szCs w:val="24"/>
        </w:rPr>
        <w:t>T</w:t>
      </w:r>
      <w:r w:rsidRPr="00AB6810" w:rsidR="00F2329D">
        <w:rPr>
          <w:rFonts w:ascii="Arial" w:hAnsi="Arial" w:cs="Arial"/>
          <w:sz w:val="24"/>
          <w:szCs w:val="24"/>
        </w:rPr>
        <w:t>o smooth the yearly buying fluctuations</w:t>
      </w:r>
      <w:r w:rsidRPr="00AB6810" w:rsidR="004C5773">
        <w:rPr>
          <w:rFonts w:ascii="Arial" w:hAnsi="Arial" w:cs="Arial"/>
          <w:sz w:val="24"/>
          <w:szCs w:val="24"/>
        </w:rPr>
        <w:t>,</w:t>
      </w:r>
      <w:r w:rsidRPr="00AB6810" w:rsidR="00F2329D">
        <w:rPr>
          <w:rFonts w:ascii="Arial" w:hAnsi="Arial" w:cs="Arial"/>
          <w:sz w:val="24"/>
          <w:szCs w:val="24"/>
        </w:rPr>
        <w:t xml:space="preserve"> </w:t>
      </w:r>
      <w:r w:rsidRPr="00AB6810" w:rsidR="003C345D">
        <w:rPr>
          <w:rFonts w:ascii="Arial" w:hAnsi="Arial" w:cs="Arial"/>
          <w:sz w:val="24"/>
          <w:szCs w:val="24"/>
        </w:rPr>
        <w:t xml:space="preserve">we calculated the median as </w:t>
      </w:r>
      <w:r w:rsidRPr="00AB6810" w:rsidR="00F2329D">
        <w:rPr>
          <w:rFonts w:ascii="Arial" w:hAnsi="Arial" w:cs="Arial"/>
          <w:sz w:val="24"/>
          <w:szCs w:val="24"/>
        </w:rPr>
        <w:t>a general exposure over the study period</w:t>
      </w:r>
      <w:r w:rsidRPr="00AB6810" w:rsidR="003C345D">
        <w:rPr>
          <w:rFonts w:ascii="Arial" w:hAnsi="Arial" w:cs="Arial"/>
          <w:sz w:val="24"/>
          <w:szCs w:val="24"/>
        </w:rPr>
        <w:t>;</w:t>
      </w:r>
      <w:r w:rsidRPr="00AB6810" w:rsidR="00DF0BEF">
        <w:rPr>
          <w:rFonts w:ascii="Arial" w:hAnsi="Arial" w:cs="Arial"/>
          <w:sz w:val="24"/>
          <w:szCs w:val="24"/>
        </w:rPr>
        <w:t xml:space="preserve"> </w:t>
      </w:r>
      <w:r w:rsidRPr="00AB6810" w:rsidR="003C345D">
        <w:rPr>
          <w:rFonts w:ascii="Arial" w:hAnsi="Arial" w:cs="Arial"/>
          <w:sz w:val="24"/>
          <w:szCs w:val="24"/>
        </w:rPr>
        <w:t xml:space="preserve">we </w:t>
      </w:r>
      <w:r w:rsidRPr="00AB6810" w:rsidR="00273004">
        <w:rPr>
          <w:rFonts w:ascii="Arial" w:hAnsi="Arial" w:cs="Arial"/>
          <w:sz w:val="24"/>
          <w:szCs w:val="24"/>
        </w:rPr>
        <w:t>log-</w:t>
      </w:r>
      <w:r w:rsidRPr="00AB6810" w:rsidR="00F2329D">
        <w:rPr>
          <w:rFonts w:ascii="Arial" w:hAnsi="Arial" w:cs="Arial"/>
          <w:sz w:val="24"/>
          <w:szCs w:val="24"/>
        </w:rPr>
        <w:t>transformed</w:t>
      </w:r>
      <w:r w:rsidRPr="00AB6810" w:rsidR="00273004">
        <w:rPr>
          <w:rFonts w:ascii="Arial" w:hAnsi="Arial" w:cs="Arial"/>
          <w:sz w:val="24"/>
          <w:szCs w:val="24"/>
        </w:rPr>
        <w:t xml:space="preserve"> and standardised</w:t>
      </w:r>
      <w:r w:rsidRPr="00AB6810" w:rsidR="00F2329D">
        <w:rPr>
          <w:rFonts w:ascii="Arial" w:hAnsi="Arial" w:cs="Arial"/>
          <w:sz w:val="24"/>
          <w:szCs w:val="24"/>
        </w:rPr>
        <w:t xml:space="preserve"> </w:t>
      </w:r>
      <w:r w:rsidRPr="00AB6810" w:rsidR="00DF0BEF">
        <w:rPr>
          <w:rFonts w:ascii="Arial" w:hAnsi="Arial" w:cs="Arial"/>
          <w:sz w:val="24"/>
          <w:szCs w:val="24"/>
        </w:rPr>
        <w:t>it</w:t>
      </w:r>
      <w:r w:rsidRPr="00AB6810" w:rsidR="00273004">
        <w:rPr>
          <w:rFonts w:ascii="Arial" w:hAnsi="Arial" w:cs="Arial"/>
          <w:sz w:val="24"/>
          <w:szCs w:val="24"/>
        </w:rPr>
        <w:t xml:space="preserve">, to make it symmetrical and more easily to model </w:t>
      </w:r>
      <w:r w:rsidRPr="00AB6810" w:rsidR="00F2329D">
        <w:rPr>
          <w:rFonts w:ascii="Arial" w:hAnsi="Arial" w:cs="Arial"/>
          <w:sz w:val="24"/>
          <w:szCs w:val="24"/>
        </w:rPr>
        <w:t xml:space="preserve">(Supplementary Figure </w:t>
      </w:r>
      <w:r w:rsidRPr="00AB6810" w:rsidR="00050DF0">
        <w:rPr>
          <w:rFonts w:ascii="Arial" w:hAnsi="Arial" w:cs="Arial"/>
          <w:sz w:val="24"/>
          <w:szCs w:val="24"/>
        </w:rPr>
        <w:t>1</w:t>
      </w:r>
      <w:r w:rsidRPr="00AB6810" w:rsidR="00F2329D">
        <w:rPr>
          <w:rFonts w:ascii="Arial" w:hAnsi="Arial" w:cs="Arial"/>
          <w:sz w:val="24"/>
          <w:szCs w:val="24"/>
        </w:rPr>
        <w:t>).</w:t>
      </w:r>
      <w:r w:rsidRPr="00AB6810" w:rsidR="001C1841">
        <w:rPr>
          <w:rFonts w:ascii="Arial" w:hAnsi="Arial" w:cs="Arial"/>
          <w:sz w:val="24"/>
          <w:szCs w:val="24"/>
        </w:rPr>
        <w:t xml:space="preserve"> </w:t>
      </w:r>
      <w:r w:rsidRPr="00AB6810" w:rsidR="00DF0BEF">
        <w:rPr>
          <w:rFonts w:ascii="Arial" w:hAnsi="Arial" w:cs="Arial"/>
          <w:sz w:val="24"/>
          <w:szCs w:val="24"/>
        </w:rPr>
        <w:t xml:space="preserve">This quantity represents the pesticide exposure intensity index (PEXI), our main exposure variable, which </w:t>
      </w:r>
      <w:r w:rsidRPr="00AB6810" w:rsidR="00C31D67">
        <w:rPr>
          <w:rFonts w:ascii="Arial" w:hAnsi="Arial" w:cs="Arial"/>
          <w:sz w:val="24"/>
          <w:szCs w:val="24"/>
        </w:rPr>
        <w:t>was</w:t>
      </w:r>
      <w:r w:rsidRPr="00AB6810" w:rsidR="3B11700B">
        <w:rPr>
          <w:rFonts w:ascii="Arial" w:hAnsi="Arial" w:cs="Arial"/>
          <w:sz w:val="24"/>
          <w:szCs w:val="24"/>
        </w:rPr>
        <w:t xml:space="preserve"> calculated for the </w:t>
      </w:r>
      <w:r w:rsidRPr="00AB6810" w:rsidR="00EE2E3F">
        <w:rPr>
          <w:rFonts w:ascii="Arial" w:hAnsi="Arial" w:cs="Arial"/>
          <w:sz w:val="24"/>
          <w:szCs w:val="24"/>
        </w:rPr>
        <w:t>total</w:t>
      </w:r>
      <w:r w:rsidRPr="00AB6810" w:rsidR="3B11700B">
        <w:rPr>
          <w:rFonts w:ascii="Arial" w:hAnsi="Arial" w:cs="Arial"/>
          <w:sz w:val="24"/>
          <w:szCs w:val="24"/>
        </w:rPr>
        <w:t xml:space="preserve"> quantity of pesticide per </w:t>
      </w:r>
      <w:r w:rsidRPr="00AB6810" w:rsidR="0034572A">
        <w:rPr>
          <w:rFonts w:ascii="Arial" w:hAnsi="Arial" w:cs="Arial"/>
          <w:sz w:val="24"/>
          <w:szCs w:val="24"/>
        </w:rPr>
        <w:t xml:space="preserve">spatial unit </w:t>
      </w:r>
      <w:r w:rsidRPr="00AB6810" w:rsidR="3B11700B">
        <w:rPr>
          <w:rFonts w:ascii="Arial" w:hAnsi="Arial" w:cs="Arial"/>
          <w:sz w:val="24"/>
          <w:szCs w:val="24"/>
        </w:rPr>
        <w:t>(</w:t>
      </w:r>
      <w:r w:rsidRPr="00AB6810" w:rsidR="00EE2E3F">
        <w:rPr>
          <w:rFonts w:ascii="Arial" w:hAnsi="Arial" w:cs="Arial"/>
          <w:sz w:val="24"/>
          <w:szCs w:val="24"/>
        </w:rPr>
        <w:t>total</w:t>
      </w:r>
      <w:r w:rsidRPr="00AB6810" w:rsidR="3B11700B">
        <w:rPr>
          <w:rFonts w:ascii="Arial" w:hAnsi="Arial" w:cs="Arial"/>
          <w:sz w:val="24"/>
          <w:szCs w:val="24"/>
        </w:rPr>
        <w:t xml:space="preserve"> PEXI) and per substance (</w:t>
      </w:r>
      <w:r w:rsidRPr="00AB6810" w:rsidR="455F6FE1">
        <w:rPr>
          <w:rFonts w:ascii="Arial" w:hAnsi="Arial" w:cs="Arial"/>
          <w:sz w:val="24"/>
          <w:szCs w:val="24"/>
        </w:rPr>
        <w:t>substance</w:t>
      </w:r>
      <w:r w:rsidRPr="00AB6810" w:rsidR="00601D3A">
        <w:rPr>
          <w:rFonts w:ascii="Arial" w:hAnsi="Arial" w:cs="Arial"/>
          <w:sz w:val="24"/>
          <w:szCs w:val="24"/>
        </w:rPr>
        <w:t>-</w:t>
      </w:r>
      <w:r w:rsidRPr="00AB6810" w:rsidR="455F6FE1">
        <w:rPr>
          <w:rFonts w:ascii="Arial" w:hAnsi="Arial" w:cs="Arial"/>
          <w:sz w:val="24"/>
          <w:szCs w:val="24"/>
        </w:rPr>
        <w:t>specific</w:t>
      </w:r>
      <w:r w:rsidRPr="00AB6810" w:rsidR="3B11700B">
        <w:rPr>
          <w:rFonts w:ascii="Arial" w:hAnsi="Arial" w:cs="Arial"/>
          <w:sz w:val="24"/>
          <w:szCs w:val="24"/>
        </w:rPr>
        <w:t xml:space="preserve"> PEXI).</w:t>
      </w:r>
    </w:p>
    <w:p w:rsidRPr="00AB6810" w:rsidR="00602541" w:rsidP="00CF781E" w:rsidRDefault="00602541" w14:paraId="3E16712D" w14:textId="5D05C6FB">
      <w:pPr>
        <w:spacing w:line="480" w:lineRule="auto"/>
        <w:rPr>
          <w:rFonts w:ascii="Arial" w:hAnsi="Arial" w:cs="Arial"/>
          <w:i/>
          <w:iCs/>
          <w:sz w:val="24"/>
          <w:szCs w:val="24"/>
          <w:u w:val="single"/>
        </w:rPr>
      </w:pPr>
      <w:r w:rsidRPr="00AB6810">
        <w:rPr>
          <w:rFonts w:ascii="Arial" w:hAnsi="Arial" w:cs="Arial"/>
          <w:i/>
          <w:iCs/>
          <w:sz w:val="24"/>
          <w:szCs w:val="24"/>
          <w:u w:val="single"/>
        </w:rPr>
        <w:t>Covariates</w:t>
      </w:r>
    </w:p>
    <w:p w:rsidRPr="00AB6810" w:rsidR="00602541" w:rsidP="35BFB30F" w:rsidRDefault="00602541" w14:paraId="0F96A1F7" w14:textId="1A21677D">
      <w:pPr>
        <w:spacing w:line="480" w:lineRule="auto"/>
        <w:rPr>
          <w:rFonts w:ascii="Arial" w:hAnsi="Arial" w:cs="Arial"/>
          <w:sz w:val="24"/>
          <w:szCs w:val="24"/>
        </w:rPr>
      </w:pPr>
      <w:bookmarkStart w:name="_Hlk177726174" w:id="4"/>
      <w:r w:rsidRPr="00AB6810">
        <w:rPr>
          <w:rFonts w:ascii="Arial" w:hAnsi="Arial" w:cs="Arial"/>
          <w:sz w:val="24"/>
          <w:szCs w:val="24"/>
        </w:rPr>
        <w:t>Tobacco smoking, socioeconomic status</w:t>
      </w:r>
      <w:r w:rsidRPr="00AB6810" w:rsidR="00D4094C">
        <w:rPr>
          <w:rFonts w:ascii="Arial" w:hAnsi="Arial" w:cs="Arial"/>
          <w:sz w:val="24"/>
          <w:szCs w:val="24"/>
        </w:rPr>
        <w:t xml:space="preserve">, alcohol-related diseases, </w:t>
      </w:r>
      <w:r w:rsidRPr="00AB6810" w:rsidR="00B757B3">
        <w:rPr>
          <w:rFonts w:ascii="Arial" w:hAnsi="Arial" w:cs="Arial"/>
          <w:sz w:val="24"/>
          <w:szCs w:val="24"/>
        </w:rPr>
        <w:t xml:space="preserve">morbid </w:t>
      </w:r>
      <w:r w:rsidRPr="00AB6810" w:rsidR="00D4094C">
        <w:rPr>
          <w:rFonts w:ascii="Arial" w:hAnsi="Arial" w:cs="Arial"/>
          <w:sz w:val="24"/>
          <w:szCs w:val="24"/>
        </w:rPr>
        <w:t>obesity</w:t>
      </w:r>
      <w:r w:rsidRPr="00AB6810">
        <w:rPr>
          <w:rFonts w:ascii="Arial" w:hAnsi="Arial" w:cs="Arial"/>
          <w:sz w:val="24"/>
          <w:szCs w:val="24"/>
        </w:rPr>
        <w:t xml:space="preserve"> and </w:t>
      </w:r>
      <w:r w:rsidRPr="00AB6810" w:rsidR="00D04D0A">
        <w:rPr>
          <w:rFonts w:ascii="Arial" w:hAnsi="Arial" w:cs="Arial"/>
          <w:sz w:val="24"/>
          <w:szCs w:val="24"/>
        </w:rPr>
        <w:t>community medicine</w:t>
      </w:r>
      <w:r w:rsidRPr="00AB6810">
        <w:rPr>
          <w:rFonts w:ascii="Arial" w:hAnsi="Arial" w:cs="Arial"/>
          <w:sz w:val="24"/>
          <w:szCs w:val="24"/>
        </w:rPr>
        <w:t xml:space="preserve"> accessibility were identified as potential confounders in the association between pesticide exposure and </w:t>
      </w:r>
      <w:r w:rsidRPr="00AB6810" w:rsidR="00382D68">
        <w:rPr>
          <w:rFonts w:ascii="Arial" w:hAnsi="Arial" w:cs="Arial"/>
          <w:sz w:val="24"/>
          <w:szCs w:val="24"/>
        </w:rPr>
        <w:t>PA</w:t>
      </w:r>
      <w:r w:rsidRPr="00AB6810" w:rsidR="00C85B15">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{"citationID":"LzfvD5h9","properties":{"formattedCitation":"\\super 18\\nosupersub{}","plainCitation":"18","noteIndex":0},"citationItems":[{"id":24612,"uris":["http://zotero.org/users/9040671/items/INI7HDUF"],"itemData":{"id":24612,"type":"article-journal","abstract":"BACKGROUND: Agricultural work can expose workers to potentially hazardous agents including known and suspected carcinogens. This study aimed to evaluate cancer incidence in male and female agricultural workers in an international consortium, AGRICOH, relative to their respective general populations.\nMETHODS: The analysis included eight cohorts that were linked to their respective cancer registries: France (AGRICAN: n = 128,101), the US (AHS: n = 51,165, MESA: n = 2,177), Norway (CNAP: n = 43,834), Australia (2 cohorts combined, Australian Pesticide Exposed Workers: n = 12,215 and Victorian Grain Farmers: n = 919), Republic of Korea (KMCC: n = 8,432), and Denmark (SUS: n = 1,899). For various cancer sites and all cancers combined, standardized incidence ratios (SIR) and 95% confidence intervals (CIs) were calculated for each cohort using national or regional rates as reference rates and were combined by random-effects meta-analysis.\nRESULTS: During nearly 2,800,000 person-years, a total of 23,188 cancers were observed. Elevated risks were observed for melanoma of the skin (number of cohorts = 3, meta-SIR = 1.18, CI: 1.01-1.38) and multiple myeloma (n = 4, meta-SIR = 1.27, CI: 1.04-1.54) in women and prostate cancer (n = 6, meta-SIR = 1.06, CI: 1.01-1.12), compared to the general population. In contrast, a deficit was observed for the incidence of several cancers, including cancers of the bladder, breast (female), colorectum, esophagus, larynx, lung, and pancreas and all cancers combined (n = 7, meta-SIR for all cancers combined = 0.83, 95% CI: 0.77-0.90). The direction of risk was largely consistent across cohorts although we observed large between-cohort variations in SIR for cancers of the liver and lung in men and women, and stomach, colorectum, and skin in men.\nCONCLUSION: The results suggest that agricultural workers have a lower risk of various cancers and an elevated risk of prostate cancer, multiple myeloma (female), and melanoma of skin (female) compared to the general population. Those differences and the between-cohort variations may be due to underlying differences in risk factors and warrant further investigation of agricultural exposures.","container-title":"Environment International","DOI":"10.1016/j.envint.2021.106825","ISSN":"1873-6750","journalAbbreviation":"Environ Int","language":"eng","note":"PMID: 34461377\nPMCID: PMC8484858","page":"106825","source":"PubMed","title":"Cancer incidence in agricultural workers: Findings from an international consortium of agricultural cohort studies (AGRICOH)","title-short":"Cancer incidence in agricultural workers","volume":"157","author":[{"family":"Togawa","given":"Kayo"},{"family":"Leon","given":"Maria E."},{"family":"Lebailly","given":"Pierre"},{"family":"Beane Freeman","given":"Laura E."},{"family":"Nordby","given":"Karl-Christian"},{"family":"Baldi","given":"Isabelle"},{"family":"MacFarlane","given":"Ewan"},{"family":"Shin","given":"Aesun"},{"family":"Park","given":"Sue"},{"family":"Greenlee","given":"Robert T."},{"family":"Sigsgaard","given":"Torben"},{"family":"Basinas","given":"Ioannis"},{"family":"Hofmann","given":"Jonathan N."},{"family":"Kjaerheim","given":"Kristina"},{"family":"Douwes","given":"Jeroen"},{"family":"Denholm","given":"Rachel"},{"family":"Ferro","given":"Gilles"},{"family":"Sim","given":"Malcolm R."},{"family":"Kromhout","given":"Hans"},{"family":"Schüz","given":"Joachim"}],"issued":{"date-parts":[["2021",12]]}}}],"schema":"https://github.com/citation-style-language/schema/raw/master/csl-citation.json"} </w:instrText>
      </w:r>
      <w:r w:rsidRPr="00AB6810" w:rsidR="00C85B15">
        <w:rPr>
          <w:rFonts w:ascii="Arial" w:hAnsi="Arial" w:cs="Arial"/>
          <w:sz w:val="24"/>
          <w:szCs w:val="24"/>
        </w:rPr>
        <w:fldChar w:fldCharType="separate"/>
      </w:r>
      <w:r w:rsidRPr="00AB6810" w:rsidR="001D1A77">
        <w:rPr>
          <w:rFonts w:ascii="Arial" w:hAnsi="Arial" w:cs="Arial"/>
          <w:sz w:val="24"/>
          <w:szCs w:val="24"/>
          <w:vertAlign w:val="superscript"/>
        </w:rPr>
        <w:t>18</w:t>
      </w:r>
      <w:r w:rsidRPr="00AB6810" w:rsidR="00C85B15">
        <w:rPr>
          <w:rFonts w:ascii="Arial" w:hAnsi="Arial" w:cs="Arial"/>
          <w:sz w:val="24"/>
          <w:szCs w:val="24"/>
        </w:rPr>
        <w:fldChar w:fldCharType="end"/>
      </w:r>
      <w:bookmarkEnd w:id="4"/>
      <w:r w:rsidRPr="00AB6810">
        <w:rPr>
          <w:rFonts w:ascii="Arial" w:hAnsi="Arial" w:cs="Arial"/>
          <w:sz w:val="24"/>
          <w:szCs w:val="24"/>
        </w:rPr>
        <w:t xml:space="preserve">. No validated index is available to approximate tobacco use in France. Therefore, we used the yearly prevalence of patients diagnosed with tobacco-related diseases, namely lung cancer, </w:t>
      </w:r>
      <w:r w:rsidRPr="00AB6810" w:rsidR="00A32D4C">
        <w:rPr>
          <w:rFonts w:ascii="Arial" w:hAnsi="Arial" w:cs="Arial"/>
          <w:sz w:val="24"/>
          <w:szCs w:val="24"/>
        </w:rPr>
        <w:t>lip oral cavity pharynx</w:t>
      </w:r>
      <w:r w:rsidRPr="00AB6810">
        <w:rPr>
          <w:rFonts w:ascii="Arial" w:hAnsi="Arial" w:cs="Arial"/>
          <w:sz w:val="24"/>
          <w:szCs w:val="24"/>
        </w:rPr>
        <w:t xml:space="preserve"> cancers, and chronic obstructive pulmonary disease (admissions for diagnosis and exacerbations) from the PMSI database as these diseases are highly attributable to tobacco smoking</w:t>
      </w:r>
      <w:r w:rsidRPr="00AB6810">
        <w:rPr>
          <w:rFonts w:ascii="Arial" w:hAnsi="Arial" w:cs="Arial"/>
          <w:sz w:val="24"/>
          <w:szCs w:val="24"/>
        </w:rPr>
        <w:fldChar w:fldCharType="begin"/>
      </w:r>
      <w:r w:rsidRPr="00AB6810" w:rsidR="001D1A77">
        <w:rPr>
          <w:rFonts w:ascii="Arial" w:hAnsi="Arial" w:cs="Arial"/>
          <w:sz w:val="24"/>
          <w:szCs w:val="24"/>
        </w:rPr>
        <w:instrText xml:space="preserve"> ADDIN ZOTERO_ITEM CSL_CITATION {"citationID":"KgUARTdY","properties":{"formattedCitation":"\\super 19\\nosupersub{}","plainCitation":"19","noteIndex":0},"citationItems":[{"id":23205,"uris":["http://zotero.org/users/local/vY69w1Y2/items/C2XWLDAY","http://zotero.org/users/9040671/items/C2XWLDAY"],"itemData":{"id":23205,"type":"article-journal","container-title":"The Lancet Public Health","DOI":"10.1016/S2468-2667(21)00102-X","ISSN":"2468-2667","issue":"7","journalAbbreviation":"The Lancet Public Health","language":"English","note":"publisher: Elsevier\nPMID: 34051921","page":"e472-e481","source":"www.thelancet.com","title":"Spatial, temporal, and demographic patterns in prevalence of smoking tobacco use and initiation among young people in 204 countries and territories, 1990–2019","volume":"6","author":[{"family":"Reitsma","given":"Marissa B."},{"family":"Flor","given":"Luisa S."},{"family":"Mullany","given":"Erin C."},{"family":"Gupta","given":"Vin"},{"family":"Hay","given":"Simon I."},{"family":"Gakidou","given":"Emmanuela"}],"issued":{"date-parts":[["2021",7,1]]}},"label":"page"}],"schema":"https://github.com/citation-style-language/schema/raw/master/csl-citation.json"} </w:instrText>
      </w:r>
      <w:r w:rsidRPr="00AB6810">
        <w:rPr>
          <w:rFonts w:ascii="Arial" w:hAnsi="Arial" w:cs="Arial"/>
          <w:sz w:val="24"/>
          <w:szCs w:val="24"/>
        </w:rPr>
        <w:fldChar w:fldCharType="separate"/>
      </w:r>
      <w:r w:rsidRPr="00AB6810" w:rsidR="001D1A77">
        <w:rPr>
          <w:rFonts w:ascii="Arial" w:hAnsi="Arial" w:cs="Arial"/>
          <w:sz w:val="24"/>
          <w:szCs w:val="24"/>
          <w:vertAlign w:val="superscript"/>
        </w:rPr>
        <w:t>19</w:t>
      </w:r>
      <w:r w:rsidRPr="00AB6810">
        <w:rPr>
          <w:rFonts w:ascii="Arial" w:hAnsi="Arial" w:cs="Arial"/>
          <w:sz w:val="24"/>
          <w:szCs w:val="24"/>
        </w:rPr>
        <w:fldChar w:fldCharType="end"/>
      </w:r>
      <w:r w:rsidRPr="00AB6810">
        <w:rPr>
          <w:rFonts w:ascii="Arial" w:hAnsi="Arial" w:cs="Arial"/>
          <w:sz w:val="24"/>
          <w:szCs w:val="24"/>
        </w:rPr>
        <w:t xml:space="preserve">. The same patient with multiple events was counted only once each year. </w:t>
      </w:r>
      <w:r w:rsidRPr="00AB6810" w:rsidR="00094508">
        <w:rPr>
          <w:rFonts w:ascii="Arial" w:hAnsi="Arial" w:cs="Arial"/>
          <w:sz w:val="24"/>
          <w:szCs w:val="24"/>
        </w:rPr>
        <w:t>A</w:t>
      </w:r>
      <w:r w:rsidRPr="00AB6810" w:rsidR="00F80D35">
        <w:rPr>
          <w:rFonts w:ascii="Arial" w:hAnsi="Arial" w:cs="Arial"/>
          <w:sz w:val="24"/>
          <w:szCs w:val="24"/>
        </w:rPr>
        <w:t>dmissions for a</w:t>
      </w:r>
      <w:r w:rsidRPr="00AB6810" w:rsidR="00094508">
        <w:rPr>
          <w:rFonts w:ascii="Arial" w:hAnsi="Arial" w:cs="Arial"/>
          <w:sz w:val="24"/>
          <w:szCs w:val="24"/>
        </w:rPr>
        <w:t>lcohol-related disease</w:t>
      </w:r>
      <w:r w:rsidRPr="00AB6810" w:rsidR="00D4094C">
        <w:rPr>
          <w:rFonts w:ascii="Arial" w:hAnsi="Arial" w:cs="Arial"/>
          <w:sz w:val="24"/>
          <w:szCs w:val="24"/>
        </w:rPr>
        <w:t>s</w:t>
      </w:r>
      <w:r w:rsidRPr="00AB6810" w:rsidR="00094508">
        <w:rPr>
          <w:rFonts w:ascii="Arial" w:hAnsi="Arial" w:cs="Arial"/>
          <w:sz w:val="24"/>
          <w:szCs w:val="24"/>
        </w:rPr>
        <w:t xml:space="preserve"> and </w:t>
      </w:r>
      <w:r w:rsidRPr="00AB6810" w:rsidR="00B757B3">
        <w:rPr>
          <w:rFonts w:ascii="Arial" w:hAnsi="Arial" w:cs="Arial"/>
          <w:sz w:val="24"/>
          <w:szCs w:val="24"/>
        </w:rPr>
        <w:t xml:space="preserve">morbid </w:t>
      </w:r>
      <w:r w:rsidRPr="00AB6810" w:rsidR="00094508">
        <w:rPr>
          <w:rFonts w:ascii="Arial" w:hAnsi="Arial" w:cs="Arial"/>
          <w:sz w:val="24"/>
          <w:szCs w:val="24"/>
        </w:rPr>
        <w:t xml:space="preserve">obesity are accessible using pre-validated ICD-10 codes, as previously described </w:t>
      </w:r>
      <w:r w:rsidRPr="00AB6810" w:rsidR="00094508">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{"citationID":"ep2X6iBP","properties":{"formattedCitation":"\\super 20,21\\nosupersub{}","plainCitation":"20,21","noteIndex":0},"citationItems":[{"id":36665,"uris":["http://zotero.org/users/9040671/items/UDM3GKSA"],"itemData":{"id":36665,"type":"article-journal","container-title":"The Lancet Public Health","DOI":"10.1016/S2468-2667(18)30022-7","ISSN":"24682667","issue":"3","journalAbbreviation":"The Lancet Public Health","language":"en","page":"e124-e132","source":"DOI.org (Crossref)","title":"Contribution of alcohol use disorders to the burden of dementia in France 2008–13: a nationwide retrospective cohort study","title-short":"Contribution of alcohol use disorders to the burden of dementia in France 2008–13","volume":"3","author":[{"family":"Schwarzinger","given":"Michaël"},{"family":"Pollock","given":"Bruce G"},{"family":"Hasan","given":"Omer S M"},{"family":"Dufouil","given":"Carole"},{"family":"Rehm","given":"Jürgen"},{"family":"Baillot","given":"S"},{"family":"Guibert","given":"Q"},{"family":"Planchet","given":"F"},{"family":"Luchini","given":"S"}],"issued":{"date-parts":[["2018",3]]}}},{"id":36667,"uris":["http://zotero.org/users/9040671/items/M5Q7GTUB"],"itemData":{"id":36667,"type":"article-journal","container-title":"JAMA Surgery","DOI":"10.1001/jamasurg.2020.0089","ISSN":"2168-6254","issue":"5","journalAbbreviation":"JAMA Surg","language":"en","page":"395","source":"DOI.org (Crossref)","title":"Colorectal Cancer Risk Following Bariatric Surgery in a Nationwide Study of French Individuals With Obesity","volume":"155","author":[{"family":"Bailly","given":"Laurent"},{"family":"Fabre","given":"Roxane"},{"family":"Pradier","given":"Christian"},{"family":"Iannelli","given":"Antonio"}],"issued":{"date-parts":[["2020",5,1]]}}}],"schema":"https://github.com/citation-style-language/schema/raw/master/csl-citation.json"} </w:instrText>
      </w:r>
      <w:r w:rsidRPr="00AB6810" w:rsidR="00094508">
        <w:rPr>
          <w:rFonts w:ascii="Arial" w:hAnsi="Arial" w:cs="Arial"/>
          <w:sz w:val="24"/>
          <w:szCs w:val="24"/>
        </w:rPr>
        <w:fldChar w:fldCharType="separate"/>
      </w:r>
      <w:r w:rsidRPr="00AB6810" w:rsidR="00094508">
        <w:rPr>
          <w:rFonts w:ascii="Arial" w:hAnsi="Arial" w:cs="Arial"/>
          <w:sz w:val="24"/>
          <w:szCs w:val="24"/>
          <w:vertAlign w:val="superscript"/>
        </w:rPr>
        <w:t>20,21</w:t>
      </w:r>
      <w:r w:rsidRPr="00AB6810" w:rsidR="00094508">
        <w:rPr>
          <w:rFonts w:ascii="Arial" w:hAnsi="Arial" w:cs="Arial"/>
          <w:sz w:val="24"/>
          <w:szCs w:val="24"/>
        </w:rPr>
        <w:fldChar w:fldCharType="end"/>
      </w:r>
      <w:r w:rsidRPr="00AB6810" w:rsidR="00094508">
        <w:rPr>
          <w:rFonts w:ascii="Arial" w:hAnsi="Arial" w:cs="Arial"/>
          <w:sz w:val="24"/>
          <w:szCs w:val="24"/>
        </w:rPr>
        <w:t xml:space="preserve">. These ICD-10 codes are available in Supplementary Table 1. A yearly prevalence was calculated for </w:t>
      </w:r>
      <w:r w:rsidRPr="00AB6810" w:rsidR="00D4094C">
        <w:rPr>
          <w:rFonts w:ascii="Arial" w:hAnsi="Arial" w:cs="Arial"/>
          <w:sz w:val="24"/>
          <w:szCs w:val="24"/>
        </w:rPr>
        <w:t>these</w:t>
      </w:r>
      <w:r w:rsidRPr="00AB6810" w:rsidR="00094508">
        <w:rPr>
          <w:rFonts w:ascii="Arial" w:hAnsi="Arial" w:cs="Arial"/>
          <w:sz w:val="24"/>
          <w:szCs w:val="24"/>
        </w:rPr>
        <w:t xml:space="preserve"> factors. </w:t>
      </w:r>
      <w:r w:rsidRPr="00AB6810" w:rsidR="00155D5E">
        <w:rPr>
          <w:rFonts w:ascii="Arial" w:hAnsi="Arial" w:cs="Arial"/>
          <w:sz w:val="24"/>
          <w:szCs w:val="24"/>
        </w:rPr>
        <w:t>The French Deprivation Index (FDep) is a socioeconomic index which is based on bachelor’s degree rate, household incomes, employment rate and low-skilled worker rate at a fine spatial scale</w:t>
      </w:r>
      <w:r w:rsidRPr="00AB6810" w:rsidR="00824017">
        <w:rPr>
          <w:rFonts w:ascii="Arial" w:hAnsi="Arial" w:cs="Arial"/>
          <w:sz w:val="24"/>
          <w:szCs w:val="24"/>
        </w:rPr>
        <w:t>: the higher the index, the more disadvant</w:t>
      </w:r>
      <w:r w:rsidRPr="00AB6810" w:rsidR="133707A1">
        <w:rPr>
          <w:rFonts w:ascii="Arial" w:hAnsi="Arial" w:cs="Arial"/>
          <w:sz w:val="24"/>
          <w:szCs w:val="24"/>
        </w:rPr>
        <w:t>ag</w:t>
      </w:r>
      <w:r w:rsidRPr="00AB6810" w:rsidR="00824017">
        <w:rPr>
          <w:rFonts w:ascii="Arial" w:hAnsi="Arial" w:cs="Arial"/>
          <w:sz w:val="24"/>
          <w:szCs w:val="24"/>
        </w:rPr>
        <w:t>ed the considered population</w:t>
      </w:r>
      <w:r w:rsidRPr="00AB6810" w:rsidR="00E25E90">
        <w:rPr>
          <w:rFonts w:ascii="Arial" w:hAnsi="Arial" w:cs="Arial"/>
          <w:sz w:val="24"/>
          <w:szCs w:val="24"/>
        </w:rPr>
        <w:t xml:space="preserve"> </w:t>
      </w:r>
      <w:r w:rsidRPr="00AB6810" w:rsidR="00F33AA9">
        <w:rPr>
          <w:rFonts w:ascii="Arial" w:hAnsi="Arial" w:cs="Arial"/>
          <w:sz w:val="24"/>
          <w:szCs w:val="24"/>
        </w:rPr>
        <w:t xml:space="preserve">(available at </w:t>
      </w:r>
      <w:hyperlink w:history="1" r:id="rId11">
        <w:r w:rsidRPr="00AB6810" w:rsidR="00F33AA9">
          <w:rPr>
            <w:rStyle w:val="Lienhypertexte"/>
            <w:rFonts w:ascii="Arial" w:hAnsi="Arial" w:cs="Arial"/>
            <w:sz w:val="24"/>
            <w:szCs w:val="24"/>
          </w:rPr>
          <w:t>geodata.gouv.fr</w:t>
        </w:r>
      </w:hyperlink>
      <w:r w:rsidRPr="00AB6810" w:rsidR="00F33AA9">
        <w:rPr>
          <w:rFonts w:ascii="Arial" w:hAnsi="Arial" w:cs="Arial"/>
          <w:sz w:val="24"/>
          <w:szCs w:val="24"/>
        </w:rPr>
        <w:t>)</w:t>
      </w:r>
      <w:r w:rsidRPr="00AB6810" w:rsidR="00E25E9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{"citationID":"euGzF59f","properties":{"formattedCitation":"\\super 22\\nosupersub{}","plainCitation":"22","noteIndex":0},"citationItems":[{"id":23220,"uris":["http://zotero.org/users/local/vY69w1Y2/items/K2F4EQVP","http://zotero.org/users/9040671/items/K2F4EQVP"],"itemData":{"id":23220,"type":"webpage","title":"Métropole - Indice de défavorisation sociale (FDep) à l'échelle communale - Inserm - Data Europa EU","URL":"https://data.europa.eu/data/datasets/e26abc40-995d-402c-9a3e-a563870d27b5?locale=en","accessed":{"date-parts":[["2023",6,9]]}}}],"schema":"https://github.com/citation-style-language/schema/raw/master/csl-citation.json"} </w:instrText>
      </w:r>
      <w:r w:rsidRPr="00AB6810" w:rsidR="00E25E90">
        <w:rPr>
          <w:rFonts w:ascii="Arial" w:hAnsi="Arial" w:cs="Arial"/>
          <w:sz w:val="24"/>
          <w:szCs w:val="24"/>
        </w:rPr>
        <w:fldChar w:fldCharType="separate"/>
      </w:r>
      <w:r w:rsidRPr="00AB6810" w:rsidR="00094508">
        <w:rPr>
          <w:rFonts w:ascii="Arial" w:hAnsi="Arial" w:cs="Arial"/>
          <w:sz w:val="24"/>
          <w:szCs w:val="24"/>
          <w:vertAlign w:val="superscript"/>
        </w:rPr>
        <w:t>22</w:t>
      </w:r>
      <w:r w:rsidRPr="00AB6810" w:rsidR="00E25E90">
        <w:rPr>
          <w:rFonts w:ascii="Arial" w:hAnsi="Arial" w:cs="Arial"/>
          <w:sz w:val="24"/>
          <w:szCs w:val="24"/>
        </w:rPr>
        <w:fldChar w:fldCharType="end"/>
      </w:r>
      <w:r w:rsidRPr="00AB6810" w:rsidR="2D43739D">
        <w:rPr>
          <w:rFonts w:ascii="Arial" w:hAnsi="Arial" w:cs="Arial"/>
          <w:sz w:val="24"/>
          <w:szCs w:val="24"/>
        </w:rPr>
        <w:t>.</w:t>
      </w:r>
      <w:r w:rsidRPr="00AB6810" w:rsidR="2D43739D">
        <w:rPr>
          <w:rFonts w:ascii="Arial" w:hAnsi="Arial" w:cs="Arial"/>
          <w:sz w:val="24"/>
          <w:szCs w:val="24"/>
          <w:vertAlign w:val="superscript"/>
        </w:rPr>
        <w:t xml:space="preserve"> </w:t>
      </w:r>
      <w:r w:rsidRPr="00AB6810" w:rsidR="00801202">
        <w:rPr>
          <w:rFonts w:ascii="Arial" w:hAnsi="Arial" w:cs="Arial"/>
          <w:sz w:val="24"/>
          <w:szCs w:val="24"/>
        </w:rPr>
        <w:t xml:space="preserve">We used the average FDep value over the study period as it remained </w:t>
      </w:r>
      <w:r w:rsidRPr="00AB6810">
        <w:rPr>
          <w:rFonts w:ascii="Arial" w:hAnsi="Arial" w:cs="Arial"/>
          <w:sz w:val="24"/>
          <w:szCs w:val="24"/>
        </w:rPr>
        <w:t xml:space="preserve">stable over </w:t>
      </w:r>
      <w:r w:rsidRPr="00AB6810" w:rsidR="00801202">
        <w:rPr>
          <w:rFonts w:ascii="Arial" w:hAnsi="Arial" w:cs="Arial"/>
          <w:sz w:val="24"/>
          <w:szCs w:val="24"/>
        </w:rPr>
        <w:t>time</w:t>
      </w:r>
      <w:r w:rsidRPr="00AB6810">
        <w:rPr>
          <w:rFonts w:ascii="Arial" w:hAnsi="Arial" w:cs="Arial"/>
          <w:sz w:val="24"/>
          <w:szCs w:val="24"/>
        </w:rPr>
        <w:t>.</w:t>
      </w:r>
      <w:r w:rsidRPr="00AB6810" w:rsidR="12FC7C9A">
        <w:rPr>
          <w:rFonts w:ascii="Arial" w:hAnsi="Arial" w:cs="Arial"/>
          <w:sz w:val="24"/>
          <w:szCs w:val="24"/>
        </w:rPr>
        <w:t xml:space="preserve"> In France, accessibility</w:t>
      </w:r>
      <w:r w:rsidRPr="00AB6810" w:rsidR="1C8F41A3">
        <w:rPr>
          <w:rFonts w:ascii="Arial" w:hAnsi="Arial" w:cs="Arial"/>
          <w:sz w:val="24"/>
          <w:szCs w:val="24"/>
        </w:rPr>
        <w:t xml:space="preserve"> to general </w:t>
      </w:r>
      <w:r w:rsidRPr="00AB6810" w:rsidR="002022A4">
        <w:rPr>
          <w:rFonts w:ascii="Arial" w:hAnsi="Arial" w:cs="Arial"/>
          <w:sz w:val="24"/>
          <w:szCs w:val="24"/>
        </w:rPr>
        <w:t>practitioners</w:t>
      </w:r>
      <w:r w:rsidRPr="00AB6810" w:rsidR="12FC7C9A">
        <w:rPr>
          <w:rFonts w:ascii="Arial" w:hAnsi="Arial" w:cs="Arial"/>
          <w:sz w:val="24"/>
          <w:szCs w:val="24"/>
        </w:rPr>
        <w:t xml:space="preserve"> </w:t>
      </w:r>
      <w:r w:rsidRPr="00AB6810" w:rsidR="6868E515">
        <w:rPr>
          <w:rFonts w:ascii="Arial" w:hAnsi="Arial" w:cs="Arial"/>
          <w:sz w:val="24"/>
          <w:szCs w:val="24"/>
        </w:rPr>
        <w:t xml:space="preserve">(GP) </w:t>
      </w:r>
      <w:r w:rsidRPr="00AB6810" w:rsidR="12FC7C9A">
        <w:rPr>
          <w:rFonts w:ascii="Arial" w:hAnsi="Arial" w:cs="Arial"/>
          <w:sz w:val="24"/>
          <w:szCs w:val="24"/>
        </w:rPr>
        <w:t xml:space="preserve">is approximated using the </w:t>
      </w:r>
      <w:r w:rsidRPr="00AB6810" w:rsidR="00D04D0A">
        <w:rPr>
          <w:rFonts w:ascii="Arial" w:hAnsi="Arial" w:cs="Arial"/>
          <w:sz w:val="24"/>
          <w:szCs w:val="24"/>
        </w:rPr>
        <w:t>community medicine</w:t>
      </w:r>
      <w:r w:rsidRPr="00AB6810" w:rsidR="12FC7C9A">
        <w:rPr>
          <w:rFonts w:ascii="Arial" w:hAnsi="Arial" w:cs="Arial"/>
          <w:sz w:val="24"/>
          <w:szCs w:val="24"/>
        </w:rPr>
        <w:t xml:space="preserve"> </w:t>
      </w:r>
      <w:r w:rsidRPr="00AB6810" w:rsidR="12FC7C9A">
        <w:rPr>
          <w:rFonts w:ascii="Arial" w:hAnsi="Arial" w:cs="Arial"/>
          <w:sz w:val="24"/>
          <w:szCs w:val="24"/>
        </w:rPr>
        <w:t>accessibility index (</w:t>
      </w:r>
      <w:r w:rsidRPr="00AB6810" w:rsidR="5783C60D">
        <w:rPr>
          <w:rFonts w:ascii="Arial" w:hAnsi="Arial" w:cs="Arial"/>
          <w:i/>
          <w:iCs/>
          <w:sz w:val="24"/>
          <w:szCs w:val="24"/>
        </w:rPr>
        <w:t>Accessibilité Potentielle Localisée</w:t>
      </w:r>
      <w:r w:rsidRPr="00AB6810" w:rsidR="5783C60D">
        <w:rPr>
          <w:rFonts w:ascii="Arial" w:hAnsi="Arial" w:cs="Arial"/>
          <w:sz w:val="24"/>
          <w:szCs w:val="24"/>
        </w:rPr>
        <w:t xml:space="preserve"> [APL]</w:t>
      </w:r>
      <w:r w:rsidRPr="00AB6810" w:rsidR="12FC7C9A">
        <w:rPr>
          <w:rFonts w:ascii="Arial" w:hAnsi="Arial" w:cs="Arial"/>
          <w:sz w:val="24"/>
          <w:szCs w:val="24"/>
        </w:rPr>
        <w:t>)</w:t>
      </w:r>
      <w:r w:rsidRPr="00AB6810" w:rsidR="00F33AA9">
        <w:rPr>
          <w:rFonts w:ascii="Arial" w:hAnsi="Arial" w:cs="Arial"/>
          <w:sz w:val="24"/>
          <w:szCs w:val="24"/>
        </w:rPr>
        <w:t xml:space="preserve"> (available at </w:t>
      </w:r>
      <w:hyperlink w:history="1" r:id="rId12">
        <w:r w:rsidRPr="00AB6810" w:rsidR="00F33AA9">
          <w:rPr>
            <w:rStyle w:val="Lienhypertexte"/>
            <w:rFonts w:ascii="Arial" w:hAnsi="Arial" w:cs="Arial"/>
            <w:sz w:val="24"/>
            <w:szCs w:val="24"/>
          </w:rPr>
          <w:t>data.gouv.fr</w:t>
        </w:r>
      </w:hyperlink>
      <w:r w:rsidRPr="00AB6810" w:rsidR="00F33AA9">
        <w:rPr>
          <w:rFonts w:ascii="Arial" w:hAnsi="Arial" w:cs="Arial"/>
          <w:sz w:val="24"/>
          <w:szCs w:val="24"/>
        </w:rPr>
        <w:t>)</w:t>
      </w:r>
      <w:r w:rsidRPr="00AB6810" w:rsidR="12FC7C9A">
        <w:rPr>
          <w:rFonts w:ascii="Arial" w:hAnsi="Arial" w:cs="Arial"/>
          <w:sz w:val="24"/>
          <w:szCs w:val="24"/>
        </w:rPr>
        <w:t>.</w:t>
      </w:r>
      <w:r w:rsidRPr="00AB6810">
        <w:rPr>
          <w:rFonts w:ascii="Arial" w:hAnsi="Arial" w:cs="Arial"/>
          <w:sz w:val="24"/>
          <w:szCs w:val="24"/>
        </w:rPr>
        <w:t xml:space="preserve"> </w:t>
      </w:r>
      <w:r w:rsidRPr="00AB6810" w:rsidR="4985C9B0">
        <w:rPr>
          <w:rFonts w:ascii="Arial" w:hAnsi="Arial" w:cs="Arial"/>
          <w:sz w:val="24"/>
          <w:szCs w:val="24"/>
        </w:rPr>
        <w:t>Its calculation</w:t>
      </w:r>
      <w:r w:rsidRPr="00AB6810" w:rsidR="587DF137">
        <w:rPr>
          <w:rFonts w:ascii="Arial" w:hAnsi="Arial" w:cs="Arial"/>
          <w:sz w:val="24"/>
          <w:szCs w:val="24"/>
        </w:rPr>
        <w:t xml:space="preserve"> </w:t>
      </w:r>
      <w:r w:rsidRPr="00AB6810" w:rsidR="4985C9B0">
        <w:rPr>
          <w:rFonts w:ascii="Arial" w:hAnsi="Arial" w:cs="Arial"/>
          <w:sz w:val="24"/>
          <w:szCs w:val="24"/>
        </w:rPr>
        <w:t xml:space="preserve">relies on </w:t>
      </w:r>
      <w:r w:rsidRPr="00AB6810" w:rsidR="488495CA">
        <w:rPr>
          <w:rFonts w:ascii="Arial" w:hAnsi="Arial" w:cs="Arial"/>
          <w:sz w:val="24"/>
          <w:szCs w:val="24"/>
        </w:rPr>
        <w:t>the number of GP consultations per yea</w:t>
      </w:r>
      <w:r w:rsidRPr="00AB6810" w:rsidR="07297AFC">
        <w:rPr>
          <w:rFonts w:ascii="Arial" w:hAnsi="Arial" w:cs="Arial"/>
          <w:sz w:val="24"/>
          <w:szCs w:val="24"/>
        </w:rPr>
        <w:t xml:space="preserve">r, population density, the needs of the local population and the time in minutes to access a GP </w:t>
      </w:r>
      <w:r w:rsidRPr="00AB6810" w:rsidR="13F6A7C4">
        <w:rPr>
          <w:rFonts w:ascii="Arial" w:hAnsi="Arial" w:cs="Arial"/>
          <w:sz w:val="24"/>
          <w:szCs w:val="24"/>
        </w:rPr>
        <w:t>by car</w:t>
      </w:r>
      <w:r w:rsidRPr="00AB6810" w:rsidR="00F33AA9">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{"citationID":"s0pPNePs","properties":{"formattedCitation":"\\super 23\\nosupersub{}","plainCitation":"23","noteIndex":0},"citationItems":[{"id":4063,"uris":["http://zotero.org/users/9040671/items/WHEYXHRI"],"itemData":{"id":4063,"type":"webpage","title":"L’indicateur d’accessibilité potentielle localisée (APL) | Direction de la recherche, des études, de l'évaluation et des statistiques","URL":"https://drees.solidarites-sante.gouv.fr/sources-outils-et-enquetes/lindicateur-daccessibilite-potentielle-localisee-apl","accessed":{"date-parts":[["2023",6,9]]}}}],"schema":"https://github.com/citation-style-language/schema/raw/master/csl-citation.json"} </w:instrText>
      </w:r>
      <w:r w:rsidRPr="00AB6810" w:rsidR="00F33AA9">
        <w:rPr>
          <w:rFonts w:ascii="Arial" w:hAnsi="Arial" w:cs="Arial"/>
          <w:sz w:val="24"/>
          <w:szCs w:val="24"/>
        </w:rPr>
        <w:fldChar w:fldCharType="separate"/>
      </w:r>
      <w:r w:rsidRPr="00AB6810" w:rsidR="00094508">
        <w:rPr>
          <w:rFonts w:ascii="Arial" w:hAnsi="Arial" w:cs="Arial"/>
          <w:sz w:val="24"/>
          <w:szCs w:val="24"/>
          <w:vertAlign w:val="superscript"/>
        </w:rPr>
        <w:t>23</w:t>
      </w:r>
      <w:r w:rsidRPr="00AB6810" w:rsidR="00F33AA9">
        <w:rPr>
          <w:rFonts w:ascii="Arial" w:hAnsi="Arial" w:cs="Arial"/>
          <w:sz w:val="24"/>
          <w:szCs w:val="24"/>
        </w:rPr>
        <w:fldChar w:fldCharType="end"/>
      </w:r>
      <w:r w:rsidRPr="00AB6810" w:rsidR="488495CA">
        <w:rPr>
          <w:rFonts w:ascii="Arial" w:hAnsi="Arial" w:cs="Arial"/>
          <w:sz w:val="24"/>
          <w:szCs w:val="24"/>
        </w:rPr>
        <w:t>.</w:t>
      </w:r>
      <w:r w:rsidRPr="00AB6810" w:rsidR="63105F14">
        <w:rPr>
          <w:rFonts w:ascii="Arial" w:hAnsi="Arial" w:cs="Arial"/>
          <w:sz w:val="24"/>
          <w:szCs w:val="24"/>
        </w:rPr>
        <w:t xml:space="preserve"> The higher the index, the better the accessibility to a GP</w:t>
      </w:r>
      <w:r w:rsidRPr="00AB6810" w:rsidR="64C30413">
        <w:rPr>
          <w:rFonts w:ascii="Arial" w:hAnsi="Arial" w:cs="Arial"/>
          <w:sz w:val="24"/>
          <w:szCs w:val="24"/>
        </w:rPr>
        <w:t>.</w:t>
      </w:r>
      <w:r w:rsidRPr="00AB6810" w:rsidR="488495CA">
        <w:rPr>
          <w:rFonts w:ascii="Arial" w:hAnsi="Arial" w:cs="Arial"/>
          <w:sz w:val="24"/>
          <w:szCs w:val="24"/>
        </w:rPr>
        <w:t xml:space="preserve"> </w:t>
      </w:r>
      <w:r w:rsidRPr="00AB6810" w:rsidR="28540A27">
        <w:rPr>
          <w:rFonts w:ascii="Arial" w:hAnsi="Arial" w:cs="Arial"/>
          <w:sz w:val="24"/>
          <w:szCs w:val="24"/>
        </w:rPr>
        <w:t>This index</w:t>
      </w:r>
      <w:r w:rsidRPr="00AB6810">
        <w:rPr>
          <w:rFonts w:ascii="Arial" w:hAnsi="Arial" w:cs="Arial"/>
          <w:sz w:val="24"/>
          <w:szCs w:val="24"/>
        </w:rPr>
        <w:t xml:space="preserve"> is available </w:t>
      </w:r>
      <w:r w:rsidRPr="00AB6810" w:rsidR="00752968">
        <w:rPr>
          <w:rFonts w:ascii="Arial" w:hAnsi="Arial" w:cs="Arial"/>
          <w:sz w:val="24"/>
          <w:szCs w:val="24"/>
        </w:rPr>
        <w:t xml:space="preserve">for </w:t>
      </w:r>
      <w:r w:rsidRPr="00AB6810">
        <w:rPr>
          <w:rFonts w:ascii="Arial" w:hAnsi="Arial" w:cs="Arial"/>
          <w:sz w:val="24"/>
          <w:szCs w:val="24"/>
        </w:rPr>
        <w:t>2015</w:t>
      </w:r>
      <w:r w:rsidRPr="00AB6810" w:rsidR="3D78F09E">
        <w:rPr>
          <w:rFonts w:ascii="Arial" w:hAnsi="Arial" w:cs="Arial"/>
          <w:sz w:val="24"/>
          <w:szCs w:val="24"/>
        </w:rPr>
        <w:t xml:space="preserve"> to </w:t>
      </w:r>
      <w:r w:rsidRPr="00AB6810">
        <w:rPr>
          <w:rFonts w:ascii="Arial" w:hAnsi="Arial" w:cs="Arial"/>
          <w:sz w:val="24"/>
          <w:szCs w:val="24"/>
        </w:rPr>
        <w:t>2019 and 2021. As the APL remained stable during the study period, we used the mean value of 2019 and 2021 to obtain 2020 and applied the 2015 value to the years 2011 to 201</w:t>
      </w:r>
      <w:r w:rsidRPr="00AB6810" w:rsidR="00FA502E">
        <w:rPr>
          <w:rFonts w:ascii="Arial" w:hAnsi="Arial" w:cs="Arial"/>
          <w:sz w:val="24"/>
          <w:szCs w:val="24"/>
        </w:rPr>
        <w:t>8</w:t>
      </w:r>
      <w:r w:rsidRPr="00AB6810">
        <w:rPr>
          <w:rFonts w:ascii="Arial" w:hAnsi="Arial" w:cs="Arial"/>
          <w:sz w:val="24"/>
          <w:szCs w:val="24"/>
        </w:rPr>
        <w:t>.</w:t>
      </w:r>
    </w:p>
    <w:p w:rsidRPr="00AB6810" w:rsidR="2A051D83" w:rsidP="2A051D83" w:rsidRDefault="2A051D83" w14:paraId="2BA0E8B3" w14:textId="09745118">
      <w:pPr>
        <w:spacing w:line="480" w:lineRule="auto"/>
        <w:rPr>
          <w:rFonts w:ascii="Arial" w:hAnsi="Arial" w:cs="Arial"/>
          <w:sz w:val="24"/>
          <w:szCs w:val="24"/>
        </w:rPr>
      </w:pPr>
    </w:p>
    <w:p w:rsidRPr="00AB6810" w:rsidR="00E722C6" w:rsidP="00CF781E" w:rsidRDefault="00E722C6" w14:paraId="07119266" w14:textId="77777777">
      <w:pPr>
        <w:spacing w:line="480" w:lineRule="auto"/>
        <w:rPr>
          <w:rFonts w:ascii="Arial" w:hAnsi="Arial" w:cs="Arial"/>
          <w:i/>
          <w:iCs/>
          <w:sz w:val="24"/>
          <w:szCs w:val="24"/>
          <w:u w:val="single"/>
        </w:rPr>
      </w:pPr>
      <w:bookmarkStart w:name="_Toc142947707" w:id="5"/>
      <w:r w:rsidRPr="00AB6810">
        <w:rPr>
          <w:rFonts w:ascii="Arial" w:hAnsi="Arial" w:cs="Arial"/>
          <w:i/>
          <w:iCs/>
          <w:sz w:val="24"/>
          <w:szCs w:val="24"/>
          <w:u w:val="single"/>
        </w:rPr>
        <w:t>Statistical analysis</w:t>
      </w:r>
      <w:bookmarkEnd w:id="5"/>
    </w:p>
    <w:p w:rsidRPr="00AB6810" w:rsidR="00DE79A3" w:rsidP="00CF781E" w:rsidRDefault="0082411F" w14:paraId="3C84B812" w14:textId="68A7661C">
      <w:pPr>
        <w:spacing w:line="480" w:lineRule="auto"/>
        <w:rPr>
          <w:rFonts w:ascii="Arial" w:hAnsi="Arial" w:cs="Arial"/>
          <w:sz w:val="24"/>
          <w:szCs w:val="24"/>
        </w:rPr>
      </w:pPr>
      <w:r w:rsidRPr="00AB6810">
        <w:rPr>
          <w:rFonts w:ascii="Arial" w:hAnsi="Arial" w:cs="Arial"/>
          <w:b/>
          <w:bCs/>
          <w:sz w:val="24"/>
          <w:szCs w:val="24"/>
        </w:rPr>
        <w:t>Spatial and spatio-temporal modelisation of PA incidence.</w:t>
      </w:r>
      <w:r w:rsidRPr="00AB6810" w:rsidR="00B57DC7">
        <w:rPr>
          <w:rFonts w:ascii="Arial" w:hAnsi="Arial" w:cs="Arial"/>
          <w:sz w:val="24"/>
          <w:szCs w:val="24"/>
        </w:rPr>
        <w:t xml:space="preserve"> To describe the spatio-temporal pattern of PA incidence we specified a Bayesian hierarchical model, which</w:t>
      </w:r>
      <w:r w:rsidRPr="00AB6810" w:rsidR="00B57DC7">
        <w:rPr>
          <w:rFonts w:ascii="Arial" w:hAnsi="Arial" w:cs="Arial"/>
          <w:b/>
          <w:bCs/>
          <w:sz w:val="24"/>
          <w:szCs w:val="24"/>
        </w:rPr>
        <w:t xml:space="preserve"> </w:t>
      </w:r>
      <w:r w:rsidRPr="00AB6810" w:rsidR="00B57DC7">
        <w:rPr>
          <w:rFonts w:ascii="Arial" w:hAnsi="Arial" w:cs="Arial"/>
          <w:sz w:val="24"/>
          <w:szCs w:val="24"/>
        </w:rPr>
        <w:t>is commonly used in the context of disease mapping</w:t>
      </w:r>
      <w:r w:rsidRPr="00AB6810" w:rsidR="00D04D0A">
        <w:rPr>
          <w:rFonts w:ascii="Arial" w:hAnsi="Arial" w:cs="Arial"/>
          <w:b/>
          <w:bCs/>
          <w:sz w:val="24"/>
          <w:szCs w:val="24"/>
        </w:rPr>
        <w:fldChar w:fldCharType="begin"/>
      </w:r>
      <w:r w:rsidRPr="00AB6810" w:rsidR="00094508">
        <w:rPr>
          <w:rFonts w:ascii="Arial" w:hAnsi="Arial" w:cs="Arial"/>
          <w:b/>
          <w:bCs/>
          <w:sz w:val="24"/>
          <w:szCs w:val="24"/>
        </w:rPr>
        <w:instrText xml:space="preserve"> ADDIN ZOTERO_ITEM CSL_CITATION {"citationID":"PdJ1yUS8","properties":{"formattedCitation":"\\super 24\\nosupersub{}","plainCitation":"24","noteIndex":0},"citationItems":[{"id":22045,"uris":["http://zotero.org/users/9040671/items/UMEVQGR3"],"itemData":{"id":22045,"type":"article-journal","abstract":"On the occasion of the Spatial Statistics’ 10th Anniversary, I reflect on the past and present of Bayesian disease mapping and look into its future. I focus on some key developments of models, and on recent evolution of multivariate and adaptive Gaussian Markov random fields and their impact and importance in disease mapping. I reflect on Bayesian disease mapping as a subject of spatial statistics that has advanced to date, and continues to grow, in scope and complexity alongside increasing needs of analytic tools for contemporary health science research, such as spatial epidemiology, population and public health, and medicine. I illustrate (potential) utility and impact of some of the disease mapping models and methods for analysing and monitoring communicable disease such as the COVID-19 infection risks during an ongoing pandemic.","container-title":"Spatial Statistics","DOI":"10.1016/j.spasta.2022.100593","ISSN":"2211-6753","journalAbbreviation":"Spat Stat","note":"PMID: 35075407\nPMCID: PMC8769562","page":"100593","source":"PubMed Central","title":"Bayesian disease mapping: Past, present, and future","title-short":"Bayesian disease mapping","volume":"50","author":[{"family":"MacNab","given":"Ying C."}],"issued":{"date-parts":[["2022",8]]}}}],"schema":"https://github.com/citation-style-language/schema/raw/master/csl-citation.json"} </w:instrText>
      </w:r>
      <w:r w:rsidRPr="00AB6810" w:rsidR="00D04D0A">
        <w:rPr>
          <w:rFonts w:ascii="Arial" w:hAnsi="Arial" w:cs="Arial"/>
          <w:b/>
          <w:bCs/>
          <w:sz w:val="24"/>
          <w:szCs w:val="24"/>
        </w:rPr>
        <w:fldChar w:fldCharType="separate"/>
      </w:r>
      <w:r w:rsidRPr="00AB6810" w:rsidR="00094508">
        <w:rPr>
          <w:rFonts w:ascii="Arial" w:hAnsi="Arial" w:cs="Arial"/>
          <w:sz w:val="24"/>
          <w:szCs w:val="24"/>
          <w:vertAlign w:val="superscript"/>
        </w:rPr>
        <w:t>24</w:t>
      </w:r>
      <w:r w:rsidRPr="00AB6810" w:rsidR="00D04D0A">
        <w:rPr>
          <w:rFonts w:ascii="Arial" w:hAnsi="Arial" w:cs="Arial"/>
          <w:b/>
          <w:bCs/>
          <w:sz w:val="24"/>
          <w:szCs w:val="24"/>
        </w:rPr>
        <w:fldChar w:fldCharType="end"/>
      </w:r>
      <w:r w:rsidRPr="00AB6810" w:rsidR="00B57DC7">
        <w:rPr>
          <w:rFonts w:ascii="Arial" w:hAnsi="Arial" w:cs="Arial"/>
          <w:sz w:val="24"/>
          <w:szCs w:val="24"/>
        </w:rPr>
        <w:t>.</w:t>
      </w:r>
      <w:r w:rsidRPr="00AB6810" w:rsidR="00DE79A3">
        <w:rPr>
          <w:rFonts w:ascii="Arial" w:hAnsi="Arial" w:cs="Arial"/>
          <w:sz w:val="24"/>
          <w:szCs w:val="24"/>
        </w:rPr>
        <w:t xml:space="preserve"> The number of cases is modelled as a Poisson distribution where the mean is a function of the i) number of expected PA cases, obtained by age and gender indirect standardization, using France as the reference population (data from the </w:t>
      </w:r>
      <w:r w:rsidRPr="00AB6810" w:rsidR="00DE79A3">
        <w:rPr>
          <w:rFonts w:ascii="Arial" w:hAnsi="Arial" w:cs="Arial"/>
          <w:i/>
          <w:iCs/>
          <w:sz w:val="24"/>
          <w:szCs w:val="24"/>
        </w:rPr>
        <w:t>Institut National de la Statistique et des Etudes Economiques</w:t>
      </w:r>
      <w:r w:rsidRPr="00AB6810" w:rsidR="00DE79A3">
        <w:rPr>
          <w:rFonts w:ascii="Arial" w:hAnsi="Arial" w:cs="Arial"/>
          <w:sz w:val="24"/>
          <w:szCs w:val="24"/>
        </w:rPr>
        <w:t xml:space="preserve"> [INSEE])</w:t>
      </w:r>
      <w:r w:rsidRPr="00AB6810" w:rsidR="0052341E">
        <w:rPr>
          <w:rFonts w:ascii="Arial" w:hAnsi="Arial" w:cs="Arial"/>
          <w:sz w:val="24"/>
          <w:szCs w:val="24"/>
        </w:rPr>
        <w:t xml:space="preserve"> (</w:t>
      </w:r>
      <w:r w:rsidRPr="00AB6810" w:rsidR="000D2C4E">
        <w:rPr>
          <w:rFonts w:ascii="Arial" w:hAnsi="Arial" w:cs="Arial"/>
          <w:sz w:val="24"/>
          <w:szCs w:val="24"/>
        </w:rPr>
        <w:t xml:space="preserve">available at </w:t>
      </w:r>
      <w:hyperlink w:history="1" r:id="rId13">
        <w:r w:rsidRPr="00AB6810" w:rsidR="0052341E">
          <w:rPr>
            <w:rStyle w:val="Lienhypertexte"/>
            <w:rFonts w:ascii="Arial" w:hAnsi="Arial" w:cs="Arial"/>
            <w:sz w:val="24"/>
            <w:szCs w:val="24"/>
          </w:rPr>
          <w:t>insee.fr</w:t>
        </w:r>
      </w:hyperlink>
      <w:r w:rsidRPr="00AB6810" w:rsidR="0052341E">
        <w:rPr>
          <w:rFonts w:ascii="Arial" w:hAnsi="Arial" w:cs="Arial"/>
          <w:sz w:val="24"/>
          <w:szCs w:val="24"/>
        </w:rPr>
        <w:t>)</w:t>
      </w:r>
      <w:r w:rsidRPr="00AB6810" w:rsidR="00DE79A3">
        <w:rPr>
          <w:rFonts w:ascii="Arial" w:hAnsi="Arial" w:cs="Arial"/>
          <w:sz w:val="24"/>
          <w:szCs w:val="24"/>
        </w:rPr>
        <w:t xml:space="preserve">; ii) several random effects capturing the spatial and temporal trends in PA incidence as well as their interaction. We fitted </w:t>
      </w:r>
      <w:r w:rsidRPr="00AB6810" w:rsidR="00DF0BEF">
        <w:rPr>
          <w:rFonts w:ascii="Arial" w:hAnsi="Arial" w:cs="Arial"/>
          <w:sz w:val="24"/>
          <w:szCs w:val="24"/>
        </w:rPr>
        <w:t xml:space="preserve">different </w:t>
      </w:r>
      <w:r w:rsidRPr="00AB6810" w:rsidR="00DE79A3">
        <w:rPr>
          <w:rFonts w:ascii="Arial" w:hAnsi="Arial" w:cs="Arial"/>
          <w:sz w:val="24"/>
          <w:szCs w:val="24"/>
        </w:rPr>
        <w:t>spatio-temporal models that did not include any covariate, including respectively the spatial random effect and all possible combinations of temporal random effects and spatio-temporal interaction. The model with the best fit was chosen as the one minimizing Watanabe-Akaike information criterion (WAIC)</w:t>
      </w:r>
      <w:r w:rsidRPr="00AB6810" w:rsidR="00DE79A3">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{"citationID":"SnOxcCys","properties":{"formattedCitation":"\\super 25\\nosupersub{}","plainCitation":"25","noteIndex":0},"citationItems":[{"id":29687,"uris":["http://zotero.org/users/9040671/items/YT4RD4JV"],"itemData":{"id":29687,"type":"article-journal","abstract":"We review the Akaike, deviance, and Watanabe-Akaike information criteria from a Bayesian perspective, where the goal is to estimate expected out-of-sample-prediction error using a bias-corrected adjustment of within-sample error. We focus on the choices involved in setting up these measures, and we compare them in three simple examples, one theoretical and two applied. The contribution of this paper is to put all these information criteria into a Bayesian predictive context and to better understand, through small examples, how these methods can apply in practice.","container-title":"Statistics and Computing","DOI":"10.1007/s11222-013-9416-2","ISSN":"1573-1375","issue":"6","journalAbbreviation":"Stat Comput","language":"en","page":"997-1016","source":"Springer Link","title":"Understanding predictive information criteria for Bayesian models","volume":"24","author":[{"family":"Gelman","given":"Andrew"},{"family":"Hwang","given":"Jessica"},{"family":"Vehtari","given":"Aki"}],"issued":{"date-parts":[["2014",11,1]]}}}],"schema":"https://github.com/citation-style-language/schema/raw/master/csl-citation.json"} </w:instrText>
      </w:r>
      <w:r w:rsidRPr="00AB6810" w:rsidR="00DE79A3">
        <w:rPr>
          <w:rFonts w:ascii="Arial" w:hAnsi="Arial" w:cs="Arial"/>
          <w:sz w:val="24"/>
          <w:szCs w:val="24"/>
        </w:rPr>
        <w:fldChar w:fldCharType="separate"/>
      </w:r>
      <w:r w:rsidRPr="00AB6810" w:rsidR="00094508">
        <w:rPr>
          <w:rFonts w:ascii="Arial" w:hAnsi="Arial" w:cs="Arial"/>
          <w:sz w:val="24"/>
          <w:szCs w:val="24"/>
          <w:vertAlign w:val="superscript"/>
        </w:rPr>
        <w:t>25</w:t>
      </w:r>
      <w:r w:rsidRPr="00AB6810" w:rsidR="00DE79A3">
        <w:rPr>
          <w:rFonts w:ascii="Arial" w:hAnsi="Arial" w:cs="Arial"/>
          <w:sz w:val="24"/>
          <w:szCs w:val="24"/>
        </w:rPr>
        <w:fldChar w:fldCharType="end"/>
      </w:r>
      <w:r w:rsidRPr="00AB6810" w:rsidR="00DF0BEF">
        <w:rPr>
          <w:rFonts w:ascii="Arial" w:hAnsi="Arial" w:cs="Arial"/>
          <w:sz w:val="24"/>
          <w:szCs w:val="24"/>
        </w:rPr>
        <w:t>, a commonly used criterion based on model fit and model complexity</w:t>
      </w:r>
      <w:r w:rsidRPr="00AB6810" w:rsidR="00DE79A3">
        <w:rPr>
          <w:rFonts w:ascii="Arial" w:hAnsi="Arial" w:cs="Arial"/>
          <w:sz w:val="24"/>
          <w:szCs w:val="24"/>
        </w:rPr>
        <w:t>. Mathematical formulations of the model, prior specifications and model choice criteri</w:t>
      </w:r>
      <w:r w:rsidRPr="00AB6810" w:rsidR="00D04D0A">
        <w:rPr>
          <w:rFonts w:ascii="Arial" w:hAnsi="Arial" w:cs="Arial"/>
          <w:sz w:val="24"/>
          <w:szCs w:val="24"/>
        </w:rPr>
        <w:t>a</w:t>
      </w:r>
      <w:r w:rsidRPr="00AB6810" w:rsidR="00DE79A3">
        <w:rPr>
          <w:rFonts w:ascii="Arial" w:hAnsi="Arial" w:cs="Arial"/>
          <w:sz w:val="24"/>
          <w:szCs w:val="24"/>
        </w:rPr>
        <w:t xml:space="preserve"> are detailed in Supplementary Material</w:t>
      </w:r>
      <w:r w:rsidRPr="00AB6810" w:rsidR="008D4D75">
        <w:rPr>
          <w:rFonts w:ascii="Arial" w:hAnsi="Arial" w:cs="Arial"/>
          <w:sz w:val="24"/>
          <w:szCs w:val="24"/>
        </w:rPr>
        <w:t xml:space="preserve"> S1</w:t>
      </w:r>
      <w:r w:rsidRPr="00AB6810" w:rsidR="00DE79A3">
        <w:rPr>
          <w:rFonts w:ascii="Arial" w:hAnsi="Arial" w:cs="Arial"/>
          <w:sz w:val="24"/>
          <w:szCs w:val="24"/>
        </w:rPr>
        <w:t>.</w:t>
      </w:r>
    </w:p>
    <w:p w:rsidRPr="00AB6810" w:rsidR="001A59FD" w:rsidP="35BFB30F" w:rsidRDefault="007C3F6B" w14:paraId="23FE35B0" w14:textId="6839871D">
      <w:pPr>
        <w:spacing w:line="480" w:lineRule="auto"/>
        <w:rPr>
          <w:rFonts w:ascii="Arial" w:hAnsi="Arial" w:cs="Arial"/>
          <w:sz w:val="24"/>
          <w:szCs w:val="24"/>
        </w:rPr>
      </w:pPr>
      <w:r w:rsidRPr="00AB6810">
        <w:rPr>
          <w:rFonts w:ascii="Arial" w:hAnsi="Arial" w:cs="Arial"/>
          <w:sz w:val="24"/>
          <w:szCs w:val="24"/>
        </w:rPr>
        <w:t xml:space="preserve">Temporal trend in PA incidence was described by reporting the posterior median of the exponentiated temporal random effects (temporal RR) and their 95% credibility interval [95% CI]. </w:t>
      </w:r>
      <w:r w:rsidRPr="00AB6810" w:rsidR="00941B06">
        <w:rPr>
          <w:rFonts w:ascii="Arial" w:hAnsi="Arial" w:cs="Arial"/>
          <w:sz w:val="24"/>
          <w:szCs w:val="24"/>
        </w:rPr>
        <w:t>To represent the spatial variability in PA incidence</w:t>
      </w:r>
      <w:r w:rsidRPr="00AB6810" w:rsidR="006D6A33">
        <w:rPr>
          <w:rFonts w:ascii="Arial" w:hAnsi="Arial" w:cs="Arial"/>
          <w:sz w:val="24"/>
          <w:szCs w:val="24"/>
        </w:rPr>
        <w:t>,</w:t>
      </w:r>
      <w:r w:rsidRPr="00AB6810" w:rsidR="00D04D0A">
        <w:rPr>
          <w:rFonts w:ascii="Arial" w:hAnsi="Arial" w:cs="Arial"/>
          <w:sz w:val="24"/>
          <w:szCs w:val="24"/>
        </w:rPr>
        <w:t xml:space="preserve"> </w:t>
      </w:r>
      <w:r w:rsidRPr="00AB6810" w:rsidR="00941B06">
        <w:rPr>
          <w:rFonts w:ascii="Arial" w:hAnsi="Arial" w:cs="Arial"/>
          <w:sz w:val="24"/>
          <w:szCs w:val="24"/>
        </w:rPr>
        <w:t>w</w:t>
      </w:r>
      <w:r w:rsidRPr="00AB6810" w:rsidR="00DE79A3">
        <w:rPr>
          <w:rFonts w:ascii="Arial" w:hAnsi="Arial" w:cs="Arial"/>
          <w:sz w:val="24"/>
          <w:szCs w:val="24"/>
        </w:rPr>
        <w:t>e</w:t>
      </w:r>
      <w:r w:rsidRPr="00AB6810" w:rsidR="0082411F">
        <w:rPr>
          <w:rFonts w:ascii="Arial" w:hAnsi="Arial" w:cs="Arial"/>
          <w:sz w:val="24"/>
          <w:szCs w:val="24"/>
        </w:rPr>
        <w:t xml:space="preserve"> </w:t>
      </w:r>
      <w:r w:rsidRPr="00AB6810" w:rsidR="00E4554F">
        <w:rPr>
          <w:rFonts w:ascii="Arial" w:hAnsi="Arial" w:cs="Arial"/>
          <w:sz w:val="24"/>
          <w:szCs w:val="24"/>
        </w:rPr>
        <w:t>reported</w:t>
      </w:r>
      <w:r w:rsidRPr="00AB6810" w:rsidR="0082411F">
        <w:rPr>
          <w:rFonts w:ascii="Arial" w:hAnsi="Arial" w:cs="Arial"/>
          <w:sz w:val="24"/>
          <w:szCs w:val="24"/>
        </w:rPr>
        <w:t xml:space="preserve"> the </w:t>
      </w:r>
      <w:r w:rsidRPr="00AB6810" w:rsidR="006505EF">
        <w:rPr>
          <w:rFonts w:ascii="Arial" w:hAnsi="Arial" w:cs="Arial"/>
          <w:sz w:val="24"/>
          <w:szCs w:val="24"/>
        </w:rPr>
        <w:t xml:space="preserve">posterior </w:t>
      </w:r>
      <w:r w:rsidRPr="00AB6810" w:rsidR="0082411F">
        <w:rPr>
          <w:rFonts w:ascii="Arial" w:hAnsi="Arial" w:cs="Arial"/>
          <w:sz w:val="24"/>
          <w:szCs w:val="24"/>
        </w:rPr>
        <w:t xml:space="preserve">median of </w:t>
      </w:r>
      <w:r w:rsidRPr="00AB6810" w:rsidR="0082411F">
        <w:rPr>
          <w:rFonts w:ascii="Arial" w:hAnsi="Arial" w:cs="Arial"/>
          <w:sz w:val="24"/>
          <w:szCs w:val="24"/>
        </w:rPr>
        <w:t xml:space="preserve">the </w:t>
      </w:r>
      <w:r w:rsidRPr="00AB6810" w:rsidR="00941B06">
        <w:rPr>
          <w:rFonts w:ascii="Arial" w:hAnsi="Arial" w:cs="Arial"/>
          <w:sz w:val="24"/>
          <w:szCs w:val="24"/>
        </w:rPr>
        <w:t xml:space="preserve">exponentiated </w:t>
      </w:r>
      <w:r w:rsidRPr="00AB6810" w:rsidR="0082411F">
        <w:rPr>
          <w:rFonts w:ascii="Arial" w:hAnsi="Arial" w:cs="Arial"/>
          <w:sz w:val="24"/>
          <w:szCs w:val="24"/>
        </w:rPr>
        <w:t>spatial random effects (spatial</w:t>
      </w:r>
      <w:r w:rsidRPr="00AB6810" w:rsidR="4437DB89">
        <w:rPr>
          <w:rFonts w:ascii="Arial" w:hAnsi="Arial" w:cs="Arial"/>
          <w:sz w:val="24"/>
          <w:szCs w:val="24"/>
        </w:rPr>
        <w:t xml:space="preserve"> </w:t>
      </w:r>
      <w:r w:rsidRPr="00AB6810" w:rsidR="00941B06">
        <w:rPr>
          <w:rFonts w:ascii="Arial" w:hAnsi="Arial" w:cs="Arial"/>
          <w:sz w:val="24"/>
          <w:szCs w:val="24"/>
        </w:rPr>
        <w:t>RR)</w:t>
      </w:r>
      <w:r w:rsidRPr="00AB6810" w:rsidR="0082411F">
        <w:rPr>
          <w:rFonts w:ascii="Arial" w:hAnsi="Arial" w:cs="Arial"/>
          <w:sz w:val="24"/>
          <w:szCs w:val="24"/>
        </w:rPr>
        <w:t xml:space="preserve"> and their 95% credibility interval</w:t>
      </w:r>
      <w:r w:rsidRPr="00AB6810" w:rsidR="00172F81">
        <w:rPr>
          <w:rFonts w:ascii="Arial" w:hAnsi="Arial" w:cs="Arial"/>
          <w:sz w:val="24"/>
          <w:szCs w:val="24"/>
        </w:rPr>
        <w:t xml:space="preserve"> [95% CI]</w:t>
      </w:r>
      <w:r w:rsidRPr="00AB6810" w:rsidR="0082411F">
        <w:rPr>
          <w:rFonts w:ascii="Arial" w:hAnsi="Arial" w:cs="Arial"/>
          <w:sz w:val="24"/>
          <w:szCs w:val="24"/>
        </w:rPr>
        <w:t xml:space="preserve">. To identify spatial patterns, we </w:t>
      </w:r>
      <w:r w:rsidRPr="00AB6810" w:rsidR="00941B06">
        <w:rPr>
          <w:rFonts w:ascii="Arial" w:hAnsi="Arial" w:cs="Arial"/>
          <w:sz w:val="24"/>
          <w:szCs w:val="24"/>
        </w:rPr>
        <w:t xml:space="preserve">calculated the </w:t>
      </w:r>
      <w:r w:rsidRPr="00AB6810" w:rsidR="0082411F">
        <w:rPr>
          <w:rFonts w:ascii="Arial" w:hAnsi="Arial" w:cs="Arial"/>
          <w:sz w:val="24"/>
          <w:szCs w:val="24"/>
        </w:rPr>
        <w:t>posterior probability that the spatial RR was greater than one which were discretized according to the following thresholds 0</w:t>
      </w:r>
      <w:r w:rsidRPr="00AB6810" w:rsidR="00872334">
        <w:rPr>
          <w:rFonts w:ascii="Arial" w:hAnsi="Arial" w:cs="Arial"/>
          <w:sz w:val="24"/>
          <w:szCs w:val="24"/>
        </w:rPr>
        <w:t>.</w:t>
      </w:r>
      <w:r w:rsidRPr="00AB6810" w:rsidR="0082411F">
        <w:rPr>
          <w:rFonts w:ascii="Arial" w:hAnsi="Arial" w:cs="Arial"/>
          <w:sz w:val="24"/>
          <w:szCs w:val="24"/>
        </w:rPr>
        <w:t>2 and 0</w:t>
      </w:r>
      <w:r w:rsidRPr="00AB6810" w:rsidR="00872334">
        <w:rPr>
          <w:rFonts w:ascii="Arial" w:hAnsi="Arial" w:cs="Arial"/>
          <w:sz w:val="24"/>
          <w:szCs w:val="24"/>
        </w:rPr>
        <w:t>.</w:t>
      </w:r>
      <w:r w:rsidRPr="00AB6810" w:rsidR="0082411F">
        <w:rPr>
          <w:rFonts w:ascii="Arial" w:hAnsi="Arial" w:cs="Arial"/>
          <w:sz w:val="24"/>
          <w:szCs w:val="24"/>
        </w:rPr>
        <w:t>8</w:t>
      </w:r>
      <w:r w:rsidRPr="00AB6810" w:rsidR="00DF0BEF">
        <w:rPr>
          <w:rFonts w:ascii="Arial" w:hAnsi="Arial" w:cs="Arial"/>
          <w:sz w:val="24"/>
          <w:szCs w:val="24"/>
        </w:rPr>
        <w:t>, the commonly used criterion</w:t>
      </w:r>
      <w:r w:rsidRPr="00AB6810" w:rsidR="0082411F">
        <w:rPr>
          <w:rFonts w:ascii="Arial" w:hAnsi="Arial" w:cs="Arial"/>
          <w:sz w:val="24"/>
          <w:szCs w:val="24"/>
        </w:rPr>
        <w:t xml:space="preserve"> to minimize false positives and false negatives</w:t>
      </w:r>
      <w:r w:rsidRPr="00AB6810" w:rsidR="00E328D2">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{"citationID":"JLwVihkk","properties":{"formattedCitation":"\\super 26\\nosupersub{}","plainCitation":"26","noteIndex":0},"citationItems":[{"id":29890,"uris":["http://zotero.org/users/9040671/items/GECXJ2JQ"],"itemData":{"id":29890,"type":"article-journal","abstract":"There is currently much interest in conducting spatial analyses of health outcomes at the small-area scale. This requires sophisticated statistical techniques, usually involving Bayesian models, to smooth the underlying risk estimates because the data are typically sparse. However, questions have been raised about the performance of these models for recovering the “true” risk surface, about the influence of the prior structure specified, and about the amount of smoothing of the risks that is actually performed. We describe a comprehensive simulation study designed to address these questions. Our results show that Bayesian disease-mapping models are essentially conservative, with high specificity even in situations with very sparse data but low sensitivity if the raised-risk areas have only a moderate (&lt; 2-fold) excess or are not based on substantial expected counts (&gt; 50 per area). Semiparametric spatial mixture models typically produce less smoothing than their conditional autoregressive counterpart when there is sufficient information in the data (moderate-size expected count and/or high true excess risk). Sensitivity may be improved by exploiting the whole posterior distribution to try to detect true raised-risk areas rather than just reporting and mapping the mean posterior relative risk. For the widely used conditional autoregressive model, we show that a decision rule based on computing the probability that the relative risk is above 1 with a cutoff between 70 and 80% gives a specific rule with reasonable sensitivity for a range of scenarios having moderate expected counts (~ 20) and excess risks (~1.5- to 2-fold). Larger (3-fold) excess risks are detected almost certainly using this rule, even when based on small expected counts, although the mean of the posterior distribution is typically smoothed to about half the true value.","container-title":"Environmental Health Perspectives","DOI":"10.1289/ehp.6740","issue":"9","note":"publisher: Environmental Health Perspectives","page":"1016-1025","source":"ehp.niehs.nih.gov (Atypon)","title":"Interpreting Posterior Relative Risk Estimates in Disease-Mapping Studies","volume":"112","author":[{"family":"Richardson","given":"Sylvia"},{"family":"Thomson","given":"Andrew"},{"family":"Best","given":"Nicky"},{"family":"Elliott","given":"Paul"}],"issued":{"date-parts":[["2004",6]]}}}],"schema":"https://github.com/citation-style-language/schema/raw/master/csl-citation.json"} </w:instrText>
      </w:r>
      <w:r w:rsidRPr="00AB6810" w:rsidR="00E328D2">
        <w:rPr>
          <w:rFonts w:ascii="Arial" w:hAnsi="Arial" w:cs="Arial"/>
          <w:sz w:val="24"/>
          <w:szCs w:val="24"/>
        </w:rPr>
        <w:fldChar w:fldCharType="separate"/>
      </w:r>
      <w:r w:rsidRPr="00AB6810" w:rsidR="00094508">
        <w:rPr>
          <w:rFonts w:ascii="Arial" w:hAnsi="Arial" w:cs="Arial"/>
          <w:sz w:val="24"/>
          <w:szCs w:val="24"/>
          <w:vertAlign w:val="superscript"/>
        </w:rPr>
        <w:t>26</w:t>
      </w:r>
      <w:r w:rsidRPr="00AB6810" w:rsidR="00E328D2">
        <w:rPr>
          <w:rFonts w:ascii="Arial" w:hAnsi="Arial" w:cs="Arial"/>
          <w:sz w:val="24"/>
          <w:szCs w:val="24"/>
        </w:rPr>
        <w:fldChar w:fldCharType="end"/>
      </w:r>
      <w:r w:rsidRPr="00AB6810" w:rsidR="0082411F">
        <w:rPr>
          <w:rFonts w:ascii="Arial" w:hAnsi="Arial" w:cs="Arial"/>
          <w:sz w:val="24"/>
          <w:szCs w:val="24"/>
        </w:rPr>
        <w:t>. An exceedance probability over 0</w:t>
      </w:r>
      <w:r w:rsidRPr="00AB6810" w:rsidR="00872334">
        <w:rPr>
          <w:rFonts w:ascii="Arial" w:hAnsi="Arial" w:cs="Arial"/>
          <w:sz w:val="24"/>
          <w:szCs w:val="24"/>
        </w:rPr>
        <w:t>.</w:t>
      </w:r>
      <w:r w:rsidRPr="00AB6810" w:rsidR="0082411F">
        <w:rPr>
          <w:rFonts w:ascii="Arial" w:hAnsi="Arial" w:cs="Arial"/>
          <w:sz w:val="24"/>
          <w:szCs w:val="24"/>
        </w:rPr>
        <w:t>8 was defined as providing substantive evidence of an excess of risk.</w:t>
      </w:r>
      <w:r w:rsidRPr="00AB6810" w:rsidR="00D04D0A">
        <w:rPr>
          <w:rFonts w:ascii="Arial" w:hAnsi="Arial" w:cs="Arial"/>
          <w:sz w:val="24"/>
          <w:szCs w:val="24"/>
        </w:rPr>
        <w:t xml:space="preserve"> </w:t>
      </w:r>
      <w:r w:rsidRPr="00AB6810" w:rsidR="001A59FD">
        <w:rPr>
          <w:rFonts w:ascii="Arial" w:hAnsi="Arial" w:cs="Arial"/>
          <w:sz w:val="24"/>
          <w:szCs w:val="24"/>
        </w:rPr>
        <w:t>The spatio-temporal patterns of PA incidence were examined by plotting the spatial distribution of space-time interactions for each year from 2011 to 2021.</w:t>
      </w:r>
    </w:p>
    <w:p w:rsidRPr="00AB6810" w:rsidR="0082411F" w:rsidP="00CF781E" w:rsidRDefault="0082411F" w14:paraId="112A1D0F" w14:textId="7CCE0792">
      <w:pPr>
        <w:spacing w:line="480" w:lineRule="auto"/>
        <w:rPr>
          <w:rFonts w:ascii="Arial" w:hAnsi="Arial" w:cs="Arial"/>
          <w:sz w:val="24"/>
          <w:szCs w:val="24"/>
        </w:rPr>
      </w:pPr>
      <w:r w:rsidRPr="00AB6810">
        <w:rPr>
          <w:rFonts w:ascii="Arial" w:hAnsi="Arial" w:cs="Arial"/>
          <w:b/>
          <w:bCs/>
          <w:sz w:val="24"/>
          <w:szCs w:val="24"/>
        </w:rPr>
        <w:t xml:space="preserve">Ecological regressions. </w:t>
      </w:r>
      <w:r w:rsidRPr="00AB6810">
        <w:rPr>
          <w:rFonts w:ascii="Arial" w:hAnsi="Arial" w:cs="Arial"/>
          <w:sz w:val="24"/>
          <w:szCs w:val="24"/>
        </w:rPr>
        <w:t>The association between pesticide exposure</w:t>
      </w:r>
      <w:r w:rsidRPr="00AB6810" w:rsidR="00172F81">
        <w:rPr>
          <w:rFonts w:ascii="Arial" w:hAnsi="Arial" w:cs="Arial"/>
          <w:sz w:val="24"/>
          <w:szCs w:val="24"/>
        </w:rPr>
        <w:t xml:space="preserve"> (PEXI </w:t>
      </w:r>
      <w:r w:rsidRPr="00AB6810" w:rsidR="00B3509B">
        <w:rPr>
          <w:rFonts w:ascii="Arial" w:hAnsi="Arial" w:cs="Arial"/>
          <w:sz w:val="24"/>
          <w:szCs w:val="24"/>
        </w:rPr>
        <w:t>indices</w:t>
      </w:r>
      <w:r w:rsidRPr="00AB6810" w:rsidR="00172F81">
        <w:rPr>
          <w:rFonts w:ascii="Arial" w:hAnsi="Arial" w:cs="Arial"/>
          <w:sz w:val="24"/>
          <w:szCs w:val="24"/>
        </w:rPr>
        <w:t>)</w:t>
      </w:r>
      <w:r w:rsidRPr="00AB6810">
        <w:rPr>
          <w:rFonts w:ascii="Arial" w:hAnsi="Arial" w:cs="Arial"/>
          <w:sz w:val="24"/>
          <w:szCs w:val="24"/>
        </w:rPr>
        <w:t xml:space="preserve"> and PA incidence was investigated </w:t>
      </w:r>
      <w:r w:rsidRPr="00AB6810" w:rsidR="00941B06">
        <w:rPr>
          <w:rFonts w:ascii="Arial" w:hAnsi="Arial" w:cs="Arial"/>
          <w:sz w:val="24"/>
          <w:szCs w:val="24"/>
        </w:rPr>
        <w:t xml:space="preserve">extending the previous modelling framework and </w:t>
      </w:r>
      <w:r w:rsidRPr="00AB6810">
        <w:rPr>
          <w:rFonts w:ascii="Arial" w:hAnsi="Arial" w:cs="Arial"/>
          <w:sz w:val="24"/>
          <w:szCs w:val="24"/>
        </w:rPr>
        <w:t xml:space="preserve">introducing each exposure variable as a fixed-effect covariate (9 specific active substances and one for the </w:t>
      </w:r>
      <w:r w:rsidRPr="00AB6810" w:rsidR="00EE2E3F">
        <w:rPr>
          <w:rFonts w:ascii="Arial" w:hAnsi="Arial" w:cs="Arial"/>
          <w:sz w:val="24"/>
          <w:szCs w:val="24"/>
        </w:rPr>
        <w:t>total</w:t>
      </w:r>
      <w:r w:rsidRPr="00AB6810">
        <w:rPr>
          <w:rFonts w:ascii="Arial" w:hAnsi="Arial" w:cs="Arial"/>
          <w:sz w:val="24"/>
          <w:szCs w:val="24"/>
        </w:rPr>
        <w:t xml:space="preserve"> quantity of active substances) yielding to 10 different models.</w:t>
      </w:r>
      <w:r w:rsidRPr="00AB6810" w:rsidR="00AB65EC">
        <w:rPr>
          <w:rFonts w:ascii="Arial" w:hAnsi="Arial" w:cs="Arial"/>
          <w:sz w:val="24"/>
          <w:szCs w:val="24"/>
        </w:rPr>
        <w:t xml:space="preserve"> </w:t>
      </w:r>
      <w:bookmarkStart w:name="_Hlk177726288" w:id="6"/>
      <w:r w:rsidRPr="00AB6810" w:rsidR="001566CF">
        <w:rPr>
          <w:rFonts w:ascii="Arial" w:hAnsi="Arial" w:cs="Arial"/>
          <w:sz w:val="24"/>
          <w:szCs w:val="24"/>
        </w:rPr>
        <w:t xml:space="preserve">Each model was also adjusted for </w:t>
      </w:r>
      <w:r w:rsidRPr="00AB6810" w:rsidR="00DF0BEF">
        <w:rPr>
          <w:rFonts w:ascii="Arial" w:hAnsi="Arial" w:cs="Arial"/>
          <w:sz w:val="24"/>
          <w:szCs w:val="24"/>
        </w:rPr>
        <w:t xml:space="preserve">potential confounders </w:t>
      </w:r>
      <w:r w:rsidRPr="00AB6810" w:rsidR="001566CF">
        <w:rPr>
          <w:rFonts w:ascii="Arial" w:hAnsi="Arial" w:cs="Arial"/>
          <w:sz w:val="24"/>
          <w:szCs w:val="24"/>
        </w:rPr>
        <w:t>by adding as fixed effects the yearly prevalence of patients diagnosed with tobacco-related diseases, the FDep index</w:t>
      </w:r>
      <w:r w:rsidRPr="00AB6810" w:rsidR="00D4094C">
        <w:rPr>
          <w:rFonts w:ascii="Arial" w:hAnsi="Arial" w:cs="Arial"/>
          <w:sz w:val="24"/>
          <w:szCs w:val="24"/>
        </w:rPr>
        <w:t xml:space="preserve">, alcohol-related diseases, </w:t>
      </w:r>
      <w:r w:rsidRPr="00AB6810" w:rsidR="00B757B3">
        <w:rPr>
          <w:rFonts w:ascii="Arial" w:hAnsi="Arial" w:cs="Arial"/>
          <w:sz w:val="24"/>
          <w:szCs w:val="24"/>
        </w:rPr>
        <w:t xml:space="preserve">morbid </w:t>
      </w:r>
      <w:r w:rsidRPr="00AB6810" w:rsidR="00D4094C">
        <w:rPr>
          <w:rFonts w:ascii="Arial" w:hAnsi="Arial" w:cs="Arial"/>
          <w:sz w:val="24"/>
          <w:szCs w:val="24"/>
        </w:rPr>
        <w:t>obesity,</w:t>
      </w:r>
      <w:r w:rsidRPr="00AB6810" w:rsidR="00886F5F">
        <w:rPr>
          <w:rFonts w:ascii="Arial" w:hAnsi="Arial" w:cs="Arial"/>
          <w:sz w:val="24"/>
          <w:szCs w:val="24"/>
        </w:rPr>
        <w:t xml:space="preserve"> </w:t>
      </w:r>
      <w:r w:rsidRPr="00AB6810" w:rsidR="001566CF">
        <w:rPr>
          <w:rFonts w:ascii="Arial" w:hAnsi="Arial" w:cs="Arial"/>
          <w:sz w:val="24"/>
          <w:szCs w:val="24"/>
        </w:rPr>
        <w:t>and community medicine accessibility index</w:t>
      </w:r>
      <w:bookmarkEnd w:id="6"/>
      <w:r w:rsidRPr="00AB6810" w:rsidR="001566CF">
        <w:rPr>
          <w:rFonts w:ascii="Arial" w:hAnsi="Arial" w:cs="Arial"/>
          <w:sz w:val="24"/>
          <w:szCs w:val="24"/>
        </w:rPr>
        <w:t>.</w:t>
      </w:r>
      <w:r w:rsidRPr="00AB6810" w:rsidDel="00446AB4" w:rsidR="001566CF">
        <w:rPr>
          <w:rFonts w:ascii="Arial" w:hAnsi="Arial" w:cs="Arial"/>
          <w:sz w:val="24"/>
          <w:szCs w:val="24"/>
        </w:rPr>
        <w:t xml:space="preserve"> </w:t>
      </w:r>
      <w:r w:rsidRPr="00AB6810" w:rsidR="00886F5F">
        <w:rPr>
          <w:rFonts w:ascii="Arial" w:hAnsi="Arial" w:cs="Arial"/>
          <w:sz w:val="24"/>
          <w:szCs w:val="24"/>
        </w:rPr>
        <w:t xml:space="preserve">In an additional model, we assessed the potential non-linear effects of exposure swapping the linear regression term for random walk of order 2. </w:t>
      </w:r>
      <w:r w:rsidRPr="00AB6810">
        <w:rPr>
          <w:rFonts w:ascii="Arial" w:hAnsi="Arial" w:cs="Arial"/>
          <w:sz w:val="24"/>
          <w:szCs w:val="24"/>
        </w:rPr>
        <w:t xml:space="preserve">As a measure of association with the incidence of PA, we reported, for each exposure variable, </w:t>
      </w:r>
      <w:r w:rsidRPr="00AB6810" w:rsidR="00415335">
        <w:rPr>
          <w:rFonts w:ascii="Arial" w:hAnsi="Arial" w:cs="Arial"/>
          <w:sz w:val="24"/>
          <w:szCs w:val="24"/>
        </w:rPr>
        <w:t xml:space="preserve">the relative risk of PA </w:t>
      </w:r>
      <w:r w:rsidRPr="00AB6810" w:rsidR="00446AB4">
        <w:rPr>
          <w:rFonts w:ascii="Arial" w:hAnsi="Arial" w:cs="Arial"/>
          <w:sz w:val="24"/>
          <w:szCs w:val="24"/>
        </w:rPr>
        <w:t>together with its 95%CI</w:t>
      </w:r>
      <w:r w:rsidRPr="00AB6810">
        <w:rPr>
          <w:rFonts w:ascii="Arial" w:hAnsi="Arial" w:cs="Arial"/>
          <w:sz w:val="24"/>
          <w:szCs w:val="24"/>
        </w:rPr>
        <w:t xml:space="preserve">. </w:t>
      </w:r>
    </w:p>
    <w:p w:rsidRPr="00AB6810" w:rsidR="00172F81" w:rsidP="003C345D" w:rsidRDefault="0082411F" w14:paraId="7AAF8D60" w14:textId="0D8C185F">
      <w:pPr>
        <w:spacing w:line="480" w:lineRule="auto"/>
        <w:rPr>
          <w:rFonts w:ascii="Arial" w:hAnsi="Arial" w:cs="Arial"/>
          <w:sz w:val="24"/>
          <w:szCs w:val="24"/>
        </w:rPr>
      </w:pPr>
      <w:r w:rsidRPr="00AB6810">
        <w:rPr>
          <w:rFonts w:ascii="Arial" w:hAnsi="Arial" w:cs="Arial"/>
          <w:sz w:val="24"/>
          <w:szCs w:val="24"/>
        </w:rPr>
        <w:t>All models were estimated using the integrated nested Laplace approximation (INLA) approach</w:t>
      </w:r>
      <w:r w:rsidRPr="00AB6810" w:rsidR="00886F5F">
        <w:rPr>
          <w:rFonts w:ascii="Arial" w:hAnsi="Arial" w:cs="Arial"/>
          <w:sz w:val="24"/>
          <w:szCs w:val="24"/>
        </w:rPr>
        <w:t xml:space="preserve"> in the R-INLA package within RStudio (R Core Team, 2022, version 4</w:t>
      </w:r>
      <w:r w:rsidRPr="00AB6810" w:rsidR="00872334">
        <w:rPr>
          <w:rFonts w:ascii="Arial" w:hAnsi="Arial" w:cs="Arial"/>
          <w:sz w:val="24"/>
          <w:szCs w:val="24"/>
        </w:rPr>
        <w:t>.</w:t>
      </w:r>
      <w:r w:rsidRPr="00AB6810" w:rsidR="00886F5F">
        <w:rPr>
          <w:rFonts w:ascii="Arial" w:hAnsi="Arial" w:cs="Arial"/>
          <w:sz w:val="24"/>
          <w:szCs w:val="24"/>
        </w:rPr>
        <w:t>2</w:t>
      </w:r>
      <w:r w:rsidRPr="00AB6810" w:rsidR="00872334">
        <w:rPr>
          <w:rFonts w:ascii="Arial" w:hAnsi="Arial" w:cs="Arial"/>
          <w:sz w:val="24"/>
          <w:szCs w:val="24"/>
        </w:rPr>
        <w:t>.</w:t>
      </w:r>
      <w:r w:rsidRPr="00AB6810" w:rsidR="00886F5F">
        <w:rPr>
          <w:rFonts w:ascii="Arial" w:hAnsi="Arial" w:cs="Arial"/>
          <w:sz w:val="24"/>
          <w:szCs w:val="24"/>
        </w:rPr>
        <w:t>2)</w:t>
      </w:r>
      <w:r w:rsidRPr="00AB6810" w:rsidR="00E328D2">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{"citationID":"EHIUX5bL","properties":{"formattedCitation":"\\super 27\\nosupersub{}","plainCitation":"27","noteIndex":0},"citationItems":[{"id":24950,"uris":["http://zotero.org/users/local/vY69w1Y2/items/2VT4TZX2","http://zotero.org/users/9040671/items/2VT4TZX2"],"itemData":{"id":24950,"type":"article-journal","abstract":"Summary. Structured additive regression models are perhaps the most commonly used class of models in statistical applications. It includes, among others, (generalized) linear models, (generalized) additive models, smoothing spline models, state space models, semiparametric regression, spatial and spatiotemporal models, log-Gaussian Cox processes and geostatistical and geoadditive models. We consider approximate Bayesian inference in a popular subset of structured additive regression models, latent Gaussian models, where the latent field is Gaussian, controlled by a few hyperparameters and with non-Gaussian response variables. The posterior marginals are not available in closed form owing to the non-Gaussian response variables. For such models, Markov chain Monte Carlo methods can be implemented, but they are not without problems, in terms of both convergence and computational time. In some practical applications, the extent of these problems is such that Markov chain Monte Carlo sampling is simply not an appropriate tool for routine analysis. We show that, by using an integrated nested Laplace approximation and its simplified version, we can directly compute very accurate approximations to the posterior marginals. The main benefit of these approximations is computational: where Markov chain Monte Carlo algorithms need hours or days to run, our approximations provide more precise estimates in seconds or minutes. Another advantage with our approach is its generality, which makes it possible to perform Bayesian analysis in an automatic, streamlined way, and to compute model comparison criteria and various predictive measures so that models can be compared and the model under study can be challenged.","container-title":"Journal of the Royal Statistical Society: Series B (Statistical Methodology)","DOI":"10.1111/j.1467-9868.2008.00700.x","ISSN":"1467-9868","issue":"2","language":"en","note":"_eprint: https://onlinelibrary.wiley.com/doi/pdf/10.1111/j.1467-9868.2008.00700.x","page":"319-392","source":"Wiley Online Library","title":"Approximate Bayesian inference for latent Gaussian models by using integrated nested Laplace approximations","volume":"71","author":[{"family":"Rue","given":"Håvard"},{"family":"Martino","given":"Sara"},{"family":"Chopin","given":"Nicolas"}],"issued":{"date-parts":[["2009"]]}}}],"schema":"https://github.com/citation-style-language/schema/raw/master/csl-citation.json"} </w:instrText>
      </w:r>
      <w:r w:rsidRPr="00AB6810" w:rsidR="00E328D2">
        <w:rPr>
          <w:rFonts w:ascii="Arial" w:hAnsi="Arial" w:cs="Arial"/>
          <w:sz w:val="24"/>
          <w:szCs w:val="24"/>
        </w:rPr>
        <w:fldChar w:fldCharType="separate"/>
      </w:r>
      <w:r w:rsidRPr="00AB6810" w:rsidR="00094508">
        <w:rPr>
          <w:rFonts w:ascii="Arial" w:hAnsi="Arial" w:cs="Arial"/>
          <w:sz w:val="24"/>
          <w:szCs w:val="24"/>
          <w:vertAlign w:val="superscript"/>
        </w:rPr>
        <w:t>27</w:t>
      </w:r>
      <w:r w:rsidRPr="00AB6810" w:rsidR="00E328D2">
        <w:rPr>
          <w:rFonts w:ascii="Arial" w:hAnsi="Arial" w:cs="Arial"/>
          <w:sz w:val="24"/>
          <w:szCs w:val="24"/>
        </w:rPr>
        <w:fldChar w:fldCharType="end"/>
      </w:r>
      <w:r w:rsidRPr="00AB6810" w:rsidR="00886F5F">
        <w:rPr>
          <w:rFonts w:ascii="Arial" w:hAnsi="Arial" w:cs="Arial"/>
          <w:sz w:val="24"/>
          <w:szCs w:val="24"/>
        </w:rPr>
        <w:t>.</w:t>
      </w:r>
    </w:p>
    <w:p w:rsidRPr="00AB6810" w:rsidR="0082411F" w:rsidP="00CF781E" w:rsidRDefault="0082411F" w14:paraId="39508258" w14:textId="47FAC6F5">
      <w:pPr>
        <w:spacing w:line="480" w:lineRule="auto"/>
        <w:rPr>
          <w:rFonts w:ascii="Arial" w:hAnsi="Arial" w:cs="Arial"/>
          <w:i/>
          <w:iCs/>
          <w:sz w:val="24"/>
          <w:szCs w:val="24"/>
          <w:u w:val="single"/>
        </w:rPr>
      </w:pPr>
      <w:r w:rsidRPr="00AB6810">
        <w:rPr>
          <w:rFonts w:ascii="Arial" w:hAnsi="Arial" w:cs="Arial"/>
          <w:i/>
          <w:iCs/>
          <w:sz w:val="24"/>
          <w:szCs w:val="24"/>
          <w:u w:val="single"/>
        </w:rPr>
        <w:t>Sensitivity analyses</w:t>
      </w:r>
    </w:p>
    <w:p w:rsidRPr="00AB6810" w:rsidR="0082411F" w:rsidP="00CF781E" w:rsidRDefault="0082411F" w14:paraId="1E263C08" w14:textId="264F56C0">
      <w:pPr>
        <w:spacing w:line="480" w:lineRule="auto"/>
        <w:rPr>
          <w:rFonts w:ascii="Arial" w:hAnsi="Arial" w:cs="Arial"/>
          <w:sz w:val="24"/>
          <w:szCs w:val="24"/>
        </w:rPr>
      </w:pPr>
      <w:r w:rsidRPr="00AB6810">
        <w:rPr>
          <w:rFonts w:ascii="Arial" w:hAnsi="Arial" w:cs="Arial"/>
          <w:sz w:val="24"/>
          <w:szCs w:val="24"/>
        </w:rPr>
        <w:t xml:space="preserve">We conducted two sensitivity analyses. Firstly, it should be underlined that (i) our approximation of tobacco consumption was made using a non-validated index and, </w:t>
      </w:r>
      <w:bookmarkStart w:name="_Hlk177726464" w:id="7"/>
      <w:r w:rsidRPr="00AB6810">
        <w:rPr>
          <w:rFonts w:ascii="Arial" w:hAnsi="Arial" w:cs="Arial"/>
          <w:sz w:val="24"/>
          <w:szCs w:val="24"/>
        </w:rPr>
        <w:t>(ii) the association between tobacco</w:t>
      </w:r>
      <w:r w:rsidRPr="00AB6810" w:rsidR="00D4094C">
        <w:rPr>
          <w:rFonts w:ascii="Arial" w:hAnsi="Arial" w:cs="Arial"/>
          <w:sz w:val="24"/>
          <w:szCs w:val="24"/>
        </w:rPr>
        <w:t xml:space="preserve">, </w:t>
      </w:r>
      <w:r w:rsidRPr="00AB6810" w:rsidR="00B757B3">
        <w:rPr>
          <w:rFonts w:ascii="Arial" w:hAnsi="Arial" w:cs="Arial"/>
          <w:sz w:val="24"/>
          <w:szCs w:val="24"/>
        </w:rPr>
        <w:t xml:space="preserve">morbid </w:t>
      </w:r>
      <w:r w:rsidRPr="00AB6810" w:rsidR="00D4094C">
        <w:rPr>
          <w:rFonts w:ascii="Arial" w:hAnsi="Arial" w:cs="Arial"/>
          <w:sz w:val="24"/>
          <w:szCs w:val="24"/>
        </w:rPr>
        <w:t>obesity, alcohol-related diseases</w:t>
      </w:r>
      <w:r w:rsidRPr="00AB6810">
        <w:rPr>
          <w:rFonts w:ascii="Arial" w:hAnsi="Arial" w:cs="Arial"/>
          <w:sz w:val="24"/>
          <w:szCs w:val="24"/>
        </w:rPr>
        <w:t xml:space="preserve"> and exposure was not well defined in the literature. Consequently, </w:t>
      </w:r>
      <w:r w:rsidRPr="00AB6810" w:rsidR="00D4094C">
        <w:rPr>
          <w:rFonts w:ascii="Arial" w:hAnsi="Arial" w:cs="Arial"/>
          <w:sz w:val="24"/>
          <w:szCs w:val="24"/>
        </w:rPr>
        <w:t>all three</w:t>
      </w:r>
      <w:r w:rsidRPr="00AB6810">
        <w:rPr>
          <w:rFonts w:ascii="Arial" w:hAnsi="Arial" w:cs="Arial"/>
          <w:sz w:val="24"/>
          <w:szCs w:val="24"/>
        </w:rPr>
        <w:t xml:space="preserve"> covariate</w:t>
      </w:r>
      <w:r w:rsidRPr="00AB6810" w:rsidR="00D4094C">
        <w:rPr>
          <w:rFonts w:ascii="Arial" w:hAnsi="Arial" w:cs="Arial"/>
          <w:sz w:val="24"/>
          <w:szCs w:val="24"/>
        </w:rPr>
        <w:t>s</w:t>
      </w:r>
      <w:r w:rsidRPr="00AB6810">
        <w:rPr>
          <w:rFonts w:ascii="Arial" w:hAnsi="Arial" w:cs="Arial"/>
          <w:sz w:val="24"/>
          <w:szCs w:val="24"/>
        </w:rPr>
        <w:t xml:space="preserve"> </w:t>
      </w:r>
      <w:r w:rsidRPr="00AB6810" w:rsidR="00D4094C">
        <w:rPr>
          <w:rFonts w:ascii="Arial" w:hAnsi="Arial" w:cs="Arial"/>
          <w:sz w:val="24"/>
          <w:szCs w:val="24"/>
        </w:rPr>
        <w:t xml:space="preserve">were </w:t>
      </w:r>
      <w:r w:rsidRPr="00AB6810">
        <w:rPr>
          <w:rFonts w:ascii="Arial" w:hAnsi="Arial" w:cs="Arial"/>
          <w:sz w:val="24"/>
          <w:szCs w:val="24"/>
        </w:rPr>
        <w:t xml:space="preserve">removed in order </w:t>
      </w:r>
      <w:r w:rsidRPr="00AB6810">
        <w:rPr>
          <w:rFonts w:ascii="Arial" w:hAnsi="Arial" w:cs="Arial"/>
          <w:sz w:val="24"/>
          <w:szCs w:val="24"/>
        </w:rPr>
        <w:t xml:space="preserve">to assess </w:t>
      </w:r>
      <w:r w:rsidRPr="00AB6810" w:rsidR="00D4094C">
        <w:rPr>
          <w:rFonts w:ascii="Arial" w:hAnsi="Arial" w:cs="Arial"/>
          <w:sz w:val="24"/>
          <w:szCs w:val="24"/>
        </w:rPr>
        <w:t xml:space="preserve">their </w:t>
      </w:r>
      <w:r w:rsidRPr="00AB6810">
        <w:rPr>
          <w:rFonts w:ascii="Arial" w:hAnsi="Arial" w:cs="Arial"/>
          <w:sz w:val="24"/>
          <w:szCs w:val="24"/>
        </w:rPr>
        <w:t>influence on the final results</w:t>
      </w:r>
      <w:bookmarkEnd w:id="7"/>
      <w:r w:rsidRPr="00AB6810">
        <w:rPr>
          <w:rFonts w:ascii="Arial" w:hAnsi="Arial" w:cs="Arial"/>
          <w:sz w:val="24"/>
          <w:szCs w:val="24"/>
        </w:rPr>
        <w:t xml:space="preserve">. Secondly, different priors were considered to assess the sensitivity of the final results to them (See </w:t>
      </w:r>
      <w:r w:rsidRPr="00AB6810" w:rsidR="760894C1">
        <w:rPr>
          <w:rFonts w:ascii="Arial" w:hAnsi="Arial" w:cs="Arial"/>
          <w:sz w:val="24"/>
          <w:szCs w:val="24"/>
        </w:rPr>
        <w:t>S</w:t>
      </w:r>
      <w:r w:rsidRPr="00AB6810">
        <w:rPr>
          <w:rFonts w:ascii="Arial" w:hAnsi="Arial" w:cs="Arial"/>
          <w:sz w:val="24"/>
          <w:szCs w:val="24"/>
        </w:rPr>
        <w:t xml:space="preserve">upplementary </w:t>
      </w:r>
      <w:r w:rsidRPr="00AB6810" w:rsidR="16696281">
        <w:rPr>
          <w:rFonts w:ascii="Arial" w:hAnsi="Arial" w:cs="Arial"/>
          <w:sz w:val="24"/>
          <w:szCs w:val="24"/>
        </w:rPr>
        <w:t>M</w:t>
      </w:r>
      <w:r w:rsidRPr="00AB6810">
        <w:rPr>
          <w:rFonts w:ascii="Arial" w:hAnsi="Arial" w:cs="Arial"/>
          <w:sz w:val="24"/>
          <w:szCs w:val="24"/>
        </w:rPr>
        <w:t>aterial</w:t>
      </w:r>
      <w:r w:rsidRPr="00AB6810" w:rsidR="008D4D75">
        <w:rPr>
          <w:rFonts w:ascii="Arial" w:hAnsi="Arial" w:cs="Arial"/>
          <w:sz w:val="24"/>
          <w:szCs w:val="24"/>
        </w:rPr>
        <w:t xml:space="preserve"> S1</w:t>
      </w:r>
      <w:r w:rsidRPr="00AB6810">
        <w:rPr>
          <w:rFonts w:ascii="Arial" w:hAnsi="Arial" w:cs="Arial"/>
          <w:sz w:val="24"/>
          <w:szCs w:val="24"/>
        </w:rPr>
        <w:t>).</w:t>
      </w:r>
    </w:p>
    <w:p w:rsidRPr="00AB6810" w:rsidR="003359B4" w:rsidDel="006354FB" w:rsidP="35BFB30F" w:rsidRDefault="00E722C6" w14:paraId="0B67103D" w14:textId="710AD845">
      <w:pPr>
        <w:spacing w:line="480" w:lineRule="auto"/>
        <w:rPr>
          <w:rFonts w:ascii="Arial" w:hAnsi="Arial" w:cs="Arial"/>
          <w:i/>
          <w:iCs/>
          <w:sz w:val="24"/>
          <w:szCs w:val="24"/>
          <w:u w:val="single"/>
        </w:rPr>
      </w:pPr>
      <w:bookmarkStart w:name="_Toc142947709" w:id="8"/>
      <w:r w:rsidRPr="00AB6810">
        <w:rPr>
          <w:rFonts w:ascii="Arial" w:hAnsi="Arial" w:cs="Arial"/>
          <w:i/>
          <w:iCs/>
          <w:sz w:val="24"/>
          <w:szCs w:val="24"/>
          <w:u w:val="single"/>
        </w:rPr>
        <w:t>Ethics</w:t>
      </w:r>
      <w:bookmarkEnd w:id="8"/>
    </w:p>
    <w:p w:rsidRPr="00AB6810" w:rsidR="00DA4D23" w:rsidP="00CF781E" w:rsidRDefault="00E722C6" w14:paraId="563B2667" w14:textId="4BD3AA59">
      <w:pPr>
        <w:spacing w:line="480" w:lineRule="auto"/>
        <w:rPr>
          <w:rFonts w:ascii="Arial" w:hAnsi="Arial" w:cs="Arial"/>
          <w:color w:val="222222"/>
          <w:sz w:val="24"/>
          <w:szCs w:val="24"/>
        </w:rPr>
      </w:pPr>
      <w:r w:rsidRPr="00AB6810">
        <w:rPr>
          <w:rFonts w:ascii="Arial" w:hAnsi="Arial" w:cs="Arial"/>
          <w:color w:val="222222"/>
          <w:sz w:val="24"/>
          <w:szCs w:val="24"/>
          <w:shd w:val="clear" w:color="auto" w:fill="FFFFFF"/>
        </w:rPr>
        <w:t xml:space="preserve">Access </w:t>
      </w:r>
      <w:r w:rsidRPr="00AB6810" w:rsidR="00094E4E">
        <w:rPr>
          <w:rFonts w:ascii="Arial" w:hAnsi="Arial" w:cs="Arial"/>
          <w:color w:val="222222"/>
          <w:sz w:val="24"/>
          <w:szCs w:val="24"/>
          <w:shd w:val="clear" w:color="auto" w:fill="FFFFFF"/>
        </w:rPr>
        <w:t xml:space="preserve">to the PMSI </w:t>
      </w:r>
      <w:r w:rsidRPr="00AB6810">
        <w:rPr>
          <w:rFonts w:ascii="Arial" w:hAnsi="Arial" w:cs="Arial"/>
          <w:color w:val="222222"/>
          <w:sz w:val="24"/>
          <w:szCs w:val="24"/>
          <w:shd w:val="clear" w:color="auto" w:fill="FFFFFF"/>
        </w:rPr>
        <w:t xml:space="preserve">was granted for the </w:t>
      </w:r>
      <w:r w:rsidRPr="00AB6810" w:rsidR="00094E4E">
        <w:rPr>
          <w:rFonts w:ascii="Arial" w:hAnsi="Arial" w:cs="Arial"/>
          <w:color w:val="222222"/>
          <w:sz w:val="24"/>
          <w:szCs w:val="24"/>
          <w:shd w:val="clear" w:color="auto" w:fill="FFFFFF"/>
        </w:rPr>
        <w:t>case identification</w:t>
      </w:r>
      <w:r w:rsidRPr="00AB6810">
        <w:rPr>
          <w:rFonts w:ascii="Arial" w:hAnsi="Arial" w:cs="Arial"/>
          <w:color w:val="222222"/>
          <w:sz w:val="24"/>
          <w:szCs w:val="24"/>
          <w:shd w:val="clear" w:color="auto" w:fill="FFFFFF"/>
        </w:rPr>
        <w:t xml:space="preserve"> procedure. Only aggregated data were </w:t>
      </w:r>
      <w:r w:rsidRPr="00AB6810" w:rsidR="009B0DD5">
        <w:rPr>
          <w:rFonts w:ascii="Arial" w:hAnsi="Arial" w:cs="Arial"/>
          <w:color w:val="222222"/>
          <w:sz w:val="24"/>
          <w:szCs w:val="24"/>
          <w:shd w:val="clear" w:color="auto" w:fill="FFFFFF"/>
        </w:rPr>
        <w:t xml:space="preserve">used in this </w:t>
      </w:r>
      <w:r w:rsidRPr="00AB6810">
        <w:rPr>
          <w:rFonts w:ascii="Arial" w:hAnsi="Arial" w:cs="Arial"/>
          <w:color w:val="222222"/>
          <w:sz w:val="24"/>
          <w:szCs w:val="24"/>
          <w:shd w:val="clear" w:color="auto" w:fill="FFFFFF"/>
        </w:rPr>
        <w:t xml:space="preserve">study and the nature of the data prevented the risk of patient identification after </w:t>
      </w:r>
      <w:r w:rsidRPr="00AB6810" w:rsidR="00094E4E">
        <w:rPr>
          <w:rFonts w:ascii="Arial" w:hAnsi="Arial" w:cs="Arial"/>
          <w:color w:val="222222"/>
          <w:sz w:val="24"/>
          <w:szCs w:val="24"/>
          <w:shd w:val="clear" w:color="auto" w:fill="FFFFFF"/>
        </w:rPr>
        <w:t>data analysis</w:t>
      </w:r>
      <w:r w:rsidRPr="00AB6810" w:rsidR="00886F5F">
        <w:rPr>
          <w:rFonts w:ascii="Arial" w:hAnsi="Arial" w:cs="Arial"/>
          <w:color w:val="222222"/>
          <w:sz w:val="24"/>
          <w:szCs w:val="24"/>
          <w:shd w:val="clear" w:color="auto" w:fill="FFFFFF"/>
        </w:rPr>
        <w:t>.</w:t>
      </w:r>
    </w:p>
    <w:p w:rsidRPr="00AB6810" w:rsidR="00D40054" w:rsidP="00CF781E" w:rsidRDefault="00BA519E" w14:paraId="57513A0A" w14:textId="7F46B282">
      <w:pPr>
        <w:spacing w:line="480" w:lineRule="auto"/>
        <w:rPr>
          <w:rFonts w:ascii="Arial" w:hAnsi="Arial" w:cs="Arial"/>
          <w:b/>
          <w:bCs/>
          <w:sz w:val="24"/>
          <w:szCs w:val="24"/>
        </w:rPr>
      </w:pPr>
      <w:r w:rsidRPr="00AB6810">
        <w:rPr>
          <w:rFonts w:ascii="Arial" w:hAnsi="Arial" w:cs="Arial"/>
          <w:b/>
          <w:bCs/>
          <w:sz w:val="24"/>
          <w:szCs w:val="24"/>
        </w:rPr>
        <w:t>Results</w:t>
      </w:r>
    </w:p>
    <w:p w:rsidRPr="00AB6810" w:rsidR="00D40054" w:rsidP="35BFB30F" w:rsidRDefault="00D40054" w14:paraId="60A4AA47" w14:textId="51F42105">
      <w:pPr>
        <w:spacing w:line="480" w:lineRule="auto"/>
        <w:rPr>
          <w:rFonts w:ascii="Arial" w:hAnsi="Arial" w:cs="Arial"/>
          <w:sz w:val="24"/>
          <w:szCs w:val="24"/>
        </w:rPr>
      </w:pPr>
      <w:r w:rsidRPr="00AB6810">
        <w:rPr>
          <w:rFonts w:ascii="Arial" w:hAnsi="Arial" w:cs="Arial"/>
          <w:sz w:val="24"/>
          <w:szCs w:val="24"/>
        </w:rPr>
        <w:t>A total of 134 102 cases of PA were identified in 5529 spatial units between 2011 and 2021</w:t>
      </w:r>
      <w:r w:rsidRPr="00AB6810" w:rsidR="38FCF005">
        <w:rPr>
          <w:rFonts w:ascii="Arial" w:hAnsi="Arial" w:cs="Arial"/>
          <w:sz w:val="24"/>
          <w:szCs w:val="24"/>
        </w:rPr>
        <w:t xml:space="preserve">, with </w:t>
      </w:r>
      <w:r w:rsidRPr="00AB6810" w:rsidR="008E7D87">
        <w:rPr>
          <w:rFonts w:ascii="Arial" w:hAnsi="Arial" w:cs="Arial"/>
          <w:sz w:val="24"/>
          <w:szCs w:val="24"/>
        </w:rPr>
        <w:t>69</w:t>
      </w:r>
      <w:r w:rsidRPr="00AB6810" w:rsidR="38FCF005">
        <w:rPr>
          <w:rFonts w:ascii="Arial" w:hAnsi="Arial" w:cs="Arial"/>
          <w:sz w:val="24"/>
          <w:szCs w:val="24"/>
        </w:rPr>
        <w:t>% of male</w:t>
      </w:r>
      <w:r w:rsidRPr="00AB6810" w:rsidR="4CF9BEE6">
        <w:rPr>
          <w:rFonts w:ascii="Arial" w:hAnsi="Arial" w:cs="Arial"/>
          <w:sz w:val="24"/>
          <w:szCs w:val="24"/>
        </w:rPr>
        <w:t xml:space="preserve">s </w:t>
      </w:r>
      <w:r w:rsidRPr="00AB6810" w:rsidR="38FCF005">
        <w:rPr>
          <w:rFonts w:ascii="Arial" w:hAnsi="Arial" w:cs="Arial"/>
          <w:sz w:val="24"/>
          <w:szCs w:val="24"/>
        </w:rPr>
        <w:t xml:space="preserve">and a </w:t>
      </w:r>
      <w:r w:rsidRPr="00AB6810" w:rsidR="00B80715">
        <w:rPr>
          <w:rFonts w:ascii="Arial" w:hAnsi="Arial" w:cs="Arial"/>
          <w:sz w:val="24"/>
          <w:szCs w:val="24"/>
        </w:rPr>
        <w:t>mean</w:t>
      </w:r>
      <w:r w:rsidRPr="00AB6810" w:rsidR="38FCF005">
        <w:rPr>
          <w:rFonts w:ascii="Arial" w:hAnsi="Arial" w:cs="Arial"/>
          <w:sz w:val="24"/>
          <w:szCs w:val="24"/>
        </w:rPr>
        <w:t xml:space="preserve"> age of </w:t>
      </w:r>
      <w:r w:rsidRPr="00AB6810" w:rsidR="00827EFB">
        <w:rPr>
          <w:rFonts w:ascii="Arial" w:hAnsi="Arial" w:cs="Arial"/>
          <w:sz w:val="24"/>
          <w:szCs w:val="24"/>
        </w:rPr>
        <w:t>70</w:t>
      </w:r>
      <w:r w:rsidRPr="00AB6810" w:rsidR="00872334">
        <w:rPr>
          <w:rFonts w:ascii="Arial" w:hAnsi="Arial" w:cs="Arial"/>
          <w:sz w:val="24"/>
          <w:szCs w:val="24"/>
        </w:rPr>
        <w:t>.</w:t>
      </w:r>
      <w:r w:rsidRPr="00AB6810" w:rsidR="00827EFB">
        <w:rPr>
          <w:rFonts w:ascii="Arial" w:hAnsi="Arial" w:cs="Arial"/>
          <w:sz w:val="24"/>
          <w:szCs w:val="24"/>
        </w:rPr>
        <w:t>7</w:t>
      </w:r>
      <w:r w:rsidRPr="00AB6810" w:rsidR="38FCF005">
        <w:rPr>
          <w:rFonts w:ascii="Arial" w:hAnsi="Arial" w:cs="Arial"/>
          <w:sz w:val="24"/>
          <w:szCs w:val="24"/>
        </w:rPr>
        <w:t xml:space="preserve"> years </w:t>
      </w:r>
      <w:r w:rsidRPr="00AB6810" w:rsidR="64F2442C">
        <w:rPr>
          <w:rFonts w:ascii="Arial" w:hAnsi="Arial" w:cs="Arial"/>
          <w:sz w:val="24"/>
          <w:szCs w:val="24"/>
        </w:rPr>
        <w:t xml:space="preserve">at diagnosis </w:t>
      </w:r>
      <w:r w:rsidRPr="00AB6810" w:rsidR="38FCF005">
        <w:rPr>
          <w:rFonts w:ascii="Arial" w:hAnsi="Arial" w:cs="Arial"/>
          <w:sz w:val="24"/>
          <w:szCs w:val="24"/>
        </w:rPr>
        <w:t>(</w:t>
      </w:r>
      <w:r w:rsidRPr="00AB6810" w:rsidR="00827EFB">
        <w:rPr>
          <w:rFonts w:ascii="Arial" w:hAnsi="Arial" w:cs="Arial"/>
          <w:sz w:val="24"/>
          <w:szCs w:val="24"/>
        </w:rPr>
        <w:t>standard deviation</w:t>
      </w:r>
      <w:r w:rsidRPr="00AB6810" w:rsidR="38FCF005">
        <w:rPr>
          <w:rFonts w:ascii="Arial" w:hAnsi="Arial" w:cs="Arial"/>
          <w:sz w:val="24"/>
          <w:szCs w:val="24"/>
        </w:rPr>
        <w:t xml:space="preserve">: </w:t>
      </w:r>
      <w:r w:rsidRPr="00AB6810" w:rsidR="00827EFB">
        <w:rPr>
          <w:rFonts w:ascii="Arial" w:hAnsi="Arial" w:cs="Arial"/>
          <w:sz w:val="24"/>
          <w:szCs w:val="24"/>
        </w:rPr>
        <w:t>12</w:t>
      </w:r>
      <w:r w:rsidRPr="00AB6810" w:rsidR="00872334">
        <w:rPr>
          <w:rFonts w:ascii="Arial" w:hAnsi="Arial" w:cs="Arial"/>
          <w:sz w:val="24"/>
          <w:szCs w:val="24"/>
        </w:rPr>
        <w:t>.</w:t>
      </w:r>
      <w:r w:rsidRPr="00AB6810" w:rsidR="00827EFB">
        <w:rPr>
          <w:rFonts w:ascii="Arial" w:hAnsi="Arial" w:cs="Arial"/>
          <w:sz w:val="24"/>
          <w:szCs w:val="24"/>
        </w:rPr>
        <w:t>3</w:t>
      </w:r>
      <w:r w:rsidRPr="00AB6810" w:rsidR="38FCF005">
        <w:rPr>
          <w:rFonts w:ascii="Arial" w:hAnsi="Arial" w:cs="Arial"/>
          <w:sz w:val="24"/>
          <w:szCs w:val="24"/>
        </w:rPr>
        <w:t>). The</w:t>
      </w:r>
      <w:r w:rsidRPr="00AB6810" w:rsidR="00BD4A0E">
        <w:rPr>
          <w:rFonts w:ascii="Arial" w:hAnsi="Arial" w:cs="Arial"/>
          <w:sz w:val="24"/>
          <w:szCs w:val="24"/>
        </w:rPr>
        <w:t xml:space="preserve"> mean crude incidence rate </w:t>
      </w:r>
      <w:r w:rsidRPr="00AB6810" w:rsidR="53C072FD">
        <w:rPr>
          <w:rFonts w:ascii="Arial" w:hAnsi="Arial" w:cs="Arial"/>
          <w:sz w:val="24"/>
          <w:szCs w:val="24"/>
        </w:rPr>
        <w:t>was</w:t>
      </w:r>
      <w:r w:rsidRPr="00AB6810" w:rsidR="00BD4A0E">
        <w:rPr>
          <w:rFonts w:ascii="Arial" w:hAnsi="Arial" w:cs="Arial"/>
          <w:sz w:val="24"/>
          <w:szCs w:val="24"/>
        </w:rPr>
        <w:t xml:space="preserve"> 18</w:t>
      </w:r>
      <w:r w:rsidRPr="00AB6810" w:rsidR="00872334">
        <w:rPr>
          <w:rFonts w:ascii="Arial" w:hAnsi="Arial" w:cs="Arial"/>
          <w:sz w:val="24"/>
          <w:szCs w:val="24"/>
        </w:rPr>
        <w:t>.</w:t>
      </w:r>
      <w:r w:rsidRPr="00AB6810" w:rsidR="00BD4A0E">
        <w:rPr>
          <w:rFonts w:ascii="Arial" w:hAnsi="Arial" w:cs="Arial"/>
          <w:sz w:val="24"/>
          <w:szCs w:val="24"/>
        </w:rPr>
        <w:t>9 cases per 100 000 inhabitants over the study period</w:t>
      </w:r>
      <w:r w:rsidRPr="00AB6810" w:rsidR="00A5742D">
        <w:rPr>
          <w:rFonts w:ascii="Arial" w:hAnsi="Arial" w:cs="Arial"/>
          <w:sz w:val="24"/>
          <w:szCs w:val="24"/>
        </w:rPr>
        <w:t xml:space="preserve">. </w:t>
      </w:r>
      <w:r w:rsidRPr="00AB6810">
        <w:rPr>
          <w:rFonts w:ascii="Arial" w:hAnsi="Arial" w:cs="Arial"/>
          <w:sz w:val="24"/>
          <w:szCs w:val="24"/>
        </w:rPr>
        <w:t xml:space="preserve">World </w:t>
      </w:r>
      <w:r w:rsidRPr="00AB6810" w:rsidR="00100506">
        <w:rPr>
          <w:rFonts w:ascii="Arial" w:hAnsi="Arial" w:cs="Arial"/>
          <w:sz w:val="24"/>
          <w:szCs w:val="24"/>
        </w:rPr>
        <w:t>age-</w:t>
      </w:r>
      <w:r w:rsidRPr="00AB6810">
        <w:rPr>
          <w:rFonts w:ascii="Arial" w:hAnsi="Arial" w:cs="Arial"/>
          <w:sz w:val="24"/>
          <w:szCs w:val="24"/>
        </w:rPr>
        <w:t>standardized incidence rates per sex were consistent with available official data for men whereas it was overestimated for women (</w:t>
      </w:r>
      <w:r w:rsidRPr="00AB6810" w:rsidR="00A93589">
        <w:rPr>
          <w:rFonts w:ascii="Arial" w:hAnsi="Arial" w:cs="Arial"/>
          <w:sz w:val="24"/>
          <w:szCs w:val="24"/>
        </w:rPr>
        <w:t xml:space="preserve">Supplementary </w:t>
      </w:r>
      <w:r w:rsidRPr="00AB6810">
        <w:rPr>
          <w:rFonts w:ascii="Arial" w:hAnsi="Arial" w:cs="Arial"/>
          <w:sz w:val="24"/>
          <w:szCs w:val="24"/>
        </w:rPr>
        <w:t xml:space="preserve">Figure </w:t>
      </w:r>
      <w:r w:rsidRPr="00AB6810" w:rsidR="00050DF0">
        <w:rPr>
          <w:rFonts w:ascii="Arial" w:hAnsi="Arial" w:cs="Arial"/>
          <w:sz w:val="24"/>
          <w:szCs w:val="24"/>
        </w:rPr>
        <w:t>2</w:t>
      </w:r>
      <w:r w:rsidRPr="00AB6810" w:rsidR="00907EEE">
        <w:rPr>
          <w:rFonts w:ascii="Arial" w:hAnsi="Arial" w:cs="Arial"/>
          <w:sz w:val="24"/>
          <w:szCs w:val="24"/>
        </w:rPr>
        <w:t>)</w:t>
      </w:r>
      <w:r w:rsidRPr="00AB6810">
        <w:rPr>
          <w:rFonts w:ascii="Arial" w:hAnsi="Arial" w:cs="Arial"/>
          <w:sz w:val="24"/>
          <w:szCs w:val="24"/>
        </w:rPr>
        <w:t>. Due to unavailable or unusable location data, 3279 cases were excluded from the spatial analysis (2</w:t>
      </w:r>
      <w:r w:rsidRPr="00AB6810" w:rsidR="00872334">
        <w:rPr>
          <w:rFonts w:ascii="Arial" w:hAnsi="Arial" w:cs="Arial"/>
          <w:sz w:val="24"/>
          <w:szCs w:val="24"/>
        </w:rPr>
        <w:t>.</w:t>
      </w:r>
      <w:r w:rsidRPr="00AB6810">
        <w:rPr>
          <w:rFonts w:ascii="Arial" w:hAnsi="Arial" w:cs="Arial"/>
          <w:sz w:val="24"/>
          <w:szCs w:val="24"/>
        </w:rPr>
        <w:t xml:space="preserve">4%). For the remaining cases, a </w:t>
      </w:r>
      <w:r w:rsidRPr="00AB6810" w:rsidR="00801202">
        <w:rPr>
          <w:rFonts w:ascii="Arial" w:hAnsi="Arial" w:cs="Arial"/>
          <w:sz w:val="24"/>
          <w:szCs w:val="24"/>
        </w:rPr>
        <w:t>mean</w:t>
      </w:r>
      <w:r w:rsidRPr="00AB6810">
        <w:rPr>
          <w:rFonts w:ascii="Arial" w:hAnsi="Arial" w:cs="Arial"/>
          <w:sz w:val="24"/>
          <w:szCs w:val="24"/>
        </w:rPr>
        <w:t xml:space="preserve"> of </w:t>
      </w:r>
      <w:r w:rsidRPr="00AB6810" w:rsidR="00801202">
        <w:rPr>
          <w:rFonts w:ascii="Arial" w:hAnsi="Arial" w:cs="Arial"/>
          <w:sz w:val="24"/>
          <w:szCs w:val="24"/>
        </w:rPr>
        <w:t>23</w:t>
      </w:r>
      <w:r w:rsidRPr="00AB6810" w:rsidR="00872334">
        <w:rPr>
          <w:rFonts w:ascii="Arial" w:hAnsi="Arial" w:cs="Arial"/>
          <w:sz w:val="24"/>
          <w:szCs w:val="24"/>
        </w:rPr>
        <w:t>.</w:t>
      </w:r>
      <w:r w:rsidRPr="00AB6810" w:rsidR="00801202">
        <w:rPr>
          <w:rFonts w:ascii="Arial" w:hAnsi="Arial" w:cs="Arial"/>
          <w:sz w:val="24"/>
          <w:szCs w:val="24"/>
        </w:rPr>
        <w:t>7</w:t>
      </w:r>
      <w:r w:rsidRPr="00AB6810">
        <w:rPr>
          <w:rFonts w:ascii="Arial" w:hAnsi="Arial" w:cs="Arial"/>
          <w:sz w:val="24"/>
          <w:szCs w:val="24"/>
        </w:rPr>
        <w:t xml:space="preserve"> cases (</w:t>
      </w:r>
      <w:r w:rsidRPr="00AB6810" w:rsidR="00801202">
        <w:rPr>
          <w:rFonts w:ascii="Arial" w:hAnsi="Arial" w:cs="Arial"/>
          <w:sz w:val="24"/>
          <w:szCs w:val="24"/>
        </w:rPr>
        <w:t>SD</w:t>
      </w:r>
      <w:r w:rsidRPr="00AB6810" w:rsidR="76B2242E">
        <w:rPr>
          <w:rFonts w:ascii="Arial" w:hAnsi="Arial" w:cs="Arial"/>
          <w:sz w:val="24"/>
          <w:szCs w:val="24"/>
        </w:rPr>
        <w:t xml:space="preserve">: </w:t>
      </w:r>
      <w:r w:rsidRPr="00AB6810" w:rsidR="00801202">
        <w:rPr>
          <w:rFonts w:ascii="Arial" w:hAnsi="Arial" w:cs="Arial"/>
          <w:sz w:val="24"/>
          <w:szCs w:val="24"/>
        </w:rPr>
        <w:t>38</w:t>
      </w:r>
      <w:r w:rsidRPr="00AB6810" w:rsidR="00872334">
        <w:rPr>
          <w:rFonts w:ascii="Arial" w:hAnsi="Arial" w:cs="Arial"/>
          <w:sz w:val="24"/>
          <w:szCs w:val="24"/>
        </w:rPr>
        <w:t>.</w:t>
      </w:r>
      <w:r w:rsidRPr="00AB6810" w:rsidR="00801202">
        <w:rPr>
          <w:rFonts w:ascii="Arial" w:hAnsi="Arial" w:cs="Arial"/>
          <w:sz w:val="24"/>
          <w:szCs w:val="24"/>
        </w:rPr>
        <w:t>0</w:t>
      </w:r>
      <w:r w:rsidRPr="00AB6810">
        <w:rPr>
          <w:rFonts w:ascii="Arial" w:hAnsi="Arial" w:cs="Arial"/>
          <w:sz w:val="24"/>
          <w:szCs w:val="24"/>
        </w:rPr>
        <w:t>) was observed per spatial unit, over the study period.</w:t>
      </w:r>
    </w:p>
    <w:p w:rsidRPr="00AB6810" w:rsidR="2778B87C" w:rsidP="50BF9571" w:rsidRDefault="00961160" w14:paraId="141E5B75" w14:textId="3998125B">
      <w:pPr>
        <w:spacing w:line="480" w:lineRule="auto"/>
        <w:rPr>
          <w:rFonts w:ascii="Arial" w:hAnsi="Arial" w:cs="Arial"/>
          <w:sz w:val="24"/>
          <w:szCs w:val="24"/>
        </w:rPr>
      </w:pPr>
      <w:r w:rsidRPr="00AB6810">
        <w:rPr>
          <w:rFonts w:ascii="Arial" w:hAnsi="Arial" w:cs="Arial"/>
          <w:sz w:val="24"/>
          <w:szCs w:val="24"/>
        </w:rPr>
        <w:t xml:space="preserve">Urban areas </w:t>
      </w:r>
      <w:r w:rsidRPr="00AB6810" w:rsidR="000C6FEA">
        <w:rPr>
          <w:rFonts w:ascii="Arial" w:hAnsi="Arial" w:cs="Arial"/>
          <w:sz w:val="24"/>
          <w:szCs w:val="24"/>
        </w:rPr>
        <w:t xml:space="preserve">showed </w:t>
      </w:r>
      <w:r w:rsidRPr="00AB6810">
        <w:rPr>
          <w:rFonts w:ascii="Arial" w:hAnsi="Arial" w:cs="Arial"/>
          <w:sz w:val="24"/>
          <w:szCs w:val="24"/>
        </w:rPr>
        <w:t xml:space="preserve">a better accessibility to community medicine, </w:t>
      </w:r>
      <w:r w:rsidRPr="00AB6810" w:rsidR="000C6FEA">
        <w:rPr>
          <w:rFonts w:ascii="Arial" w:hAnsi="Arial" w:cs="Arial"/>
          <w:sz w:val="24"/>
          <w:szCs w:val="24"/>
        </w:rPr>
        <w:t xml:space="preserve">higher </w:t>
      </w:r>
      <w:r w:rsidRPr="00AB6810">
        <w:rPr>
          <w:rFonts w:ascii="Arial" w:hAnsi="Arial" w:cs="Arial"/>
          <w:sz w:val="24"/>
          <w:szCs w:val="24"/>
        </w:rPr>
        <w:t>deprivation and</w:t>
      </w:r>
      <w:r w:rsidRPr="00AB6810" w:rsidR="00B80715">
        <w:rPr>
          <w:rFonts w:ascii="Arial" w:hAnsi="Arial" w:cs="Arial"/>
          <w:sz w:val="24"/>
          <w:szCs w:val="24"/>
        </w:rPr>
        <w:t xml:space="preserve"> </w:t>
      </w:r>
      <w:r w:rsidRPr="00AB6810">
        <w:rPr>
          <w:rFonts w:ascii="Arial" w:hAnsi="Arial" w:cs="Arial"/>
          <w:sz w:val="24"/>
          <w:szCs w:val="24"/>
        </w:rPr>
        <w:t xml:space="preserve">prevalence of tobacco-related diseases (Supplementary Figure </w:t>
      </w:r>
      <w:r w:rsidRPr="00AB6810" w:rsidR="00050DF0">
        <w:rPr>
          <w:rFonts w:ascii="Arial" w:hAnsi="Arial" w:cs="Arial"/>
          <w:sz w:val="24"/>
          <w:szCs w:val="24"/>
        </w:rPr>
        <w:t>3</w:t>
      </w:r>
      <w:r w:rsidRPr="00AB6810">
        <w:rPr>
          <w:rFonts w:ascii="Arial" w:hAnsi="Arial" w:cs="Arial"/>
          <w:sz w:val="24"/>
          <w:szCs w:val="24"/>
        </w:rPr>
        <w:t>)</w:t>
      </w:r>
      <w:r w:rsidRPr="00AB6810" w:rsidR="00215128">
        <w:rPr>
          <w:rFonts w:ascii="Arial" w:hAnsi="Arial" w:cs="Arial"/>
          <w:sz w:val="24"/>
          <w:szCs w:val="24"/>
        </w:rPr>
        <w:t xml:space="preserve">. </w:t>
      </w:r>
      <w:r w:rsidRPr="00AB6810" w:rsidR="00B757B3">
        <w:rPr>
          <w:rFonts w:ascii="Arial" w:hAnsi="Arial" w:cs="Arial"/>
          <w:sz w:val="24"/>
          <w:szCs w:val="24"/>
        </w:rPr>
        <w:t>Morbid o</w:t>
      </w:r>
      <w:r w:rsidRPr="00AB6810" w:rsidR="00215128">
        <w:rPr>
          <w:rFonts w:ascii="Arial" w:hAnsi="Arial" w:cs="Arial"/>
          <w:sz w:val="24"/>
          <w:szCs w:val="24"/>
        </w:rPr>
        <w:t>besity and alcohol-related diseases have comparable spatial distribution with broader spatial analyses.</w:t>
      </w:r>
      <w:r w:rsidRPr="00AB6810">
        <w:rPr>
          <w:rFonts w:ascii="Arial" w:hAnsi="Arial" w:cs="Arial"/>
          <w:sz w:val="24"/>
          <w:szCs w:val="24"/>
        </w:rPr>
        <w:t xml:space="preserve"> </w:t>
      </w:r>
      <w:r w:rsidRPr="00AB6810" w:rsidR="00215128">
        <w:rPr>
          <w:rFonts w:ascii="Arial" w:hAnsi="Arial" w:cs="Arial"/>
          <w:sz w:val="24"/>
          <w:szCs w:val="24"/>
        </w:rPr>
        <w:t xml:space="preserve">However, </w:t>
      </w:r>
      <w:r w:rsidRPr="00AB6810" w:rsidR="005D7D8C">
        <w:rPr>
          <w:rFonts w:ascii="Arial" w:hAnsi="Arial" w:cs="Arial"/>
          <w:sz w:val="24"/>
          <w:szCs w:val="24"/>
        </w:rPr>
        <w:t xml:space="preserve">these variables </w:t>
      </w:r>
      <w:r w:rsidRPr="00AB6810" w:rsidR="000C6FEA">
        <w:rPr>
          <w:rFonts w:ascii="Arial" w:hAnsi="Arial" w:cs="Arial"/>
          <w:sz w:val="24"/>
          <w:szCs w:val="24"/>
        </w:rPr>
        <w:t xml:space="preserve">were not characterised by high </w:t>
      </w:r>
      <w:r w:rsidRPr="00AB6810">
        <w:rPr>
          <w:rFonts w:ascii="Arial" w:hAnsi="Arial" w:cs="Arial"/>
          <w:sz w:val="24"/>
          <w:szCs w:val="24"/>
        </w:rPr>
        <w:t xml:space="preserve">correlation (Supplementary Figure </w:t>
      </w:r>
      <w:r w:rsidRPr="00AB6810" w:rsidR="00050DF0">
        <w:rPr>
          <w:rFonts w:ascii="Arial" w:hAnsi="Arial" w:cs="Arial"/>
          <w:sz w:val="24"/>
          <w:szCs w:val="24"/>
        </w:rPr>
        <w:t>4</w:t>
      </w:r>
      <w:r w:rsidRPr="00AB6810">
        <w:rPr>
          <w:rFonts w:ascii="Arial" w:hAnsi="Arial" w:cs="Arial"/>
          <w:sz w:val="24"/>
          <w:szCs w:val="24"/>
        </w:rPr>
        <w:t>).</w:t>
      </w:r>
      <w:r w:rsidRPr="00AB6810" w:rsidR="00215128">
        <w:rPr>
          <w:rFonts w:ascii="Arial" w:hAnsi="Arial" w:cs="Arial"/>
          <w:sz w:val="24"/>
          <w:szCs w:val="24"/>
        </w:rPr>
        <w:t xml:space="preserve"> </w:t>
      </w:r>
    </w:p>
    <w:p w:rsidRPr="00AB6810" w:rsidR="00D40054" w:rsidP="00CF781E" w:rsidRDefault="00136842" w14:paraId="3ABE9C3A" w14:textId="3E71CA6E">
      <w:pPr>
        <w:spacing w:line="480" w:lineRule="auto"/>
        <w:rPr>
          <w:rFonts w:ascii="Arial" w:hAnsi="Arial" w:cs="Arial"/>
          <w:sz w:val="24"/>
          <w:szCs w:val="24"/>
        </w:rPr>
      </w:pPr>
      <w:r w:rsidRPr="00AB6810">
        <w:rPr>
          <w:rFonts w:ascii="Arial" w:hAnsi="Arial" w:cs="Arial"/>
          <w:i/>
          <w:iCs/>
          <w:sz w:val="24"/>
          <w:szCs w:val="24"/>
          <w:u w:val="single"/>
        </w:rPr>
        <w:t>Model selection</w:t>
      </w:r>
    </w:p>
    <w:p w:rsidRPr="00AB6810" w:rsidR="005C3218" w:rsidP="00CF781E" w:rsidRDefault="00136842" w14:paraId="5979D112" w14:textId="21CCA3BA">
      <w:pPr>
        <w:spacing w:line="480" w:lineRule="auto"/>
        <w:rPr>
          <w:rFonts w:ascii="Arial" w:hAnsi="Arial" w:cs="Arial"/>
          <w:sz w:val="24"/>
          <w:szCs w:val="24"/>
        </w:rPr>
      </w:pPr>
      <w:r w:rsidRPr="00AB6810">
        <w:rPr>
          <w:rFonts w:ascii="Arial" w:hAnsi="Arial" w:cs="Arial"/>
          <w:sz w:val="24"/>
          <w:szCs w:val="24"/>
        </w:rPr>
        <w:t>According to the WAIC</w:t>
      </w:r>
      <w:r w:rsidRPr="00AB6810" w:rsidR="00010CA4">
        <w:rPr>
          <w:rFonts w:ascii="Arial" w:hAnsi="Arial" w:cs="Arial"/>
          <w:sz w:val="24"/>
          <w:szCs w:val="24"/>
        </w:rPr>
        <w:t xml:space="preserve"> </w:t>
      </w:r>
      <w:r w:rsidRPr="00AB6810">
        <w:rPr>
          <w:rFonts w:ascii="Arial" w:hAnsi="Arial" w:cs="Arial"/>
          <w:sz w:val="24"/>
          <w:szCs w:val="24"/>
        </w:rPr>
        <w:t>criteri</w:t>
      </w:r>
      <w:r w:rsidRPr="00AB6810" w:rsidR="00BD147D">
        <w:rPr>
          <w:rFonts w:ascii="Arial" w:hAnsi="Arial" w:cs="Arial"/>
          <w:sz w:val="24"/>
          <w:szCs w:val="24"/>
        </w:rPr>
        <w:t>on</w:t>
      </w:r>
      <w:r w:rsidRPr="00AB6810">
        <w:rPr>
          <w:rFonts w:ascii="Arial" w:hAnsi="Arial" w:cs="Arial"/>
          <w:sz w:val="24"/>
          <w:szCs w:val="24"/>
        </w:rPr>
        <w:t>, the model that showed the best fit included random effects for</w:t>
      </w:r>
      <w:r w:rsidRPr="00AB6810" w:rsidR="00997FDB">
        <w:rPr>
          <w:rFonts w:ascii="Arial" w:hAnsi="Arial" w:cs="Arial"/>
          <w:sz w:val="24"/>
          <w:szCs w:val="24"/>
        </w:rPr>
        <w:t xml:space="preserve"> time, space and </w:t>
      </w:r>
      <w:r w:rsidRPr="00AB6810" w:rsidR="0001727F">
        <w:rPr>
          <w:rFonts w:ascii="Arial" w:hAnsi="Arial" w:cs="Arial"/>
          <w:sz w:val="24"/>
          <w:szCs w:val="24"/>
        </w:rPr>
        <w:t xml:space="preserve">space-time </w:t>
      </w:r>
      <w:r w:rsidRPr="00AB6810" w:rsidR="00997FDB">
        <w:rPr>
          <w:rFonts w:ascii="Arial" w:hAnsi="Arial" w:cs="Arial"/>
          <w:sz w:val="24"/>
          <w:szCs w:val="24"/>
        </w:rPr>
        <w:t>interaction</w:t>
      </w:r>
      <w:r w:rsidRPr="00AB6810" w:rsidR="00D80128">
        <w:rPr>
          <w:rFonts w:ascii="Arial" w:hAnsi="Arial" w:cs="Arial"/>
          <w:sz w:val="24"/>
          <w:szCs w:val="24"/>
        </w:rPr>
        <w:t xml:space="preserve"> (Supplementary Material)</w:t>
      </w:r>
      <w:r w:rsidRPr="00AB6810" w:rsidR="00997FDB">
        <w:rPr>
          <w:rFonts w:ascii="Arial" w:hAnsi="Arial" w:cs="Arial"/>
          <w:sz w:val="24"/>
          <w:szCs w:val="24"/>
        </w:rPr>
        <w:t>.</w:t>
      </w:r>
    </w:p>
    <w:p w:rsidRPr="00AB6810" w:rsidR="005C3218" w:rsidP="00CF781E" w:rsidRDefault="005C3218" w14:paraId="65B99DF1" w14:textId="58CD2489">
      <w:pPr>
        <w:spacing w:line="480" w:lineRule="auto"/>
        <w:rPr>
          <w:rFonts w:ascii="Arial" w:hAnsi="Arial" w:cs="Arial"/>
          <w:i/>
          <w:iCs/>
          <w:sz w:val="24"/>
          <w:szCs w:val="24"/>
          <w:u w:val="single"/>
        </w:rPr>
      </w:pPr>
      <w:r w:rsidRPr="00AB6810">
        <w:rPr>
          <w:rFonts w:ascii="Arial" w:hAnsi="Arial" w:cs="Arial"/>
          <w:i/>
          <w:iCs/>
          <w:sz w:val="24"/>
          <w:szCs w:val="24"/>
          <w:u w:val="single"/>
        </w:rPr>
        <w:t>Temporal trend</w:t>
      </w:r>
      <w:r w:rsidRPr="00AB6810" w:rsidR="00B92E3B">
        <w:rPr>
          <w:rFonts w:ascii="Arial" w:hAnsi="Arial" w:cs="Arial"/>
          <w:i/>
          <w:iCs/>
          <w:sz w:val="24"/>
          <w:szCs w:val="24"/>
          <w:u w:val="single"/>
        </w:rPr>
        <w:t>, spatial and spatio-temporal patterns</w:t>
      </w:r>
      <w:r w:rsidRPr="00AB6810">
        <w:rPr>
          <w:rFonts w:ascii="Arial" w:hAnsi="Arial" w:cs="Arial"/>
          <w:i/>
          <w:iCs/>
          <w:sz w:val="24"/>
          <w:szCs w:val="24"/>
          <w:u w:val="single"/>
        </w:rPr>
        <w:t xml:space="preserve"> of PA incidence</w:t>
      </w:r>
    </w:p>
    <w:p w:rsidRPr="00AB6810" w:rsidR="005C3218" w:rsidP="00CF781E" w:rsidRDefault="00312D6B" w14:paraId="69EDE2F7" w14:textId="5BB10603">
      <w:pPr>
        <w:spacing w:line="480" w:lineRule="auto"/>
        <w:rPr>
          <w:rFonts w:ascii="Arial" w:hAnsi="Arial" w:cs="Arial"/>
          <w:sz w:val="24"/>
          <w:szCs w:val="24"/>
        </w:rPr>
      </w:pPr>
      <w:r w:rsidRPr="00AB6810">
        <w:rPr>
          <w:rFonts w:ascii="Arial" w:hAnsi="Arial" w:cs="Arial"/>
          <w:sz w:val="24"/>
          <w:szCs w:val="24"/>
        </w:rPr>
        <w:t>The temporal relative risks ranged from 0</w:t>
      </w:r>
      <w:r w:rsidRPr="00AB6810" w:rsidR="00872334">
        <w:rPr>
          <w:rFonts w:ascii="Arial" w:hAnsi="Arial" w:cs="Arial"/>
          <w:sz w:val="24"/>
          <w:szCs w:val="24"/>
        </w:rPr>
        <w:t>.</w:t>
      </w:r>
      <w:r w:rsidRPr="00AB6810">
        <w:rPr>
          <w:rFonts w:ascii="Arial" w:hAnsi="Arial" w:cs="Arial"/>
          <w:sz w:val="24"/>
          <w:szCs w:val="24"/>
        </w:rPr>
        <w:t>97 (95% CI [0</w:t>
      </w:r>
      <w:r w:rsidRPr="00AB6810" w:rsidR="00872334">
        <w:rPr>
          <w:rFonts w:ascii="Arial" w:hAnsi="Arial" w:cs="Arial"/>
          <w:sz w:val="24"/>
          <w:szCs w:val="24"/>
        </w:rPr>
        <w:t>.</w:t>
      </w:r>
      <w:r w:rsidRPr="00AB6810">
        <w:rPr>
          <w:rFonts w:ascii="Arial" w:hAnsi="Arial" w:cs="Arial"/>
          <w:sz w:val="24"/>
          <w:szCs w:val="24"/>
        </w:rPr>
        <w:t>96</w:t>
      </w:r>
      <w:r w:rsidRPr="00AB6810" w:rsidR="001C1841">
        <w:rPr>
          <w:rFonts w:ascii="Arial" w:hAnsi="Arial" w:cs="Arial"/>
          <w:sz w:val="24"/>
          <w:szCs w:val="24"/>
        </w:rPr>
        <w:t>;</w:t>
      </w:r>
      <w:r w:rsidRPr="00AB6810">
        <w:rPr>
          <w:rFonts w:ascii="Arial" w:hAnsi="Arial" w:cs="Arial"/>
          <w:sz w:val="24"/>
          <w:szCs w:val="24"/>
        </w:rPr>
        <w:t>0</w:t>
      </w:r>
      <w:r w:rsidRPr="00AB6810" w:rsidR="00872334">
        <w:rPr>
          <w:rFonts w:ascii="Arial" w:hAnsi="Arial" w:cs="Arial"/>
          <w:sz w:val="24"/>
          <w:szCs w:val="24"/>
        </w:rPr>
        <w:t>.</w:t>
      </w:r>
      <w:r w:rsidRPr="00AB6810">
        <w:rPr>
          <w:rFonts w:ascii="Arial" w:hAnsi="Arial" w:cs="Arial"/>
          <w:sz w:val="24"/>
          <w:szCs w:val="24"/>
        </w:rPr>
        <w:t>98]) in 2016 to 1</w:t>
      </w:r>
      <w:r w:rsidRPr="00AB6810" w:rsidR="00872334">
        <w:rPr>
          <w:rFonts w:ascii="Arial" w:hAnsi="Arial" w:cs="Arial"/>
          <w:sz w:val="24"/>
          <w:szCs w:val="24"/>
        </w:rPr>
        <w:t>.</w:t>
      </w:r>
      <w:r w:rsidRPr="00AB6810">
        <w:rPr>
          <w:rFonts w:ascii="Arial" w:hAnsi="Arial" w:cs="Arial"/>
          <w:sz w:val="24"/>
          <w:szCs w:val="24"/>
        </w:rPr>
        <w:t>05 [1</w:t>
      </w:r>
      <w:r w:rsidRPr="00AB6810" w:rsidR="00872334">
        <w:rPr>
          <w:rFonts w:ascii="Arial" w:hAnsi="Arial" w:cs="Arial"/>
          <w:sz w:val="24"/>
          <w:szCs w:val="24"/>
        </w:rPr>
        <w:t>.</w:t>
      </w:r>
      <w:r w:rsidRPr="00AB6810">
        <w:rPr>
          <w:rFonts w:ascii="Arial" w:hAnsi="Arial" w:cs="Arial"/>
          <w:sz w:val="24"/>
          <w:szCs w:val="24"/>
        </w:rPr>
        <w:t>03</w:t>
      </w:r>
      <w:r w:rsidRPr="00AB6810" w:rsidR="00872334">
        <w:rPr>
          <w:rFonts w:ascii="Arial" w:hAnsi="Arial" w:cs="Arial"/>
          <w:sz w:val="24"/>
          <w:szCs w:val="24"/>
        </w:rPr>
        <w:t>.</w:t>
      </w:r>
      <w:r w:rsidRPr="00AB6810">
        <w:rPr>
          <w:rFonts w:ascii="Arial" w:hAnsi="Arial" w:cs="Arial"/>
          <w:sz w:val="24"/>
          <w:szCs w:val="24"/>
        </w:rPr>
        <w:t>1</w:t>
      </w:r>
      <w:r w:rsidRPr="00AB6810" w:rsidR="00872334">
        <w:rPr>
          <w:rFonts w:ascii="Arial" w:hAnsi="Arial" w:cs="Arial"/>
          <w:sz w:val="24"/>
          <w:szCs w:val="24"/>
        </w:rPr>
        <w:t>.</w:t>
      </w:r>
      <w:r w:rsidRPr="00AB6810">
        <w:rPr>
          <w:rFonts w:ascii="Arial" w:hAnsi="Arial" w:cs="Arial"/>
          <w:sz w:val="24"/>
          <w:szCs w:val="24"/>
        </w:rPr>
        <w:t xml:space="preserve">07] in 2021 (Figure </w:t>
      </w:r>
      <w:r w:rsidRPr="00AB6810" w:rsidR="006062BD">
        <w:rPr>
          <w:rFonts w:ascii="Arial" w:hAnsi="Arial" w:cs="Arial"/>
          <w:sz w:val="24"/>
          <w:szCs w:val="24"/>
        </w:rPr>
        <w:t>1</w:t>
      </w:r>
      <w:r w:rsidRPr="00AB6810">
        <w:rPr>
          <w:rFonts w:ascii="Arial" w:hAnsi="Arial" w:cs="Arial"/>
          <w:sz w:val="24"/>
          <w:szCs w:val="24"/>
        </w:rPr>
        <w:t>). While a slight decrease was observed between 2011 and 2012, the temporal relative risks remained stable until 2016 and then showed a constant increase until 2021.</w:t>
      </w:r>
      <w:r w:rsidRPr="00AB6810" w:rsidR="007E5FB9">
        <w:rPr>
          <w:rFonts w:ascii="Arial" w:hAnsi="Arial" w:cs="Arial"/>
          <w:sz w:val="24"/>
          <w:szCs w:val="24"/>
        </w:rPr>
        <w:t xml:space="preserve"> These data match the trend of the reference World age-standardised incidence data</w:t>
      </w:r>
      <w:r w:rsidRPr="00AB6810" w:rsidR="00886F5F">
        <w:rPr>
          <w:rFonts w:ascii="Arial" w:hAnsi="Arial" w:cs="Arial"/>
          <w:sz w:val="24"/>
          <w:szCs w:val="24"/>
        </w:rPr>
        <w:fldChar w:fldCharType="begin"/>
      </w:r>
      <w:r w:rsidRPr="00AB6810" w:rsidR="00886F5F">
        <w:rPr>
          <w:rFonts w:ascii="Arial" w:hAnsi="Arial" w:cs="Arial"/>
          <w:sz w:val="24"/>
          <w:szCs w:val="24"/>
        </w:rPr>
        <w:instrText xml:space="preserve"> ADDIN ZOTERO_ITEM CSL_CITATION {"citationID":"M0LZ0hGv","properties":{"formattedCitation":"\\super 1\\nosupersub{}","plainCitation":"1","noteIndex":0},"citationItems":[{"id":24300,"uris":["http://zotero.org/users/local/vY69w1Y2/items/DIQ5LMLR","http://zotero.org/users/9040671/items/DIQ5LMLR"],"itemData":{"id":24300,"type":"webpage","abstract":"CANCER TODAY provides data visualization tools that present current national estimates of the incidence, mortality, and prevalence of 36 cancer types in 185 countries, by sex and age group.","language":"en","title":"Cancer today","URL":"http://gco.iarc.fr/today/home","accessed":{"date-parts":[["2022",10,7]]}}}],"schema":"https://github.com/citation-style-language/schema/raw/master/csl-citation.json"} </w:instrText>
      </w:r>
      <w:r w:rsidRPr="00AB6810" w:rsidR="00886F5F">
        <w:rPr>
          <w:rFonts w:ascii="Arial" w:hAnsi="Arial" w:cs="Arial"/>
          <w:sz w:val="24"/>
          <w:szCs w:val="24"/>
        </w:rPr>
        <w:fldChar w:fldCharType="separate"/>
      </w:r>
      <w:r w:rsidRPr="00AB6810" w:rsidR="00886F5F">
        <w:rPr>
          <w:rFonts w:ascii="Arial" w:hAnsi="Arial" w:cs="Arial"/>
          <w:sz w:val="24"/>
          <w:szCs w:val="24"/>
          <w:vertAlign w:val="superscript"/>
        </w:rPr>
        <w:t>1</w:t>
      </w:r>
      <w:r w:rsidRPr="00AB6810" w:rsidR="00886F5F">
        <w:rPr>
          <w:rFonts w:ascii="Arial" w:hAnsi="Arial" w:cs="Arial"/>
          <w:sz w:val="24"/>
          <w:szCs w:val="24"/>
        </w:rPr>
        <w:fldChar w:fldCharType="end"/>
      </w:r>
      <w:r w:rsidRPr="00AB6810" w:rsidR="007E5FB9">
        <w:rPr>
          <w:rFonts w:ascii="Arial" w:hAnsi="Arial" w:cs="Arial"/>
          <w:sz w:val="24"/>
          <w:szCs w:val="24"/>
        </w:rPr>
        <w:t>.</w:t>
      </w:r>
    </w:p>
    <w:p w:rsidRPr="00AB6810" w:rsidR="00C01B2D" w:rsidP="35BFB30F" w:rsidRDefault="00F55A8E" w14:paraId="21F1477B" w14:textId="79AB32DB">
      <w:pPr>
        <w:spacing w:line="480" w:lineRule="auto"/>
        <w:rPr>
          <w:rFonts w:ascii="Arial" w:hAnsi="Arial" w:cs="Arial"/>
          <w:sz w:val="24"/>
          <w:szCs w:val="24"/>
        </w:rPr>
      </w:pPr>
      <w:r w:rsidRPr="00AB6810">
        <w:rPr>
          <w:rFonts w:ascii="Arial" w:hAnsi="Arial" w:cs="Arial"/>
          <w:sz w:val="24"/>
          <w:szCs w:val="24"/>
        </w:rPr>
        <w:t xml:space="preserve">The spatial relative risks ranged from </w:t>
      </w:r>
      <w:r w:rsidRPr="00AB6810" w:rsidR="36626881">
        <w:rPr>
          <w:rFonts w:ascii="Arial" w:hAnsi="Arial" w:cs="Arial"/>
          <w:sz w:val="24"/>
          <w:szCs w:val="24"/>
        </w:rPr>
        <w:t>0</w:t>
      </w:r>
      <w:r w:rsidRPr="00AB6810" w:rsidR="00872334">
        <w:rPr>
          <w:rFonts w:ascii="Arial" w:hAnsi="Arial" w:cs="Arial"/>
          <w:sz w:val="24"/>
          <w:szCs w:val="24"/>
        </w:rPr>
        <w:t>.</w:t>
      </w:r>
      <w:r w:rsidRPr="00AB6810" w:rsidR="36626881">
        <w:rPr>
          <w:rFonts w:ascii="Arial" w:hAnsi="Arial" w:cs="Arial"/>
          <w:sz w:val="24"/>
          <w:szCs w:val="24"/>
        </w:rPr>
        <w:t>5</w:t>
      </w:r>
      <w:r w:rsidRPr="00AB6810" w:rsidR="00672D60">
        <w:rPr>
          <w:rFonts w:ascii="Arial" w:hAnsi="Arial" w:cs="Arial"/>
          <w:sz w:val="24"/>
          <w:szCs w:val="24"/>
        </w:rPr>
        <w:t>2</w:t>
      </w:r>
      <w:r w:rsidRPr="00AB6810">
        <w:rPr>
          <w:rFonts w:ascii="Arial" w:hAnsi="Arial" w:cs="Arial"/>
          <w:sz w:val="24"/>
          <w:szCs w:val="24"/>
        </w:rPr>
        <w:t xml:space="preserve"> </w:t>
      </w:r>
      <w:r w:rsidRPr="00AB6810" w:rsidR="51C1E01F">
        <w:rPr>
          <w:rFonts w:ascii="Arial" w:hAnsi="Arial" w:cs="Arial"/>
          <w:sz w:val="24"/>
          <w:szCs w:val="24"/>
        </w:rPr>
        <w:t xml:space="preserve">(95% CI </w:t>
      </w:r>
      <w:r w:rsidRPr="00AB6810">
        <w:rPr>
          <w:rFonts w:ascii="Arial" w:hAnsi="Arial" w:cs="Arial"/>
          <w:sz w:val="24"/>
          <w:szCs w:val="24"/>
        </w:rPr>
        <w:t>[</w:t>
      </w:r>
      <w:r w:rsidRPr="00AB6810" w:rsidR="6613A625">
        <w:rPr>
          <w:rFonts w:ascii="Arial" w:hAnsi="Arial" w:cs="Arial"/>
          <w:sz w:val="24"/>
          <w:szCs w:val="24"/>
        </w:rPr>
        <w:t>0</w:t>
      </w:r>
      <w:r w:rsidRPr="00AB6810" w:rsidR="00872334">
        <w:rPr>
          <w:rFonts w:ascii="Arial" w:hAnsi="Arial" w:cs="Arial"/>
          <w:sz w:val="24"/>
          <w:szCs w:val="24"/>
        </w:rPr>
        <w:t>.</w:t>
      </w:r>
      <w:r w:rsidRPr="00AB6810" w:rsidR="6613A625">
        <w:rPr>
          <w:rFonts w:ascii="Arial" w:hAnsi="Arial" w:cs="Arial"/>
          <w:sz w:val="24"/>
          <w:szCs w:val="24"/>
        </w:rPr>
        <w:t>4</w:t>
      </w:r>
      <w:r w:rsidRPr="00AB6810" w:rsidR="00672D60">
        <w:rPr>
          <w:rFonts w:ascii="Arial" w:hAnsi="Arial" w:cs="Arial"/>
          <w:sz w:val="24"/>
          <w:szCs w:val="24"/>
        </w:rPr>
        <w:t>2</w:t>
      </w:r>
      <w:r w:rsidRPr="00AB6810" w:rsidR="6613A625">
        <w:rPr>
          <w:rFonts w:ascii="Arial" w:hAnsi="Arial" w:cs="Arial"/>
          <w:sz w:val="24"/>
          <w:szCs w:val="24"/>
        </w:rPr>
        <w:t>;0</w:t>
      </w:r>
      <w:r w:rsidRPr="00AB6810" w:rsidR="00872334">
        <w:rPr>
          <w:rFonts w:ascii="Arial" w:hAnsi="Arial" w:cs="Arial"/>
          <w:sz w:val="24"/>
          <w:szCs w:val="24"/>
        </w:rPr>
        <w:t>.</w:t>
      </w:r>
      <w:r w:rsidRPr="00AB6810" w:rsidR="6613A625">
        <w:rPr>
          <w:rFonts w:ascii="Arial" w:hAnsi="Arial" w:cs="Arial"/>
          <w:sz w:val="24"/>
          <w:szCs w:val="24"/>
        </w:rPr>
        <w:t>6</w:t>
      </w:r>
      <w:r w:rsidRPr="00AB6810" w:rsidR="00672D60">
        <w:rPr>
          <w:rFonts w:ascii="Arial" w:hAnsi="Arial" w:cs="Arial"/>
          <w:sz w:val="24"/>
          <w:szCs w:val="24"/>
        </w:rPr>
        <w:t>2</w:t>
      </w:r>
      <w:r w:rsidRPr="00AB6810" w:rsidR="6613A625">
        <w:rPr>
          <w:rFonts w:ascii="Arial" w:hAnsi="Arial" w:cs="Arial"/>
          <w:sz w:val="24"/>
          <w:szCs w:val="24"/>
        </w:rPr>
        <w:t>]</w:t>
      </w:r>
      <w:r w:rsidRPr="00AB6810" w:rsidR="2896871D">
        <w:rPr>
          <w:rFonts w:ascii="Arial" w:hAnsi="Arial" w:cs="Arial"/>
          <w:sz w:val="24"/>
          <w:szCs w:val="24"/>
        </w:rPr>
        <w:t xml:space="preserve">) </w:t>
      </w:r>
      <w:r w:rsidRPr="00AB6810">
        <w:rPr>
          <w:rFonts w:ascii="Arial" w:hAnsi="Arial" w:cs="Arial"/>
          <w:sz w:val="24"/>
          <w:szCs w:val="24"/>
        </w:rPr>
        <w:t xml:space="preserve">to </w:t>
      </w:r>
      <w:r w:rsidRPr="00AB6810" w:rsidR="0A002EED">
        <w:rPr>
          <w:rFonts w:ascii="Arial" w:hAnsi="Arial" w:cs="Arial"/>
          <w:sz w:val="24"/>
          <w:szCs w:val="24"/>
        </w:rPr>
        <w:t>1</w:t>
      </w:r>
      <w:r w:rsidRPr="00AB6810" w:rsidR="00872334">
        <w:rPr>
          <w:rFonts w:ascii="Arial" w:hAnsi="Arial" w:cs="Arial"/>
          <w:sz w:val="24"/>
          <w:szCs w:val="24"/>
        </w:rPr>
        <w:t>.</w:t>
      </w:r>
      <w:r w:rsidRPr="00AB6810" w:rsidR="0A002EED">
        <w:rPr>
          <w:rFonts w:ascii="Arial" w:hAnsi="Arial" w:cs="Arial"/>
          <w:sz w:val="24"/>
          <w:szCs w:val="24"/>
        </w:rPr>
        <w:t xml:space="preserve"> 4</w:t>
      </w:r>
      <w:r w:rsidRPr="00AB6810" w:rsidR="00672D60">
        <w:rPr>
          <w:rFonts w:ascii="Arial" w:hAnsi="Arial" w:cs="Arial"/>
          <w:sz w:val="24"/>
          <w:szCs w:val="24"/>
        </w:rPr>
        <w:t>1</w:t>
      </w:r>
      <w:r w:rsidRPr="00AB6810" w:rsidR="0A002EED">
        <w:rPr>
          <w:rFonts w:ascii="Arial" w:hAnsi="Arial" w:cs="Arial"/>
          <w:sz w:val="24"/>
          <w:szCs w:val="24"/>
        </w:rPr>
        <w:t xml:space="preserve"> (</w:t>
      </w:r>
      <w:r w:rsidRPr="00AB6810">
        <w:rPr>
          <w:rFonts w:ascii="Arial" w:hAnsi="Arial" w:cs="Arial"/>
          <w:sz w:val="24"/>
          <w:szCs w:val="24"/>
        </w:rPr>
        <w:t>95% CI</w:t>
      </w:r>
      <w:r w:rsidRPr="00AB6810" w:rsidR="02A06C10">
        <w:rPr>
          <w:rFonts w:ascii="Arial" w:hAnsi="Arial" w:cs="Arial"/>
          <w:sz w:val="24"/>
          <w:szCs w:val="24"/>
        </w:rPr>
        <w:t xml:space="preserve"> </w:t>
      </w:r>
      <w:r w:rsidRPr="00AB6810" w:rsidR="001E4881">
        <w:rPr>
          <w:rFonts w:ascii="Arial" w:hAnsi="Arial" w:cs="Arial"/>
          <w:sz w:val="24"/>
          <w:szCs w:val="24"/>
        </w:rPr>
        <w:t>[</w:t>
      </w:r>
      <w:r w:rsidRPr="00AB6810" w:rsidR="02A06C10">
        <w:rPr>
          <w:rFonts w:ascii="Arial" w:hAnsi="Arial" w:cs="Arial"/>
          <w:sz w:val="24"/>
          <w:szCs w:val="24"/>
        </w:rPr>
        <w:t>1</w:t>
      </w:r>
      <w:r w:rsidRPr="00AB6810" w:rsidR="00872334">
        <w:rPr>
          <w:rFonts w:ascii="Arial" w:hAnsi="Arial" w:cs="Arial"/>
          <w:sz w:val="24"/>
          <w:szCs w:val="24"/>
        </w:rPr>
        <w:t>.</w:t>
      </w:r>
      <w:r w:rsidRPr="00AB6810" w:rsidR="00672D60">
        <w:rPr>
          <w:rFonts w:ascii="Arial" w:hAnsi="Arial" w:cs="Arial"/>
          <w:sz w:val="24"/>
          <w:szCs w:val="24"/>
        </w:rPr>
        <w:t>19</w:t>
      </w:r>
      <w:r w:rsidRPr="00AB6810" w:rsidR="02A06C10">
        <w:rPr>
          <w:rFonts w:ascii="Arial" w:hAnsi="Arial" w:cs="Arial"/>
          <w:sz w:val="24"/>
          <w:szCs w:val="24"/>
        </w:rPr>
        <w:t>;1</w:t>
      </w:r>
      <w:r w:rsidRPr="00AB6810" w:rsidR="00872334">
        <w:rPr>
          <w:rFonts w:ascii="Arial" w:hAnsi="Arial" w:cs="Arial"/>
          <w:sz w:val="24"/>
          <w:szCs w:val="24"/>
        </w:rPr>
        <w:t>.</w:t>
      </w:r>
      <w:r w:rsidRPr="00AB6810" w:rsidR="02A06C10">
        <w:rPr>
          <w:rFonts w:ascii="Arial" w:hAnsi="Arial" w:cs="Arial"/>
          <w:sz w:val="24"/>
          <w:szCs w:val="24"/>
        </w:rPr>
        <w:t>6</w:t>
      </w:r>
      <w:r w:rsidRPr="00AB6810" w:rsidR="00672D60">
        <w:rPr>
          <w:rFonts w:ascii="Arial" w:hAnsi="Arial" w:cs="Arial"/>
          <w:sz w:val="24"/>
          <w:szCs w:val="24"/>
        </w:rPr>
        <w:t>5</w:t>
      </w:r>
      <w:r w:rsidRPr="00AB6810" w:rsidR="001E4881">
        <w:rPr>
          <w:rFonts w:ascii="Arial" w:hAnsi="Arial" w:cs="Arial"/>
          <w:sz w:val="24"/>
          <w:szCs w:val="24"/>
        </w:rPr>
        <w:t>]</w:t>
      </w:r>
      <w:r w:rsidRPr="00AB6810" w:rsidR="02A06C10">
        <w:rPr>
          <w:rFonts w:ascii="Arial" w:hAnsi="Arial" w:cs="Arial"/>
          <w:sz w:val="24"/>
          <w:szCs w:val="24"/>
        </w:rPr>
        <w:t>)</w:t>
      </w:r>
      <w:r w:rsidRPr="00AB6810">
        <w:rPr>
          <w:rFonts w:ascii="Arial" w:hAnsi="Arial" w:cs="Arial"/>
          <w:sz w:val="24"/>
          <w:szCs w:val="24"/>
        </w:rPr>
        <w:t xml:space="preserve"> </w:t>
      </w:r>
      <w:r w:rsidRPr="00AB6810" w:rsidR="0ED1CCF1">
        <w:rPr>
          <w:rFonts w:ascii="Arial" w:hAnsi="Arial" w:cs="Arial"/>
          <w:sz w:val="24"/>
          <w:szCs w:val="24"/>
        </w:rPr>
        <w:t xml:space="preserve">and </w:t>
      </w:r>
      <w:r w:rsidRPr="00AB6810">
        <w:rPr>
          <w:rFonts w:ascii="Arial" w:hAnsi="Arial" w:cs="Arial"/>
          <w:sz w:val="24"/>
          <w:szCs w:val="24"/>
        </w:rPr>
        <w:t xml:space="preserve">highlighted </w:t>
      </w:r>
      <w:r w:rsidRPr="00AB6810" w:rsidR="003E0270">
        <w:rPr>
          <w:rFonts w:ascii="Arial" w:hAnsi="Arial" w:cs="Arial"/>
          <w:sz w:val="24"/>
          <w:szCs w:val="24"/>
        </w:rPr>
        <w:t xml:space="preserve">a </w:t>
      </w:r>
      <w:r w:rsidRPr="00AB6810">
        <w:rPr>
          <w:rFonts w:ascii="Arial" w:hAnsi="Arial" w:cs="Arial"/>
          <w:sz w:val="24"/>
          <w:szCs w:val="24"/>
        </w:rPr>
        <w:t xml:space="preserve">strong spatial heterogeneity of the incidence of PA in France. </w:t>
      </w:r>
      <w:r w:rsidRPr="00AB6810" w:rsidR="009326A3">
        <w:rPr>
          <w:rFonts w:ascii="Arial" w:hAnsi="Arial" w:cs="Arial"/>
          <w:sz w:val="24"/>
          <w:szCs w:val="24"/>
        </w:rPr>
        <w:t xml:space="preserve">The geographical distribution of </w:t>
      </w:r>
      <w:r w:rsidRPr="00AB6810" w:rsidR="000C6FEA">
        <w:rPr>
          <w:rFonts w:ascii="Arial" w:hAnsi="Arial" w:cs="Arial"/>
          <w:sz w:val="24"/>
          <w:szCs w:val="24"/>
        </w:rPr>
        <w:t xml:space="preserve">the </w:t>
      </w:r>
      <w:r w:rsidRPr="00AB6810" w:rsidR="009326A3">
        <w:rPr>
          <w:rFonts w:ascii="Arial" w:hAnsi="Arial" w:cs="Arial"/>
          <w:sz w:val="24"/>
          <w:szCs w:val="24"/>
        </w:rPr>
        <w:t xml:space="preserve">spatial relative risk is shown in Figure </w:t>
      </w:r>
      <w:r w:rsidRPr="00AB6810" w:rsidR="006062BD">
        <w:rPr>
          <w:rFonts w:ascii="Arial" w:hAnsi="Arial" w:cs="Arial"/>
          <w:sz w:val="24"/>
          <w:szCs w:val="24"/>
        </w:rPr>
        <w:t>2.a</w:t>
      </w:r>
      <w:r w:rsidRPr="00AB6810" w:rsidR="00D80128">
        <w:rPr>
          <w:rFonts w:ascii="Arial" w:hAnsi="Arial" w:cs="Arial"/>
          <w:sz w:val="24"/>
          <w:szCs w:val="24"/>
        </w:rPr>
        <w:t>.</w:t>
      </w:r>
      <w:r w:rsidRPr="00AB6810" w:rsidR="009326A3">
        <w:rPr>
          <w:rFonts w:ascii="Arial" w:hAnsi="Arial" w:cs="Arial"/>
          <w:sz w:val="24"/>
          <w:szCs w:val="24"/>
        </w:rPr>
        <w:t xml:space="preserve"> According to exceedance probabilities (Figure </w:t>
      </w:r>
      <w:r w:rsidRPr="00AB6810" w:rsidR="006062BD">
        <w:rPr>
          <w:rFonts w:ascii="Arial" w:hAnsi="Arial" w:cs="Arial"/>
          <w:sz w:val="24"/>
          <w:szCs w:val="24"/>
        </w:rPr>
        <w:t>2</w:t>
      </w:r>
      <w:r w:rsidRPr="00AB6810" w:rsidR="009326A3">
        <w:rPr>
          <w:rFonts w:ascii="Arial" w:hAnsi="Arial" w:cs="Arial"/>
          <w:sz w:val="24"/>
          <w:szCs w:val="24"/>
        </w:rPr>
        <w:t>.</w:t>
      </w:r>
      <w:r w:rsidRPr="00AB6810" w:rsidR="00961160">
        <w:rPr>
          <w:rFonts w:ascii="Arial" w:hAnsi="Arial" w:cs="Arial"/>
          <w:sz w:val="24"/>
          <w:szCs w:val="24"/>
        </w:rPr>
        <w:t>b</w:t>
      </w:r>
      <w:r w:rsidRPr="00AB6810" w:rsidR="009326A3">
        <w:rPr>
          <w:rFonts w:ascii="Arial" w:hAnsi="Arial" w:cs="Arial"/>
          <w:sz w:val="24"/>
          <w:szCs w:val="24"/>
        </w:rPr>
        <w:t>), t</w:t>
      </w:r>
      <w:r w:rsidRPr="00AB6810" w:rsidR="00C01B2D">
        <w:rPr>
          <w:rFonts w:ascii="Arial" w:hAnsi="Arial" w:cs="Arial"/>
          <w:sz w:val="24"/>
          <w:szCs w:val="24"/>
        </w:rPr>
        <w:t>he risk</w:t>
      </w:r>
      <w:r w:rsidRPr="00AB6810" w:rsidR="00D40054">
        <w:rPr>
          <w:rFonts w:ascii="Arial" w:hAnsi="Arial" w:cs="Arial"/>
          <w:sz w:val="24"/>
          <w:szCs w:val="24"/>
        </w:rPr>
        <w:t xml:space="preserve"> of PA </w:t>
      </w:r>
      <w:r w:rsidRPr="00AB6810" w:rsidR="4DD110C7">
        <w:rPr>
          <w:rFonts w:ascii="Arial" w:hAnsi="Arial" w:cs="Arial"/>
          <w:sz w:val="24"/>
          <w:szCs w:val="24"/>
        </w:rPr>
        <w:t xml:space="preserve">had a </w:t>
      </w:r>
      <w:r w:rsidRPr="00AB6810" w:rsidR="00E84D6B">
        <w:rPr>
          <w:rFonts w:ascii="Arial" w:hAnsi="Arial" w:cs="Arial"/>
          <w:sz w:val="24"/>
          <w:szCs w:val="24"/>
        </w:rPr>
        <w:t>distinct</w:t>
      </w:r>
      <w:r w:rsidRPr="00AB6810" w:rsidR="009326A3">
        <w:rPr>
          <w:rFonts w:ascii="Arial" w:hAnsi="Arial" w:cs="Arial"/>
          <w:sz w:val="24"/>
          <w:szCs w:val="24"/>
        </w:rPr>
        <w:t xml:space="preserve"> </w:t>
      </w:r>
      <w:r w:rsidRPr="00AB6810" w:rsidR="00D40054">
        <w:rPr>
          <w:rFonts w:ascii="Arial" w:hAnsi="Arial" w:cs="Arial"/>
          <w:sz w:val="24"/>
          <w:szCs w:val="24"/>
        </w:rPr>
        <w:t>spatial pattern</w:t>
      </w:r>
      <w:r w:rsidRPr="00AB6810" w:rsidR="45B578AC">
        <w:rPr>
          <w:rFonts w:ascii="Arial" w:hAnsi="Arial" w:cs="Arial"/>
          <w:sz w:val="24"/>
          <w:szCs w:val="24"/>
        </w:rPr>
        <w:t>, organised along a central north-south axis</w:t>
      </w:r>
      <w:r w:rsidRPr="00AB6810" w:rsidR="6BEB0BB0">
        <w:rPr>
          <w:rFonts w:ascii="Arial" w:hAnsi="Arial" w:cs="Arial"/>
          <w:sz w:val="24"/>
          <w:szCs w:val="24"/>
        </w:rPr>
        <w:t>. H</w:t>
      </w:r>
      <w:r w:rsidRPr="00AB6810" w:rsidR="00C01B2D">
        <w:rPr>
          <w:rFonts w:ascii="Arial" w:hAnsi="Arial" w:cs="Arial"/>
          <w:sz w:val="24"/>
          <w:szCs w:val="24"/>
        </w:rPr>
        <w:t>igher risks of PA were</w:t>
      </w:r>
      <w:r w:rsidRPr="00AB6810" w:rsidR="00D40054">
        <w:rPr>
          <w:rFonts w:ascii="Arial" w:hAnsi="Arial" w:cs="Arial"/>
          <w:sz w:val="24"/>
          <w:szCs w:val="24"/>
        </w:rPr>
        <w:t xml:space="preserve"> located in three main hotspots: around Paris; in central France; and on the south-eastern coast</w:t>
      </w:r>
      <w:r w:rsidRPr="00AB6810" w:rsidR="00C01B2D">
        <w:rPr>
          <w:rFonts w:ascii="Arial" w:hAnsi="Arial" w:cs="Arial"/>
          <w:sz w:val="24"/>
          <w:szCs w:val="24"/>
        </w:rPr>
        <w:t>.</w:t>
      </w:r>
      <w:r w:rsidRPr="00AB6810" w:rsidR="00D40054">
        <w:rPr>
          <w:rFonts w:ascii="Arial" w:hAnsi="Arial" w:cs="Arial"/>
          <w:sz w:val="24"/>
          <w:szCs w:val="24"/>
        </w:rPr>
        <w:t xml:space="preserve"> Lower relative risk areas of PA were observed in western France, mainly Brittany</w:t>
      </w:r>
      <w:r w:rsidRPr="00AB6810" w:rsidR="00C01B2D">
        <w:rPr>
          <w:rFonts w:ascii="Arial" w:hAnsi="Arial" w:cs="Arial"/>
          <w:sz w:val="24"/>
          <w:szCs w:val="24"/>
        </w:rPr>
        <w:t>.</w:t>
      </w:r>
      <w:r w:rsidRPr="00AB6810" w:rsidR="00D41DEA">
        <w:rPr>
          <w:rFonts w:ascii="Arial" w:hAnsi="Arial" w:cs="Arial"/>
          <w:sz w:val="24"/>
          <w:szCs w:val="24"/>
        </w:rPr>
        <w:t xml:space="preserve"> </w:t>
      </w:r>
      <w:r w:rsidRPr="00AB6810" w:rsidR="00631B9F">
        <w:rPr>
          <w:rFonts w:ascii="Arial" w:hAnsi="Arial" w:cs="Arial"/>
          <w:sz w:val="24"/>
          <w:szCs w:val="24"/>
        </w:rPr>
        <w:t xml:space="preserve">By analysing the distribution of space-time interactions, no particular </w:t>
      </w:r>
      <w:r w:rsidRPr="00AB6810" w:rsidR="00FC737D">
        <w:rPr>
          <w:rFonts w:ascii="Arial" w:hAnsi="Arial" w:cs="Arial"/>
          <w:sz w:val="24"/>
          <w:szCs w:val="24"/>
        </w:rPr>
        <w:t xml:space="preserve">unusual </w:t>
      </w:r>
      <w:r w:rsidRPr="00AB6810" w:rsidR="00631B9F">
        <w:rPr>
          <w:rFonts w:ascii="Arial" w:hAnsi="Arial" w:cs="Arial"/>
          <w:sz w:val="24"/>
          <w:szCs w:val="24"/>
        </w:rPr>
        <w:t xml:space="preserve">deviation from the temporal trend was observed, implying that the spatial distribution of the incidence of AP was stable over the period studied (Supplementary Figure </w:t>
      </w:r>
      <w:r w:rsidRPr="00AB6810" w:rsidR="00050DF0">
        <w:rPr>
          <w:rFonts w:ascii="Arial" w:hAnsi="Arial" w:cs="Arial"/>
          <w:sz w:val="24"/>
          <w:szCs w:val="24"/>
        </w:rPr>
        <w:t>5</w:t>
      </w:r>
      <w:r w:rsidRPr="00AB6810" w:rsidR="00631B9F">
        <w:rPr>
          <w:rFonts w:ascii="Arial" w:hAnsi="Arial" w:cs="Arial"/>
          <w:sz w:val="24"/>
          <w:szCs w:val="24"/>
        </w:rPr>
        <w:t>).</w:t>
      </w:r>
    </w:p>
    <w:p w:rsidRPr="00AB6810" w:rsidR="00D40054" w:rsidP="35BFB30F" w:rsidRDefault="0023074B" w14:paraId="355A1557" w14:textId="2551D462">
      <w:pPr>
        <w:spacing w:line="480" w:lineRule="auto"/>
        <w:rPr>
          <w:rFonts w:ascii="Arial" w:hAnsi="Arial" w:cs="Arial"/>
          <w:i/>
          <w:iCs/>
          <w:sz w:val="24"/>
          <w:szCs w:val="24"/>
          <w:u w:val="single"/>
        </w:rPr>
      </w:pPr>
      <w:r w:rsidRPr="00AB6810">
        <w:rPr>
          <w:rFonts w:ascii="Arial" w:hAnsi="Arial" w:cs="Arial"/>
          <w:i/>
          <w:iCs/>
          <w:sz w:val="24"/>
          <w:szCs w:val="24"/>
          <w:u w:val="single"/>
        </w:rPr>
        <w:t>Spatial variations of pesticide exposure</w:t>
      </w:r>
    </w:p>
    <w:p w:rsidRPr="00AB6810" w:rsidR="00D40054" w:rsidP="35BFB30F" w:rsidRDefault="3B69241F" w14:paraId="7EE0E00D" w14:textId="4F5666AC">
      <w:pPr>
        <w:spacing w:line="480" w:lineRule="auto"/>
        <w:rPr>
          <w:rFonts w:ascii="Arial" w:hAnsi="Arial" w:cs="Arial"/>
          <w:i/>
          <w:iCs/>
          <w:sz w:val="24"/>
          <w:szCs w:val="24"/>
          <w:u w:val="single"/>
        </w:rPr>
      </w:pPr>
      <w:r w:rsidRPr="00AB6810">
        <w:rPr>
          <w:rFonts w:ascii="Arial" w:hAnsi="Arial" w:cs="Arial"/>
          <w:sz w:val="24"/>
          <w:szCs w:val="24"/>
        </w:rPr>
        <w:t xml:space="preserve">In 2021, the median </w:t>
      </w:r>
      <w:r w:rsidRPr="00AB6810" w:rsidR="77EE971D">
        <w:rPr>
          <w:rFonts w:ascii="Arial" w:hAnsi="Arial" w:cs="Arial"/>
          <w:sz w:val="24"/>
          <w:szCs w:val="24"/>
        </w:rPr>
        <w:t xml:space="preserve">weight of </w:t>
      </w:r>
      <w:r w:rsidRPr="00AB6810" w:rsidR="00EE2E3F">
        <w:rPr>
          <w:rFonts w:ascii="Arial" w:hAnsi="Arial" w:cs="Arial"/>
          <w:sz w:val="24"/>
          <w:szCs w:val="24"/>
        </w:rPr>
        <w:t>total</w:t>
      </w:r>
      <w:r w:rsidRPr="00AB6810" w:rsidR="77EE971D">
        <w:rPr>
          <w:rFonts w:ascii="Arial" w:hAnsi="Arial" w:cs="Arial"/>
          <w:sz w:val="24"/>
          <w:szCs w:val="24"/>
        </w:rPr>
        <w:t xml:space="preserve"> pesticides </w:t>
      </w:r>
      <w:r w:rsidRPr="00AB6810">
        <w:rPr>
          <w:rFonts w:ascii="Arial" w:hAnsi="Arial" w:cs="Arial"/>
          <w:sz w:val="24"/>
          <w:szCs w:val="24"/>
        </w:rPr>
        <w:t>bought per spatial unit was 4269kg (IQR: 872</w:t>
      </w:r>
      <w:r w:rsidRPr="00AB6810" w:rsidR="7B2B582D">
        <w:rPr>
          <w:rFonts w:ascii="Arial" w:hAnsi="Arial" w:cs="Arial"/>
          <w:sz w:val="24"/>
          <w:szCs w:val="24"/>
        </w:rPr>
        <w:t xml:space="preserve"> – 14898)</w:t>
      </w:r>
      <w:r w:rsidRPr="00AB6810" w:rsidR="71F3F4A4">
        <w:rPr>
          <w:rFonts w:ascii="Arial" w:hAnsi="Arial" w:cs="Arial"/>
          <w:sz w:val="24"/>
          <w:szCs w:val="24"/>
        </w:rPr>
        <w:t xml:space="preserve">, yielding a </w:t>
      </w:r>
      <w:r w:rsidRPr="00AB6810" w:rsidR="219C283B">
        <w:rPr>
          <w:rFonts w:ascii="Arial" w:hAnsi="Arial" w:cs="Arial"/>
          <w:sz w:val="24"/>
          <w:szCs w:val="24"/>
        </w:rPr>
        <w:t xml:space="preserve">median </w:t>
      </w:r>
      <w:r w:rsidRPr="00AB6810" w:rsidR="71F3F4A4">
        <w:rPr>
          <w:rFonts w:ascii="Arial" w:hAnsi="Arial" w:cs="Arial"/>
          <w:sz w:val="24"/>
          <w:szCs w:val="24"/>
        </w:rPr>
        <w:t>ratio per hectare</w:t>
      </w:r>
      <w:r w:rsidRPr="00AB6810" w:rsidR="24613DB4">
        <w:rPr>
          <w:rFonts w:ascii="Arial" w:hAnsi="Arial" w:cs="Arial"/>
          <w:sz w:val="24"/>
          <w:szCs w:val="24"/>
        </w:rPr>
        <w:t xml:space="preserve"> over the study period</w:t>
      </w:r>
      <w:r w:rsidRPr="00AB6810" w:rsidR="71F3F4A4">
        <w:rPr>
          <w:rFonts w:ascii="Arial" w:hAnsi="Arial" w:cs="Arial"/>
          <w:sz w:val="24"/>
          <w:szCs w:val="24"/>
        </w:rPr>
        <w:t xml:space="preserve"> </w:t>
      </w:r>
      <w:r w:rsidRPr="00AB6810" w:rsidR="72F93458">
        <w:rPr>
          <w:rFonts w:ascii="Arial" w:hAnsi="Arial" w:cs="Arial"/>
          <w:sz w:val="24"/>
          <w:szCs w:val="24"/>
        </w:rPr>
        <w:t>of 1</w:t>
      </w:r>
      <w:r w:rsidRPr="00AB6810" w:rsidR="00872334">
        <w:rPr>
          <w:rFonts w:ascii="Arial" w:hAnsi="Arial" w:cs="Arial"/>
          <w:sz w:val="24"/>
          <w:szCs w:val="24"/>
        </w:rPr>
        <w:t>.</w:t>
      </w:r>
      <w:r w:rsidRPr="00AB6810" w:rsidR="72F93458">
        <w:rPr>
          <w:rFonts w:ascii="Arial" w:hAnsi="Arial" w:cs="Arial"/>
          <w:sz w:val="24"/>
          <w:szCs w:val="24"/>
        </w:rPr>
        <w:t>31kg/ha (IQR:</w:t>
      </w:r>
      <w:r w:rsidRPr="00AB6810" w:rsidR="71F3F4A4">
        <w:rPr>
          <w:rFonts w:ascii="Arial" w:hAnsi="Arial" w:cs="Arial"/>
          <w:sz w:val="24"/>
          <w:szCs w:val="24"/>
        </w:rPr>
        <w:t xml:space="preserve"> </w:t>
      </w:r>
      <w:r w:rsidRPr="00AB6810" w:rsidR="69EAF788">
        <w:rPr>
          <w:rFonts w:ascii="Arial" w:hAnsi="Arial" w:cs="Arial"/>
          <w:sz w:val="24"/>
          <w:szCs w:val="24"/>
        </w:rPr>
        <w:t>0</w:t>
      </w:r>
      <w:r w:rsidRPr="00AB6810" w:rsidR="00872334">
        <w:rPr>
          <w:rFonts w:ascii="Arial" w:hAnsi="Arial" w:cs="Arial"/>
          <w:sz w:val="24"/>
          <w:szCs w:val="24"/>
        </w:rPr>
        <w:t>.</w:t>
      </w:r>
      <w:r w:rsidRPr="00AB6810" w:rsidR="69EAF788">
        <w:rPr>
          <w:rFonts w:ascii="Arial" w:hAnsi="Arial" w:cs="Arial"/>
          <w:sz w:val="24"/>
          <w:szCs w:val="24"/>
        </w:rPr>
        <w:t>49</w:t>
      </w:r>
      <w:r w:rsidRPr="00AB6810" w:rsidR="47D94BE0">
        <w:rPr>
          <w:rFonts w:ascii="Arial" w:hAnsi="Arial" w:cs="Arial"/>
          <w:sz w:val="24"/>
          <w:szCs w:val="24"/>
        </w:rPr>
        <w:t xml:space="preserve"> </w:t>
      </w:r>
      <w:r w:rsidRPr="00AB6810" w:rsidR="7AF2F76F">
        <w:rPr>
          <w:rFonts w:ascii="Arial" w:hAnsi="Arial" w:cs="Arial"/>
          <w:sz w:val="24"/>
          <w:szCs w:val="24"/>
        </w:rPr>
        <w:t>–</w:t>
      </w:r>
      <w:r w:rsidRPr="00AB6810" w:rsidR="75437229">
        <w:rPr>
          <w:rFonts w:ascii="Arial" w:hAnsi="Arial" w:cs="Arial"/>
          <w:sz w:val="24"/>
          <w:szCs w:val="24"/>
        </w:rPr>
        <w:t xml:space="preserve"> </w:t>
      </w:r>
      <w:r w:rsidRPr="00AB6810" w:rsidR="2F098769">
        <w:rPr>
          <w:rFonts w:ascii="Arial" w:hAnsi="Arial" w:cs="Arial"/>
          <w:sz w:val="24"/>
          <w:szCs w:val="24"/>
        </w:rPr>
        <w:t>2</w:t>
      </w:r>
      <w:r w:rsidRPr="00AB6810" w:rsidR="00872334">
        <w:rPr>
          <w:rFonts w:ascii="Arial" w:hAnsi="Arial" w:cs="Arial"/>
          <w:sz w:val="24"/>
          <w:szCs w:val="24"/>
        </w:rPr>
        <w:t>.</w:t>
      </w:r>
      <w:r w:rsidRPr="00AB6810" w:rsidR="2F098769">
        <w:rPr>
          <w:rFonts w:ascii="Arial" w:hAnsi="Arial" w:cs="Arial"/>
          <w:sz w:val="24"/>
          <w:szCs w:val="24"/>
        </w:rPr>
        <w:t>98</w:t>
      </w:r>
      <w:r w:rsidRPr="00AB6810" w:rsidR="16410E92">
        <w:rPr>
          <w:rFonts w:ascii="Arial" w:hAnsi="Arial" w:cs="Arial"/>
          <w:sz w:val="24"/>
          <w:szCs w:val="24"/>
        </w:rPr>
        <w:t>).</w:t>
      </w:r>
      <w:r w:rsidRPr="00AB6810" w:rsidR="7B2B582D">
        <w:rPr>
          <w:rFonts w:ascii="Arial" w:hAnsi="Arial" w:cs="Arial"/>
          <w:sz w:val="24"/>
          <w:szCs w:val="24"/>
        </w:rPr>
        <w:t xml:space="preserve"> </w:t>
      </w:r>
      <w:r w:rsidRPr="00AB6810" w:rsidR="00B91402">
        <w:rPr>
          <w:rFonts w:ascii="Arial" w:hAnsi="Arial" w:cs="Arial"/>
          <w:sz w:val="24"/>
          <w:szCs w:val="24"/>
        </w:rPr>
        <w:t xml:space="preserve">The </w:t>
      </w:r>
      <w:r w:rsidRPr="00AB6810" w:rsidR="00EE2E3F">
        <w:rPr>
          <w:rFonts w:ascii="Arial" w:hAnsi="Arial" w:cs="Arial"/>
          <w:sz w:val="24"/>
          <w:szCs w:val="24"/>
        </w:rPr>
        <w:t>total</w:t>
      </w:r>
      <w:r w:rsidRPr="00AB6810" w:rsidR="00BC3610">
        <w:rPr>
          <w:rFonts w:ascii="Arial" w:hAnsi="Arial" w:cs="Arial"/>
          <w:sz w:val="24"/>
          <w:szCs w:val="24"/>
        </w:rPr>
        <w:t xml:space="preserve"> PEXI</w:t>
      </w:r>
      <w:r w:rsidRPr="00AB6810" w:rsidR="00B91402">
        <w:rPr>
          <w:rFonts w:ascii="Arial" w:hAnsi="Arial" w:cs="Arial"/>
          <w:sz w:val="24"/>
          <w:szCs w:val="24"/>
        </w:rPr>
        <w:t xml:space="preserve"> was heterogeneously distributed on the mainland (Figure </w:t>
      </w:r>
      <w:r w:rsidRPr="00AB6810" w:rsidR="00631B9F">
        <w:rPr>
          <w:rFonts w:ascii="Arial" w:hAnsi="Arial" w:cs="Arial"/>
          <w:sz w:val="24"/>
          <w:szCs w:val="24"/>
        </w:rPr>
        <w:t xml:space="preserve">3 </w:t>
      </w:r>
      <w:r w:rsidRPr="00AB6810" w:rsidR="00B91402">
        <w:rPr>
          <w:rFonts w:ascii="Arial" w:hAnsi="Arial" w:cs="Arial"/>
          <w:sz w:val="24"/>
          <w:szCs w:val="24"/>
        </w:rPr>
        <w:t xml:space="preserve">and Supplementary Figure </w:t>
      </w:r>
      <w:r w:rsidRPr="00AB6810" w:rsidR="00050DF0">
        <w:rPr>
          <w:rFonts w:ascii="Arial" w:hAnsi="Arial" w:cs="Arial"/>
          <w:sz w:val="24"/>
          <w:szCs w:val="24"/>
        </w:rPr>
        <w:t>6</w:t>
      </w:r>
      <w:r w:rsidRPr="00AB6810" w:rsidR="00631B9F">
        <w:rPr>
          <w:rFonts w:ascii="Arial" w:hAnsi="Arial" w:cs="Arial"/>
          <w:sz w:val="24"/>
          <w:szCs w:val="24"/>
        </w:rPr>
        <w:t xml:space="preserve"> </w:t>
      </w:r>
      <w:r w:rsidRPr="00AB6810" w:rsidR="00106A4B">
        <w:rPr>
          <w:rFonts w:ascii="Arial" w:hAnsi="Arial" w:cs="Arial"/>
          <w:sz w:val="24"/>
          <w:szCs w:val="24"/>
        </w:rPr>
        <w:t>(a)-(i)</w:t>
      </w:r>
      <w:r w:rsidRPr="00AB6810" w:rsidR="005A1CB8">
        <w:rPr>
          <w:rFonts w:ascii="Arial" w:hAnsi="Arial" w:cs="Arial"/>
          <w:sz w:val="24"/>
          <w:szCs w:val="24"/>
        </w:rPr>
        <w:t>)</w:t>
      </w:r>
      <w:r w:rsidRPr="00AB6810" w:rsidR="65BA20F6">
        <w:rPr>
          <w:rFonts w:ascii="Arial" w:hAnsi="Arial" w:cs="Arial"/>
          <w:sz w:val="24"/>
          <w:szCs w:val="24"/>
        </w:rPr>
        <w:t xml:space="preserve">. It </w:t>
      </w:r>
      <w:r w:rsidRPr="00AB6810" w:rsidR="00BC3610">
        <w:rPr>
          <w:rFonts w:ascii="Arial" w:hAnsi="Arial" w:cs="Arial"/>
          <w:sz w:val="24"/>
          <w:szCs w:val="24"/>
        </w:rPr>
        <w:t>showed</w:t>
      </w:r>
      <w:r w:rsidRPr="00AB6810" w:rsidR="00B91402">
        <w:rPr>
          <w:rFonts w:ascii="Arial" w:hAnsi="Arial" w:cs="Arial"/>
          <w:sz w:val="24"/>
          <w:szCs w:val="24"/>
        </w:rPr>
        <w:t xml:space="preserve"> higher ratios around Paris, in the north, the </w:t>
      </w:r>
      <w:r w:rsidRPr="00AB6810" w:rsidR="002022A4">
        <w:rPr>
          <w:rFonts w:ascii="Arial" w:hAnsi="Arial" w:cs="Arial"/>
          <w:sz w:val="24"/>
          <w:szCs w:val="24"/>
        </w:rPr>
        <w:t>southwest</w:t>
      </w:r>
      <w:r w:rsidRPr="00AB6810" w:rsidR="00B91402">
        <w:rPr>
          <w:rFonts w:ascii="Arial" w:hAnsi="Arial" w:cs="Arial"/>
          <w:sz w:val="24"/>
          <w:szCs w:val="24"/>
        </w:rPr>
        <w:t xml:space="preserve">, and the </w:t>
      </w:r>
      <w:r w:rsidRPr="00AB6810" w:rsidR="00BC3610">
        <w:rPr>
          <w:rFonts w:ascii="Arial" w:hAnsi="Arial" w:cs="Arial"/>
          <w:sz w:val="24"/>
          <w:szCs w:val="24"/>
        </w:rPr>
        <w:t>Mediterranean</w:t>
      </w:r>
      <w:r w:rsidRPr="00AB6810" w:rsidR="00B91402">
        <w:rPr>
          <w:rFonts w:ascii="Arial" w:hAnsi="Arial" w:cs="Arial"/>
          <w:sz w:val="24"/>
          <w:szCs w:val="24"/>
        </w:rPr>
        <w:t xml:space="preserve"> coast including Corsica. Central France was considered as averagely exposed</w:t>
      </w:r>
      <w:r w:rsidRPr="00AB6810" w:rsidR="6800F9E8">
        <w:rPr>
          <w:rFonts w:ascii="Arial" w:hAnsi="Arial" w:cs="Arial"/>
          <w:sz w:val="24"/>
          <w:szCs w:val="24"/>
        </w:rPr>
        <w:t xml:space="preserve"> with few hotspots</w:t>
      </w:r>
      <w:r w:rsidRPr="00AB6810" w:rsidR="00B91402">
        <w:rPr>
          <w:rFonts w:ascii="Arial" w:hAnsi="Arial" w:cs="Arial"/>
          <w:sz w:val="24"/>
          <w:szCs w:val="24"/>
        </w:rPr>
        <w:t>.</w:t>
      </w:r>
      <w:r w:rsidRPr="00AB6810" w:rsidR="00C01B2D">
        <w:rPr>
          <w:rFonts w:ascii="Arial" w:hAnsi="Arial" w:cs="Arial"/>
          <w:sz w:val="24"/>
          <w:szCs w:val="24"/>
        </w:rPr>
        <w:t xml:space="preserve"> </w:t>
      </w:r>
      <w:r w:rsidRPr="00AB6810" w:rsidR="002022A4">
        <w:rPr>
          <w:rFonts w:ascii="Arial" w:hAnsi="Arial" w:cs="Arial"/>
          <w:sz w:val="24"/>
          <w:szCs w:val="24"/>
        </w:rPr>
        <w:t>The PEXI</w:t>
      </w:r>
      <w:r w:rsidRPr="00AB6810" w:rsidR="00BC3610">
        <w:rPr>
          <w:rFonts w:ascii="Arial" w:hAnsi="Arial" w:cs="Arial"/>
          <w:sz w:val="24"/>
          <w:szCs w:val="24"/>
        </w:rPr>
        <w:t xml:space="preserve"> of specific substances depended on the type of use.</w:t>
      </w:r>
      <w:r w:rsidRPr="00AB6810" w:rsidR="001C1841">
        <w:rPr>
          <w:rFonts w:ascii="Arial" w:hAnsi="Arial" w:cs="Arial"/>
          <w:sz w:val="24"/>
          <w:szCs w:val="24"/>
        </w:rPr>
        <w:t xml:space="preserve"> </w:t>
      </w:r>
      <w:r w:rsidRPr="00AB6810" w:rsidR="00C01B2D">
        <w:rPr>
          <w:rFonts w:ascii="Arial" w:hAnsi="Arial" w:cs="Arial"/>
          <w:sz w:val="24"/>
          <w:szCs w:val="24"/>
        </w:rPr>
        <w:t>Glyphosate use was more</w:t>
      </w:r>
      <w:bookmarkStart w:name="_GoBack" w:id="9"/>
      <w:bookmarkEnd w:id="9"/>
      <w:r w:rsidRPr="00AB6810" w:rsidR="00C01B2D">
        <w:rPr>
          <w:rFonts w:ascii="Arial" w:hAnsi="Arial" w:cs="Arial"/>
          <w:sz w:val="24"/>
          <w:szCs w:val="24"/>
        </w:rPr>
        <w:t xml:space="preserve"> scattered around the </w:t>
      </w:r>
      <w:r w:rsidRPr="00AB6810" w:rsidR="0482F02E">
        <w:rPr>
          <w:rFonts w:ascii="Arial" w:hAnsi="Arial" w:cs="Arial"/>
          <w:sz w:val="24"/>
          <w:szCs w:val="24"/>
        </w:rPr>
        <w:t>mainland.</w:t>
      </w:r>
    </w:p>
    <w:p w:rsidRPr="00AB6810" w:rsidR="00D40054" w:rsidP="35BFB30F" w:rsidRDefault="00CF781E" w14:paraId="604BB461" w14:textId="23AAA21C">
      <w:pPr>
        <w:spacing w:line="480" w:lineRule="auto"/>
        <w:rPr>
          <w:rFonts w:ascii="Arial" w:hAnsi="Arial" w:cs="Arial"/>
          <w:i/>
          <w:iCs/>
          <w:sz w:val="24"/>
          <w:szCs w:val="24"/>
          <w:u w:val="single"/>
        </w:rPr>
      </w:pPr>
      <w:r w:rsidRPr="00AB6810">
        <w:rPr>
          <w:rFonts w:ascii="Arial" w:hAnsi="Arial" w:cs="Arial"/>
          <w:i/>
          <w:iCs/>
          <w:sz w:val="24"/>
          <w:szCs w:val="24"/>
          <w:u w:val="single"/>
        </w:rPr>
        <w:t>Association between PA incidence and pesticide exposures</w:t>
      </w:r>
    </w:p>
    <w:p w:rsidRPr="00AB6810" w:rsidR="00BD31F1" w:rsidP="00BD31F1" w:rsidRDefault="00D40054" w14:paraId="70D3F008" w14:textId="009DA07A">
      <w:pPr>
        <w:spacing w:line="480" w:lineRule="auto"/>
        <w:rPr>
          <w:rFonts w:ascii="Arial" w:hAnsi="Arial" w:cs="Arial"/>
          <w:sz w:val="24"/>
          <w:szCs w:val="24"/>
        </w:rPr>
      </w:pPr>
      <w:r w:rsidRPr="00AB6810">
        <w:rPr>
          <w:rFonts w:ascii="Arial" w:hAnsi="Arial" w:cs="Arial"/>
          <w:sz w:val="24"/>
          <w:szCs w:val="24"/>
        </w:rPr>
        <w:t xml:space="preserve">The </w:t>
      </w:r>
      <w:r w:rsidRPr="00AB6810" w:rsidR="00EE2E3F">
        <w:rPr>
          <w:rFonts w:ascii="Arial" w:hAnsi="Arial" w:cs="Arial"/>
          <w:sz w:val="24"/>
          <w:szCs w:val="24"/>
        </w:rPr>
        <w:t>total</w:t>
      </w:r>
      <w:r w:rsidRPr="00AB6810" w:rsidR="00BC3610">
        <w:rPr>
          <w:rFonts w:ascii="Arial" w:hAnsi="Arial" w:cs="Arial"/>
          <w:sz w:val="24"/>
          <w:szCs w:val="24"/>
        </w:rPr>
        <w:t xml:space="preserve"> PEXI</w:t>
      </w:r>
      <w:r w:rsidRPr="00AB6810">
        <w:rPr>
          <w:rFonts w:ascii="Arial" w:hAnsi="Arial" w:cs="Arial"/>
          <w:sz w:val="24"/>
          <w:szCs w:val="24"/>
        </w:rPr>
        <w:t xml:space="preserve"> was associated with PA incidence over the study period (RR: 1</w:t>
      </w:r>
      <w:r w:rsidRPr="00AB6810" w:rsidR="00872334">
        <w:rPr>
          <w:rFonts w:ascii="Arial" w:hAnsi="Arial" w:cs="Arial"/>
          <w:sz w:val="24"/>
          <w:szCs w:val="24"/>
        </w:rPr>
        <w:t>.</w:t>
      </w:r>
      <w:r w:rsidRPr="00AB6810">
        <w:rPr>
          <w:rFonts w:ascii="Arial" w:hAnsi="Arial" w:cs="Arial"/>
          <w:sz w:val="24"/>
          <w:szCs w:val="24"/>
        </w:rPr>
        <w:t>01</w:t>
      </w:r>
      <w:r w:rsidRPr="00AB6810" w:rsidR="00FD2F86">
        <w:rPr>
          <w:rFonts w:ascii="Arial" w:hAnsi="Arial" w:cs="Arial"/>
          <w:sz w:val="24"/>
          <w:szCs w:val="24"/>
        </w:rPr>
        <w:t>3</w:t>
      </w:r>
      <w:r w:rsidRPr="00AB6810">
        <w:rPr>
          <w:rFonts w:ascii="Arial" w:hAnsi="Arial" w:cs="Arial"/>
          <w:sz w:val="24"/>
          <w:szCs w:val="24"/>
        </w:rPr>
        <w:t>0; CI95% [1</w:t>
      </w:r>
      <w:r w:rsidRPr="00AB6810" w:rsidR="00872334">
        <w:rPr>
          <w:rFonts w:ascii="Arial" w:hAnsi="Arial" w:cs="Arial"/>
          <w:sz w:val="24"/>
          <w:szCs w:val="24"/>
        </w:rPr>
        <w:t>.</w:t>
      </w:r>
      <w:r w:rsidRPr="00AB6810">
        <w:rPr>
          <w:rFonts w:ascii="Arial" w:hAnsi="Arial" w:cs="Arial"/>
          <w:sz w:val="24"/>
          <w:szCs w:val="24"/>
        </w:rPr>
        <w:t>00</w:t>
      </w:r>
      <w:r w:rsidRPr="00AB6810" w:rsidR="00FD2F86">
        <w:rPr>
          <w:rFonts w:ascii="Arial" w:hAnsi="Arial" w:cs="Arial"/>
          <w:sz w:val="24"/>
          <w:szCs w:val="24"/>
        </w:rPr>
        <w:t>5</w:t>
      </w:r>
      <w:r w:rsidRPr="00AB6810">
        <w:rPr>
          <w:rFonts w:ascii="Arial" w:hAnsi="Arial" w:cs="Arial"/>
          <w:sz w:val="24"/>
          <w:szCs w:val="24"/>
        </w:rPr>
        <w:t>7;1</w:t>
      </w:r>
      <w:r w:rsidRPr="00AB6810" w:rsidR="00872334">
        <w:rPr>
          <w:rFonts w:ascii="Arial" w:hAnsi="Arial" w:cs="Arial"/>
          <w:sz w:val="24"/>
          <w:szCs w:val="24"/>
        </w:rPr>
        <w:t>.</w:t>
      </w:r>
      <w:r w:rsidRPr="00AB6810">
        <w:rPr>
          <w:rFonts w:ascii="Arial" w:hAnsi="Arial" w:cs="Arial"/>
          <w:sz w:val="24"/>
          <w:szCs w:val="24"/>
        </w:rPr>
        <w:t>02</w:t>
      </w:r>
      <w:r w:rsidRPr="00AB6810" w:rsidR="00FD2F86">
        <w:rPr>
          <w:rFonts w:ascii="Arial" w:hAnsi="Arial" w:cs="Arial"/>
          <w:sz w:val="24"/>
          <w:szCs w:val="24"/>
        </w:rPr>
        <w:t>0</w:t>
      </w:r>
      <w:r w:rsidRPr="00AB6810">
        <w:rPr>
          <w:rFonts w:ascii="Arial" w:hAnsi="Arial" w:cs="Arial"/>
          <w:sz w:val="24"/>
          <w:szCs w:val="24"/>
        </w:rPr>
        <w:t>4])</w:t>
      </w:r>
      <w:r w:rsidRPr="00AB6810" w:rsidR="00181612">
        <w:rPr>
          <w:rFonts w:ascii="Arial" w:hAnsi="Arial" w:cs="Arial"/>
          <w:sz w:val="24"/>
          <w:szCs w:val="24"/>
        </w:rPr>
        <w:t xml:space="preserve"> for a</w:t>
      </w:r>
      <w:r w:rsidRPr="00AB6810" w:rsidR="000A12D8">
        <w:rPr>
          <w:rFonts w:ascii="Arial" w:hAnsi="Arial" w:cs="Arial"/>
          <w:sz w:val="24"/>
          <w:szCs w:val="24"/>
        </w:rPr>
        <w:t xml:space="preserve"> PEXI</w:t>
      </w:r>
      <w:r w:rsidRPr="00AB6810" w:rsidR="00181612">
        <w:rPr>
          <w:rFonts w:ascii="Arial" w:hAnsi="Arial" w:cs="Arial"/>
          <w:sz w:val="24"/>
          <w:szCs w:val="24"/>
        </w:rPr>
        <w:t xml:space="preserve"> increase</w:t>
      </w:r>
      <w:r w:rsidRPr="00AB6810" w:rsidR="000A12D8">
        <w:rPr>
          <w:rFonts w:ascii="Arial" w:hAnsi="Arial" w:cs="Arial"/>
          <w:sz w:val="24"/>
          <w:szCs w:val="24"/>
        </w:rPr>
        <w:t xml:space="preserve"> of</w:t>
      </w:r>
      <w:r w:rsidRPr="00AB6810" w:rsidR="00181612">
        <w:rPr>
          <w:rFonts w:ascii="Arial" w:hAnsi="Arial" w:cs="Arial"/>
          <w:sz w:val="24"/>
          <w:szCs w:val="24"/>
        </w:rPr>
        <w:t xml:space="preserve"> </w:t>
      </w:r>
      <w:r w:rsidRPr="00AB6810" w:rsidR="00D14A1E">
        <w:rPr>
          <w:rFonts w:ascii="Arial" w:hAnsi="Arial" w:cs="Arial"/>
          <w:sz w:val="24"/>
          <w:szCs w:val="24"/>
        </w:rPr>
        <w:t>one standard deviation (SD) (</w:t>
      </w:r>
      <w:r w:rsidRPr="00AB6810" w:rsidR="000A12D8">
        <w:rPr>
          <w:rFonts w:ascii="Arial" w:hAnsi="Arial" w:cs="Arial"/>
          <w:sz w:val="24"/>
          <w:szCs w:val="24"/>
        </w:rPr>
        <w:t>0</w:t>
      </w:r>
      <w:r w:rsidRPr="00AB6810" w:rsidR="00872334">
        <w:rPr>
          <w:rFonts w:ascii="Arial" w:hAnsi="Arial" w:cs="Arial"/>
          <w:sz w:val="24"/>
          <w:szCs w:val="24"/>
        </w:rPr>
        <w:t>.</w:t>
      </w:r>
      <w:r w:rsidRPr="00AB6810" w:rsidR="000A12D8">
        <w:rPr>
          <w:rFonts w:ascii="Arial" w:hAnsi="Arial" w:cs="Arial"/>
          <w:sz w:val="24"/>
          <w:szCs w:val="24"/>
        </w:rPr>
        <w:t>96</w:t>
      </w:r>
      <w:r w:rsidRPr="00AB6810" w:rsidR="00D14A1E">
        <w:rPr>
          <w:rFonts w:ascii="Arial" w:hAnsi="Arial" w:cs="Arial"/>
          <w:sz w:val="24"/>
          <w:szCs w:val="24"/>
        </w:rPr>
        <w:t>)</w:t>
      </w:r>
      <w:r w:rsidRPr="00AB6810" w:rsidR="000A12D8">
        <w:rPr>
          <w:rFonts w:ascii="Arial" w:hAnsi="Arial" w:cs="Arial"/>
          <w:sz w:val="24"/>
          <w:szCs w:val="24"/>
        </w:rPr>
        <w:t xml:space="preserve"> (equivalent to </w:t>
      </w:r>
      <w:r w:rsidRPr="00AB6810" w:rsidR="000A12D8">
        <w:rPr>
          <w:rFonts w:ascii="Arial" w:hAnsi="Arial" w:cs="Arial"/>
          <w:sz w:val="24"/>
          <w:szCs w:val="24"/>
        </w:rPr>
        <w:t>2</w:t>
      </w:r>
      <w:r w:rsidRPr="00AB6810" w:rsidR="00872334">
        <w:rPr>
          <w:rFonts w:ascii="Arial" w:hAnsi="Arial" w:cs="Arial"/>
          <w:sz w:val="24"/>
          <w:szCs w:val="24"/>
        </w:rPr>
        <w:t>.</w:t>
      </w:r>
      <w:r w:rsidRPr="00AB6810" w:rsidR="000A12D8">
        <w:rPr>
          <w:rFonts w:ascii="Arial" w:hAnsi="Arial" w:cs="Arial"/>
          <w:sz w:val="24"/>
          <w:szCs w:val="24"/>
        </w:rPr>
        <w:t xml:space="preserve">63kg/ha </w:t>
      </w:r>
      <w:r w:rsidRPr="00AB6810" w:rsidR="00EE2E3F">
        <w:rPr>
          <w:rFonts w:ascii="Arial" w:hAnsi="Arial" w:cs="Arial"/>
          <w:sz w:val="24"/>
          <w:szCs w:val="24"/>
        </w:rPr>
        <w:t xml:space="preserve">higher median PEXI </w:t>
      </w:r>
      <w:r w:rsidRPr="00AB6810" w:rsidR="00215128">
        <w:rPr>
          <w:rFonts w:ascii="Arial" w:hAnsi="Arial" w:cs="Arial"/>
          <w:sz w:val="24"/>
          <w:szCs w:val="24"/>
        </w:rPr>
        <w:t>during 2011-2021</w:t>
      </w:r>
      <w:r w:rsidRPr="00AB6810" w:rsidR="000A12D8">
        <w:rPr>
          <w:rFonts w:ascii="Arial" w:hAnsi="Arial" w:cs="Arial"/>
          <w:sz w:val="24"/>
          <w:szCs w:val="24"/>
        </w:rPr>
        <w:t xml:space="preserve">) </w:t>
      </w:r>
      <w:r w:rsidRPr="00AB6810">
        <w:rPr>
          <w:rFonts w:ascii="Arial" w:hAnsi="Arial" w:cs="Arial"/>
          <w:sz w:val="24"/>
          <w:szCs w:val="24"/>
        </w:rPr>
        <w:t xml:space="preserve">(Figure </w:t>
      </w:r>
      <w:r w:rsidRPr="00AB6810" w:rsidR="00106A4B">
        <w:rPr>
          <w:rFonts w:ascii="Arial" w:hAnsi="Arial" w:cs="Arial"/>
          <w:sz w:val="24"/>
          <w:szCs w:val="24"/>
        </w:rPr>
        <w:t>4</w:t>
      </w:r>
      <w:r w:rsidRPr="00AB6810">
        <w:rPr>
          <w:rFonts w:ascii="Arial" w:hAnsi="Arial" w:cs="Arial"/>
          <w:sz w:val="24"/>
          <w:szCs w:val="24"/>
        </w:rPr>
        <w:t xml:space="preserve">). Moreover, </w:t>
      </w:r>
      <w:r w:rsidRPr="00AB6810" w:rsidR="00BC3610">
        <w:rPr>
          <w:rFonts w:ascii="Arial" w:hAnsi="Arial" w:cs="Arial"/>
          <w:sz w:val="24"/>
          <w:szCs w:val="24"/>
        </w:rPr>
        <w:t xml:space="preserve">the PEXI of </w:t>
      </w:r>
      <w:r w:rsidRPr="00AB6810">
        <w:rPr>
          <w:rFonts w:ascii="Arial" w:hAnsi="Arial" w:cs="Arial"/>
          <w:sz w:val="24"/>
          <w:szCs w:val="24"/>
        </w:rPr>
        <w:t>three substances were individually associated with the outcome, namely sulphur for spraying</w:t>
      </w:r>
      <w:r w:rsidRPr="00AB6810" w:rsidR="00A13A48">
        <w:rPr>
          <w:rFonts w:ascii="Arial" w:hAnsi="Arial" w:cs="Arial"/>
          <w:sz w:val="24"/>
          <w:szCs w:val="24"/>
        </w:rPr>
        <w:t>, with PEXI increase of one SD (0</w:t>
      </w:r>
      <w:r w:rsidRPr="00AB6810" w:rsidR="00872334">
        <w:rPr>
          <w:rFonts w:ascii="Arial" w:hAnsi="Arial" w:cs="Arial"/>
          <w:sz w:val="24"/>
          <w:szCs w:val="24"/>
        </w:rPr>
        <w:t>.</w:t>
      </w:r>
      <w:r w:rsidRPr="00AB6810" w:rsidR="00A13A48">
        <w:rPr>
          <w:rFonts w:ascii="Arial" w:hAnsi="Arial" w:cs="Arial"/>
          <w:sz w:val="24"/>
          <w:szCs w:val="24"/>
        </w:rPr>
        <w:t>91) [</w:t>
      </w:r>
      <w:r w:rsidRPr="00AB6810" w:rsidR="009B0DD5">
        <w:rPr>
          <w:rFonts w:ascii="Arial" w:hAnsi="Arial" w:cs="Arial"/>
          <w:sz w:val="24"/>
          <w:szCs w:val="24"/>
        </w:rPr>
        <w:t>per</w:t>
      </w:r>
      <w:r w:rsidRPr="00AB6810" w:rsidR="00A13A48">
        <w:rPr>
          <w:rFonts w:ascii="Arial" w:hAnsi="Arial" w:cs="Arial"/>
          <w:sz w:val="24"/>
          <w:szCs w:val="24"/>
        </w:rPr>
        <w:t xml:space="preserve"> 2</w:t>
      </w:r>
      <w:r w:rsidRPr="00AB6810" w:rsidR="00872334">
        <w:rPr>
          <w:rFonts w:ascii="Arial" w:hAnsi="Arial" w:cs="Arial"/>
          <w:sz w:val="24"/>
          <w:szCs w:val="24"/>
        </w:rPr>
        <w:t>.</w:t>
      </w:r>
      <w:r w:rsidRPr="00AB6810" w:rsidR="00A13A48">
        <w:rPr>
          <w:rFonts w:ascii="Arial" w:hAnsi="Arial" w:cs="Arial"/>
          <w:sz w:val="24"/>
          <w:szCs w:val="24"/>
        </w:rPr>
        <w:t xml:space="preserve">48kg/ha </w:t>
      </w:r>
      <w:r w:rsidRPr="00AB6810" w:rsidR="009B0DD5">
        <w:rPr>
          <w:rFonts w:ascii="Arial" w:hAnsi="Arial" w:cs="Arial"/>
          <w:sz w:val="24"/>
          <w:szCs w:val="24"/>
        </w:rPr>
        <w:t xml:space="preserve">greater median </w:t>
      </w:r>
      <w:r w:rsidRPr="00AB6810" w:rsidR="00BC7A43">
        <w:rPr>
          <w:rFonts w:ascii="Arial" w:hAnsi="Arial" w:cs="Arial"/>
          <w:sz w:val="24"/>
          <w:szCs w:val="24"/>
        </w:rPr>
        <w:t>pesticide use</w:t>
      </w:r>
      <w:r w:rsidRPr="00AB6810" w:rsidR="003212EB">
        <w:rPr>
          <w:rFonts w:ascii="Arial" w:hAnsi="Arial" w:cs="Arial"/>
          <w:sz w:val="24"/>
          <w:szCs w:val="24"/>
        </w:rPr>
        <w:t xml:space="preserve"> during 2011-2021</w:t>
      </w:r>
      <w:r w:rsidRPr="00AB6810" w:rsidR="00A13A48">
        <w:rPr>
          <w:rFonts w:ascii="Arial" w:hAnsi="Arial" w:cs="Arial"/>
          <w:sz w:val="24"/>
          <w:szCs w:val="24"/>
        </w:rPr>
        <w:t xml:space="preserve">]), </w:t>
      </w:r>
      <w:r w:rsidRPr="00AB6810" w:rsidR="00176EF0">
        <w:rPr>
          <w:rFonts w:ascii="Arial" w:hAnsi="Arial" w:cs="Arial"/>
          <w:sz w:val="24"/>
          <w:szCs w:val="24"/>
        </w:rPr>
        <w:t xml:space="preserve">yielding </w:t>
      </w:r>
      <w:r w:rsidRPr="00AB6810" w:rsidR="00A13A48">
        <w:rPr>
          <w:rFonts w:ascii="Arial" w:hAnsi="Arial" w:cs="Arial"/>
          <w:sz w:val="24"/>
          <w:szCs w:val="24"/>
        </w:rPr>
        <w:t>a</w:t>
      </w:r>
      <w:r w:rsidRPr="00AB6810">
        <w:rPr>
          <w:rFonts w:ascii="Arial" w:hAnsi="Arial" w:cs="Arial"/>
          <w:sz w:val="24"/>
          <w:szCs w:val="24"/>
        </w:rPr>
        <w:t xml:space="preserve"> RR</w:t>
      </w:r>
      <w:r w:rsidRPr="00AB6810" w:rsidR="00A13A48">
        <w:rPr>
          <w:rFonts w:ascii="Arial" w:hAnsi="Arial" w:cs="Arial"/>
          <w:sz w:val="24"/>
          <w:szCs w:val="24"/>
        </w:rPr>
        <w:t xml:space="preserve"> of </w:t>
      </w:r>
      <w:r w:rsidRPr="00AB6810">
        <w:rPr>
          <w:rFonts w:ascii="Arial" w:hAnsi="Arial" w:cs="Arial"/>
          <w:sz w:val="24"/>
          <w:szCs w:val="24"/>
        </w:rPr>
        <w:t>1</w:t>
      </w:r>
      <w:r w:rsidRPr="00AB6810" w:rsidR="00872334">
        <w:rPr>
          <w:rFonts w:ascii="Arial" w:hAnsi="Arial" w:cs="Arial"/>
          <w:sz w:val="24"/>
          <w:szCs w:val="24"/>
        </w:rPr>
        <w:t>.</w:t>
      </w:r>
      <w:r w:rsidRPr="00AB6810">
        <w:rPr>
          <w:rFonts w:ascii="Arial" w:hAnsi="Arial" w:cs="Arial"/>
          <w:sz w:val="24"/>
          <w:szCs w:val="24"/>
        </w:rPr>
        <w:t>01</w:t>
      </w:r>
      <w:r w:rsidRPr="00AB6810" w:rsidR="00FD2F86">
        <w:rPr>
          <w:rFonts w:ascii="Arial" w:hAnsi="Arial" w:cs="Arial"/>
          <w:sz w:val="24"/>
          <w:szCs w:val="24"/>
        </w:rPr>
        <w:t>2</w:t>
      </w:r>
      <w:r w:rsidRPr="00AB6810">
        <w:rPr>
          <w:rFonts w:ascii="Arial" w:hAnsi="Arial" w:cs="Arial"/>
          <w:sz w:val="24"/>
          <w:szCs w:val="24"/>
        </w:rPr>
        <w:t xml:space="preserve">2; </w:t>
      </w:r>
      <w:r w:rsidRPr="00AB6810" w:rsidR="00A13A48">
        <w:rPr>
          <w:rFonts w:ascii="Arial" w:hAnsi="Arial" w:cs="Arial"/>
          <w:sz w:val="24"/>
          <w:szCs w:val="24"/>
        </w:rPr>
        <w:t>(</w:t>
      </w:r>
      <w:r w:rsidRPr="00AB6810">
        <w:rPr>
          <w:rFonts w:ascii="Arial" w:hAnsi="Arial" w:cs="Arial"/>
          <w:sz w:val="24"/>
          <w:szCs w:val="24"/>
        </w:rPr>
        <w:t>CI95% [1</w:t>
      </w:r>
      <w:r w:rsidRPr="00AB6810" w:rsidR="00872334">
        <w:rPr>
          <w:rFonts w:ascii="Arial" w:hAnsi="Arial" w:cs="Arial"/>
          <w:sz w:val="24"/>
          <w:szCs w:val="24"/>
        </w:rPr>
        <w:t>.</w:t>
      </w:r>
      <w:r w:rsidRPr="00AB6810">
        <w:rPr>
          <w:rFonts w:ascii="Arial" w:hAnsi="Arial" w:cs="Arial"/>
          <w:sz w:val="24"/>
          <w:szCs w:val="24"/>
        </w:rPr>
        <w:t>00</w:t>
      </w:r>
      <w:r w:rsidRPr="00AB6810" w:rsidR="00FD2F86">
        <w:rPr>
          <w:rFonts w:ascii="Arial" w:hAnsi="Arial" w:cs="Arial"/>
          <w:sz w:val="24"/>
          <w:szCs w:val="24"/>
        </w:rPr>
        <w:t>3</w:t>
      </w:r>
      <w:r w:rsidRPr="00AB6810">
        <w:rPr>
          <w:rFonts w:ascii="Arial" w:hAnsi="Arial" w:cs="Arial"/>
          <w:sz w:val="24"/>
          <w:szCs w:val="24"/>
        </w:rPr>
        <w:t>7;1</w:t>
      </w:r>
      <w:r w:rsidRPr="00AB6810" w:rsidR="00872334">
        <w:rPr>
          <w:rFonts w:ascii="Arial" w:hAnsi="Arial" w:cs="Arial"/>
          <w:sz w:val="24"/>
          <w:szCs w:val="24"/>
        </w:rPr>
        <w:t>.</w:t>
      </w:r>
      <w:r w:rsidRPr="00AB6810">
        <w:rPr>
          <w:rFonts w:ascii="Arial" w:hAnsi="Arial" w:cs="Arial"/>
          <w:sz w:val="24"/>
          <w:szCs w:val="24"/>
        </w:rPr>
        <w:t>02</w:t>
      </w:r>
      <w:r w:rsidRPr="00AB6810" w:rsidR="00FD2F86">
        <w:rPr>
          <w:rFonts w:ascii="Arial" w:hAnsi="Arial" w:cs="Arial"/>
          <w:sz w:val="24"/>
          <w:szCs w:val="24"/>
        </w:rPr>
        <w:t>0</w:t>
      </w:r>
      <w:r w:rsidRPr="00AB6810">
        <w:rPr>
          <w:rFonts w:ascii="Arial" w:hAnsi="Arial" w:cs="Arial"/>
          <w:sz w:val="24"/>
          <w:szCs w:val="24"/>
        </w:rPr>
        <w:t>8]</w:t>
      </w:r>
      <w:r w:rsidRPr="00AB6810" w:rsidR="00A13A48">
        <w:rPr>
          <w:rFonts w:ascii="Arial" w:hAnsi="Arial" w:cs="Arial"/>
          <w:sz w:val="24"/>
          <w:szCs w:val="24"/>
        </w:rPr>
        <w:t>)</w:t>
      </w:r>
      <w:r w:rsidRPr="00AB6810" w:rsidR="000A12D8">
        <w:rPr>
          <w:rFonts w:ascii="Arial" w:hAnsi="Arial" w:cs="Arial"/>
          <w:sz w:val="24"/>
          <w:szCs w:val="24"/>
        </w:rPr>
        <w:t xml:space="preserve">; </w:t>
      </w:r>
      <w:r w:rsidRPr="00AB6810">
        <w:rPr>
          <w:rFonts w:ascii="Arial" w:hAnsi="Arial" w:cs="Arial"/>
          <w:sz w:val="24"/>
          <w:szCs w:val="24"/>
        </w:rPr>
        <w:t>mancozeb (RR: 1</w:t>
      </w:r>
      <w:r w:rsidRPr="00AB6810" w:rsidR="00872334">
        <w:rPr>
          <w:rFonts w:ascii="Arial" w:hAnsi="Arial" w:cs="Arial"/>
          <w:sz w:val="24"/>
          <w:szCs w:val="24"/>
        </w:rPr>
        <w:t>.</w:t>
      </w:r>
      <w:r w:rsidRPr="00AB6810" w:rsidR="00FD2F86">
        <w:rPr>
          <w:rFonts w:ascii="Arial" w:hAnsi="Arial" w:cs="Arial"/>
          <w:sz w:val="24"/>
          <w:szCs w:val="24"/>
        </w:rPr>
        <w:t>0096</w:t>
      </w:r>
      <w:r w:rsidRPr="00AB6810">
        <w:rPr>
          <w:rFonts w:ascii="Arial" w:hAnsi="Arial" w:cs="Arial"/>
          <w:sz w:val="24"/>
          <w:szCs w:val="24"/>
        </w:rPr>
        <w:t>; CI95% [1</w:t>
      </w:r>
      <w:r w:rsidRPr="00AB6810" w:rsidR="00872334">
        <w:rPr>
          <w:rFonts w:ascii="Arial" w:hAnsi="Arial" w:cs="Arial"/>
          <w:sz w:val="24"/>
          <w:szCs w:val="24"/>
        </w:rPr>
        <w:t>.</w:t>
      </w:r>
      <w:r w:rsidRPr="00AB6810">
        <w:rPr>
          <w:rFonts w:ascii="Arial" w:hAnsi="Arial" w:cs="Arial"/>
          <w:sz w:val="24"/>
          <w:szCs w:val="24"/>
        </w:rPr>
        <w:t>00</w:t>
      </w:r>
      <w:r w:rsidRPr="00AB6810" w:rsidR="00FD2F86">
        <w:rPr>
          <w:rFonts w:ascii="Arial" w:hAnsi="Arial" w:cs="Arial"/>
          <w:sz w:val="24"/>
          <w:szCs w:val="24"/>
        </w:rPr>
        <w:t>10</w:t>
      </w:r>
      <w:r w:rsidRPr="00AB6810">
        <w:rPr>
          <w:rFonts w:ascii="Arial" w:hAnsi="Arial" w:cs="Arial"/>
          <w:sz w:val="24"/>
          <w:szCs w:val="24"/>
        </w:rPr>
        <w:t>;1</w:t>
      </w:r>
      <w:r w:rsidRPr="00AB6810" w:rsidR="00872334">
        <w:rPr>
          <w:rFonts w:ascii="Arial" w:hAnsi="Arial" w:cs="Arial"/>
          <w:sz w:val="24"/>
          <w:szCs w:val="24"/>
        </w:rPr>
        <w:t>.</w:t>
      </w:r>
      <w:r w:rsidRPr="00AB6810">
        <w:rPr>
          <w:rFonts w:ascii="Arial" w:hAnsi="Arial" w:cs="Arial"/>
          <w:sz w:val="24"/>
          <w:szCs w:val="24"/>
        </w:rPr>
        <w:t>01</w:t>
      </w:r>
      <w:r w:rsidRPr="00AB6810" w:rsidR="00FD2F86">
        <w:rPr>
          <w:rFonts w:ascii="Arial" w:hAnsi="Arial" w:cs="Arial"/>
          <w:sz w:val="24"/>
          <w:szCs w:val="24"/>
        </w:rPr>
        <w:t>82</w:t>
      </w:r>
      <w:r w:rsidRPr="00AB6810">
        <w:rPr>
          <w:rFonts w:ascii="Arial" w:hAnsi="Arial" w:cs="Arial"/>
          <w:sz w:val="24"/>
          <w:szCs w:val="24"/>
        </w:rPr>
        <w:t>]</w:t>
      </w:r>
      <w:r w:rsidRPr="00AB6810" w:rsidR="00176EF0">
        <w:rPr>
          <w:rFonts w:ascii="Arial" w:hAnsi="Arial" w:cs="Arial"/>
          <w:sz w:val="24"/>
          <w:szCs w:val="24"/>
        </w:rPr>
        <w:t xml:space="preserve"> for an</w:t>
      </w:r>
      <w:r w:rsidRPr="00AB6810" w:rsidR="000A12D8">
        <w:rPr>
          <w:rFonts w:ascii="Arial" w:hAnsi="Arial" w:cs="Arial"/>
          <w:sz w:val="24"/>
          <w:szCs w:val="24"/>
        </w:rPr>
        <w:t xml:space="preserve"> increase of </w:t>
      </w:r>
      <w:r w:rsidRPr="00AB6810" w:rsidR="00D14A1E">
        <w:rPr>
          <w:rFonts w:ascii="Arial" w:hAnsi="Arial" w:cs="Arial"/>
          <w:sz w:val="24"/>
          <w:szCs w:val="24"/>
        </w:rPr>
        <w:t>one SD (</w:t>
      </w:r>
      <w:r w:rsidRPr="00AB6810" w:rsidR="000A12D8">
        <w:rPr>
          <w:rFonts w:ascii="Arial" w:hAnsi="Arial" w:cs="Arial"/>
          <w:sz w:val="24"/>
          <w:szCs w:val="24"/>
        </w:rPr>
        <w:t>0</w:t>
      </w:r>
      <w:r w:rsidRPr="00AB6810" w:rsidR="00872334">
        <w:rPr>
          <w:rFonts w:ascii="Arial" w:hAnsi="Arial" w:cs="Arial"/>
          <w:sz w:val="24"/>
          <w:szCs w:val="24"/>
        </w:rPr>
        <w:t>.</w:t>
      </w:r>
      <w:r w:rsidRPr="00AB6810" w:rsidR="000A12D8">
        <w:rPr>
          <w:rFonts w:ascii="Arial" w:hAnsi="Arial" w:cs="Arial"/>
          <w:sz w:val="24"/>
          <w:szCs w:val="24"/>
        </w:rPr>
        <w:t>88</w:t>
      </w:r>
      <w:r w:rsidRPr="00AB6810" w:rsidR="00D14A1E">
        <w:rPr>
          <w:rFonts w:ascii="Arial" w:hAnsi="Arial" w:cs="Arial"/>
          <w:sz w:val="24"/>
          <w:szCs w:val="24"/>
        </w:rPr>
        <w:t>)</w:t>
      </w:r>
      <w:r w:rsidRPr="00AB6810" w:rsidR="000A12D8">
        <w:rPr>
          <w:rFonts w:ascii="Arial" w:hAnsi="Arial" w:cs="Arial"/>
          <w:sz w:val="24"/>
          <w:szCs w:val="24"/>
        </w:rPr>
        <w:t xml:space="preserve"> [</w:t>
      </w:r>
      <w:r w:rsidRPr="00AB6810" w:rsidR="009B0DD5">
        <w:rPr>
          <w:rFonts w:ascii="Arial" w:hAnsi="Arial" w:cs="Arial"/>
          <w:sz w:val="24"/>
          <w:szCs w:val="24"/>
        </w:rPr>
        <w:t>per</w:t>
      </w:r>
      <w:r w:rsidRPr="00AB6810" w:rsidR="000A12D8">
        <w:rPr>
          <w:rFonts w:ascii="Arial" w:hAnsi="Arial" w:cs="Arial"/>
          <w:sz w:val="24"/>
          <w:szCs w:val="24"/>
        </w:rPr>
        <w:t xml:space="preserve"> 2</w:t>
      </w:r>
      <w:r w:rsidRPr="00AB6810" w:rsidR="00872334">
        <w:rPr>
          <w:rFonts w:ascii="Arial" w:hAnsi="Arial" w:cs="Arial"/>
          <w:sz w:val="24"/>
          <w:szCs w:val="24"/>
        </w:rPr>
        <w:t>.</w:t>
      </w:r>
      <w:r w:rsidRPr="00AB6810" w:rsidR="000A12D8">
        <w:rPr>
          <w:rFonts w:ascii="Arial" w:hAnsi="Arial" w:cs="Arial"/>
          <w:sz w:val="24"/>
          <w:szCs w:val="24"/>
        </w:rPr>
        <w:t xml:space="preserve">41kg/ha </w:t>
      </w:r>
      <w:r w:rsidRPr="00AB6810" w:rsidR="009B0DD5">
        <w:rPr>
          <w:rFonts w:ascii="Arial" w:hAnsi="Arial" w:cs="Arial"/>
          <w:sz w:val="24"/>
          <w:szCs w:val="24"/>
        </w:rPr>
        <w:t xml:space="preserve">greater median </w:t>
      </w:r>
      <w:r w:rsidRPr="00AB6810" w:rsidR="00BC7A43">
        <w:rPr>
          <w:rFonts w:ascii="Arial" w:hAnsi="Arial" w:cs="Arial"/>
          <w:sz w:val="24"/>
          <w:szCs w:val="24"/>
        </w:rPr>
        <w:t>pesticide use</w:t>
      </w:r>
      <w:r w:rsidRPr="00AB6810" w:rsidR="003212EB">
        <w:rPr>
          <w:rFonts w:ascii="Arial" w:hAnsi="Arial" w:cs="Arial"/>
          <w:sz w:val="24"/>
          <w:szCs w:val="24"/>
        </w:rPr>
        <w:t xml:space="preserve"> during 2011-2021</w:t>
      </w:r>
      <w:r w:rsidRPr="00AB6810" w:rsidR="000A12D8">
        <w:rPr>
          <w:rFonts w:ascii="Arial" w:hAnsi="Arial" w:cs="Arial"/>
          <w:sz w:val="24"/>
          <w:szCs w:val="24"/>
        </w:rPr>
        <w:t>]</w:t>
      </w:r>
      <w:r w:rsidRPr="00AB6810">
        <w:rPr>
          <w:rFonts w:ascii="Arial" w:hAnsi="Arial" w:cs="Arial"/>
          <w:sz w:val="24"/>
          <w:szCs w:val="24"/>
        </w:rPr>
        <w:t>), and glyphosate (RR: 1</w:t>
      </w:r>
      <w:r w:rsidRPr="00AB6810" w:rsidR="00872334">
        <w:rPr>
          <w:rFonts w:ascii="Arial" w:hAnsi="Arial" w:cs="Arial"/>
          <w:sz w:val="24"/>
          <w:szCs w:val="24"/>
        </w:rPr>
        <w:t>.</w:t>
      </w:r>
      <w:r w:rsidRPr="00AB6810">
        <w:rPr>
          <w:rFonts w:ascii="Arial" w:hAnsi="Arial" w:cs="Arial"/>
          <w:sz w:val="24"/>
          <w:szCs w:val="24"/>
        </w:rPr>
        <w:t>00</w:t>
      </w:r>
      <w:r w:rsidRPr="00AB6810" w:rsidR="00FD2F86">
        <w:rPr>
          <w:rFonts w:ascii="Arial" w:hAnsi="Arial" w:cs="Arial"/>
          <w:sz w:val="24"/>
          <w:szCs w:val="24"/>
        </w:rPr>
        <w:t>8</w:t>
      </w:r>
      <w:r w:rsidRPr="00AB6810">
        <w:rPr>
          <w:rFonts w:ascii="Arial" w:hAnsi="Arial" w:cs="Arial"/>
          <w:sz w:val="24"/>
          <w:szCs w:val="24"/>
        </w:rPr>
        <w:t>5; CI95% [1</w:t>
      </w:r>
      <w:r w:rsidRPr="00AB6810" w:rsidR="00872334">
        <w:rPr>
          <w:rFonts w:ascii="Arial" w:hAnsi="Arial" w:cs="Arial"/>
          <w:sz w:val="24"/>
          <w:szCs w:val="24"/>
        </w:rPr>
        <w:t>.</w:t>
      </w:r>
      <w:r w:rsidRPr="00AB6810">
        <w:rPr>
          <w:rFonts w:ascii="Arial" w:hAnsi="Arial" w:cs="Arial"/>
          <w:sz w:val="24"/>
          <w:szCs w:val="24"/>
        </w:rPr>
        <w:t>00</w:t>
      </w:r>
      <w:r w:rsidRPr="00AB6810" w:rsidR="00FD2F86">
        <w:rPr>
          <w:rFonts w:ascii="Arial" w:hAnsi="Arial" w:cs="Arial"/>
          <w:sz w:val="24"/>
          <w:szCs w:val="24"/>
        </w:rPr>
        <w:t>1</w:t>
      </w:r>
      <w:r w:rsidRPr="00AB6810">
        <w:rPr>
          <w:rFonts w:ascii="Arial" w:hAnsi="Arial" w:cs="Arial"/>
          <w:sz w:val="24"/>
          <w:szCs w:val="24"/>
        </w:rPr>
        <w:t>6;1</w:t>
      </w:r>
      <w:r w:rsidRPr="00AB6810" w:rsidR="00872334">
        <w:rPr>
          <w:rFonts w:ascii="Arial" w:hAnsi="Arial" w:cs="Arial"/>
          <w:sz w:val="24"/>
          <w:szCs w:val="24"/>
        </w:rPr>
        <w:t>.</w:t>
      </w:r>
      <w:r w:rsidRPr="00AB6810">
        <w:rPr>
          <w:rFonts w:ascii="Arial" w:hAnsi="Arial" w:cs="Arial"/>
          <w:sz w:val="24"/>
          <w:szCs w:val="24"/>
        </w:rPr>
        <w:t>01</w:t>
      </w:r>
      <w:r w:rsidRPr="00AB6810" w:rsidR="00FD2F86">
        <w:rPr>
          <w:rFonts w:ascii="Arial" w:hAnsi="Arial" w:cs="Arial"/>
          <w:sz w:val="24"/>
          <w:szCs w:val="24"/>
        </w:rPr>
        <w:t>5</w:t>
      </w:r>
      <w:r w:rsidRPr="00AB6810">
        <w:rPr>
          <w:rFonts w:ascii="Arial" w:hAnsi="Arial" w:cs="Arial"/>
          <w:sz w:val="24"/>
          <w:szCs w:val="24"/>
        </w:rPr>
        <w:t>4</w:t>
      </w:r>
      <w:r w:rsidRPr="00AB6810" w:rsidR="00176EF0">
        <w:rPr>
          <w:rFonts w:ascii="Arial" w:hAnsi="Arial" w:cs="Arial"/>
          <w:sz w:val="24"/>
          <w:szCs w:val="24"/>
        </w:rPr>
        <w:t xml:space="preserve">], for an </w:t>
      </w:r>
      <w:r w:rsidRPr="00AB6810" w:rsidR="000A12D8">
        <w:rPr>
          <w:rFonts w:ascii="Arial" w:hAnsi="Arial" w:cs="Arial"/>
          <w:sz w:val="24"/>
          <w:szCs w:val="24"/>
        </w:rPr>
        <w:t xml:space="preserve">increase of </w:t>
      </w:r>
      <w:r w:rsidRPr="00AB6810" w:rsidR="00D14A1E">
        <w:rPr>
          <w:rFonts w:ascii="Arial" w:hAnsi="Arial" w:cs="Arial"/>
          <w:sz w:val="24"/>
          <w:szCs w:val="24"/>
        </w:rPr>
        <w:t>one SD (</w:t>
      </w:r>
      <w:r w:rsidRPr="00AB6810" w:rsidR="000A12D8">
        <w:rPr>
          <w:rFonts w:ascii="Arial" w:hAnsi="Arial" w:cs="Arial"/>
          <w:sz w:val="24"/>
          <w:szCs w:val="24"/>
        </w:rPr>
        <w:t>0</w:t>
      </w:r>
      <w:r w:rsidRPr="00AB6810" w:rsidR="00872334">
        <w:rPr>
          <w:rFonts w:ascii="Arial" w:hAnsi="Arial" w:cs="Arial"/>
          <w:sz w:val="24"/>
          <w:szCs w:val="24"/>
        </w:rPr>
        <w:t>.</w:t>
      </w:r>
      <w:r w:rsidRPr="00AB6810" w:rsidR="000A12D8">
        <w:rPr>
          <w:rFonts w:ascii="Arial" w:hAnsi="Arial" w:cs="Arial"/>
          <w:sz w:val="24"/>
          <w:szCs w:val="24"/>
        </w:rPr>
        <w:t>97</w:t>
      </w:r>
      <w:r w:rsidRPr="00AB6810" w:rsidR="00D14A1E">
        <w:rPr>
          <w:rFonts w:ascii="Arial" w:hAnsi="Arial" w:cs="Arial"/>
          <w:sz w:val="24"/>
          <w:szCs w:val="24"/>
        </w:rPr>
        <w:t>)</w:t>
      </w:r>
      <w:r w:rsidRPr="00AB6810" w:rsidR="000A12D8">
        <w:rPr>
          <w:rFonts w:ascii="Arial" w:hAnsi="Arial" w:cs="Arial"/>
          <w:sz w:val="24"/>
          <w:szCs w:val="24"/>
        </w:rPr>
        <w:t xml:space="preserve"> [</w:t>
      </w:r>
      <w:r w:rsidRPr="00AB6810" w:rsidR="009B0DD5">
        <w:rPr>
          <w:rFonts w:ascii="Arial" w:hAnsi="Arial" w:cs="Arial"/>
          <w:sz w:val="24"/>
          <w:szCs w:val="24"/>
        </w:rPr>
        <w:t>per</w:t>
      </w:r>
      <w:r w:rsidRPr="00AB6810" w:rsidR="000A12D8">
        <w:rPr>
          <w:rFonts w:ascii="Arial" w:hAnsi="Arial" w:cs="Arial"/>
          <w:sz w:val="24"/>
          <w:szCs w:val="24"/>
        </w:rPr>
        <w:t xml:space="preserve"> 2</w:t>
      </w:r>
      <w:r w:rsidRPr="00AB6810" w:rsidR="00872334">
        <w:rPr>
          <w:rFonts w:ascii="Arial" w:hAnsi="Arial" w:cs="Arial"/>
          <w:sz w:val="24"/>
          <w:szCs w:val="24"/>
        </w:rPr>
        <w:t>.</w:t>
      </w:r>
      <w:r w:rsidRPr="00AB6810" w:rsidR="000A12D8">
        <w:rPr>
          <w:rFonts w:ascii="Arial" w:hAnsi="Arial" w:cs="Arial"/>
          <w:sz w:val="24"/>
          <w:szCs w:val="24"/>
        </w:rPr>
        <w:t xml:space="preserve">63kg/ha </w:t>
      </w:r>
      <w:r w:rsidRPr="00AB6810" w:rsidR="009B0DD5">
        <w:rPr>
          <w:rFonts w:ascii="Arial" w:hAnsi="Arial" w:cs="Arial"/>
          <w:sz w:val="24"/>
          <w:szCs w:val="24"/>
        </w:rPr>
        <w:t xml:space="preserve">greater median </w:t>
      </w:r>
      <w:r w:rsidRPr="00AB6810" w:rsidR="00BC7A43">
        <w:rPr>
          <w:rFonts w:ascii="Arial" w:hAnsi="Arial" w:cs="Arial"/>
          <w:sz w:val="24"/>
          <w:szCs w:val="24"/>
        </w:rPr>
        <w:t>pesticide use</w:t>
      </w:r>
      <w:r w:rsidRPr="00AB6810" w:rsidR="003212EB">
        <w:rPr>
          <w:rFonts w:ascii="Arial" w:hAnsi="Arial" w:cs="Arial"/>
          <w:sz w:val="24"/>
          <w:szCs w:val="24"/>
        </w:rPr>
        <w:t xml:space="preserve"> during 2011-2021</w:t>
      </w:r>
      <w:r w:rsidRPr="00AB6810" w:rsidR="000A12D8">
        <w:rPr>
          <w:rFonts w:ascii="Arial" w:hAnsi="Arial" w:cs="Arial"/>
          <w:sz w:val="24"/>
          <w:szCs w:val="24"/>
        </w:rPr>
        <w:t>]</w:t>
      </w:r>
      <w:r w:rsidRPr="00AB6810">
        <w:rPr>
          <w:rFonts w:ascii="Arial" w:hAnsi="Arial" w:cs="Arial"/>
          <w:sz w:val="24"/>
          <w:szCs w:val="24"/>
        </w:rPr>
        <w:t>). The analysis</w:t>
      </w:r>
      <w:r w:rsidRPr="00AB6810" w:rsidR="001C4677">
        <w:rPr>
          <w:rFonts w:ascii="Arial" w:hAnsi="Arial" w:cs="Arial"/>
          <w:sz w:val="24"/>
          <w:szCs w:val="24"/>
        </w:rPr>
        <w:t xml:space="preserve"> that allowed flexible fits using random walk of order </w:t>
      </w:r>
      <w:r w:rsidRPr="00AB6810" w:rsidR="00FC737D">
        <w:rPr>
          <w:rFonts w:ascii="Arial" w:hAnsi="Arial" w:cs="Arial"/>
          <w:sz w:val="24"/>
          <w:szCs w:val="24"/>
        </w:rPr>
        <w:t>2</w:t>
      </w:r>
      <w:r w:rsidRPr="00AB6810" w:rsidR="001C4677">
        <w:rPr>
          <w:rFonts w:ascii="Arial" w:hAnsi="Arial" w:cs="Arial"/>
          <w:sz w:val="24"/>
          <w:szCs w:val="24"/>
        </w:rPr>
        <w:t xml:space="preserve"> to model the exposures </w:t>
      </w:r>
      <w:r w:rsidRPr="00AB6810">
        <w:rPr>
          <w:rFonts w:ascii="Arial" w:hAnsi="Arial" w:cs="Arial"/>
          <w:sz w:val="24"/>
          <w:szCs w:val="24"/>
        </w:rPr>
        <w:t xml:space="preserve">showed a </w:t>
      </w:r>
      <w:r w:rsidRPr="00AB6810" w:rsidR="00220D07">
        <w:rPr>
          <w:rFonts w:ascii="Arial" w:hAnsi="Arial" w:cs="Arial"/>
          <w:sz w:val="24"/>
          <w:szCs w:val="24"/>
        </w:rPr>
        <w:t xml:space="preserve">dose-effect </w:t>
      </w:r>
      <w:r w:rsidRPr="00AB6810">
        <w:rPr>
          <w:rFonts w:ascii="Arial" w:hAnsi="Arial" w:cs="Arial"/>
          <w:sz w:val="24"/>
          <w:szCs w:val="24"/>
        </w:rPr>
        <w:t xml:space="preserve">relationship for the </w:t>
      </w:r>
      <w:r w:rsidRPr="00AB6810" w:rsidR="00EE2E3F">
        <w:rPr>
          <w:rFonts w:ascii="Arial" w:hAnsi="Arial" w:cs="Arial"/>
          <w:sz w:val="24"/>
          <w:szCs w:val="24"/>
        </w:rPr>
        <w:t>total</w:t>
      </w:r>
      <w:r w:rsidRPr="00AB6810">
        <w:rPr>
          <w:rFonts w:ascii="Arial" w:hAnsi="Arial" w:cs="Arial"/>
          <w:sz w:val="24"/>
          <w:szCs w:val="24"/>
        </w:rPr>
        <w:t xml:space="preserve"> quantity of pesticides</w:t>
      </w:r>
      <w:r w:rsidRPr="00AB6810" w:rsidR="001C4677">
        <w:rPr>
          <w:rFonts w:ascii="Arial" w:hAnsi="Arial" w:cs="Arial"/>
          <w:sz w:val="24"/>
          <w:szCs w:val="24"/>
        </w:rPr>
        <w:t xml:space="preserve"> and</w:t>
      </w:r>
      <w:r w:rsidRPr="00AB6810">
        <w:rPr>
          <w:rFonts w:ascii="Arial" w:hAnsi="Arial" w:cs="Arial"/>
          <w:sz w:val="24"/>
          <w:szCs w:val="24"/>
        </w:rPr>
        <w:t xml:space="preserve"> </w:t>
      </w:r>
      <w:r w:rsidRPr="00AB6810" w:rsidR="001C4677">
        <w:rPr>
          <w:rFonts w:ascii="Arial" w:hAnsi="Arial" w:cs="Arial"/>
          <w:sz w:val="24"/>
          <w:szCs w:val="24"/>
        </w:rPr>
        <w:t xml:space="preserve">the </w:t>
      </w:r>
      <w:r w:rsidRPr="00AB6810">
        <w:rPr>
          <w:rFonts w:ascii="Arial" w:hAnsi="Arial" w:cs="Arial"/>
          <w:sz w:val="24"/>
          <w:szCs w:val="24"/>
        </w:rPr>
        <w:t>significantly associated active substances (</w:t>
      </w:r>
      <w:r w:rsidRPr="00AB6810" w:rsidR="00191D31">
        <w:rPr>
          <w:rFonts w:ascii="Arial" w:hAnsi="Arial" w:cs="Arial"/>
          <w:sz w:val="24"/>
          <w:szCs w:val="24"/>
        </w:rPr>
        <w:t xml:space="preserve">Supplementary </w:t>
      </w:r>
      <w:r w:rsidRPr="00AB6810">
        <w:rPr>
          <w:rFonts w:ascii="Arial" w:hAnsi="Arial" w:cs="Arial"/>
          <w:sz w:val="24"/>
          <w:szCs w:val="24"/>
        </w:rPr>
        <w:t xml:space="preserve">Figure </w:t>
      </w:r>
      <w:r w:rsidRPr="00AB6810" w:rsidR="00050DF0">
        <w:rPr>
          <w:rFonts w:ascii="Arial" w:hAnsi="Arial" w:cs="Arial"/>
          <w:sz w:val="24"/>
          <w:szCs w:val="24"/>
        </w:rPr>
        <w:t>7</w:t>
      </w:r>
      <w:r w:rsidRPr="00AB6810">
        <w:rPr>
          <w:rFonts w:ascii="Arial" w:hAnsi="Arial" w:cs="Arial"/>
          <w:sz w:val="24"/>
          <w:szCs w:val="24"/>
        </w:rPr>
        <w:t>).</w:t>
      </w:r>
      <w:r w:rsidRPr="00AB6810" w:rsidR="00BD31F1">
        <w:rPr>
          <w:rFonts w:ascii="Arial" w:hAnsi="Arial" w:cs="Arial"/>
          <w:sz w:val="24"/>
          <w:szCs w:val="24"/>
        </w:rPr>
        <w:t xml:space="preserve"> </w:t>
      </w:r>
      <w:r w:rsidRPr="00AB6810" w:rsidR="00B3509B">
        <w:rPr>
          <w:rFonts w:ascii="Arial" w:hAnsi="Arial" w:cs="Arial"/>
          <w:sz w:val="24"/>
          <w:szCs w:val="24"/>
        </w:rPr>
        <w:t>Additionally</w:t>
      </w:r>
      <w:r w:rsidRPr="00AB6810" w:rsidR="003436FE">
        <w:rPr>
          <w:rFonts w:ascii="Arial" w:hAnsi="Arial" w:cs="Arial"/>
          <w:sz w:val="24"/>
          <w:szCs w:val="24"/>
        </w:rPr>
        <w:t>, tobac</w:t>
      </w:r>
      <w:r w:rsidRPr="00AB6810" w:rsidR="00B3509B">
        <w:rPr>
          <w:rFonts w:ascii="Arial" w:hAnsi="Arial" w:cs="Arial"/>
          <w:sz w:val="24"/>
          <w:szCs w:val="24"/>
        </w:rPr>
        <w:t>c</w:t>
      </w:r>
      <w:r w:rsidRPr="00AB6810" w:rsidR="003436FE">
        <w:rPr>
          <w:rFonts w:ascii="Arial" w:hAnsi="Arial" w:cs="Arial"/>
          <w:sz w:val="24"/>
          <w:szCs w:val="24"/>
        </w:rPr>
        <w:t xml:space="preserve">o, </w:t>
      </w:r>
      <w:r w:rsidRPr="00AB6810" w:rsidR="00FD2F86">
        <w:rPr>
          <w:rFonts w:ascii="Arial" w:hAnsi="Arial" w:cs="Arial"/>
          <w:sz w:val="24"/>
          <w:szCs w:val="24"/>
        </w:rPr>
        <w:t xml:space="preserve">alcohol consumption, </w:t>
      </w:r>
      <w:r w:rsidRPr="00AB6810" w:rsidR="003436FE">
        <w:rPr>
          <w:rFonts w:ascii="Arial" w:hAnsi="Arial" w:cs="Arial"/>
          <w:sz w:val="24"/>
          <w:szCs w:val="24"/>
        </w:rPr>
        <w:t xml:space="preserve">APL and FDep were associated with PA incidence </w:t>
      </w:r>
      <w:r w:rsidRPr="00AB6810" w:rsidR="00B3509B">
        <w:rPr>
          <w:rFonts w:ascii="Arial" w:hAnsi="Arial" w:cs="Arial"/>
          <w:sz w:val="24"/>
          <w:szCs w:val="24"/>
        </w:rPr>
        <w:t>with a RR of 1</w:t>
      </w:r>
      <w:r w:rsidRPr="00AB6810" w:rsidR="00872334">
        <w:rPr>
          <w:rFonts w:ascii="Arial" w:hAnsi="Arial" w:cs="Arial"/>
          <w:sz w:val="24"/>
          <w:szCs w:val="24"/>
        </w:rPr>
        <w:t>.</w:t>
      </w:r>
      <w:r w:rsidRPr="00AB6810" w:rsidR="00FD2F86">
        <w:rPr>
          <w:rFonts w:ascii="Arial" w:hAnsi="Arial" w:cs="Arial"/>
          <w:sz w:val="24"/>
          <w:szCs w:val="24"/>
        </w:rPr>
        <w:t xml:space="preserve">0136 </w:t>
      </w:r>
      <w:r w:rsidRPr="00AB6810" w:rsidR="00B3509B">
        <w:rPr>
          <w:rFonts w:ascii="Arial" w:hAnsi="Arial" w:cs="Arial"/>
          <w:sz w:val="24"/>
          <w:szCs w:val="24"/>
        </w:rPr>
        <w:t>(CI95% [1</w:t>
      </w:r>
      <w:r w:rsidRPr="00AB6810" w:rsidR="00872334">
        <w:rPr>
          <w:rFonts w:ascii="Arial" w:hAnsi="Arial" w:cs="Arial"/>
          <w:sz w:val="24"/>
          <w:szCs w:val="24"/>
        </w:rPr>
        <w:t>.</w:t>
      </w:r>
      <w:r w:rsidRPr="00AB6810" w:rsidR="00B3509B">
        <w:rPr>
          <w:rFonts w:ascii="Arial" w:hAnsi="Arial" w:cs="Arial"/>
          <w:sz w:val="24"/>
          <w:szCs w:val="24"/>
        </w:rPr>
        <w:t>0</w:t>
      </w:r>
      <w:r w:rsidRPr="00AB6810" w:rsidR="00FD2F86">
        <w:rPr>
          <w:rFonts w:ascii="Arial" w:hAnsi="Arial" w:cs="Arial"/>
          <w:sz w:val="24"/>
          <w:szCs w:val="24"/>
        </w:rPr>
        <w:t>037</w:t>
      </w:r>
      <w:r w:rsidRPr="00AB6810" w:rsidR="00B3509B">
        <w:rPr>
          <w:rFonts w:ascii="Arial" w:hAnsi="Arial" w:cs="Arial"/>
          <w:sz w:val="24"/>
          <w:szCs w:val="24"/>
        </w:rPr>
        <w:t>;1</w:t>
      </w:r>
      <w:r w:rsidRPr="00AB6810" w:rsidR="00872334">
        <w:rPr>
          <w:rFonts w:ascii="Arial" w:hAnsi="Arial" w:cs="Arial"/>
          <w:sz w:val="24"/>
          <w:szCs w:val="24"/>
        </w:rPr>
        <w:t>.</w:t>
      </w:r>
      <w:r w:rsidRPr="00AB6810" w:rsidR="00B3509B">
        <w:rPr>
          <w:rFonts w:ascii="Arial" w:hAnsi="Arial" w:cs="Arial"/>
          <w:sz w:val="24"/>
          <w:szCs w:val="24"/>
        </w:rPr>
        <w:t>02</w:t>
      </w:r>
      <w:r w:rsidRPr="00AB6810" w:rsidR="00FD2F86">
        <w:rPr>
          <w:rFonts w:ascii="Arial" w:hAnsi="Arial" w:cs="Arial"/>
          <w:sz w:val="24"/>
          <w:szCs w:val="24"/>
        </w:rPr>
        <w:t>37</w:t>
      </w:r>
      <w:r w:rsidRPr="00AB6810" w:rsidR="00B3509B">
        <w:rPr>
          <w:rFonts w:ascii="Arial" w:hAnsi="Arial" w:cs="Arial"/>
          <w:sz w:val="24"/>
          <w:szCs w:val="24"/>
        </w:rPr>
        <w:t xml:space="preserve">]), </w:t>
      </w:r>
      <w:r w:rsidRPr="00AB6810" w:rsidR="00FD2F86">
        <w:rPr>
          <w:rFonts w:ascii="Arial" w:hAnsi="Arial" w:cs="Arial"/>
          <w:sz w:val="24"/>
          <w:szCs w:val="24"/>
        </w:rPr>
        <w:t xml:space="preserve">1.0192 (CI95% [1.0088;1.0297]), </w:t>
      </w:r>
      <w:r w:rsidRPr="00AB6810" w:rsidR="00B3509B">
        <w:rPr>
          <w:rFonts w:ascii="Arial" w:hAnsi="Arial" w:cs="Arial"/>
          <w:sz w:val="24"/>
          <w:szCs w:val="24"/>
        </w:rPr>
        <w:t>1</w:t>
      </w:r>
      <w:r w:rsidRPr="00AB6810" w:rsidR="00872334">
        <w:rPr>
          <w:rFonts w:ascii="Arial" w:hAnsi="Arial" w:cs="Arial"/>
          <w:sz w:val="24"/>
          <w:szCs w:val="24"/>
        </w:rPr>
        <w:t>.</w:t>
      </w:r>
      <w:r w:rsidRPr="00AB6810" w:rsidR="00B3509B">
        <w:rPr>
          <w:rFonts w:ascii="Arial" w:hAnsi="Arial" w:cs="Arial"/>
          <w:sz w:val="24"/>
          <w:szCs w:val="24"/>
        </w:rPr>
        <w:t>01</w:t>
      </w:r>
      <w:r w:rsidRPr="00AB6810" w:rsidR="00FD2F86">
        <w:rPr>
          <w:rFonts w:ascii="Arial" w:hAnsi="Arial" w:cs="Arial"/>
          <w:sz w:val="24"/>
          <w:szCs w:val="24"/>
        </w:rPr>
        <w:t>7</w:t>
      </w:r>
      <w:r w:rsidRPr="00AB6810" w:rsidR="00B3509B">
        <w:rPr>
          <w:rFonts w:ascii="Arial" w:hAnsi="Arial" w:cs="Arial"/>
          <w:sz w:val="24"/>
          <w:szCs w:val="24"/>
        </w:rPr>
        <w:t>9 (CI95% [1</w:t>
      </w:r>
      <w:r w:rsidRPr="00AB6810" w:rsidR="00872334">
        <w:rPr>
          <w:rFonts w:ascii="Arial" w:hAnsi="Arial" w:cs="Arial"/>
          <w:sz w:val="24"/>
          <w:szCs w:val="24"/>
        </w:rPr>
        <w:t>.</w:t>
      </w:r>
      <w:r w:rsidRPr="00AB6810" w:rsidR="00FD2F86">
        <w:rPr>
          <w:rFonts w:ascii="Arial" w:hAnsi="Arial" w:cs="Arial"/>
          <w:sz w:val="24"/>
          <w:szCs w:val="24"/>
        </w:rPr>
        <w:t>0096</w:t>
      </w:r>
      <w:r w:rsidRPr="00AB6810" w:rsidR="00B3509B">
        <w:rPr>
          <w:rFonts w:ascii="Arial" w:hAnsi="Arial" w:cs="Arial"/>
          <w:sz w:val="24"/>
          <w:szCs w:val="24"/>
        </w:rPr>
        <w:t>;1</w:t>
      </w:r>
      <w:r w:rsidRPr="00AB6810" w:rsidR="00872334">
        <w:rPr>
          <w:rFonts w:ascii="Arial" w:hAnsi="Arial" w:cs="Arial"/>
          <w:sz w:val="24"/>
          <w:szCs w:val="24"/>
        </w:rPr>
        <w:t>.</w:t>
      </w:r>
      <w:r w:rsidRPr="00AB6810" w:rsidR="00B3509B">
        <w:rPr>
          <w:rFonts w:ascii="Arial" w:hAnsi="Arial" w:cs="Arial"/>
          <w:sz w:val="24"/>
          <w:szCs w:val="24"/>
        </w:rPr>
        <w:t>02</w:t>
      </w:r>
      <w:r w:rsidRPr="00AB6810" w:rsidR="00FD2F86">
        <w:rPr>
          <w:rFonts w:ascii="Arial" w:hAnsi="Arial" w:cs="Arial"/>
          <w:sz w:val="24"/>
          <w:szCs w:val="24"/>
        </w:rPr>
        <w:t>62</w:t>
      </w:r>
      <w:r w:rsidRPr="00AB6810" w:rsidR="00B3509B">
        <w:rPr>
          <w:rFonts w:ascii="Arial" w:hAnsi="Arial" w:cs="Arial"/>
          <w:sz w:val="24"/>
          <w:szCs w:val="24"/>
        </w:rPr>
        <w:t>]) and 1</w:t>
      </w:r>
      <w:r w:rsidRPr="00AB6810" w:rsidR="00872334">
        <w:rPr>
          <w:rFonts w:ascii="Arial" w:hAnsi="Arial" w:cs="Arial"/>
          <w:sz w:val="24"/>
          <w:szCs w:val="24"/>
        </w:rPr>
        <w:t>.</w:t>
      </w:r>
      <w:r w:rsidRPr="00AB6810" w:rsidR="00B3509B">
        <w:rPr>
          <w:rFonts w:ascii="Arial" w:hAnsi="Arial" w:cs="Arial"/>
          <w:sz w:val="24"/>
          <w:szCs w:val="24"/>
        </w:rPr>
        <w:t>02</w:t>
      </w:r>
      <w:r w:rsidRPr="00AB6810" w:rsidR="00FD2F86">
        <w:rPr>
          <w:rFonts w:ascii="Arial" w:hAnsi="Arial" w:cs="Arial"/>
          <w:sz w:val="24"/>
          <w:szCs w:val="24"/>
        </w:rPr>
        <w:t>10</w:t>
      </w:r>
      <w:r w:rsidRPr="00AB6810" w:rsidR="00B3509B">
        <w:rPr>
          <w:rFonts w:ascii="Arial" w:hAnsi="Arial" w:cs="Arial"/>
          <w:sz w:val="24"/>
          <w:szCs w:val="24"/>
        </w:rPr>
        <w:t xml:space="preserve"> (CI95% [1</w:t>
      </w:r>
      <w:r w:rsidRPr="00AB6810" w:rsidR="00872334">
        <w:rPr>
          <w:rFonts w:ascii="Arial" w:hAnsi="Arial" w:cs="Arial"/>
          <w:sz w:val="24"/>
          <w:szCs w:val="24"/>
        </w:rPr>
        <w:t>.</w:t>
      </w:r>
      <w:r w:rsidRPr="00AB6810" w:rsidR="00B3509B">
        <w:rPr>
          <w:rFonts w:ascii="Arial" w:hAnsi="Arial" w:cs="Arial"/>
          <w:sz w:val="24"/>
          <w:szCs w:val="24"/>
        </w:rPr>
        <w:t>01</w:t>
      </w:r>
      <w:r w:rsidRPr="00AB6810" w:rsidR="00FD2F86">
        <w:rPr>
          <w:rFonts w:ascii="Arial" w:hAnsi="Arial" w:cs="Arial"/>
          <w:sz w:val="24"/>
          <w:szCs w:val="24"/>
        </w:rPr>
        <w:t>20</w:t>
      </w:r>
      <w:r w:rsidRPr="00AB6810" w:rsidR="00B3509B">
        <w:rPr>
          <w:rFonts w:ascii="Arial" w:hAnsi="Arial" w:cs="Arial"/>
          <w:sz w:val="24"/>
          <w:szCs w:val="24"/>
        </w:rPr>
        <w:t>;1</w:t>
      </w:r>
      <w:r w:rsidRPr="00AB6810" w:rsidR="00872334">
        <w:rPr>
          <w:rFonts w:ascii="Arial" w:hAnsi="Arial" w:cs="Arial"/>
          <w:sz w:val="24"/>
          <w:szCs w:val="24"/>
        </w:rPr>
        <w:t>.</w:t>
      </w:r>
      <w:r w:rsidRPr="00AB6810" w:rsidR="00B3509B">
        <w:rPr>
          <w:rFonts w:ascii="Arial" w:hAnsi="Arial" w:cs="Arial"/>
          <w:sz w:val="24"/>
          <w:szCs w:val="24"/>
        </w:rPr>
        <w:t>03</w:t>
      </w:r>
      <w:r w:rsidRPr="00AB6810" w:rsidR="00FD2F86">
        <w:rPr>
          <w:rFonts w:ascii="Arial" w:hAnsi="Arial" w:cs="Arial"/>
          <w:sz w:val="24"/>
          <w:szCs w:val="24"/>
        </w:rPr>
        <w:t>01</w:t>
      </w:r>
      <w:r w:rsidRPr="00AB6810" w:rsidR="00B3509B">
        <w:rPr>
          <w:rFonts w:ascii="Arial" w:hAnsi="Arial" w:cs="Arial"/>
          <w:sz w:val="24"/>
          <w:szCs w:val="24"/>
        </w:rPr>
        <w:t xml:space="preserve">], respectively, for </w:t>
      </w:r>
      <w:r w:rsidRPr="00AB6810" w:rsidR="00EE2E3F">
        <w:rPr>
          <w:rFonts w:ascii="Arial" w:hAnsi="Arial" w:cs="Arial"/>
          <w:sz w:val="24"/>
          <w:szCs w:val="24"/>
        </w:rPr>
        <w:t>total</w:t>
      </w:r>
      <w:r w:rsidRPr="00AB6810" w:rsidR="00B3509B">
        <w:rPr>
          <w:rFonts w:ascii="Arial" w:hAnsi="Arial" w:cs="Arial"/>
          <w:sz w:val="24"/>
          <w:szCs w:val="24"/>
        </w:rPr>
        <w:t xml:space="preserve"> pesticides</w:t>
      </w:r>
      <w:r w:rsidRPr="00AB6810" w:rsidR="003436FE">
        <w:rPr>
          <w:rFonts w:ascii="Arial" w:hAnsi="Arial" w:cs="Arial"/>
          <w:sz w:val="24"/>
          <w:szCs w:val="24"/>
        </w:rPr>
        <w:t xml:space="preserve">. </w:t>
      </w:r>
      <w:r w:rsidRPr="00AB6810" w:rsidR="004D7BC0">
        <w:rPr>
          <w:rFonts w:ascii="Arial" w:hAnsi="Arial" w:cs="Arial"/>
          <w:sz w:val="24"/>
          <w:szCs w:val="24"/>
        </w:rPr>
        <w:t xml:space="preserve">Regarding other pesticides, the effect of the covariates </w:t>
      </w:r>
      <w:r w:rsidRPr="00AB6810" w:rsidR="002022A4">
        <w:rPr>
          <w:rFonts w:ascii="Arial" w:hAnsi="Arial" w:cs="Arial"/>
          <w:sz w:val="24"/>
          <w:szCs w:val="24"/>
        </w:rPr>
        <w:t>were</w:t>
      </w:r>
      <w:r w:rsidRPr="00AB6810" w:rsidR="004D7BC0">
        <w:rPr>
          <w:rFonts w:ascii="Arial" w:hAnsi="Arial" w:cs="Arial"/>
          <w:sz w:val="24"/>
          <w:szCs w:val="24"/>
        </w:rPr>
        <w:t xml:space="preserve"> </w:t>
      </w:r>
      <w:r w:rsidRPr="00AB6810" w:rsidR="00294966">
        <w:rPr>
          <w:rFonts w:ascii="Arial" w:hAnsi="Arial" w:cs="Arial"/>
          <w:sz w:val="24"/>
          <w:szCs w:val="24"/>
        </w:rPr>
        <w:t xml:space="preserve">very </w:t>
      </w:r>
      <w:r w:rsidRPr="00AB6810" w:rsidR="004D7BC0">
        <w:rPr>
          <w:rFonts w:ascii="Arial" w:hAnsi="Arial" w:cs="Arial"/>
          <w:sz w:val="24"/>
          <w:szCs w:val="24"/>
        </w:rPr>
        <w:t>similar (</w:t>
      </w:r>
      <w:r w:rsidRPr="00AB6810" w:rsidR="00191D31">
        <w:rPr>
          <w:rFonts w:ascii="Arial" w:hAnsi="Arial" w:cs="Arial"/>
          <w:sz w:val="24"/>
          <w:szCs w:val="24"/>
        </w:rPr>
        <w:t xml:space="preserve">Supplementary </w:t>
      </w:r>
      <w:r w:rsidRPr="00AB6810" w:rsidR="009A3221">
        <w:rPr>
          <w:rFonts w:ascii="Arial" w:hAnsi="Arial" w:cs="Arial"/>
          <w:sz w:val="24"/>
          <w:szCs w:val="24"/>
        </w:rPr>
        <w:t>Table 2</w:t>
      </w:r>
      <w:r w:rsidRPr="00AB6810" w:rsidR="004D7BC0">
        <w:rPr>
          <w:rFonts w:ascii="Arial" w:hAnsi="Arial" w:cs="Arial"/>
          <w:sz w:val="24"/>
          <w:szCs w:val="24"/>
        </w:rPr>
        <w:t xml:space="preserve">). </w:t>
      </w:r>
    </w:p>
    <w:p w:rsidRPr="00AB6810" w:rsidR="00D40054" w:rsidP="00CF781E" w:rsidRDefault="00D40054" w14:paraId="679F38C1" w14:textId="5EADE0F0">
      <w:pPr>
        <w:spacing w:line="480" w:lineRule="auto"/>
        <w:rPr>
          <w:rFonts w:ascii="Arial" w:hAnsi="Arial" w:cs="Arial"/>
          <w:sz w:val="24"/>
          <w:szCs w:val="24"/>
        </w:rPr>
      </w:pPr>
      <w:bookmarkStart w:name="_Toc142947715" w:id="10"/>
      <w:r w:rsidRPr="00AB6810">
        <w:rPr>
          <w:rFonts w:ascii="Arial" w:hAnsi="Arial" w:cs="Arial"/>
          <w:i/>
          <w:iCs/>
          <w:sz w:val="24"/>
          <w:szCs w:val="24"/>
          <w:u w:val="single"/>
        </w:rPr>
        <w:t>Sensitivity analyses</w:t>
      </w:r>
      <w:bookmarkEnd w:id="10"/>
    </w:p>
    <w:p w:rsidRPr="00AB6810" w:rsidR="009C178C" w:rsidP="00CF781E" w:rsidRDefault="00364ADC" w14:paraId="46F0B002" w14:textId="3C2F6BDD">
      <w:pPr>
        <w:spacing w:line="480" w:lineRule="auto"/>
        <w:rPr>
          <w:rFonts w:ascii="Arial" w:hAnsi="Arial" w:cs="Arial"/>
          <w:sz w:val="24"/>
          <w:szCs w:val="24"/>
        </w:rPr>
      </w:pPr>
      <w:r w:rsidRPr="00AB6810">
        <w:rPr>
          <w:rFonts w:ascii="Arial" w:hAnsi="Arial" w:cs="Arial"/>
          <w:sz w:val="24"/>
          <w:szCs w:val="24"/>
        </w:rPr>
        <w:t xml:space="preserve">Removing the </w:t>
      </w:r>
      <w:r w:rsidRPr="00AB6810" w:rsidR="00D40054">
        <w:rPr>
          <w:rFonts w:ascii="Arial" w:hAnsi="Arial" w:cs="Arial"/>
          <w:sz w:val="24"/>
          <w:szCs w:val="24"/>
        </w:rPr>
        <w:t>tobacco covariate in the model specification and the change of prior did</w:t>
      </w:r>
      <w:r w:rsidRPr="00AB6810" w:rsidR="001A6AAF">
        <w:rPr>
          <w:rFonts w:ascii="Arial" w:hAnsi="Arial" w:cs="Arial"/>
          <w:sz w:val="24"/>
          <w:szCs w:val="24"/>
        </w:rPr>
        <w:t xml:space="preserve"> </w:t>
      </w:r>
      <w:r w:rsidRPr="00AB6810" w:rsidR="00D40054">
        <w:rPr>
          <w:rFonts w:ascii="Arial" w:hAnsi="Arial" w:cs="Arial"/>
          <w:sz w:val="24"/>
          <w:szCs w:val="24"/>
        </w:rPr>
        <w:t>n</w:t>
      </w:r>
      <w:r w:rsidRPr="00AB6810" w:rsidR="001A6AAF">
        <w:rPr>
          <w:rFonts w:ascii="Arial" w:hAnsi="Arial" w:cs="Arial"/>
          <w:sz w:val="24"/>
          <w:szCs w:val="24"/>
        </w:rPr>
        <w:t>o</w:t>
      </w:r>
      <w:r w:rsidRPr="00AB6810" w:rsidR="00D40054">
        <w:rPr>
          <w:rFonts w:ascii="Arial" w:hAnsi="Arial" w:cs="Arial"/>
          <w:sz w:val="24"/>
          <w:szCs w:val="24"/>
        </w:rPr>
        <w:t>t modify the results (</w:t>
      </w:r>
      <w:r w:rsidRPr="00AB6810" w:rsidR="00C9575A">
        <w:rPr>
          <w:rFonts w:ascii="Arial" w:hAnsi="Arial" w:cs="Arial"/>
          <w:sz w:val="24"/>
          <w:szCs w:val="24"/>
        </w:rPr>
        <w:t xml:space="preserve">Supplementary </w:t>
      </w:r>
      <w:r w:rsidRPr="00AB6810" w:rsidR="00D40054">
        <w:rPr>
          <w:rFonts w:ascii="Arial" w:hAnsi="Arial" w:cs="Arial"/>
          <w:sz w:val="24"/>
          <w:szCs w:val="24"/>
        </w:rPr>
        <w:t xml:space="preserve">Figures </w:t>
      </w:r>
      <w:r w:rsidRPr="00AB6810" w:rsidR="00050DF0">
        <w:rPr>
          <w:rFonts w:ascii="Arial" w:hAnsi="Arial" w:cs="Arial"/>
          <w:sz w:val="24"/>
          <w:szCs w:val="24"/>
        </w:rPr>
        <w:t>8</w:t>
      </w:r>
      <w:r w:rsidRPr="00AB6810" w:rsidR="00D40054">
        <w:rPr>
          <w:rFonts w:ascii="Arial" w:hAnsi="Arial" w:cs="Arial"/>
          <w:sz w:val="24"/>
          <w:szCs w:val="24"/>
        </w:rPr>
        <w:t xml:space="preserve"> and </w:t>
      </w:r>
      <w:r w:rsidRPr="00AB6810" w:rsidR="00050DF0">
        <w:rPr>
          <w:rFonts w:ascii="Arial" w:hAnsi="Arial" w:cs="Arial"/>
          <w:sz w:val="24"/>
          <w:szCs w:val="24"/>
        </w:rPr>
        <w:t>9</w:t>
      </w:r>
      <w:r w:rsidRPr="00AB6810" w:rsidR="00D40054">
        <w:rPr>
          <w:rFonts w:ascii="Arial" w:hAnsi="Arial" w:cs="Arial"/>
          <w:sz w:val="24"/>
          <w:szCs w:val="24"/>
        </w:rPr>
        <w:t>, respectively).</w:t>
      </w:r>
    </w:p>
    <w:p w:rsidRPr="00AB6810" w:rsidR="00BA519E" w:rsidP="00CF781E" w:rsidRDefault="00BA519E" w14:paraId="69C100FC" w14:textId="44247D88">
      <w:pPr>
        <w:spacing w:line="480" w:lineRule="auto"/>
        <w:rPr>
          <w:rFonts w:ascii="Arial" w:hAnsi="Arial" w:cs="Arial"/>
          <w:b/>
          <w:bCs/>
          <w:sz w:val="24"/>
          <w:szCs w:val="24"/>
        </w:rPr>
      </w:pPr>
      <w:r w:rsidRPr="00AB6810">
        <w:rPr>
          <w:rFonts w:ascii="Arial" w:hAnsi="Arial" w:cs="Arial"/>
          <w:b/>
          <w:bCs/>
          <w:sz w:val="24"/>
          <w:szCs w:val="24"/>
        </w:rPr>
        <w:t>Discussion</w:t>
      </w:r>
    </w:p>
    <w:p w:rsidRPr="00AB6810" w:rsidR="006C0980" w:rsidP="009D7159" w:rsidRDefault="00106A4B" w14:paraId="3341A5AE" w14:textId="6969711D">
      <w:pPr>
        <w:spacing w:line="480" w:lineRule="auto"/>
        <w:rPr>
          <w:rFonts w:ascii="Arial" w:hAnsi="Arial" w:cs="Arial"/>
          <w:sz w:val="24"/>
          <w:szCs w:val="24"/>
        </w:rPr>
      </w:pPr>
      <w:r w:rsidRPr="00AB6810">
        <w:rPr>
          <w:rFonts w:ascii="Arial" w:hAnsi="Arial" w:cs="Arial"/>
          <w:sz w:val="24"/>
          <w:szCs w:val="24"/>
        </w:rPr>
        <w:t>This study is the first nationwide study to describe the spatial distribution of the risk of PA at fine spatial granularity and over several years. It</w:t>
      </w:r>
      <w:r w:rsidRPr="00AB6810" w:rsidR="00DA4D23">
        <w:rPr>
          <w:rFonts w:ascii="Arial" w:hAnsi="Arial" w:cs="Arial"/>
          <w:sz w:val="24"/>
          <w:szCs w:val="24"/>
        </w:rPr>
        <w:t xml:space="preserve"> </w:t>
      </w:r>
      <w:r w:rsidRPr="00AB6810" w:rsidR="00BD31F1">
        <w:rPr>
          <w:rFonts w:ascii="Arial" w:hAnsi="Arial" w:cs="Arial"/>
          <w:sz w:val="24"/>
          <w:szCs w:val="24"/>
        </w:rPr>
        <w:t>showed a heterogeneous spatial distribution of PA incidence in France</w:t>
      </w:r>
      <w:r w:rsidRPr="00AB6810" w:rsidR="001A6AAF">
        <w:rPr>
          <w:rFonts w:ascii="Arial" w:hAnsi="Arial" w:cs="Arial"/>
          <w:sz w:val="24"/>
          <w:szCs w:val="24"/>
        </w:rPr>
        <w:t>,</w:t>
      </w:r>
      <w:r w:rsidRPr="00AB6810" w:rsidR="00BD31F1">
        <w:rPr>
          <w:rFonts w:ascii="Arial" w:hAnsi="Arial" w:cs="Arial"/>
          <w:sz w:val="24"/>
          <w:szCs w:val="24"/>
        </w:rPr>
        <w:t xml:space="preserve"> with </w:t>
      </w:r>
      <w:r w:rsidRPr="00AB6810" w:rsidR="006C0980">
        <w:rPr>
          <w:rFonts w:ascii="Arial" w:hAnsi="Arial" w:cs="Arial"/>
          <w:sz w:val="24"/>
          <w:szCs w:val="24"/>
        </w:rPr>
        <w:t xml:space="preserve">higher </w:t>
      </w:r>
      <w:r w:rsidRPr="00AB6810" w:rsidR="00BD31F1">
        <w:rPr>
          <w:rFonts w:ascii="Arial" w:hAnsi="Arial" w:cs="Arial"/>
          <w:sz w:val="24"/>
          <w:szCs w:val="24"/>
        </w:rPr>
        <w:t xml:space="preserve">PA incidence </w:t>
      </w:r>
      <w:r w:rsidRPr="00AB6810" w:rsidR="009D7159">
        <w:rPr>
          <w:rFonts w:ascii="Arial" w:hAnsi="Arial" w:cs="Arial"/>
          <w:sz w:val="24"/>
          <w:szCs w:val="24"/>
        </w:rPr>
        <w:t xml:space="preserve">around Paris, </w:t>
      </w:r>
      <w:r w:rsidRPr="00AB6810" w:rsidR="006C0980">
        <w:rPr>
          <w:rFonts w:ascii="Arial" w:hAnsi="Arial" w:cs="Arial"/>
          <w:sz w:val="24"/>
          <w:szCs w:val="24"/>
        </w:rPr>
        <w:t>in central France</w:t>
      </w:r>
      <w:r w:rsidRPr="00AB6810" w:rsidR="009D7159">
        <w:rPr>
          <w:rFonts w:ascii="Arial" w:hAnsi="Arial" w:cs="Arial"/>
          <w:sz w:val="24"/>
          <w:szCs w:val="24"/>
        </w:rPr>
        <w:t xml:space="preserve"> and on the Mediterranean coast</w:t>
      </w:r>
      <w:r w:rsidRPr="00AB6810" w:rsidR="006C0980">
        <w:rPr>
          <w:rFonts w:ascii="Arial" w:hAnsi="Arial" w:cs="Arial"/>
          <w:sz w:val="24"/>
          <w:szCs w:val="24"/>
        </w:rPr>
        <w:t xml:space="preserve">. </w:t>
      </w:r>
      <w:r w:rsidRPr="00AB6810" w:rsidR="00176EF0">
        <w:rPr>
          <w:rFonts w:ascii="Arial" w:hAnsi="Arial" w:cs="Arial"/>
          <w:sz w:val="24"/>
          <w:szCs w:val="24"/>
        </w:rPr>
        <w:t>Additionally</w:t>
      </w:r>
      <w:r w:rsidRPr="00AB6810" w:rsidR="00C965FF">
        <w:rPr>
          <w:rFonts w:ascii="Arial" w:hAnsi="Arial" w:cs="Arial"/>
          <w:sz w:val="24"/>
          <w:szCs w:val="24"/>
        </w:rPr>
        <w:t>,</w:t>
      </w:r>
      <w:r w:rsidRPr="00AB6810" w:rsidR="00176EF0">
        <w:rPr>
          <w:rFonts w:ascii="Arial" w:hAnsi="Arial" w:cs="Arial"/>
          <w:sz w:val="24"/>
          <w:szCs w:val="24"/>
        </w:rPr>
        <w:t xml:space="preserve"> it provides </w:t>
      </w:r>
      <w:r w:rsidRPr="00AB6810" w:rsidR="00010D7A">
        <w:rPr>
          <w:rFonts w:ascii="Arial" w:hAnsi="Arial" w:cs="Arial"/>
          <w:sz w:val="24"/>
          <w:szCs w:val="24"/>
        </w:rPr>
        <w:t xml:space="preserve">strong </w:t>
      </w:r>
      <w:r w:rsidRPr="00AB6810" w:rsidR="00BD31F1">
        <w:rPr>
          <w:rFonts w:ascii="Arial" w:hAnsi="Arial" w:cs="Arial"/>
          <w:sz w:val="24"/>
          <w:szCs w:val="24"/>
        </w:rPr>
        <w:t>evidence of a</w:t>
      </w:r>
      <w:r w:rsidRPr="00AB6810" w:rsidR="006C0980">
        <w:rPr>
          <w:rFonts w:ascii="Arial" w:hAnsi="Arial" w:cs="Arial"/>
          <w:sz w:val="24"/>
          <w:szCs w:val="24"/>
        </w:rPr>
        <w:t xml:space="preserve"> </w:t>
      </w:r>
      <w:r w:rsidRPr="00AB6810" w:rsidR="00B36F2C">
        <w:rPr>
          <w:rFonts w:ascii="Arial" w:hAnsi="Arial" w:cs="Arial"/>
          <w:sz w:val="24"/>
          <w:szCs w:val="24"/>
        </w:rPr>
        <w:t xml:space="preserve">small </w:t>
      </w:r>
      <w:r w:rsidRPr="00AB6810" w:rsidR="006C0980">
        <w:rPr>
          <w:rFonts w:ascii="Arial" w:hAnsi="Arial" w:cs="Arial"/>
          <w:sz w:val="24"/>
          <w:szCs w:val="24"/>
        </w:rPr>
        <w:t>association</w:t>
      </w:r>
      <w:r w:rsidRPr="00AB6810" w:rsidR="00675E01">
        <w:rPr>
          <w:rFonts w:ascii="Arial" w:hAnsi="Arial" w:cs="Arial"/>
          <w:sz w:val="24"/>
          <w:szCs w:val="24"/>
        </w:rPr>
        <w:t xml:space="preserve"> </w:t>
      </w:r>
      <w:r w:rsidRPr="00AB6810" w:rsidR="006C0980">
        <w:rPr>
          <w:rFonts w:ascii="Arial" w:hAnsi="Arial" w:cs="Arial"/>
          <w:sz w:val="24"/>
          <w:szCs w:val="24"/>
        </w:rPr>
        <w:t xml:space="preserve">between </w:t>
      </w:r>
      <w:r w:rsidRPr="00AB6810" w:rsidR="00603D7E">
        <w:rPr>
          <w:rFonts w:ascii="Arial" w:hAnsi="Arial" w:cs="Arial"/>
          <w:sz w:val="24"/>
          <w:szCs w:val="24"/>
        </w:rPr>
        <w:t xml:space="preserve">total </w:t>
      </w:r>
      <w:r w:rsidRPr="00AB6810" w:rsidR="006C0980">
        <w:rPr>
          <w:rFonts w:ascii="Arial" w:hAnsi="Arial" w:cs="Arial"/>
          <w:sz w:val="24"/>
          <w:szCs w:val="24"/>
        </w:rPr>
        <w:t>pesticide exposure</w:t>
      </w:r>
      <w:r w:rsidRPr="00AB6810" w:rsidR="00BD31F1">
        <w:rPr>
          <w:rFonts w:ascii="Arial" w:hAnsi="Arial" w:cs="Arial"/>
          <w:sz w:val="24"/>
          <w:szCs w:val="24"/>
        </w:rPr>
        <w:t xml:space="preserve"> and PA incidence</w:t>
      </w:r>
      <w:r w:rsidRPr="00AB6810" w:rsidR="00477E69">
        <w:rPr>
          <w:rFonts w:ascii="Arial" w:hAnsi="Arial" w:cs="Arial"/>
          <w:sz w:val="24"/>
          <w:szCs w:val="24"/>
        </w:rPr>
        <w:t xml:space="preserve"> </w:t>
      </w:r>
      <w:r w:rsidRPr="00AB6810" w:rsidR="00364ADC">
        <w:rPr>
          <w:rFonts w:ascii="Arial" w:hAnsi="Arial" w:cs="Arial"/>
          <w:sz w:val="24"/>
          <w:szCs w:val="24"/>
        </w:rPr>
        <w:t xml:space="preserve">in an </w:t>
      </w:r>
      <w:r w:rsidRPr="00AB6810" w:rsidR="00477E69">
        <w:rPr>
          <w:rFonts w:ascii="Arial" w:hAnsi="Arial" w:cs="Arial"/>
          <w:sz w:val="24"/>
          <w:szCs w:val="24"/>
        </w:rPr>
        <w:t>ecological regression</w:t>
      </w:r>
      <w:r w:rsidRPr="00AB6810" w:rsidR="006C0980">
        <w:rPr>
          <w:rFonts w:ascii="Arial" w:hAnsi="Arial" w:cs="Arial"/>
          <w:sz w:val="24"/>
          <w:szCs w:val="24"/>
        </w:rPr>
        <w:t xml:space="preserve">. </w:t>
      </w:r>
      <w:r w:rsidRPr="00AB6810" w:rsidR="00BD31F1">
        <w:rPr>
          <w:rFonts w:ascii="Arial" w:hAnsi="Arial" w:cs="Arial"/>
          <w:sz w:val="24"/>
          <w:szCs w:val="24"/>
        </w:rPr>
        <w:t xml:space="preserve">Higher </w:t>
      </w:r>
      <w:r w:rsidRPr="00AB6810" w:rsidR="006C0980">
        <w:rPr>
          <w:rFonts w:ascii="Arial" w:hAnsi="Arial" w:cs="Arial"/>
          <w:sz w:val="24"/>
          <w:szCs w:val="24"/>
        </w:rPr>
        <w:t>risk</w:t>
      </w:r>
      <w:r w:rsidRPr="00AB6810" w:rsidR="00294966">
        <w:rPr>
          <w:rFonts w:ascii="Arial" w:hAnsi="Arial" w:cs="Arial"/>
          <w:sz w:val="24"/>
          <w:szCs w:val="24"/>
        </w:rPr>
        <w:t xml:space="preserve"> of PA</w:t>
      </w:r>
      <w:r w:rsidRPr="00AB6810" w:rsidR="006C0980">
        <w:rPr>
          <w:rFonts w:ascii="Arial" w:hAnsi="Arial" w:cs="Arial"/>
          <w:sz w:val="24"/>
          <w:szCs w:val="24"/>
        </w:rPr>
        <w:t xml:space="preserve"> was</w:t>
      </w:r>
      <w:r w:rsidRPr="00AB6810" w:rsidR="00BD31F1">
        <w:rPr>
          <w:rFonts w:ascii="Arial" w:hAnsi="Arial" w:cs="Arial"/>
          <w:sz w:val="24"/>
          <w:szCs w:val="24"/>
        </w:rPr>
        <w:t xml:space="preserve"> also</w:t>
      </w:r>
      <w:r w:rsidRPr="00AB6810" w:rsidR="006C0980">
        <w:rPr>
          <w:rFonts w:ascii="Arial" w:hAnsi="Arial" w:cs="Arial"/>
          <w:sz w:val="24"/>
          <w:szCs w:val="24"/>
        </w:rPr>
        <w:t xml:space="preserve"> </w:t>
      </w:r>
      <w:r w:rsidRPr="00AB6810" w:rsidR="00477E69">
        <w:rPr>
          <w:rFonts w:ascii="Arial" w:hAnsi="Arial" w:cs="Arial"/>
          <w:sz w:val="24"/>
          <w:szCs w:val="24"/>
        </w:rPr>
        <w:t>identified</w:t>
      </w:r>
      <w:r w:rsidRPr="00AB6810" w:rsidR="006C0980">
        <w:rPr>
          <w:rFonts w:ascii="Arial" w:hAnsi="Arial" w:cs="Arial"/>
          <w:sz w:val="24"/>
          <w:szCs w:val="24"/>
        </w:rPr>
        <w:t xml:space="preserve"> for mancozeb, glyphosate and sulphur for spraying</w:t>
      </w:r>
      <w:r w:rsidRPr="00AB6810" w:rsidR="00BD31F1">
        <w:rPr>
          <w:rFonts w:ascii="Arial" w:hAnsi="Arial" w:cs="Arial"/>
          <w:sz w:val="24"/>
          <w:szCs w:val="24"/>
        </w:rPr>
        <w:t>.</w:t>
      </w:r>
    </w:p>
    <w:p w:rsidRPr="00AB6810" w:rsidR="006C0980" w:rsidP="009D7159" w:rsidRDefault="00255D19" w14:paraId="3AF40C66" w14:textId="53F43154">
      <w:pPr>
        <w:spacing w:line="480" w:lineRule="auto"/>
        <w:rPr>
          <w:rFonts w:ascii="Arial" w:hAnsi="Arial" w:cs="Arial"/>
          <w:sz w:val="24"/>
          <w:szCs w:val="24"/>
        </w:rPr>
      </w:pPr>
      <w:r w:rsidRPr="00AB6810">
        <w:rPr>
          <w:rFonts w:ascii="Arial" w:hAnsi="Arial" w:cs="Arial"/>
          <w:sz w:val="24"/>
          <w:szCs w:val="24"/>
        </w:rPr>
        <w:t xml:space="preserve">Describing the incidence of a disease or its mortality in space and time can help generate new hypotheses </w:t>
      </w:r>
      <w:r w:rsidRPr="00AB6810" w:rsidR="0003362D">
        <w:rPr>
          <w:rFonts w:ascii="Arial" w:hAnsi="Arial" w:cs="Arial"/>
          <w:sz w:val="24"/>
          <w:szCs w:val="24"/>
        </w:rPr>
        <w:t>on</w:t>
      </w:r>
      <w:r w:rsidRPr="00AB6810">
        <w:rPr>
          <w:rFonts w:ascii="Arial" w:hAnsi="Arial" w:cs="Arial"/>
          <w:sz w:val="24"/>
          <w:szCs w:val="24"/>
        </w:rPr>
        <w:t xml:space="preserve"> etiology</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{"citationID":"rjiD76FI","properties":{"formattedCitation":"\\super 26,28\\nosupersub{}","plainCitation":"26,28","noteIndex":0},"citationItems":[{"id":29890,"uris":["http://zotero.org/users/9040671/items/GECXJ2JQ"],"itemData":{"id":29890,"type":"article-journal","abstract":"There is currently much interest in conducting spatial analyses of health outcomes at the small-area scale. This requires sophisticated statistical techniques, usually involving Bayesian models, to smooth the underlying risk estimates because the data are typically sparse. However, questions have been raised about the performance of these models for recovering the “true” risk surface, about the influence of the prior structure specified, and about the amount of smoothing of the risks that is actually performed. We describe a comprehensive simulation study designed to address these questions. Our results show that Bayesian disease-mapping models are essentially conservative, with high specificity even in situations with very sparse data but low sensitivity if the raised-risk areas have only a moderate (&lt; 2-fold) excess or are not based on substantial expected counts (&gt; 50 per area). Semiparametric spatial mixture models typically produce less smoothing than their conditional autoregressive counterpart when there is sufficient information in the data (moderate-size expected count and/or high true excess risk). Sensitivity may be improved by exploiting the whole posterior distribution to try to detect true raised-risk areas rather than just reporting and mapping the mean posterior relative risk. For the widely used conditional autoregressive model, we show that a decision rule based on computing the probability that the relative risk is above 1 with a cutoff between 70 and 80% gives a specific rule with reasonable sensitivity for a range of scenarios having moderate expected counts (~ 20) and excess risks (~1.5- to 2-fold). Larger (3-fold) excess risks are detected almost certainly using this rule, even when based on small expected counts, although the mean of the posterior distribution is typically smoothed to about half the true value.","container-title":"Environmental Health Perspectives","DOI":"10.1289/ehp.6740","issue":"9","note":"publisher: Environmental Health Perspectives","page":"1016-1025","source":"ehp.niehs.nih.gov (Atypon)","title":"Interpreting Posterior Relative Risk Estimates in Disease-Mapping Studies","volume":"112","author":[{"family":"Richardson","given":"Sylvia"},{"family":"Thomson","given":"Andrew"},{"family":"Best","given":"Nicky"},{"family":"Elliott","given":"Paul"}],"issued":{"date-parts":[["2004",6]]}}},{"id":29845,"uris":["http://zotero.org/users/9040671/items/8JA7BDLZ"],"itemData":{"id":29845,"type":"article-journal","abstract":"BACKGROUND: The statistical Bayesian approach is widely used in disease mapping and Poisson regression. Results differ depending on the underlying hypothesis. Our objective is to give a comprehensive presentation of the tools that can be used to interpret results and choose between the different hypotheses. Data from the Isere cancer registry (France) illustrate this presentation.\nMETHOD: We consider, first, Bayesian models for disease mapping. Classic heterogeneity (Potthoff-Whithinghill statistic) and spatial autocorrelation tests (Moran statistic) of the SIRs, the DIC criteria of the different Bayesian models and finally the comparison of the empirical variance of the unstructured and structured heterogeneity components of the BYM model are considered. The last two criteria are considered for Bayesian Poisson regression including a covariate. Mapping the components of the BYM model with a covariate is also considered.\nRESULTS: Four cancer sites (prostate, lung, colon-rectum and bladder) in men diagnosed during the 1998-2007 period are used to illustrate our presentation. We show that the different criteria used to interpret and to choose a model give coherent results.\nCONCLUSION: A relevant interpretation of results is a necessary step in choosing the best-adapted Bayesian model. This choice is easy to make with criteria such as the DIC. The comparison of the empirical variance of the unstructured and structured heterogeneity components of the BYM model is also informative.","container-title":"Revue D'epidemiologie Et De Sante Publique","DOI":"10.1016/j.respe.2013.07.686","ISSN":"0398-7620","issue":"6","journalAbbreviation":"Rev Epidemiol Sante Publique","language":"eng","note":"PMID: 24210788","page":"559-567","source":"PubMed","title":"How to interpret and choose a Bayesian spatial model and a Poisson regression model in the context of describing small area cancer risks variations","volume":"61","author":[{"family":"Colonna","given":"M."},{"family":"Sauleau","given":"E.-A."}],"issued":{"date-parts":[["2013",12]]}}}],"schema":"https://github.com/citation-style-language/schema/raw/master/csl-citation.json"}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26,28</w:t>
      </w:r>
      <w:r w:rsidRPr="00AB6810">
        <w:rPr>
          <w:rFonts w:ascii="Arial" w:hAnsi="Arial" w:cs="Arial"/>
          <w:sz w:val="24"/>
          <w:szCs w:val="24"/>
        </w:rPr>
        <w:fldChar w:fldCharType="end"/>
      </w:r>
      <w:r w:rsidRPr="00AB6810">
        <w:rPr>
          <w:rFonts w:ascii="Arial" w:hAnsi="Arial" w:cs="Arial"/>
          <w:sz w:val="24"/>
          <w:szCs w:val="24"/>
        </w:rPr>
        <w:t xml:space="preserve">. Etxeberria et al. </w:t>
      </w:r>
      <w:r w:rsidRPr="00AB6810" w:rsidR="00364ADC">
        <w:rPr>
          <w:rFonts w:ascii="Arial" w:hAnsi="Arial" w:cs="Arial"/>
          <w:sz w:val="24"/>
          <w:szCs w:val="24"/>
        </w:rPr>
        <w:t xml:space="preserve">studied </w:t>
      </w:r>
      <w:r w:rsidRPr="00AB6810">
        <w:rPr>
          <w:rFonts w:ascii="Arial" w:hAnsi="Arial" w:cs="Arial"/>
          <w:sz w:val="24"/>
          <w:szCs w:val="24"/>
        </w:rPr>
        <w:t xml:space="preserve">death </w:t>
      </w:r>
      <w:r w:rsidRPr="00AB6810" w:rsidR="00B86586">
        <w:rPr>
          <w:rFonts w:ascii="Arial" w:hAnsi="Arial" w:cs="Arial"/>
          <w:sz w:val="24"/>
          <w:szCs w:val="24"/>
        </w:rPr>
        <w:t xml:space="preserve">by PA </w:t>
      </w:r>
      <w:r w:rsidRPr="00AB6810">
        <w:rPr>
          <w:rFonts w:ascii="Arial" w:hAnsi="Arial" w:cs="Arial"/>
          <w:sz w:val="24"/>
          <w:szCs w:val="24"/>
        </w:rPr>
        <w:t>in</w:t>
      </w:r>
      <w:r w:rsidRPr="00AB6810" w:rsidR="00364ADC">
        <w:rPr>
          <w:rFonts w:ascii="Arial" w:hAnsi="Arial" w:cs="Arial"/>
          <w:sz w:val="24"/>
          <w:szCs w:val="24"/>
        </w:rPr>
        <w:t xml:space="preserve"> 50 Spanish provinces</w:t>
      </w:r>
      <w:r w:rsidRPr="00AB6810">
        <w:rPr>
          <w:rFonts w:ascii="Arial" w:hAnsi="Arial" w:cs="Arial"/>
          <w:sz w:val="24"/>
          <w:szCs w:val="24"/>
        </w:rPr>
        <w:t xml:space="preserve"> </w:t>
      </w:r>
      <w:r w:rsidRPr="00AB6810" w:rsidR="00364ADC">
        <w:rPr>
          <w:rFonts w:ascii="Arial" w:hAnsi="Arial" w:cs="Arial"/>
          <w:sz w:val="24"/>
          <w:szCs w:val="24"/>
        </w:rPr>
        <w:t xml:space="preserve">between 1990 and 2013 and found higher risks in the </w:t>
      </w:r>
      <w:r w:rsidRPr="00AB6810" w:rsidR="00B86586">
        <w:rPr>
          <w:rFonts w:ascii="Arial" w:hAnsi="Arial" w:cs="Arial"/>
          <w:sz w:val="24"/>
          <w:szCs w:val="24"/>
        </w:rPr>
        <w:t>N</w:t>
      </w:r>
      <w:r w:rsidRPr="00AB6810">
        <w:rPr>
          <w:rFonts w:ascii="Arial" w:hAnsi="Arial" w:cs="Arial"/>
          <w:sz w:val="24"/>
          <w:szCs w:val="24"/>
        </w:rPr>
        <w:t xml:space="preserve">orthern </w:t>
      </w:r>
      <w:r w:rsidRPr="00AB6810" w:rsidR="00364ADC">
        <w:rPr>
          <w:rFonts w:ascii="Arial" w:hAnsi="Arial" w:cs="Arial"/>
          <w:sz w:val="24"/>
          <w:szCs w:val="24"/>
        </w:rPr>
        <w:t>part of the country</w:t>
      </w:r>
      <w:r w:rsidRPr="00AB6810" w:rsidR="00C85B15">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{"citationID":"WaQwLnue","properties":{"formattedCitation":"\\super 29\\nosupersub{}","plainCitation":"29","noteIndex":0},"citationItems":[{"id":4185,"uris":["http://zotero.org/users/local/S5ttDqnf/items/8PPN646I","http://zotero.org/users/9040671/items/8PPN646I"],"itemData":{"id":4185,"type":"article-journal","abstract":"Recently, the interest in studying pancreatic cancer mortality has increased due to its high lethality. In this work a detailed analysis of pancreatic cancer mortality in Spanish provinces was performed using recent data. A set of multivariate spatial gender-age-period-cohort models was considered to look for potential candidates to analyze pancreatic cancer mortality rates. The selected model combines features of APC (age-period-cohort) models with disease mapping approaches. To ensure model identifiability sum-to-zero constraints were applied. A fully Bayesian approach based on integrated nested Laplace approximations (INLA) was considered for model fitting and inference. Sensitivity analyses were also conducted. In general, estimated average rates by age, cohort, and period are higher in males than in females. The higher differences according to age between males and females correspond to the age groups [65, 70), [70, 75), and [75, 80). Regarding the cohort, the greatest difference between men and women is observed for those born between the forties and the sixties. From there on, the younger the birth cohort is, the smaller the difference becomes. Some cohort differences are also identified by regions and age-groups. The spatial pattern indicates a North-South gradient of pancreatic cancer mortality in Spain, the provinces in the North being the ones with the highest effects on mortality during the studied period. Finally, the space-time evolution shows that the space pattern has changed little over time.","container-title":"PloS One","DOI":"10.1371/journal.pone.0169751","ISSN":"1932-6203","issue":"2","journalAbbreviation":"PLoS One","language":"eng","page":"e0169751","source":"PubMed","title":"Spatial gender-age-period-cohort analysis of pancreatic cancer mortality in Spain (1990-2013)","volume":"12","author":[{"family":"Etxeberria","given":"Jaione"},{"family":"Goicoa","given":"Tomás"},{"family":"López-Abente","given":"Gonzalo"},{"family":"Riebler","given":"Andrea"},{"family":"Ugarte","given":"María Dolores"}],"issued":{"date-parts":[["2017"]]}}}],"schema":"https://github.com/citation-style-language/schema/raw/master/csl-citation.json"} </w:instrText>
      </w:r>
      <w:r w:rsidRPr="00AB6810" w:rsidR="00C85B15">
        <w:rPr>
          <w:rFonts w:ascii="Arial" w:hAnsi="Arial" w:cs="Arial"/>
          <w:sz w:val="24"/>
          <w:szCs w:val="24"/>
        </w:rPr>
        <w:fldChar w:fldCharType="separate"/>
      </w:r>
      <w:r w:rsidRPr="00AB6810" w:rsidR="00094508">
        <w:rPr>
          <w:rFonts w:ascii="Arial" w:hAnsi="Arial" w:cs="Arial"/>
          <w:sz w:val="24"/>
          <w:szCs w:val="24"/>
          <w:vertAlign w:val="superscript"/>
        </w:rPr>
        <w:t>29</w:t>
      </w:r>
      <w:r w:rsidRPr="00AB6810" w:rsidR="00C85B15">
        <w:rPr>
          <w:rFonts w:ascii="Arial" w:hAnsi="Arial" w:cs="Arial"/>
          <w:sz w:val="24"/>
          <w:szCs w:val="24"/>
        </w:rPr>
        <w:fldChar w:fldCharType="end"/>
      </w:r>
      <w:r w:rsidRPr="00AB6810" w:rsidR="00B86586">
        <w:rPr>
          <w:rFonts w:ascii="Arial" w:hAnsi="Arial" w:cs="Arial"/>
          <w:sz w:val="24"/>
          <w:szCs w:val="24"/>
        </w:rPr>
        <w:t>.</w:t>
      </w:r>
      <w:r w:rsidRPr="00AB6810" w:rsidR="00396F9C">
        <w:rPr>
          <w:rFonts w:ascii="Arial" w:hAnsi="Arial" w:cs="Arial"/>
          <w:sz w:val="24"/>
          <w:szCs w:val="24"/>
        </w:rPr>
        <w:t xml:space="preserve"> Rashid et al. recently investigated cancer mortality at a fine spatial resolution in England highlighting spatial disparities</w:t>
      </w:r>
      <w:r w:rsidRPr="00AB6810" w:rsidR="00396F9C">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{"citationID":"y9F6KfHp","properties":{"formattedCitation":"\\super 30\\nosupersub{}","plainCitation":"30","noteIndex":0},"citationItems":[{"id":36422,"uris":["http://zotero.org/users/9040671/items/J6J6IIN9"],"itemData":{"id":36422,"type":"article-journal","container-title":"The Lancet Oncology","DOI":"10.1016/S1470-2045(23)00530-2","ISSN":"1470-2045, 1474-5488","issue":"1","journalAbbreviation":"The Lancet Oncology","language":"English","note":"publisher: Elsevier\nPMID: 38096890","page":"86-98","source":"www.thelancet.com","title":"Mortality from leading cancers in districts of England from 2002 to 2019: a population-based, spatiotemporal study","title-short":"Mortality from leading cancers in districts of England from 2002 to 2019","volume":"25","author":[{"family":"Rashid","given":"Theo"},{"family":"Bennett","given":"James E."},{"family":"Muller","given":"David C."},{"family":"Cross","given":"Amanda J."},{"family":"Pearson-Stuttard","given":"Jonathan"},{"family":"Asaria","given":"Perviz"},{"family":"Daby","given":"Hima Iyathooray"},{"family":"Fecht","given":"Daniela"},{"family":"Davies","given":"Bethan"},{"family":"Ezzati","given":"Majid"}],"issued":{"date-parts":[["2024",1,1]]}}}],"schema":"https://github.com/citation-style-language/schema/raw/master/csl-citation.json"} </w:instrText>
      </w:r>
      <w:r w:rsidRPr="00AB6810" w:rsidR="00396F9C">
        <w:rPr>
          <w:rFonts w:ascii="Arial" w:hAnsi="Arial" w:cs="Arial"/>
          <w:sz w:val="24"/>
          <w:szCs w:val="24"/>
        </w:rPr>
        <w:fldChar w:fldCharType="separate"/>
      </w:r>
      <w:r w:rsidRPr="00AB6810" w:rsidR="00094508">
        <w:rPr>
          <w:rFonts w:ascii="Arial" w:hAnsi="Arial" w:cs="Arial"/>
          <w:sz w:val="24"/>
          <w:szCs w:val="24"/>
          <w:vertAlign w:val="superscript"/>
        </w:rPr>
        <w:t>30</w:t>
      </w:r>
      <w:r w:rsidRPr="00AB6810" w:rsidR="00396F9C">
        <w:rPr>
          <w:rFonts w:ascii="Arial" w:hAnsi="Arial" w:cs="Arial"/>
          <w:sz w:val="24"/>
          <w:szCs w:val="24"/>
        </w:rPr>
        <w:fldChar w:fldCharType="end"/>
      </w:r>
      <w:r w:rsidRPr="00AB6810" w:rsidR="00396F9C">
        <w:rPr>
          <w:rFonts w:ascii="Arial" w:hAnsi="Arial" w:cs="Arial"/>
          <w:sz w:val="24"/>
          <w:szCs w:val="24"/>
        </w:rPr>
        <w:t>.</w:t>
      </w:r>
      <w:r w:rsidRPr="00AB6810" w:rsidR="00B86586">
        <w:rPr>
          <w:rFonts w:ascii="Arial" w:hAnsi="Arial" w:cs="Arial"/>
          <w:sz w:val="24"/>
          <w:szCs w:val="24"/>
        </w:rPr>
        <w:t xml:space="preserve"> In our study, we described the spatial distribution in 5529 spatial units, accounting for 99% of the French general population</w:t>
      </w:r>
      <w:r w:rsidRPr="00AB6810" w:rsidR="00636471">
        <w:rPr>
          <w:rFonts w:ascii="Arial" w:hAnsi="Arial" w:cs="Arial"/>
          <w:sz w:val="24"/>
          <w:szCs w:val="24"/>
        </w:rPr>
        <w:t xml:space="preserve"> covered by the French national healthcare insurance</w:t>
      </w:r>
      <w:r w:rsidRPr="00AB6810" w:rsidR="00B86586">
        <w:rPr>
          <w:rFonts w:ascii="Arial" w:hAnsi="Arial" w:cs="Arial"/>
          <w:sz w:val="24"/>
          <w:szCs w:val="24"/>
        </w:rPr>
        <w:t xml:space="preserve">. </w:t>
      </w:r>
      <w:r w:rsidRPr="00AB6810" w:rsidR="006C0980">
        <w:rPr>
          <w:rFonts w:ascii="Arial" w:hAnsi="Arial" w:cs="Arial"/>
          <w:sz w:val="24"/>
          <w:szCs w:val="24"/>
        </w:rPr>
        <w:t xml:space="preserve">It is worth noting that some </w:t>
      </w:r>
      <w:r w:rsidRPr="00AB6810" w:rsidR="00364ADC">
        <w:rPr>
          <w:rFonts w:ascii="Arial" w:hAnsi="Arial" w:cs="Arial"/>
          <w:sz w:val="24"/>
          <w:szCs w:val="24"/>
        </w:rPr>
        <w:t xml:space="preserve">of the identified </w:t>
      </w:r>
      <w:r w:rsidRPr="00AB6810" w:rsidR="006C0980">
        <w:rPr>
          <w:rFonts w:ascii="Arial" w:hAnsi="Arial" w:cs="Arial"/>
          <w:sz w:val="24"/>
          <w:szCs w:val="24"/>
        </w:rPr>
        <w:t>higher-risk areas are</w:t>
      </w:r>
      <w:r w:rsidRPr="00AB6810" w:rsidR="000E74D0">
        <w:rPr>
          <w:rFonts w:ascii="Arial" w:hAnsi="Arial" w:cs="Arial"/>
          <w:sz w:val="24"/>
          <w:szCs w:val="24"/>
        </w:rPr>
        <w:t xml:space="preserve"> located in</w:t>
      </w:r>
      <w:r w:rsidRPr="00AB6810" w:rsidR="006C0980">
        <w:rPr>
          <w:rFonts w:ascii="Arial" w:hAnsi="Arial" w:cs="Arial"/>
          <w:sz w:val="24"/>
          <w:szCs w:val="24"/>
        </w:rPr>
        <w:t xml:space="preserve"> vineyard areas</w:t>
      </w:r>
      <w:r w:rsidRPr="00AB6810" w:rsidR="00672A37">
        <w:rPr>
          <w:rFonts w:ascii="Arial" w:hAnsi="Arial" w:cs="Arial"/>
          <w:sz w:val="24"/>
          <w:szCs w:val="24"/>
        </w:rPr>
        <w:t xml:space="preserve">, such as the Mediterranean Coast or </w:t>
      </w:r>
      <w:r w:rsidRPr="00AB6810" w:rsidR="00E21451">
        <w:rPr>
          <w:rFonts w:ascii="Arial" w:hAnsi="Arial" w:cs="Arial"/>
          <w:sz w:val="24"/>
          <w:szCs w:val="24"/>
        </w:rPr>
        <w:t>Burgundy</w:t>
      </w:r>
      <w:r w:rsidRPr="00AB6810" w:rsidR="00672A37">
        <w:rPr>
          <w:rFonts w:ascii="Arial" w:hAnsi="Arial" w:cs="Arial"/>
          <w:sz w:val="24"/>
          <w:szCs w:val="24"/>
        </w:rPr>
        <w:t xml:space="preserve">. </w:t>
      </w:r>
      <w:r w:rsidRPr="00AB6810" w:rsidR="006C0980">
        <w:rPr>
          <w:rFonts w:ascii="Arial" w:hAnsi="Arial" w:cs="Arial"/>
          <w:sz w:val="24"/>
          <w:szCs w:val="24"/>
        </w:rPr>
        <w:t>These types of crops have been</w:t>
      </w:r>
      <w:r w:rsidRPr="00AB6810" w:rsidR="00672A37">
        <w:rPr>
          <w:rFonts w:ascii="Arial" w:hAnsi="Arial" w:cs="Arial"/>
          <w:sz w:val="24"/>
          <w:szCs w:val="24"/>
        </w:rPr>
        <w:t xml:space="preserve"> previously</w:t>
      </w:r>
      <w:r w:rsidRPr="00AB6810" w:rsidR="006C0980">
        <w:rPr>
          <w:rFonts w:ascii="Arial" w:hAnsi="Arial" w:cs="Arial"/>
          <w:sz w:val="24"/>
          <w:szCs w:val="24"/>
        </w:rPr>
        <w:t xml:space="preserve"> identified as areas of higher pesticide consumption</w:t>
      </w:r>
      <w:r w:rsidRPr="00AB6810" w:rsidR="006C098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{"citationID":"43bICLpF","properties":{"formattedCitation":"\\super 31,32\\nosupersub{}","plainCitation":"31,32","noteIndex":0},"citationItems":[{"id":23176,"uris":["http://zotero.org/users/9040671/items/L663REUU"],"itemData":{"id":23176,"type":"article-journal","abstract":"Biomonitoring can be relevant for assessing pesticides exposure of residents living close to vineyards (LCTV). However, because xenobiotics are generally present at low levels in human biological matrices and the sources of pesticide exposure are multiple, several challenges need to be overcome to reliably assess exposure in residents LCTV. This includes particularly identifying the most appropriate exposure biomarkers, the biological matrices in which they should be measured, and analytical methods that are sufficiently sensitive and specific to quantify them. The aim of the present study was to develop a tiered approach to identify relevant biomarkers and matrices for assessing pesticide exposure in residents LCTV. We used samples from a biobank for 121 adults and children included in a national prevalence study conducted between 2014 and 2016 who lived near or far from vineyards. We analyzed five priority pesticides (folpet, mancozeb, tebuconazole, glyphosate, and copper) and their metabolites in urine and hair samples. We identified relevant biomarkers according to three criteria related to: i) the detection frequency of those pesticides and metabolites in urine and hair, ii) the difference in concentrations depending on residence proximity to vineyards and, iii) the influence of other environmental and occupational exposure sources on pesticide levels. This tiered approach helped us to identify three relevant metabolites (two metabolites of folpet and one of tebuconazole) that were quantified in urine, tended to be higher in residents LCTV than in controls, and were not significantly influenced by occupational, dietary, or household sources of pesticide exposure. Our approach also helped us to identify the most appropriate measurement strategies (biological matrices, analytical methods) to assess pesticide exposure in residents LCTV. The approach developed here was a prerequisite step for guiding a large-scale epidemiological study aimed at comprehensively measuring pesticides exposures in French residents LCTV with a view to developing appropriate prevention strategies.","container-title":"Environment International","DOI":"10.1016/j.envint.2021.107013","ISSN":"0160-4120","journalAbbreviation":"Environment International","language":"en","page":"107013","source":"ScienceDirect","title":"Identification of pesticides exposure biomarkers for residents living close to vineyards in France","volume":"159","author":[{"family":"Dereumeaux","given":"Clémentine"},{"family":"Mercier","given":"Fabien"},{"family":"Soulard","given":"Pauline"},{"family":"Hulin","given":"Marion"},{"family":"Oleko","given":"Amivi"},{"family":"Pecheux","given":"Marie"},{"family":"Fillol","given":"Clémence"},{"family":"Denys","given":"Sébastien"},{"family":"Quenel","given":"Philippe"}],"issued":{"date-parts":[["2022",1,15]]}}},{"id":24911,"uris":["http://zotero.org/users/9040671/items/WRL649QE"],"itemData":{"id":24911,"type":"article-journal","abstract":"BACKGROUND: Professional pesticides exposure is associated with PD risk, but it remains unclear whether specific products, which strongly depend on farming type, are specifically involved. We performed a nationwide ecological study to examine the association of pesticides expenditures for the main farming types with PD incidence in French farmers.\nMETHODS: We used the French National Health Insurance database to identify incident PD cases in farmers (2010-2015). We combined data on pesticides expenditures with the agricultural census to compute pesticides expenditures for nine farming types in 2000 in 3571 French cantons. The association between pesticides expenditures and PD age/sex standardized incidence was examined using multilevel Poisson regression, adjusted for smoking, neurologists' density, and deprivation index.\nRESULTS: 10,282 incident PD cases were identified. Cantons with the highest pesticides expenditures for vineyards without designation of origin were characterized by 16% (95% CI = 6-28%) higher PD incidence (p-trend corrected for multiple testing = 0.006). This association was significant in men and older farmers. There was no association with pesticides expenditures for other farming types, including vineyards with designation of origin.\nCONCLUSIONS: PD incidence increased significantly with pesticides expenditures in vineyards without designation of origin characterized by high fungicide use. This result suggests that agricultural practices and pesticides used in these vineyards may play a role in PD and that farmers in these farms should benefit from preventive measures aiming at reducing exposure. Our study highlights the importance of considering farming type in studies on pesticides and PD and the usefulness of pesticides expenditures for exposure assessment.","container-title":"Environmental Research","DOI":"10.1016/j.envres.2021.111161","ISSN":"1096-0953","journalAbbreviation":"Environ Res","language":"eng","note":"PMID: 33887276","page":"111161","source":"PubMed","title":"Pesticides expenditures by farming type and incidence of Parkinson disease in farmers: A French nationwide study","title-short":"Pesticides expenditures by farming type and incidence of Parkinson disease in farmers","volume":"197","author":[{"family":"Perrin","given":"Laëtitia"},{"family":"Spinosi","given":"Johan"},{"family":"Chaperon","given":"Laura"},{"family":"Kab","given":"Sofiane"},{"family":"Moisan","given":"Frédéric"},{"family":"Ebaz","given":"Alexis"}],"issued":{"date-parts":[["2021",6]]}}}],"schema":"https://github.com/citation-style-language/schema/raw/master/csl-citation.json"} </w:instrText>
      </w:r>
      <w:r w:rsidRPr="00AB6810" w:rsidR="006C0980">
        <w:rPr>
          <w:rFonts w:ascii="Arial" w:hAnsi="Arial" w:cs="Arial"/>
          <w:sz w:val="24"/>
          <w:szCs w:val="24"/>
        </w:rPr>
        <w:fldChar w:fldCharType="separate"/>
      </w:r>
      <w:r w:rsidRPr="00AB6810" w:rsidR="00094508">
        <w:rPr>
          <w:rFonts w:ascii="Arial" w:hAnsi="Arial" w:cs="Arial"/>
          <w:sz w:val="24"/>
          <w:szCs w:val="24"/>
          <w:vertAlign w:val="superscript"/>
        </w:rPr>
        <w:t>31,32</w:t>
      </w:r>
      <w:r w:rsidRPr="00AB6810" w:rsidR="006C0980">
        <w:rPr>
          <w:rFonts w:ascii="Arial" w:hAnsi="Arial" w:cs="Arial"/>
          <w:sz w:val="24"/>
          <w:szCs w:val="24"/>
        </w:rPr>
        <w:fldChar w:fldCharType="end"/>
      </w:r>
      <w:r w:rsidRPr="00AB6810" w:rsidR="006C0980">
        <w:rPr>
          <w:rFonts w:ascii="Arial" w:hAnsi="Arial" w:cs="Arial"/>
          <w:sz w:val="24"/>
          <w:szCs w:val="24"/>
        </w:rPr>
        <w:t xml:space="preserve">. </w:t>
      </w:r>
      <w:r w:rsidRPr="00AB6810" w:rsidR="004B2BF8">
        <w:rPr>
          <w:rFonts w:ascii="Arial" w:hAnsi="Arial" w:cs="Arial"/>
          <w:sz w:val="24"/>
          <w:szCs w:val="24"/>
        </w:rPr>
        <w:t>A</w:t>
      </w:r>
      <w:r w:rsidRPr="00AB6810" w:rsidR="006C0980">
        <w:rPr>
          <w:rFonts w:ascii="Arial" w:hAnsi="Arial" w:cs="Arial"/>
          <w:sz w:val="24"/>
          <w:szCs w:val="24"/>
        </w:rPr>
        <w:t>n association between the use of pesticides in vineyards and lung cancer, gliomas, and lymphomas</w:t>
      </w:r>
      <w:r w:rsidRPr="00AB6810" w:rsidR="004B2BF8">
        <w:rPr>
          <w:rFonts w:ascii="Arial" w:hAnsi="Arial" w:cs="Arial"/>
          <w:sz w:val="24"/>
          <w:szCs w:val="24"/>
        </w:rPr>
        <w:t xml:space="preserve"> has been reported</w:t>
      </w:r>
      <w:r w:rsidRPr="00AB6810" w:rsidR="006C0980">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{"citationID":"9uHJULM4","properties":{"formattedCitation":"\\super 7\\nosupersub{}","plainCitation":"7","noteIndex":0},"citationItems":[{"id":29883,"uris":["http://zotero.org/users/local/vY69w1Y2/items/QQIQZTER","http://zotero.org/users/9040671/items/QQIQZTER"],"itemData":{"id":29883,"type":"webpage","abstract":"Ce document présente la synthèse issue des travaux du groupe d’experts réunis par l'Inserm dans le cadre de la procédure d’expertise collective pour répondre à la demande de cinq directions de l’État, la Direction générale de la prévention des risques, la Direction générale de la santé, la Direction générale du…","language":"fr-FR","note":"section: Expertises collectives","title":"Effects of pesticides on health: New data","URL":"https://www.inserm.fr/expertise-collective/pesticides-et-sante-nouvelles-donnees-2021/","author":[{"family":"Inserm","given":""}]}}],"schema":"https://github.com/citation-style-language/schema/raw/master/csl-citation.json"} </w:instrText>
      </w:r>
      <w:r w:rsidRPr="00AB6810" w:rsidR="006C0980">
        <w:rPr>
          <w:rFonts w:ascii="Arial" w:hAnsi="Arial" w:cs="Arial"/>
          <w:sz w:val="24"/>
          <w:szCs w:val="24"/>
        </w:rPr>
        <w:fldChar w:fldCharType="separate"/>
      </w:r>
      <w:r w:rsidRPr="00AB6810" w:rsidR="00EC530C">
        <w:rPr>
          <w:rFonts w:ascii="Arial" w:hAnsi="Arial" w:cs="Arial"/>
          <w:sz w:val="24"/>
          <w:szCs w:val="24"/>
          <w:vertAlign w:val="superscript"/>
        </w:rPr>
        <w:t>7</w:t>
      </w:r>
      <w:r w:rsidRPr="00AB6810" w:rsidR="006C0980">
        <w:rPr>
          <w:rFonts w:ascii="Arial" w:hAnsi="Arial" w:cs="Arial"/>
          <w:sz w:val="24"/>
          <w:szCs w:val="24"/>
        </w:rPr>
        <w:fldChar w:fldCharType="end"/>
      </w:r>
      <w:r w:rsidRPr="00AB6810" w:rsidR="006C0980">
        <w:rPr>
          <w:rFonts w:ascii="Arial" w:hAnsi="Arial" w:cs="Arial"/>
          <w:sz w:val="24"/>
          <w:szCs w:val="24"/>
        </w:rPr>
        <w:t xml:space="preserve">. However, </w:t>
      </w:r>
      <w:r w:rsidRPr="00AB6810" w:rsidR="00477E69">
        <w:rPr>
          <w:rFonts w:ascii="Arial" w:hAnsi="Arial" w:cs="Arial"/>
          <w:sz w:val="24"/>
          <w:szCs w:val="24"/>
        </w:rPr>
        <w:t xml:space="preserve">the association between </w:t>
      </w:r>
      <w:r w:rsidRPr="00AB6810" w:rsidR="00C965FF">
        <w:rPr>
          <w:rFonts w:ascii="Arial" w:hAnsi="Arial" w:cs="Arial"/>
          <w:sz w:val="24"/>
          <w:szCs w:val="24"/>
        </w:rPr>
        <w:t>vineyards</w:t>
      </w:r>
      <w:r w:rsidRPr="00AB6810" w:rsidR="00477E69">
        <w:rPr>
          <w:rFonts w:ascii="Arial" w:hAnsi="Arial" w:cs="Arial"/>
          <w:sz w:val="24"/>
          <w:szCs w:val="24"/>
        </w:rPr>
        <w:t xml:space="preserve"> and PA</w:t>
      </w:r>
      <w:r w:rsidRPr="00AB6810" w:rsidR="006C0980">
        <w:rPr>
          <w:rFonts w:ascii="Arial" w:hAnsi="Arial" w:cs="Arial"/>
          <w:sz w:val="24"/>
          <w:szCs w:val="24"/>
        </w:rPr>
        <w:t xml:space="preserve"> has never been studied.</w:t>
      </w:r>
      <w:r w:rsidRPr="00AB6810" w:rsidR="0003362D">
        <w:rPr>
          <w:rFonts w:ascii="Arial" w:hAnsi="Arial" w:cs="Arial"/>
          <w:sz w:val="24"/>
          <w:szCs w:val="24"/>
        </w:rPr>
        <w:t xml:space="preserve"> </w:t>
      </w:r>
      <w:r w:rsidRPr="00AB6810" w:rsidR="00582FC9">
        <w:rPr>
          <w:rFonts w:ascii="Arial" w:hAnsi="Arial" w:cs="Arial"/>
          <w:sz w:val="24"/>
          <w:szCs w:val="24"/>
        </w:rPr>
        <w:t>Additionally, the spatial</w:t>
      </w:r>
      <w:r w:rsidRPr="00AB6810" w:rsidR="00E33040">
        <w:rPr>
          <w:rFonts w:ascii="Arial" w:hAnsi="Arial" w:cs="Arial"/>
          <w:sz w:val="24"/>
          <w:szCs w:val="24"/>
        </w:rPr>
        <w:t xml:space="preserve"> distribution</w:t>
      </w:r>
      <w:r w:rsidRPr="00AB6810" w:rsidR="00582FC9">
        <w:rPr>
          <w:rFonts w:ascii="Arial" w:hAnsi="Arial" w:cs="Arial"/>
          <w:sz w:val="24"/>
          <w:szCs w:val="24"/>
        </w:rPr>
        <w:t xml:space="preserve"> risk of </w:t>
      </w:r>
      <w:r w:rsidRPr="00AB6810" w:rsidR="00E33040">
        <w:rPr>
          <w:rFonts w:ascii="Arial" w:hAnsi="Arial" w:cs="Arial"/>
          <w:sz w:val="24"/>
          <w:szCs w:val="24"/>
        </w:rPr>
        <w:t>PA remains stable over time suggesting a slow dynamic of known and unknown causal risk factors.</w:t>
      </w:r>
    </w:p>
    <w:p w:rsidRPr="00AB6810" w:rsidR="006C0980" w:rsidP="009D7159" w:rsidRDefault="00CD1BF5" w14:paraId="6622E4D2" w14:textId="0D33B48B">
      <w:pPr>
        <w:spacing w:line="480" w:lineRule="auto"/>
        <w:rPr>
          <w:rFonts w:ascii="Arial" w:hAnsi="Arial" w:cs="Arial"/>
          <w:sz w:val="24"/>
          <w:szCs w:val="24"/>
        </w:rPr>
      </w:pPr>
      <w:r w:rsidRPr="00AB6810">
        <w:rPr>
          <w:rFonts w:ascii="Arial" w:hAnsi="Arial" w:cs="Arial"/>
          <w:sz w:val="24"/>
          <w:szCs w:val="24"/>
        </w:rPr>
        <w:t xml:space="preserve">To our knowledge, this study is the largest exploring the association between PA and pesticide exposure. We considered </w:t>
      </w:r>
      <w:r w:rsidRPr="00AB6810" w:rsidR="0003362D">
        <w:rPr>
          <w:rFonts w:ascii="Arial" w:hAnsi="Arial" w:cs="Arial"/>
          <w:sz w:val="24"/>
          <w:szCs w:val="24"/>
        </w:rPr>
        <w:t>more than</w:t>
      </w:r>
      <w:r w:rsidRPr="00AB6810">
        <w:rPr>
          <w:rFonts w:ascii="Arial" w:hAnsi="Arial" w:cs="Arial"/>
          <w:sz w:val="24"/>
          <w:szCs w:val="24"/>
        </w:rPr>
        <w:t xml:space="preserve"> 65 million exposed individuals and 134 102 cases</w:t>
      </w:r>
      <w:r w:rsidRPr="00AB6810" w:rsidR="0003362D">
        <w:rPr>
          <w:rFonts w:ascii="Arial" w:hAnsi="Arial" w:cs="Arial"/>
          <w:sz w:val="24"/>
          <w:szCs w:val="24"/>
        </w:rPr>
        <w:t xml:space="preserve"> of PA</w:t>
      </w:r>
      <w:r w:rsidRPr="00AB6810">
        <w:rPr>
          <w:rFonts w:ascii="Arial" w:hAnsi="Arial" w:cs="Arial"/>
          <w:sz w:val="24"/>
          <w:szCs w:val="24"/>
        </w:rPr>
        <w:t xml:space="preserve">. </w:t>
      </w:r>
      <w:r w:rsidRPr="00AB6810" w:rsidR="00603D7E">
        <w:rPr>
          <w:rFonts w:ascii="Arial" w:hAnsi="Arial" w:cs="Arial"/>
          <w:sz w:val="24"/>
          <w:szCs w:val="24"/>
        </w:rPr>
        <w:t>Overall, 2.63kg/ha higher median pesticide usage during 2011-2021 was associated with a 1.</w:t>
      </w:r>
      <w:r w:rsidRPr="00AB6810" w:rsidR="00FD2F86">
        <w:rPr>
          <w:rFonts w:ascii="Arial" w:hAnsi="Arial" w:cs="Arial"/>
          <w:sz w:val="24"/>
          <w:szCs w:val="24"/>
        </w:rPr>
        <w:t>3</w:t>
      </w:r>
      <w:r w:rsidRPr="00AB6810" w:rsidR="00603D7E">
        <w:rPr>
          <w:rFonts w:ascii="Arial" w:hAnsi="Arial" w:cs="Arial"/>
          <w:sz w:val="24"/>
          <w:szCs w:val="24"/>
        </w:rPr>
        <w:t xml:space="preserve">% higher risk of </w:t>
      </w:r>
      <w:proofErr w:type="spellStart"/>
      <w:proofErr w:type="gramStart"/>
      <w:r w:rsidRPr="00AB6810" w:rsidR="00603D7E">
        <w:rPr>
          <w:rFonts w:ascii="Arial" w:hAnsi="Arial" w:cs="Arial"/>
          <w:sz w:val="24"/>
          <w:szCs w:val="24"/>
        </w:rPr>
        <w:t>PA.</w:t>
      </w:r>
      <w:r w:rsidRPr="00AB6810" w:rsidR="006C0980">
        <w:rPr>
          <w:rFonts w:ascii="Arial" w:hAnsi="Arial" w:cs="Arial"/>
          <w:sz w:val="24"/>
          <w:szCs w:val="24"/>
        </w:rPr>
        <w:t>The</w:t>
      </w:r>
      <w:proofErr w:type="spellEnd"/>
      <w:proofErr w:type="gramEnd"/>
      <w:r w:rsidRPr="00AB6810" w:rsidR="006C0980">
        <w:rPr>
          <w:rFonts w:ascii="Arial" w:hAnsi="Arial" w:cs="Arial"/>
          <w:sz w:val="24"/>
          <w:szCs w:val="24"/>
        </w:rPr>
        <w:t xml:space="preserve"> magnitude of the effect </w:t>
      </w:r>
      <w:r w:rsidRPr="00AB6810" w:rsidR="00672A37">
        <w:rPr>
          <w:rFonts w:ascii="Arial" w:hAnsi="Arial" w:cs="Arial"/>
          <w:sz w:val="24"/>
          <w:szCs w:val="24"/>
        </w:rPr>
        <w:t>may be</w:t>
      </w:r>
      <w:r w:rsidRPr="00AB6810" w:rsidR="006C0980">
        <w:rPr>
          <w:rFonts w:ascii="Arial" w:hAnsi="Arial" w:cs="Arial"/>
          <w:sz w:val="24"/>
          <w:szCs w:val="24"/>
        </w:rPr>
        <w:t xml:space="preserve"> small, </w:t>
      </w:r>
      <w:r w:rsidRPr="00AB6810" w:rsidR="00672A37">
        <w:rPr>
          <w:rFonts w:ascii="Arial" w:hAnsi="Arial" w:cs="Arial"/>
          <w:sz w:val="24"/>
          <w:szCs w:val="24"/>
        </w:rPr>
        <w:t xml:space="preserve">but </w:t>
      </w:r>
      <w:r w:rsidRPr="00AB6810" w:rsidR="006C0980">
        <w:rPr>
          <w:rFonts w:ascii="Arial" w:hAnsi="Arial" w:cs="Arial"/>
          <w:sz w:val="24"/>
          <w:szCs w:val="24"/>
        </w:rPr>
        <w:t xml:space="preserve">the evidence of an association </w:t>
      </w:r>
      <w:r w:rsidRPr="00AB6810" w:rsidR="00672A37">
        <w:rPr>
          <w:rFonts w:ascii="Arial" w:hAnsi="Arial" w:cs="Arial"/>
          <w:sz w:val="24"/>
          <w:szCs w:val="24"/>
        </w:rPr>
        <w:t>remains</w:t>
      </w:r>
      <w:r w:rsidRPr="00AB6810" w:rsidR="006C0980">
        <w:rPr>
          <w:rFonts w:ascii="Arial" w:hAnsi="Arial" w:cs="Arial"/>
          <w:sz w:val="24"/>
          <w:szCs w:val="24"/>
        </w:rPr>
        <w:t xml:space="preserve"> strong. Moreover, pesticide contamination is ubiquitous</w:t>
      </w:r>
      <w:r w:rsidRPr="00AB6810" w:rsidR="00C85B15">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{"citationID":"qbqnOzJP","properties":{"formattedCitation":"\\super 5,8,33\\nosupersub{}","plainCitation":"5,8,33","noteIndex":0},"citationItems":[{"id":24623,"uris":["http://zotero.org/users/local/vY69w1Y2/items/U7GU6EYW","http://zotero.org/users/9040671/items/U7GU6EYW"],"itemData":{"id":24623,"type":"article-journal","abstract":"Pancreatic adenocarcinoma (PA) incidence is rising worldwide, especially in France. The evolution of known risk factors such as tobacco smoking, obesity, type 2 diabetes, chronic pancreatitis, or constitutional mutations is not sufficient to explain this trend. Pesticides are known risk factors in other malignancies. Previous studies have outlined pesticides' influence in PA, such as dichlorodiphenyltrichloroethane as plausible risk factors. The general population is directly or indirectly exposed to pesticides through air, food or water. Some of these chemicals may accumulate in the body all along lifetime and may harm carriers. The toxic mixing effects of these chemicals are not well documented. Several hypotheses have been put forward to explain how pesticides can induce indirect (fatty pancreas, induced diabetes) or direct (oxidative stress, cell damage) carcinogenesis in pancreatic cells through inflammation. A strong corpus exists acknowledging pesticides as a PA risk factor. However, published studies do not provide a sufficient level of evidence to prove causality and current prospective case-control studies are still ongoing.","container-title":"Digestive and Liver Disease: Official Journal of the Italian Society of Gastroenterology and the Italian Association for the Study of the Liver","DOI":"10.1016/j.dld.2022.08.023","ISSN":"1878-3562","journalAbbreviation":"Dig Liver Dis","language":"eng","note":"PMID: 36089524","page":"S1590-8658(22)00654-5","source":"PubMed","title":"Pesticides and pancreatic adenocarcinoma: A transversal epidemiological, environmental and mechanistic narrative review","title-short":"Pesticides and pancreatic adenocarcinoma","author":[{"family":"Brugel","given":"Mathias"},{"family":"Carlier","given":"Claire"},{"family":"Reyes-Castellanos","given":"Gabriela"},{"family":"Callon","given":"Sidonie"},{"family":"Carrier","given":"Alice"},{"family":"Bouché","given":"Olivier"}],"issued":{"date-parts":[["2022",9,8]]}}},{"id":23183,"uris":["http://zotero.org/users/local/vY69w1Y2/items/MJ22FETW","http://zotero.org/users/9040671/items/MJ22FETW"],"itemData":{"id":23183,"type":"article-journal","abstract":"BACKGROUND: Numerous industries use organic solvents, and many workers from various occupational sectors are exposed to these known neurotoxicants, including pregnant women. Our objective is to explore whether occupational exposure of pregnant women to solvents may impair the neurodevelopment of their babies and consequently affect their behavior in childhood.\nMETHODS: Within the French birth cohort PELAGIE, parents assessed their children's internalizing and externalizing behaviors using items from the Child Behavior Checklist and the Preschool Social Behavior Questionnaire at age 2, and the Strength and Difficulties Questionnaire at age 6. The occupational exposure to solvents of the pregnant women was self-reported prospectively at the beginning of their pregnancy (N = 715). We applied structural equation modeling to capture the longitudinal association of prenatal exposure to solvents with children's behavioral traits at 2 and 6 years.\nRESULTS: Increased externalizing behavior score at age 2 was associated with prenatal exposure to solvents (standardized score: 0.34 (95% CI = 0.11, 0.57) for occasional exposure and 0.26 (0.05, 0.48) for regular exposure). This association was attenuated at age 6 (0.22 (- 0.02, 0.47) for occasional exposure and 0.07 (- 0.14, 0.28) for regular exposure). No association was observed for internalizing behavior.\nCONCLUSIONS: Pregnant women's occupational exposure to solvents may affect their children's behavior in early childhood. This effect may be attenuated with aging or diluted by the effects of other postnatal predictors.","container-title":"Environmental Health: A Global Access Science Source","DOI":"10.1186/s12940-018-0406-x","ISSN":"1476-069X","issue":"1","journalAbbreviation":"Environ Health","language":"eng","note":"PMID: 30053883\nPMCID: PMC6062867","page":"63","source":"PubMed","title":"Occupational exposure to organic solvents during pregnancy and childhood behavior: findings from the PELAGIE birth cohort (France, 2002-2013)","title-short":"Occupational exposure to organic solvents during pregnancy and childhood behavior","volume":"17","author":[{"family":"Costet","given":"Nathalie"},{"family":"Béranger","given":"Rémi"},{"family":"Garlantézec","given":"Ronan"},{"family":"Rouget","given":"Florence"},{"family":"Monfort","given":"Christine"},{"family":"Cordier","given":"Sylvaine"},{"family":"Pelé","given":"Fabienne"},{"family":"Chevrier","given":"Cécile"}],"issued":{"date-parts":[["2018",7,27]]}}},{"id":24909,"uris":["http://zotero.org/users/local/vY69w1Y2/items/L7JDPSDW","http://zotero.org/users/9040671/items/L7JDPSDW"],"itemData":{"id":24909,"type":"webpage","language":"fr","title":"Exposition de la population française aux substances chimiques de l'environnement. Tome 2 - Polychlorobiphényles (PCB-NDL). Pesticides","URL":"https://www.santepubliquefrance.fr/determinants-de-sante/exposition-a-des-substances-chimiques/pesticides/exposition-de-la-population-francaise-aux-substances-chimiques-de-l-environnement.-tome-2-polychlorobiphenyles-pcb-ndl-.-pesticides","author":[{"family":"Fréry","given":"N"},{"family":"Guldner","given":"L"},{"family":"Saoudi","given":"A"},{"family":"Garnier","given":"R"},{"family":"Zeghnoun","given":"A"},{"family":"Bidondo","given":"ML"}],"accessed":{"date-parts":[["2023",8,2]]}}}],"schema":"https://github.com/citation-style-language/schema/raw/master/csl-citation.json"} </w:instrText>
      </w:r>
      <w:r w:rsidRPr="00AB6810" w:rsidR="00C85B15">
        <w:rPr>
          <w:rFonts w:ascii="Arial" w:hAnsi="Arial" w:cs="Arial"/>
          <w:sz w:val="24"/>
          <w:szCs w:val="24"/>
        </w:rPr>
        <w:fldChar w:fldCharType="separate"/>
      </w:r>
      <w:r w:rsidRPr="00AB6810" w:rsidR="00094508">
        <w:rPr>
          <w:rFonts w:ascii="Arial" w:hAnsi="Arial" w:cs="Arial"/>
          <w:sz w:val="24"/>
          <w:szCs w:val="24"/>
          <w:vertAlign w:val="superscript"/>
        </w:rPr>
        <w:t>5,8,33</w:t>
      </w:r>
      <w:r w:rsidRPr="00AB6810" w:rsidR="00C85B15">
        <w:rPr>
          <w:rFonts w:ascii="Arial" w:hAnsi="Arial" w:cs="Arial"/>
          <w:sz w:val="24"/>
          <w:szCs w:val="24"/>
        </w:rPr>
        <w:fldChar w:fldCharType="end"/>
      </w:r>
      <w:r w:rsidRPr="00AB6810" w:rsidR="005B601F">
        <w:rPr>
          <w:rFonts w:ascii="Arial" w:hAnsi="Arial" w:cs="Arial"/>
          <w:sz w:val="24"/>
          <w:szCs w:val="24"/>
        </w:rPr>
        <w:t>.</w:t>
      </w:r>
      <w:r w:rsidRPr="00AB6810" w:rsidR="006C0980">
        <w:rPr>
          <w:rFonts w:ascii="Arial" w:hAnsi="Arial" w:cs="Arial"/>
          <w:sz w:val="24"/>
          <w:szCs w:val="24"/>
        </w:rPr>
        <w:t xml:space="preserve"> </w:t>
      </w:r>
      <w:r w:rsidRPr="00AB6810" w:rsidR="005B601F">
        <w:rPr>
          <w:rFonts w:ascii="Arial" w:hAnsi="Arial" w:cs="Arial"/>
          <w:sz w:val="24"/>
          <w:szCs w:val="24"/>
        </w:rPr>
        <w:t>We also should underline that the spatial distribution of pesticide use and PA risk shows discrepancies</w:t>
      </w:r>
      <w:r w:rsidRPr="00AB6810" w:rsidR="00FA502E">
        <w:rPr>
          <w:rFonts w:ascii="Arial" w:hAnsi="Arial" w:cs="Arial"/>
          <w:sz w:val="24"/>
          <w:szCs w:val="24"/>
        </w:rPr>
        <w:t xml:space="preserve">. </w:t>
      </w:r>
      <w:r w:rsidRPr="00AB6810" w:rsidR="008C22E4">
        <w:rPr>
          <w:rFonts w:ascii="Arial" w:hAnsi="Arial" w:cs="Arial"/>
          <w:sz w:val="24"/>
          <w:szCs w:val="24"/>
        </w:rPr>
        <w:t xml:space="preserve">As potential confounding factors regarding pesticides and PA are not well-defined, we include a spatial random effect to deal with this. Nevertheless, we cannot discount the possibility that a level of residual confounding is still present. </w:t>
      </w:r>
      <w:r w:rsidRPr="00AB6810" w:rsidR="006C0980">
        <w:rPr>
          <w:rFonts w:ascii="Arial" w:hAnsi="Arial" w:cs="Arial"/>
          <w:sz w:val="24"/>
          <w:szCs w:val="24"/>
        </w:rPr>
        <w:t>Three active substances were individually associated with PA</w:t>
      </w:r>
      <w:r w:rsidRPr="00AB6810" w:rsidR="00364ADC">
        <w:rPr>
          <w:rFonts w:ascii="Arial" w:hAnsi="Arial" w:cs="Arial"/>
          <w:sz w:val="24"/>
          <w:szCs w:val="24"/>
        </w:rPr>
        <w:t>:</w:t>
      </w:r>
      <w:r w:rsidRPr="00AB6810" w:rsidR="002715BD">
        <w:rPr>
          <w:rFonts w:ascii="Arial" w:hAnsi="Arial" w:cs="Arial"/>
          <w:sz w:val="24"/>
          <w:szCs w:val="24"/>
        </w:rPr>
        <w:t xml:space="preserve"> </w:t>
      </w:r>
      <w:r w:rsidRPr="00AB6810" w:rsidR="004B2BF8">
        <w:rPr>
          <w:rFonts w:ascii="Arial" w:hAnsi="Arial" w:cs="Arial"/>
          <w:sz w:val="24"/>
          <w:szCs w:val="24"/>
        </w:rPr>
        <w:t>s</w:t>
      </w:r>
      <w:r w:rsidRPr="00AB6810" w:rsidR="002715BD">
        <w:rPr>
          <w:rFonts w:ascii="Arial" w:hAnsi="Arial" w:cs="Arial"/>
          <w:sz w:val="24"/>
          <w:szCs w:val="24"/>
        </w:rPr>
        <w:t xml:space="preserve">ulphur (fungicide), glyphosate (herbicide) and mancozeb (fungicide, classified as harmful). They have been linked to other diseases through various mechanisms such as direct </w:t>
      </w:r>
      <w:r w:rsidRPr="00AB6810" w:rsidR="00D80128">
        <w:rPr>
          <w:rFonts w:ascii="Arial" w:hAnsi="Arial" w:cs="Arial"/>
          <w:sz w:val="24"/>
          <w:szCs w:val="24"/>
        </w:rPr>
        <w:t>hit</w:t>
      </w:r>
      <w:r w:rsidRPr="00AB6810" w:rsidR="002715BD">
        <w:rPr>
          <w:rFonts w:ascii="Arial" w:hAnsi="Arial" w:cs="Arial"/>
          <w:sz w:val="24"/>
          <w:szCs w:val="24"/>
        </w:rPr>
        <w:t xml:space="preserve">, immunomodulation or endocrine </w:t>
      </w:r>
      <w:r w:rsidRPr="00AB6810" w:rsidR="002715BD">
        <w:rPr>
          <w:rFonts w:ascii="Arial" w:hAnsi="Arial" w:cs="Arial"/>
          <w:sz w:val="24"/>
          <w:szCs w:val="24"/>
        </w:rPr>
        <w:t>disruption</w:t>
      </w:r>
      <w:r w:rsidRPr="00AB6810" w:rsidR="00D80128">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{"citationID":"GFLQiq6Y","properties":{"formattedCitation":"\\super 34\\uc0\\u8211{}37\\nosupersub{}","plainCitation":"34–37","noteIndex":0},"citationItems":[{"id":15209,"uris":["http://zotero.org/users/local/S5ttDqnf/items/IKBU76YX","http://zotero.org/users/9040671/items/IKBU76YX"],"itemData":{"id":15209,"type":"article-journal","abstract":"This cohort study uses data from the Health Professionals Follow-up Study, Nurses’ Health Study, and Nurses’ Health Study II to develop a dietary score that correlates with gut sulfur–metabolizing bacteria and to examine its association with colorectal cancer risk.","container-title":"JAMA Network Open","DOI":"10.1001/jamanetworkopen.2021.34308","ISSN":"2574-3805","issue":"11","journalAbbreviation":"JAMA Netw Open","page":"e2134308","source":"PubMed Central","title":"Association Between the Sulfur Microbial Diet and Risk of Colorectal Cancer","volume":"4","author":[{"family":"Wang","given":"Yiqing"},{"family":"Nguyen","given":"Long H."},{"family":"Mehta","given":"Raaj S."},{"family":"Song","given":"Mingyang"},{"family":"Huttenhower","given":"Curtis"},{"family":"Chan","given":"Andrew T."}],"issued":{"date-parts":[["2021",11,12]]}}},{"id":4267,"uris":["http://zotero.org/users/local/S5ttDqnf/items/5MK4U6M9","http://zotero.org/users/9040671/items/5MK4U6M9"],"itemData":{"id":4267,"type":"article-journal","abstract":"In this review, we examine the current regulatory limits on and environmental concentrations of this compound, discuss studies suggesting toxicity that could directly or indirectly affect human cancer rates and assess their relevance in light of modern understanding of subtle mechanisms of carcinogenesis. In particular, we suggest that regulatory framework and future studies should address these complex, multistep mechanisms before reaching a conclusion of safety or non-safety., Since its initial sales in the 1970s, the herbicide glyphosate attained widespread use in modern agriculture, becoming the most commercially successful and widely used herbicide of all time as of 2016. Despite a primary mechanism that targets a pathway absent from animal cells and regulatory studies showing safety margins orders of magnitude better than many other, more directly toxic herbicides, the safety status of glyphosate has recently been brought into question by a slow accumulation of studies suggesting more subtle health risks, especially when considered in combination with the surfactants it is usually applied with. Current, official views of respected international regulatory and health bodies remain divided on glyphosate’s status as a human carcinogen, but the 2015 International Agency for Research on Cancer decision to reclassify the compound as Category 2A (probably carcinogenic to humans) marked a sea change in the scientific community’s consensus view. The goal of this review is to consider the state of science regarding glyphosate’s potential as a human carcinogen and genotoxin, with particular focus on studies suggesting mechanisms that would go largely undetected in traditional toxicology studies, such as microbiome disruption and endocrine mimicry at very low concentrations.","container-title":"Carcinogenesis","DOI":"10.1093/carcin/bgy105","ISSN":"0143-3334","issue":"10","journalAbbreviation":"Carcinogenesis","page":"1207-1215","source":"PubMed Central","title":"Glyphosate-based herbicides and cancer risk: a post-IARC decision review of potential mechanisms, policy and avenues of research","title-short":"Glyphosate-based herbicides and cancer risk","volume":"39","author":[{"family":"Davoren","given":"Michael J"},{"family":"Schiestl","given":"Robert H"}],"issued":{"date-parts":[["2018",10]]}}},{"id":4285,"uris":["http://zotero.org/users/local/S5ttDqnf/items/HUB6EHMV","http://zotero.org/users/9040671/items/HUB6EHMV"],"itemData":{"id":4285,"type":"article-journal","abstract":"The immune system can be the target of many chemicals, with potentially severe adverse effects on the host's health. In Western countries pesticides, together with new and modified patterns of exposure to chemicals, have been implicated in the increasing prevalence of diseases associated with alterations of the immune response, such as hypersensitivity reactions, certain autoimmune diseases and cancers. Xenobiotics may initiate, facilitate or exacerbate pathological immune processes, resulting in immunotoxicity by induction of mutations in genes coding for immunoregulatory factors, modifying immune tolerance and activation pathways. The purpose of this article is to update the evidence of pesticide immunotoxicity. Even if experimental data as well as sporadic human studies indicate that some pesticides can affect the immune system, overall, existing epidemiological studies are inadequate to raise conclusions on the immunotoxic risk associated to pesticide exposure. The available studies on the effects of pesticides on human immune system have several limitations including poor indication on exposure levels, multiple chemical exposures, heterogeneity of the approach, and difficulty in giving a prognostic significance to the slight changes often observed. Further studies are necessary, and they should be preferably carried out through comparison of pre and post-exposure findings in the same group of subjects with a matched control group. Attempt should be made to define the prognostic significance of slight changes often observed. Animal and in vitro studies are also important and necessary to scientifically support epidemiological evidences on pesticide-induced immunotoxicity.","container-title":"Toxicology","DOI":"10.1016/j.tox.2012.10.009","ISSN":"1879-3185","journalAbbreviation":"Toxicology","language":"eng","page":"123-135","source":"PubMed","title":"Pesticide induced immunotoxicity in humans: a comprehensive review of the existing evidence","title-short":"Pesticide induced immunotoxicity in humans","volume":"307","author":[{"family":"Corsini","given":"E."},{"family":"Sokooti","given":"M."},{"family":"Galli","given":"C. L."},{"family":"Moretto","given":"A."},{"family":"Colosio","given":"C."}],"issued":{"date-parts":[["2013",5,10]]}}},{"id":15280,"uris":["http://zotero.org/users/local/S5ttDqnf/items/T2ASKIYY","http://zotero.org/users/9040671/items/T2ASKIYY"],"itemData":{"id":15280,"type":"article-journal","abstract":"Available data suggest that ethylenebisdithiocarbamates (EBDCs) may have immunomodulatory effects. This study aimed to investigate the immunological profile of farmers exposed to Mancozeb, an EBDC fungicide, through the determination of several serum, cellular, and functional immune parameters. Twenty-six healthy subjects entered the study, 13 vineyards exposed to Mancozeb and 13 unexposed controls. Exposure was assessed through the determination of ethylentiourea (ETU) in urine. Complete and differential blood count, serum immunoglobulins, complement fractions, autoantibodies, lymphocyte subpopulations, proliferative response to mitogens, natural killer (NK) activity, and cytokine production were measured. Post-exposure samples showed ETU urine concentration significantly higher than pre-exposure and control groups. A significant increase in CD19+ cells, both percentage and absolute number, and a significant decrease in the percentage of CD25+ cells were found in post-exposure samples compared to controls. A statistically significant increase in the proliferative response to phorbol myristate acetate plus ionomycin (PMA + ionomycin) was observed in the post-exposure group compared to controls and baseline, while a significant reduction in LPS-induced TNF-alpha release in post-exposure samples was observed. Overall, our results suggest that low-level exposure to Mancozeb has slight immunomodulatory effects, and point out a method adequate to reveal immune-modifications in workers occupationally exposed to potential immunotoxic compounds, based on a whole blood assay.","container-title":"Toxicology and Applied Pharmacology","DOI":"10.1016/j.taap.2005.02.011","ISSN":"0041-008X","issue":"2","journalAbbreviation":"Toxicol Appl Pharmacol","language":"eng","page":"178-185","source":"PubMed","title":"Immunomodulatory effects of the fungicide Mancozeb in agricultural workers","volume":"208","author":[{"family":"Corsini","given":"Emanuela"},{"family":"Birindelli","given":"Sarah"},{"family":"Fustinoni","given":"Silvia"},{"family":"De Paschale","given":"Gioia"},{"family":"Mammone","given":"Teresa"},{"family":"Visentin","given":"Sara"},{"family":"Galli","given":"Corrado L."},{"family":"Marinovich","given":"Marina"},{"family":"Colosio","given":"Claudio"}],"issued":{"date-parts":[["2005",10,15]]}}}],"schema":"https://github.com/citation-style-language/schema/raw/master/csl-citation.json"} </w:instrText>
      </w:r>
      <w:r w:rsidRPr="00AB6810" w:rsidR="00D80128">
        <w:rPr>
          <w:rFonts w:ascii="Arial" w:hAnsi="Arial" w:cs="Arial"/>
          <w:sz w:val="24"/>
          <w:szCs w:val="24"/>
        </w:rPr>
        <w:fldChar w:fldCharType="separate"/>
      </w:r>
      <w:r w:rsidRPr="00AB6810" w:rsidR="00094508">
        <w:rPr>
          <w:rFonts w:ascii="Arial" w:hAnsi="Arial" w:cs="Arial"/>
          <w:sz w:val="24"/>
          <w:szCs w:val="24"/>
          <w:vertAlign w:val="superscript"/>
        </w:rPr>
        <w:t>34–37</w:t>
      </w:r>
      <w:r w:rsidRPr="00AB6810" w:rsidR="00D80128">
        <w:rPr>
          <w:rFonts w:ascii="Arial" w:hAnsi="Arial" w:cs="Arial"/>
          <w:sz w:val="24"/>
          <w:szCs w:val="24"/>
        </w:rPr>
        <w:fldChar w:fldCharType="end"/>
      </w:r>
      <w:r w:rsidRPr="00AB6810" w:rsidR="002715BD">
        <w:rPr>
          <w:rFonts w:ascii="Arial" w:hAnsi="Arial" w:cs="Arial"/>
          <w:sz w:val="24"/>
          <w:szCs w:val="24"/>
        </w:rPr>
        <w:t>. To the best of our knowledge, glyphosate is the only substance for which the risk of PA has been assessed</w:t>
      </w:r>
      <w:r w:rsidRPr="00AB6810" w:rsidR="00D80128">
        <w:rPr>
          <w:rFonts w:ascii="Arial" w:hAnsi="Arial" w:cs="Arial"/>
          <w:sz w:val="24"/>
          <w:szCs w:val="24"/>
        </w:rPr>
        <w:t>:</w:t>
      </w:r>
      <w:r w:rsidRPr="00AB6810" w:rsidR="002715BD">
        <w:rPr>
          <w:rFonts w:ascii="Arial" w:hAnsi="Arial" w:cs="Arial"/>
          <w:sz w:val="24"/>
          <w:szCs w:val="24"/>
        </w:rPr>
        <w:t xml:space="preserve"> Andreotti et al did not observe a consistent increase in the risk of PA among 54 251 U.S. applicators</w:t>
      </w:r>
      <w:r w:rsidRPr="00AB6810" w:rsidR="002715BD">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{"citationID":"Ej3d4dbz","properties":{"formattedCitation":"\\super 38\\nosupersub{}","plainCitation":"38","noteIndex":0},"citationItems":[{"id":24942,"uris":["http://zotero.org/users/9040671/items/UN7TA76U"],"itemData":{"id":24942,"type":"article-journal","abstract":"BACKGROUND: Glyphosate is the most commonly used herbicide worldwide, with both residential and agricultural uses. In 2015, the International Agency for Research on Cancer classified glyphosate as \"probably carcinogenic to humans,\" noting strong mechanistic evidence and positive associations for non-Hodgkin lymphoma (NHL) in some epidemiologic studies. A previous evaluation in the Agricultural Health Study (AHS) with follow-up through 2001 found no statistically significant associations with glyphosate use and cancer at any site.\nMETHODS: The AHS is a prospective cohort of licensed pesticide applicators from North Carolina and Iowa. Here, we updated the previous evaluation of glyphosate with cancer incidence from registry linkages through 2012 (North Carolina)/2013 (Iowa). Lifetime days and intensity-weighted lifetime days of glyphosate use were based on self-reported information from enrollment (1993-1997) and follow-up questionnaires (1999-2005). We estimated incidence rate ratios (RRs) and 95% confidence intervals (CIs) using Poisson regression, controlling for potential confounders, including use of other pesticides. All statistical tests were two-sided.\nRESULTS: Among 54 251 applicators, 44 932 (82.8%) used glyphosate, including 5779 incident cancer cases (79.3% of all cases). In unlagged analyses, glyphosate was not statistically significantly associated with cancer at any site. However, among applicators in the highest exposure quartile, there was an increased risk of acute myeloid leukemia (AML) compared with never users (RR = 2.44, 95% CI = 0.94 to 6.32, Ptrend = .11), though this association was not statistically significant. Results for AML were similar with a five-year (RRQuartile 4 = 2.32, 95% CI = 0.98 to 5.51, Ptrend = .07) and 20-year exposure lag (RRTertile 3 = 2.04, 95% CI = 1.05 to 3.97, Ptrend = .04).\nCONCLUSIONS: In this large, prospective cohort study, no association was apparent between glyphosate and any solid tumors or lymphoid malignancies overall, including NHL and its subtypes. There was some evidence of increased risk of AML among the highest exposed group that requires confirmation.","container-title":"Journal of the National Cancer Institute","DOI":"10.1093/jnci/djx233","ISSN":"1460-2105","issue":"5","journalAbbreviation":"J Natl Cancer Inst","language":"eng","note":"PMID: 29136183\nPMCID: PMC6279255","page":"509-516","source":"PubMed","title":"Glyphosate Use and Cancer Incidence in the Agricultural Health Study","volume":"110","author":[{"family":"Andreotti","given":"Gabriella"},{"family":"Koutros","given":"Stella"},{"family":"Hofmann","given":"Jonathan N."},{"family":"Sandler","given":"Dale P."},{"family":"Lubin","given":"Jay H."},{"family":"Lynch","given":"Charles F."},{"family":"Lerro","given":"Catherine C."},{"family":"De Roos","given":"Anneclaire J."},{"family":"Parks","given":"Christine G."},{"family":"Alavanja","given":"Michael C."},{"family":"Silverman","given":"Debra T."},{"family":"Beane Freeman","given":"Laura E."}],"issued":{"date-parts":[["2018",5,1]]}}}],"schema":"https://github.com/citation-style-language/schema/raw/master/csl-citation.json"} </w:instrText>
      </w:r>
      <w:r w:rsidRPr="00AB6810" w:rsidR="002715BD">
        <w:rPr>
          <w:rFonts w:ascii="Arial" w:hAnsi="Arial" w:cs="Arial"/>
          <w:sz w:val="24"/>
          <w:szCs w:val="24"/>
        </w:rPr>
        <w:fldChar w:fldCharType="separate"/>
      </w:r>
      <w:r w:rsidRPr="00AB6810" w:rsidR="00094508">
        <w:rPr>
          <w:rFonts w:ascii="Arial" w:hAnsi="Arial" w:cs="Arial"/>
          <w:sz w:val="24"/>
          <w:szCs w:val="24"/>
          <w:vertAlign w:val="superscript"/>
        </w:rPr>
        <w:t>38</w:t>
      </w:r>
      <w:r w:rsidRPr="00AB6810" w:rsidR="002715BD">
        <w:rPr>
          <w:rFonts w:ascii="Arial" w:hAnsi="Arial" w:cs="Arial"/>
          <w:sz w:val="24"/>
          <w:szCs w:val="24"/>
        </w:rPr>
        <w:fldChar w:fldCharType="end"/>
      </w:r>
      <w:r w:rsidRPr="00AB6810" w:rsidR="002715BD">
        <w:rPr>
          <w:rFonts w:ascii="Arial" w:hAnsi="Arial" w:cs="Arial"/>
          <w:sz w:val="24"/>
          <w:szCs w:val="24"/>
        </w:rPr>
        <w:t>.</w:t>
      </w:r>
    </w:p>
    <w:p w:rsidRPr="00AB6810" w:rsidR="0055726C" w:rsidP="0055726C" w:rsidRDefault="0055726C" w14:paraId="56017265" w14:textId="13A1E947">
      <w:pPr>
        <w:spacing w:line="480" w:lineRule="auto"/>
        <w:rPr>
          <w:rFonts w:ascii="Arial" w:hAnsi="Arial" w:cs="Arial"/>
          <w:sz w:val="24"/>
          <w:szCs w:val="24"/>
        </w:rPr>
      </w:pPr>
      <w:r w:rsidRPr="00AB6810">
        <w:rPr>
          <w:rFonts w:ascii="Arial" w:hAnsi="Arial" w:cs="Arial"/>
          <w:sz w:val="24"/>
          <w:szCs w:val="24"/>
        </w:rPr>
        <w:t xml:space="preserve">Indirect ways of assessing pesticide exposure appear as credible alternatives to </w:t>
      </w:r>
      <w:r w:rsidRPr="00AB6810" w:rsidR="009C178C">
        <w:rPr>
          <w:rFonts w:ascii="Arial" w:hAnsi="Arial" w:cs="Arial"/>
          <w:sz w:val="24"/>
          <w:szCs w:val="24"/>
        </w:rPr>
        <w:t xml:space="preserve">pesticide residue quantification in order to </w:t>
      </w:r>
      <w:r w:rsidRPr="00AB6810">
        <w:rPr>
          <w:rFonts w:ascii="Arial" w:hAnsi="Arial" w:cs="Arial"/>
          <w:sz w:val="24"/>
          <w:szCs w:val="24"/>
        </w:rPr>
        <w:t>expand the risk estimation to the general population</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{"citationID":"808olxnk","properties":{"formattedCitation":"\\super 7,39\\nosupersub{}","plainCitation":"7,39","noteIndex":0},"citationItems":[{"id":29883,"uris":["http://zotero.org/users/local/vY69w1Y2/items/QQIQZTER","http://zotero.org/users/9040671/items/QQIQZTER"],"itemData":{"id":29883,"type":"webpage","abstract":"Ce document présente la synthèse issue des travaux du groupe d’experts réunis par l'Inserm dans le cadre de la procédure d’expertise collective pour répondre à la demande de cinq directions de l’État, la Direction générale de la prévention des risques, la Direction générale de la santé, la Direction générale du…","language":"fr-FR","note":"section: Expertises collectives","title":"Effects of pesticides on health: New data","URL":"https://www.inserm.fr/expertise-collective/pesticides-et-sante-nouvelles-donnees-2021/","author":[{"family":"Inserm","given":""}]}},{"id":24549,"uris":["http://zotero.org/users/9040671/items/HIHFBZ26"],"itemData":{"id":24549,"type":"article-journal","abstract":"Given the many public health and environmental impacts associated with the use of pesticides, comprehensive pesticide application data are a high priority for environmental and health professionals, government agencies, and community groups in Wallonia (Belgium). In that context, geographic information system (GIS) approaches for mapping estimates of agricultural pesticide use were developed in the present study. Data on pesticide application rates and high-resolution annual datasets of the geographic distribution of crops were used to complete this analysis in Wallonia over the period 2015-2017. The method was implemented in Python in order to allow easy update and improvements of maps, or to segment maps by individual pesticides, chemical groups of pesticides (e.g. insecticides, herbicides), etc. Linked databases were created to classify, select, and possibly weight AIs according to specific requests and criteria. The results provide a first map of agricultural pesticide use in Wallonia, which depicts the best picture up to now of their geographic distribution. Maps of fungicides, herbicides, and plant growth regulators showed quite similar spatial patterns as the map of the combination of all pesticides. In contrast, the insecticide map showed a specific pattern related almost exclusively to dwarf-tree orchards in some municipalities in northern Wallonia. This research work is a preliminary result on the spatial characterization of agricultural pesticide use in Wallonia and give a valuable basis for research and environmental health actions in Belgium. Forthcoming developments will focus on exposure characterization to agricultural pesticides using GIS models. Using this information, policymakers will able to detect potential priority zones and take action to check and reduce agricultural pesticide loads in the environment.","container-title":"Environmental Pollution (Barking, Essex: 1987)","DOI":"10.1016/j.envpol.2022.119018","ISSN":"1873-6424","journalAbbreviation":"Environ Pollut","language":"eng","note":"PMID: 35182653","page":"119018","source":"PubMed","title":"Mapping agricultural use of pesticides to enable research and environmental health actions in Belgium","volume":"301","author":[{"family":"Habran","given":"Sarah"},{"family":"Philippart","given":"Christelle"},{"family":"Jacquemin","given":"Pierre"},{"family":"Remy","given":"Suzanne"}],"issued":{"date-parts":[["2022",5,15]]}},"label":"page"}],"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7,39</w:t>
      </w:r>
      <w:r w:rsidRPr="00AB6810">
        <w:rPr>
          <w:rFonts w:ascii="Arial" w:hAnsi="Arial" w:cs="Arial"/>
          <w:sz w:val="24"/>
          <w:szCs w:val="24"/>
        </w:rPr>
        <w:fldChar w:fldCharType="end"/>
      </w:r>
      <w:r w:rsidRPr="00AB6810">
        <w:rPr>
          <w:rFonts w:ascii="Arial" w:hAnsi="Arial" w:cs="Arial"/>
          <w:sz w:val="24"/>
          <w:szCs w:val="24"/>
        </w:rPr>
        <w:t>. In our study, we chose to approximate pesticide exposure by modelling the intensity of use per spatial unit with the ratio between the quantity of bought pesticides and the agricultural surface per spatial unit. However, discrepancies between purchase and use</w:t>
      </w:r>
      <w:r w:rsidRPr="00AB6810" w:rsidR="002715BD">
        <w:rPr>
          <w:rFonts w:ascii="Arial" w:hAnsi="Arial" w:cs="Arial"/>
          <w:sz w:val="24"/>
          <w:szCs w:val="24"/>
        </w:rPr>
        <w:t>,</w:t>
      </w:r>
      <w:r w:rsidRPr="00AB6810" w:rsidR="009C178C">
        <w:rPr>
          <w:rFonts w:ascii="Arial" w:hAnsi="Arial" w:cs="Arial"/>
          <w:sz w:val="24"/>
          <w:szCs w:val="24"/>
        </w:rPr>
        <w:t xml:space="preserve"> and cooperative buying</w:t>
      </w:r>
      <w:r w:rsidRPr="00AB6810">
        <w:rPr>
          <w:rFonts w:ascii="Arial" w:hAnsi="Arial" w:cs="Arial"/>
          <w:sz w:val="24"/>
          <w:szCs w:val="24"/>
        </w:rPr>
        <w:t xml:space="preserve"> could bias the temporal</w:t>
      </w:r>
      <w:r w:rsidRPr="00AB6810" w:rsidR="009C178C">
        <w:rPr>
          <w:rFonts w:ascii="Arial" w:hAnsi="Arial" w:cs="Arial"/>
          <w:sz w:val="24"/>
          <w:szCs w:val="24"/>
        </w:rPr>
        <w:t xml:space="preserve"> and the spatial</w:t>
      </w:r>
      <w:r w:rsidRPr="00AB6810">
        <w:rPr>
          <w:rFonts w:ascii="Arial" w:hAnsi="Arial" w:cs="Arial"/>
          <w:sz w:val="24"/>
          <w:szCs w:val="24"/>
        </w:rPr>
        <w:t xml:space="preserve"> distribution. </w:t>
      </w:r>
      <w:r w:rsidRPr="00AB6810" w:rsidR="00176EF0">
        <w:rPr>
          <w:rFonts w:ascii="Arial" w:hAnsi="Arial" w:cs="Arial"/>
          <w:sz w:val="24"/>
          <w:szCs w:val="24"/>
        </w:rPr>
        <w:t>To</w:t>
      </w:r>
      <w:r w:rsidRPr="00AB6810" w:rsidR="00364ADC">
        <w:rPr>
          <w:rFonts w:ascii="Arial" w:hAnsi="Arial" w:cs="Arial"/>
          <w:sz w:val="24"/>
          <w:szCs w:val="24"/>
        </w:rPr>
        <w:t xml:space="preserve"> overcom</w:t>
      </w:r>
      <w:r w:rsidRPr="00AB6810" w:rsidR="00176EF0">
        <w:rPr>
          <w:rFonts w:ascii="Arial" w:hAnsi="Arial" w:cs="Arial"/>
          <w:sz w:val="24"/>
          <w:szCs w:val="24"/>
        </w:rPr>
        <w:t>e</w:t>
      </w:r>
      <w:r w:rsidRPr="00AB6810" w:rsidR="00364ADC">
        <w:rPr>
          <w:rFonts w:ascii="Arial" w:hAnsi="Arial" w:cs="Arial"/>
          <w:sz w:val="24"/>
          <w:szCs w:val="24"/>
        </w:rPr>
        <w:t xml:space="preserve"> this potential issue</w:t>
      </w:r>
      <w:r w:rsidRPr="00AB6810" w:rsidR="00886F5F">
        <w:rPr>
          <w:rFonts w:ascii="Arial" w:hAnsi="Arial" w:cs="Arial"/>
          <w:sz w:val="24"/>
          <w:szCs w:val="24"/>
        </w:rPr>
        <w:t>,</w:t>
      </w:r>
      <w:r w:rsidRPr="00AB6810" w:rsidR="00176EF0">
        <w:rPr>
          <w:rFonts w:ascii="Arial" w:hAnsi="Arial" w:cs="Arial"/>
          <w:sz w:val="24"/>
          <w:szCs w:val="24"/>
        </w:rPr>
        <w:t xml:space="preserve"> we considered</w:t>
      </w:r>
      <w:r w:rsidRPr="00AB6810" w:rsidR="00364ADC">
        <w:rPr>
          <w:rFonts w:ascii="Arial" w:hAnsi="Arial" w:cs="Arial"/>
          <w:sz w:val="24"/>
          <w:szCs w:val="24"/>
        </w:rPr>
        <w:t xml:space="preserve"> </w:t>
      </w:r>
      <w:r w:rsidRPr="00AB6810">
        <w:rPr>
          <w:rFonts w:ascii="Arial" w:hAnsi="Arial" w:cs="Arial"/>
          <w:sz w:val="24"/>
          <w:szCs w:val="24"/>
        </w:rPr>
        <w:t xml:space="preserve">the median over 11 years. </w:t>
      </w:r>
      <w:r w:rsidRPr="00AB6810" w:rsidR="004B2BF8">
        <w:rPr>
          <w:rFonts w:ascii="Arial" w:hAnsi="Arial" w:cs="Arial"/>
          <w:sz w:val="24"/>
          <w:szCs w:val="24"/>
        </w:rPr>
        <w:t>Moreover,</w:t>
      </w:r>
      <w:r w:rsidRPr="00AB6810">
        <w:rPr>
          <w:rFonts w:ascii="Arial" w:hAnsi="Arial" w:cs="Arial"/>
          <w:sz w:val="24"/>
          <w:szCs w:val="24"/>
        </w:rPr>
        <w:t xml:space="preserve"> when comparing our map of the </w:t>
      </w:r>
      <w:r w:rsidRPr="00AB6810" w:rsidR="00EE2E3F">
        <w:rPr>
          <w:rFonts w:ascii="Arial" w:hAnsi="Arial" w:cs="Arial"/>
          <w:sz w:val="24"/>
          <w:szCs w:val="24"/>
        </w:rPr>
        <w:t>total</w:t>
      </w:r>
      <w:r w:rsidRPr="00AB6810">
        <w:rPr>
          <w:rFonts w:ascii="Arial" w:hAnsi="Arial" w:cs="Arial"/>
          <w:sz w:val="24"/>
          <w:szCs w:val="24"/>
        </w:rPr>
        <w:t xml:space="preserve"> pesticide ratio with the spatial distribution of the </w:t>
      </w:r>
      <w:r w:rsidRPr="00AB6810" w:rsidR="009C178C">
        <w:rPr>
          <w:rFonts w:ascii="Arial" w:hAnsi="Arial" w:cs="Arial"/>
          <w:sz w:val="24"/>
          <w:szCs w:val="24"/>
        </w:rPr>
        <w:t>Treatment Frequency</w:t>
      </w:r>
      <w:r w:rsidRPr="00AB6810" w:rsidR="004B2BF8">
        <w:rPr>
          <w:rFonts w:ascii="Arial" w:hAnsi="Arial" w:cs="Arial"/>
          <w:sz w:val="24"/>
          <w:szCs w:val="24"/>
        </w:rPr>
        <w:t xml:space="preserve"> (</w:t>
      </w:r>
      <w:r w:rsidRPr="00AB6810" w:rsidR="00886F5F">
        <w:rPr>
          <w:rFonts w:ascii="Arial" w:hAnsi="Arial" w:cs="Arial"/>
          <w:sz w:val="24"/>
          <w:szCs w:val="24"/>
        </w:rPr>
        <w:t xml:space="preserve">one of the </w:t>
      </w:r>
      <w:r w:rsidRPr="00AB6810" w:rsidR="00C965FF">
        <w:rPr>
          <w:rFonts w:ascii="Arial" w:hAnsi="Arial" w:cs="Arial"/>
          <w:sz w:val="24"/>
          <w:szCs w:val="24"/>
        </w:rPr>
        <w:t>references</w:t>
      </w:r>
      <w:r w:rsidRPr="00AB6810" w:rsidR="009C178C">
        <w:rPr>
          <w:rFonts w:ascii="Arial" w:hAnsi="Arial" w:cs="Arial"/>
          <w:sz w:val="24"/>
          <w:szCs w:val="24"/>
        </w:rPr>
        <w:t xml:space="preserve"> </w:t>
      </w:r>
      <w:r w:rsidRPr="00AB6810" w:rsidR="004B2BF8">
        <w:rPr>
          <w:rFonts w:ascii="Arial" w:hAnsi="Arial" w:cs="Arial"/>
          <w:sz w:val="24"/>
          <w:szCs w:val="24"/>
        </w:rPr>
        <w:t>for</w:t>
      </w:r>
      <w:r w:rsidRPr="00AB6810" w:rsidR="009C178C">
        <w:rPr>
          <w:rFonts w:ascii="Arial" w:hAnsi="Arial" w:cs="Arial"/>
          <w:sz w:val="24"/>
          <w:szCs w:val="24"/>
        </w:rPr>
        <w:t xml:space="preserve"> the French agriculture ministry</w:t>
      </w:r>
      <w:r w:rsidRPr="00AB6810" w:rsidR="004B2BF8">
        <w:rPr>
          <w:rFonts w:ascii="Arial" w:hAnsi="Arial" w:cs="Arial"/>
          <w:sz w:val="24"/>
          <w:szCs w:val="24"/>
        </w:rPr>
        <w:t>)</w:t>
      </w:r>
      <w:r w:rsidRPr="00AB6810">
        <w:rPr>
          <w:rFonts w:ascii="Arial" w:hAnsi="Arial" w:cs="Arial"/>
          <w:sz w:val="24"/>
          <w:szCs w:val="24"/>
        </w:rPr>
        <w:t xml:space="preserve"> we can observe very similar patterns</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{"citationID":"FKgrnpeP","properties":{"formattedCitation":"\\super 40\\nosupersub{}","plainCitation":"40","noteIndex":0},"citationItems":[{"id":24947,"uris":["http://zotero.org/users/9040671/items/EDDRHC6G"],"itemData":{"id":24947,"type":"webpage","abstract":"La carte Adonis a pour ambition de porter à la connaissance de tous les données communales sur l'usage des pesticides en France métropolitaine à partir de l'indice de fréquence de traitement (IFT).","language":"fr","title":"Carte \"pesticides\" - Adonis - Solagro","URL":"https://solagro.org/nos-domaines-d-intervention/agroecologie/carte-pesticides-adonis","accessed":{"date-parts":[["2023",8,4]]}}}],"schema":"https://github.com/citation-style-language/schema/raw/master/csl-citation.json"}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40</w:t>
      </w:r>
      <w:r w:rsidRPr="00AB6810">
        <w:rPr>
          <w:rFonts w:ascii="Arial" w:hAnsi="Arial" w:cs="Arial"/>
          <w:sz w:val="24"/>
          <w:szCs w:val="24"/>
        </w:rPr>
        <w:fldChar w:fldCharType="end"/>
      </w:r>
      <w:r w:rsidRPr="00AB6810">
        <w:rPr>
          <w:rFonts w:ascii="Arial" w:hAnsi="Arial" w:cs="Arial"/>
          <w:sz w:val="24"/>
          <w:szCs w:val="24"/>
        </w:rPr>
        <w:t>.</w:t>
      </w:r>
    </w:p>
    <w:p w:rsidRPr="00AB6810" w:rsidR="0055726C" w:rsidP="0055726C" w:rsidRDefault="0055726C" w14:paraId="108E7F1C" w14:textId="5F5B20A6">
      <w:pPr>
        <w:spacing w:line="480" w:lineRule="auto"/>
        <w:rPr>
          <w:rFonts w:ascii="Arial" w:hAnsi="Arial" w:cs="Arial"/>
          <w:sz w:val="24"/>
          <w:szCs w:val="24"/>
        </w:rPr>
      </w:pPr>
      <w:r w:rsidRPr="00AB6810">
        <w:rPr>
          <w:rFonts w:ascii="Arial" w:hAnsi="Arial" w:cs="Arial"/>
          <w:sz w:val="24"/>
          <w:szCs w:val="24"/>
        </w:rPr>
        <w:t xml:space="preserve">In this study, we used the PMSI database to retrieve cases of PA. The PMSI database is a powerful tool </w:t>
      </w:r>
      <w:r w:rsidRPr="00AB6810" w:rsidR="00C965FF">
        <w:rPr>
          <w:rFonts w:ascii="Arial" w:hAnsi="Arial" w:cs="Arial"/>
          <w:sz w:val="24"/>
          <w:szCs w:val="24"/>
        </w:rPr>
        <w:t>for studying</w:t>
      </w:r>
      <w:r w:rsidRPr="00AB6810" w:rsidR="00E431C4">
        <w:rPr>
          <w:rFonts w:ascii="Arial" w:hAnsi="Arial" w:cs="Arial"/>
          <w:sz w:val="24"/>
          <w:szCs w:val="24"/>
        </w:rPr>
        <w:t xml:space="preserve"> </w:t>
      </w:r>
      <w:r w:rsidRPr="00AB6810">
        <w:rPr>
          <w:rFonts w:ascii="Arial" w:hAnsi="Arial" w:cs="Arial"/>
          <w:sz w:val="24"/>
          <w:szCs w:val="24"/>
        </w:rPr>
        <w:t xml:space="preserve">health </w:t>
      </w:r>
      <w:r w:rsidRPr="00AB6810" w:rsidR="00E431C4">
        <w:rPr>
          <w:rFonts w:ascii="Arial" w:hAnsi="Arial" w:cs="Arial"/>
          <w:sz w:val="24"/>
          <w:szCs w:val="24"/>
        </w:rPr>
        <w:t xml:space="preserve">outcomes </w:t>
      </w:r>
      <w:r w:rsidRPr="00AB6810">
        <w:rPr>
          <w:rFonts w:ascii="Arial" w:hAnsi="Arial" w:cs="Arial"/>
          <w:sz w:val="24"/>
          <w:szCs w:val="24"/>
        </w:rPr>
        <w:t>in France</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{"citationID":"mL7RBOFw","properties":{"formattedCitation":"\\super 41\\nosupersub{}","plainCitation":"41","noteIndex":0},"citationItems":[{"id":24932,"uris":["http://zotero.org/users/9040671/items/VKXI2KA3"],"itemData":{"id":24932,"type":"article-journal","abstract":"The French health care system is based on universal coverage by one of several health care insurance plans. The SNIIRAM database merges anonymous information of reimbursed claims from all these plans, linked to the national hospital-discharge summaries database system (PMSI) and the national death registry. It now covers 98.8% of the French population, over 66 million persons, from birth (or immigration) to death (or emigration), making it possibly the world's largest continuous homogeneous claims database. The database includes demographic data; health care encounters such as physician or paramedical visits, medicines, medical devices, and lab tests (without results); chronic medical conditions (ICD10 codes); hospitalisations with ICD10 codes for primary, linked and associated diagnoses, date and duration, procedures, diagnostic-related groups, and cost coding; date but currently not cause of death. The power of the database is correlatively great, and its representativeness is near perfect, since it essentially includes the whole country's population. The main difficulty in using the database, beyond its sheer size and complexity, is the administrative process necessary to access it. Recent legislative advances are making this easier. EGB (Echantillon Généraliste de Bénéficiaires) is the 1/97th random permanent representative sample of SNIIRAM, with planned 20-year longitudinal data (10 years at this time). Access time is 1 to 3 months, but its power is less (780 000 subjects). This is enough to study common issues with older drugs but may be limited for new products or rare events.","container-title":"Pharmacoepidemiology and Drug Safety","DOI":"10.1002/pds.4233","ISSN":"1099-1557","issue":"8","journalAbbreviation":"Pharmacoepidemiol Drug Saf","language":"eng","note":"PMID: 28544284","page":"954-962","source":"PubMed","title":"The national healthcare system claims databases in France, SNIIRAM and EGB: Powerful tools for pharmacoepidemiology","title-short":"The national healthcare system claims databases in France, SNIIRAM and EGB","volume":"26","author":[{"family":"Bezin","given":"Julien"},{"family":"Duong","given":"Mai"},{"family":"Lassalle","given":"Régis"},{"family":"Droz","given":"Cécile"},{"family":"Pariente","given":"Antoine"},{"family":"Blin","given":"Patrick"},{"family":"Moore","given":"Nicholas"}],"issued":{"date-parts":[["2017",8]]}}}],"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41</w:t>
      </w:r>
      <w:r w:rsidRPr="00AB6810">
        <w:rPr>
          <w:rFonts w:ascii="Arial" w:hAnsi="Arial" w:cs="Arial"/>
          <w:sz w:val="24"/>
          <w:szCs w:val="24"/>
        </w:rPr>
        <w:fldChar w:fldCharType="end"/>
      </w:r>
      <w:r w:rsidRPr="00AB6810">
        <w:rPr>
          <w:rFonts w:ascii="Arial" w:hAnsi="Arial" w:cs="Arial"/>
          <w:sz w:val="24"/>
          <w:szCs w:val="24"/>
        </w:rPr>
        <w:t xml:space="preserve">. Sex ratio, tumour location </w:t>
      </w:r>
      <w:r w:rsidRPr="00AB6810" w:rsidR="00BF10B3">
        <w:rPr>
          <w:rFonts w:ascii="Arial" w:hAnsi="Arial" w:cs="Arial"/>
          <w:sz w:val="24"/>
          <w:szCs w:val="24"/>
        </w:rPr>
        <w:t xml:space="preserve">in the pancreas </w:t>
      </w:r>
      <w:r w:rsidRPr="00AB6810">
        <w:rPr>
          <w:rFonts w:ascii="Arial" w:hAnsi="Arial" w:cs="Arial"/>
          <w:sz w:val="24"/>
          <w:szCs w:val="24"/>
        </w:rPr>
        <w:t>and tobacco smoking algorithms have confirmed consistent proportions with what is known from the literature in the only previous study using the PMSI database for PA</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{"citationID":"Lijm7CFY","properties":{"formattedCitation":"\\super 42\\nosupersub{}","plainCitation":"42","noteIndex":0},"citationItems":[{"id":24914,"uris":["http://zotero.org/users/9040671/items/WFS7CATD"],"itemData":{"id":24914,"type":"article-journal","abstract":"BACKGROUND: Only a few studies investigated the association between proton pump inhibitor (PPI) use and pancreatic cancer, with inconsistent results. Moreover, these studies had a number of methodologic limitations. Our objective was to assess this association in a nationwide case-control study.\nMETHODS: We used the French National Health Data System (SNDS), covering 99% of the French population since 2006. Incident cases of pancreatic cancer, identified between 2014 and 2018, were matched with up to four controls on year of birth, sex, frequency of hospitalization within 8 years prior to index date, and department of residence. Associations between PPIs and pancreatic cancer were estimated using conditional logistic regression models adjusted for sociodemographic characteristics, risk factors of pancreatic cancer (including diabetes mellitus, tobacco-related diseases, and morbid obesity), and other comorbidities.\nRESULTS: A total of 23,321 cases of pancreatic cancer (mean age, 69.8 years; 51.7% males) and 75,937 matched controls were included. Overall, 77.8% of cases and 75.5% of controls were PPI ever users. Ever (vs. never) PPI use was associated with an increased risk of pancreatic cancer [adjusted OR (aOR) = 1.05, 95% confidence interval (CI), 1.01-1.09]. A dose-response relationship was observed [1-30 cumulative defined daily dose (cDDD): aOR = 0.92, 95% CI, 0.87-0.97; 31-180 cDDD: aOR = 1.05, 95% CI, 1.00-1.11; 181-1,080 cDDD: aOR = 1.18, 95% CI, 1.12-1.24; &gt;1,080 cDDD: aOR = 1.17, 95% CI, 1.10-1.23].\nCONCLUSIONS: On the basis of these findings, a slight increase in the risk of pancreatic cancer associated with high cumulative doses of PPIs cannot be excluded.\nIMPACT: Given the overuse of PPIs, efforts should be continued to limit treatments to appropriate indications and durations.","container-title":"Cancer Epidemiology, Biomarkers &amp; Prevention: A Publication of the American Association for Cancer Research, Cosponsored by the American Society of Preventive Oncology","DOI":"10.1158/1055-9965.EPI-21-0786","ISSN":"1538-7755","issue":"3","journalAbbreviation":"Cancer Epidemiol Biomarkers Prev","language":"eng","note":"PMID: 34937794\nPMCID: PMC9381101","page":"662-669","source":"PubMed","title":"Use of Proton Pump Inhibitors and Risk of Pancreatic Cancer: A Nationwide Case-Control Study Based on the French National Health Data System (SNDS)","title-short":"Use of Proton Pump Inhibitors and Risk of Pancreatic Cancer","volume":"31","author":[{"family":"Lassalle","given":"Marion"},{"family":"Le Tri","given":"Thien"},{"family":"Afchain","given":"Pauline"},{"family":"Camus","given":"Marine"},{"family":"Kirchgesner","given":"Julien"},{"family":"Zureik","given":"Mahmoud"},{"family":"Dray-Spira","given":"Rosemary"}],"issued":{"date-parts":[["2022",3,1]]}}}],"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42</w:t>
      </w:r>
      <w:r w:rsidRPr="00AB6810">
        <w:rPr>
          <w:rFonts w:ascii="Arial" w:hAnsi="Arial" w:cs="Arial"/>
          <w:sz w:val="24"/>
          <w:szCs w:val="24"/>
        </w:rPr>
        <w:fldChar w:fldCharType="end"/>
      </w:r>
      <w:r w:rsidRPr="00AB6810">
        <w:rPr>
          <w:rFonts w:ascii="Arial" w:hAnsi="Arial" w:cs="Arial"/>
          <w:sz w:val="24"/>
          <w:szCs w:val="24"/>
        </w:rPr>
        <w:t xml:space="preserve">. The overestimation of women's incidence could be the result of an extensive coding of </w:t>
      </w:r>
      <w:r w:rsidRPr="00AB6810" w:rsidR="006C02DB">
        <w:rPr>
          <w:rFonts w:ascii="Arial" w:hAnsi="Arial" w:cs="Arial"/>
          <w:sz w:val="24"/>
          <w:szCs w:val="24"/>
        </w:rPr>
        <w:t xml:space="preserve">pancreatic </w:t>
      </w:r>
      <w:r w:rsidRPr="00AB6810">
        <w:rPr>
          <w:rFonts w:ascii="Arial" w:hAnsi="Arial" w:cs="Arial"/>
          <w:sz w:val="24"/>
          <w:szCs w:val="24"/>
        </w:rPr>
        <w:t>diseases associated but different from PA</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{"citationID":"Uv8CRjxP","properties":{"formattedCitation":"\\super 43\\nosupersub{}","plainCitation":"43","noteIndex":0},"citationItems":[{"id":29843,"uris":["http://zotero.org/users/9040671/items/HZJU2KH4"],"itemData":{"id":29843,"type":"article-journal","abstract":"BACKGROUND: Use of French Diagnosis Related Groups (DRGs) program databases, apart from financial purposes, has recently been improved since a unique anonymous patient identification number has been created for each inpatient in administrative case mix database. Based on the work of the group for cancer epidemiological observation in the Rhône-Alpes area, (ONC-EPI group), we review the remaining difficulties in the use of DRG data for epidemiological purposes and we consider a longitudinal approach based on analysis of database over several years. We also discuss limitations of this approach.\nDIFFICULTIES: The main problems are related to a lack of quality of administrative data, especially coding of diagnoses. These errors come from missing or inappropriate codes, or not being in accordance with prioritization rules (causing an over- or under-reporting or inconsistencies in coding over time). One difficulty, partly due to the hierarchy of coding and the type of cancer, is the choice of an extraction algorithm. In two studies designed to estimate the incidence of cancer cared in hospitals (breast, colon-rectum, kidney, ovaries), a first algorithm, including a code of cancer as principal diagnosis with a selection of surgical procedures less performed than the second one including a code of cancer as principal diagnosis only, for which the number of hospitalizations per patient ratio was stable across time and space. The chaining over several years allows, by tracing the trajectory of the patient, to detect and correct inaccuracies, errors and missing values, and for incidence studies, to correct incident cases by removing prevalent cases.\nDISCUSSION: However, linkage, complete only since 2007, does not correct data in all cases. Ways of future improvement certainly pass through improved algorithms for case identification and especially by linking DRG data with other databases.","container-title":"Revue D'epidemiologie Et De Sante Publique","DOI":"10.1016/j.respe.2010.09.001","ISSN":"0398-7620","issue":"1","journalAbbreviation":"Rev Epidemiol Sante Publique","language":"fre","note":"PMID: 21251779","page":"53-58","source":"PubMed","title":"Critical analysis of French DRG based information system (PMSI) databases for the epidemiology of cancer: a longitudinal approach becomes possible","title-short":"Critical analysis of French DRG based information system (PMSI) databases for the epidemiology of cancer","volume":"59","author":[{"family":"Olive","given":"F."},{"family":"Gomez","given":"F."},{"family":"Schott","given":"A.-M."},{"family":"Remontet","given":"L."},{"family":"Bossard","given":"N."},{"family":"Mitton","given":"N."},{"family":"Polazzi","given":"S."},{"family":"Colonna","given":"M."},{"family":"Trombert-Paviot","given":"B."}],"issued":{"date-parts":[["2011",2]]}}}],"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43</w:t>
      </w:r>
      <w:r w:rsidRPr="00AB6810">
        <w:rPr>
          <w:rFonts w:ascii="Arial" w:hAnsi="Arial" w:cs="Arial"/>
          <w:sz w:val="24"/>
          <w:szCs w:val="24"/>
        </w:rPr>
        <w:fldChar w:fldCharType="end"/>
      </w:r>
      <w:r w:rsidRPr="00AB6810">
        <w:rPr>
          <w:rFonts w:ascii="Arial" w:hAnsi="Arial" w:cs="Arial"/>
          <w:sz w:val="24"/>
          <w:szCs w:val="24"/>
        </w:rPr>
        <w:t>. However, this phenomenon</w:t>
      </w:r>
      <w:r w:rsidRPr="00AB6810" w:rsidR="006C02DB">
        <w:rPr>
          <w:rFonts w:ascii="Arial" w:hAnsi="Arial" w:cs="Arial"/>
          <w:sz w:val="24"/>
          <w:szCs w:val="24"/>
        </w:rPr>
        <w:t xml:space="preserve"> is rare and</w:t>
      </w:r>
      <w:r w:rsidRPr="00AB6810">
        <w:rPr>
          <w:rFonts w:ascii="Arial" w:hAnsi="Arial" w:cs="Arial"/>
          <w:sz w:val="24"/>
          <w:szCs w:val="24"/>
        </w:rPr>
        <w:t xml:space="preserve"> would not explain the difference between men and women compared to the official statistics. </w:t>
      </w:r>
      <w:r w:rsidRPr="00AB6810" w:rsidR="00603D7E">
        <w:rPr>
          <w:rFonts w:ascii="Arial" w:hAnsi="Arial" w:cs="Arial"/>
          <w:sz w:val="24"/>
          <w:szCs w:val="24"/>
        </w:rPr>
        <w:t>To further assess the discrepancies between men and women, we stratified our spatial analysis by sex. In this additional analysis, we observed a similar spatial distribution, without any sex-specific pattern</w:t>
      </w:r>
      <w:r w:rsidRPr="00AB6810" w:rsidR="001903F6">
        <w:rPr>
          <w:rFonts w:ascii="Arial" w:hAnsi="Arial" w:cs="Arial"/>
          <w:sz w:val="24"/>
          <w:szCs w:val="24"/>
        </w:rPr>
        <w:t xml:space="preserve"> (Supplementary Figure 10)</w:t>
      </w:r>
      <w:r w:rsidRPr="00AB6810" w:rsidR="00010D7A">
        <w:rPr>
          <w:rFonts w:ascii="Arial" w:hAnsi="Arial" w:cs="Arial"/>
          <w:sz w:val="24"/>
          <w:szCs w:val="24"/>
        </w:rPr>
        <w:t xml:space="preserve">. </w:t>
      </w:r>
      <w:r w:rsidRPr="00AB6810" w:rsidR="00675E01">
        <w:rPr>
          <w:rFonts w:ascii="Arial" w:hAnsi="Arial" w:cs="Arial"/>
          <w:sz w:val="24"/>
          <w:szCs w:val="24"/>
        </w:rPr>
        <w:t xml:space="preserve">Future work </w:t>
      </w:r>
      <w:proofErr w:type="gramStart"/>
      <w:r w:rsidRPr="00AB6810" w:rsidR="00675E01">
        <w:rPr>
          <w:rFonts w:ascii="Arial" w:hAnsi="Arial" w:cs="Arial"/>
          <w:sz w:val="24"/>
          <w:szCs w:val="24"/>
        </w:rPr>
        <w:t>include</w:t>
      </w:r>
      <w:proofErr w:type="gramEnd"/>
      <w:r w:rsidRPr="00AB6810" w:rsidR="00675E01">
        <w:rPr>
          <w:rFonts w:ascii="Arial" w:hAnsi="Arial" w:cs="Arial"/>
          <w:sz w:val="24"/>
          <w:szCs w:val="24"/>
        </w:rPr>
        <w:t xml:space="preserve"> an investigation of </w:t>
      </w:r>
      <w:r w:rsidRPr="00AB6810" w:rsidR="00603D7E">
        <w:rPr>
          <w:rFonts w:ascii="Arial" w:hAnsi="Arial" w:cs="Arial"/>
          <w:sz w:val="24"/>
          <w:szCs w:val="24"/>
        </w:rPr>
        <w:t xml:space="preserve">distribution of other diseases </w:t>
      </w:r>
      <w:r w:rsidRPr="00AB6810" w:rsidR="00675E01">
        <w:rPr>
          <w:rFonts w:ascii="Arial" w:hAnsi="Arial" w:cs="Arial"/>
          <w:sz w:val="24"/>
          <w:szCs w:val="24"/>
        </w:rPr>
        <w:t xml:space="preserve">which </w:t>
      </w:r>
      <w:r w:rsidRPr="00AB6810" w:rsidR="00603D7E">
        <w:rPr>
          <w:rFonts w:ascii="Arial" w:hAnsi="Arial" w:cs="Arial"/>
          <w:sz w:val="24"/>
          <w:szCs w:val="24"/>
        </w:rPr>
        <w:t xml:space="preserve">could also help to better understand the factors associated with PA incidence. </w:t>
      </w:r>
      <w:r w:rsidRPr="00AB6810">
        <w:rPr>
          <w:rFonts w:ascii="Arial" w:hAnsi="Arial" w:cs="Arial"/>
          <w:sz w:val="24"/>
          <w:szCs w:val="24"/>
        </w:rPr>
        <w:t xml:space="preserve">Recent studies have acknowledged the increasing precision of these databases, </w:t>
      </w:r>
      <w:r w:rsidRPr="00AB6810" w:rsidR="00C965FF">
        <w:rPr>
          <w:rFonts w:ascii="Arial" w:hAnsi="Arial" w:cs="Arial"/>
          <w:sz w:val="24"/>
          <w:szCs w:val="24"/>
        </w:rPr>
        <w:t>which</w:t>
      </w:r>
      <w:r w:rsidRPr="00AB6810">
        <w:rPr>
          <w:rFonts w:ascii="Arial" w:hAnsi="Arial" w:cs="Arial"/>
          <w:sz w:val="24"/>
          <w:szCs w:val="24"/>
        </w:rPr>
        <w:t xml:space="preserve"> are now widely used for different purposes, including cancer</w:t>
      </w:r>
      <w:r w:rsidRPr="00AB681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{"citationID":"ovsB6g0p","properties":{"formattedCitation":"\\super 44\\nosupersub{}","plainCitation":"44","noteIndex":0},"citationItems":[{"id":29877,"uris":["http://zotero.org/users/9040671/items/5F5RBURX"],"itemData":{"id":29877,"type":"article-journal","abstract":"AIM: The aim of this study was to compare incidence of breast, prostate, and colorectal cancer incidence estimated from a French administrative database with the incidences estimated from the cancer registry data.\nMATERIALS AND METHODS: A cohort of 426,410 people included in the general sample of health insurance beneficiaries (EGB) database as of January 1, 2007, was constituted. Several algorithms were developed to estimate cancer incidence between 2008 and 2012 using principal diagnosis (PD) of hospital discharge data (medical information systems program [PMSI]) and/or long-term disease (LTD) and together with a procedure necessary for histological diagnosis and indicating initial disease management. The incidence rates obtained were compared with those from the registry data using the standardized incidence ratio (SIR).\nRESULTS: The algorithm taking into account LTD and PD in the PMSI and the mandatory presence of a marker procedure provided estimates close to those from the registry data for breast cancer (SIR: 1.12 [1.07-1.18]) and colorectal cancer (SIR: 0.94 [0.88-1.02] in men and SIR: 0.93 [0.86-1.01] in women). For prostate cancer, taking into account specific procedures and drugs in addition to LTD and PD in the PMSI enhanced the estimation of incidence (SIR: 1.03 [0.98-1.08]).\nCONCLUSION: The PMSI together with reimbursement data (LTD, procedures, drugs) provided estimates of breast, prostate, and colorectal cancer incidence, at a national level, comparable to those from the cancer registry data.","container-title":"Revue D'epidemiologie Et De Sante Publique","DOI":"10.1016/j.respe.2015.12.020","ISSN":"0398-7620","issue":"3","journalAbbreviation":"Rev Epidemiol Sante Publique","language":"eng","note":"PMID: 27238161","page":"145-152","source":"PubMed","title":"Estimation of breast, prostate, and colorectal cancer incidence using a French administrative database (general sample of health insurance beneficiaries)","volume":"64","author":[{"family":"Doat","given":"S."},{"family":"Samson","given":"S."},{"family":"Fagot-Campagna","given":"A."},{"family":"Tuppin","given":"P."},{"family":"Menegaux","given":"F."}],"issued":{"date-parts":[["2016",6]]}}}],"schema":"https://github.com/citation-style-language/schema/raw/master/csl-citation.json"} </w:instrText>
      </w:r>
      <w:r w:rsidRPr="00AB6810">
        <w:rPr>
          <w:rFonts w:ascii="Arial" w:hAnsi="Arial" w:cs="Arial"/>
          <w:sz w:val="24"/>
          <w:szCs w:val="24"/>
        </w:rPr>
        <w:fldChar w:fldCharType="separate"/>
      </w:r>
      <w:r w:rsidRPr="00AB6810" w:rsidR="00094508">
        <w:rPr>
          <w:rFonts w:ascii="Arial" w:hAnsi="Arial" w:cs="Arial"/>
          <w:sz w:val="24"/>
          <w:szCs w:val="24"/>
          <w:vertAlign w:val="superscript"/>
        </w:rPr>
        <w:t>44</w:t>
      </w:r>
      <w:r w:rsidRPr="00AB6810">
        <w:rPr>
          <w:rFonts w:ascii="Arial" w:hAnsi="Arial" w:cs="Arial"/>
          <w:sz w:val="24"/>
          <w:szCs w:val="24"/>
        </w:rPr>
        <w:fldChar w:fldCharType="end"/>
      </w:r>
      <w:r w:rsidRPr="00AB6810">
        <w:rPr>
          <w:rFonts w:ascii="Arial" w:hAnsi="Arial" w:cs="Arial"/>
          <w:sz w:val="24"/>
          <w:szCs w:val="24"/>
        </w:rPr>
        <w:t>.</w:t>
      </w:r>
    </w:p>
    <w:p w:rsidRPr="00AB6810" w:rsidR="004576F2" w:rsidP="009D7159" w:rsidRDefault="00675E01" w14:paraId="630FD103" w14:textId="3481E3F6">
      <w:pPr>
        <w:spacing w:line="480" w:lineRule="auto"/>
        <w:rPr>
          <w:rFonts w:ascii="Arial" w:hAnsi="Arial" w:cs="Arial"/>
          <w:sz w:val="24"/>
          <w:szCs w:val="24"/>
        </w:rPr>
      </w:pPr>
      <w:bookmarkStart w:name="_Hlk178254001" w:id="11"/>
      <w:r w:rsidRPr="00AB6810">
        <w:rPr>
          <w:rFonts w:ascii="Arial" w:hAnsi="Arial" w:cs="Arial"/>
          <w:sz w:val="24"/>
          <w:szCs w:val="24"/>
        </w:rPr>
        <w:t>Even though the spatial granularity remains the most precise ever published to date, we stress that this is still an ecological study and as such, it suffers from ecological bias, which makes the inference not directly transferable to the individual level</w:t>
      </w:r>
      <w:bookmarkEnd w:id="11"/>
      <w:r w:rsidRPr="00AB6810">
        <w:rPr>
          <w:rFonts w:ascii="Arial" w:hAnsi="Arial" w:cs="Arial"/>
          <w:sz w:val="24"/>
          <w:szCs w:val="24"/>
        </w:rPr>
        <w:t>.</w:t>
      </w:r>
      <w:r w:rsidRPr="00AB6810">
        <w:rPr>
          <w:rFonts w:ascii="Arial" w:hAnsi="Arial" w:cs="Arial"/>
          <w:sz w:val="20"/>
          <w:szCs w:val="20"/>
        </w:rPr>
        <w:t xml:space="preserve"> </w:t>
      </w:r>
      <w:r w:rsidRPr="00AB6810" w:rsidR="00E815D0">
        <w:rPr>
          <w:rFonts w:ascii="Arial" w:hAnsi="Arial" w:cs="Arial"/>
          <w:sz w:val="24"/>
          <w:szCs w:val="24"/>
        </w:rPr>
        <w:t>O</w:t>
      </w:r>
      <w:r w:rsidRPr="00AB6810" w:rsidR="006C0980">
        <w:rPr>
          <w:rFonts w:ascii="Arial" w:hAnsi="Arial" w:cs="Arial"/>
          <w:sz w:val="24"/>
          <w:szCs w:val="24"/>
        </w:rPr>
        <w:t>ur model was designed to explore independent exposure</w:t>
      </w:r>
      <w:r w:rsidRPr="00AB6810" w:rsidR="00324D53">
        <w:rPr>
          <w:rFonts w:ascii="Arial" w:hAnsi="Arial" w:cs="Arial"/>
          <w:sz w:val="24"/>
          <w:szCs w:val="24"/>
        </w:rPr>
        <w:t>s</w:t>
      </w:r>
      <w:r w:rsidRPr="00AB6810" w:rsidR="006C0980">
        <w:rPr>
          <w:rFonts w:ascii="Arial" w:hAnsi="Arial" w:cs="Arial"/>
          <w:sz w:val="24"/>
          <w:szCs w:val="24"/>
        </w:rPr>
        <w:t xml:space="preserve"> </w:t>
      </w:r>
      <w:r w:rsidRPr="00AB6810" w:rsidR="00324D53">
        <w:rPr>
          <w:rFonts w:ascii="Arial" w:hAnsi="Arial" w:cs="Arial"/>
          <w:sz w:val="24"/>
          <w:szCs w:val="24"/>
        </w:rPr>
        <w:t>whereas they</w:t>
      </w:r>
      <w:r w:rsidRPr="00AB6810" w:rsidR="006C0980">
        <w:rPr>
          <w:rFonts w:ascii="Arial" w:hAnsi="Arial" w:cs="Arial"/>
          <w:sz w:val="24"/>
          <w:szCs w:val="24"/>
        </w:rPr>
        <w:t xml:space="preserve"> are combined</w:t>
      </w:r>
      <w:r w:rsidRPr="00AB6810" w:rsidR="00324D53">
        <w:rPr>
          <w:rFonts w:ascii="Arial" w:hAnsi="Arial" w:cs="Arial"/>
          <w:sz w:val="24"/>
          <w:szCs w:val="24"/>
        </w:rPr>
        <w:t xml:space="preserve"> in real-life settings</w:t>
      </w:r>
      <w:r w:rsidRPr="00AB6810" w:rsidR="00D764FD">
        <w:rPr>
          <w:rFonts w:ascii="Arial" w:hAnsi="Arial" w:cs="Arial"/>
          <w:sz w:val="24"/>
          <w:szCs w:val="24"/>
        </w:rPr>
        <w:t xml:space="preserve"> (</w:t>
      </w:r>
      <w:r w:rsidRPr="00AB6810" w:rsidR="006C0980">
        <w:rPr>
          <w:rFonts w:ascii="Arial" w:hAnsi="Arial" w:cs="Arial"/>
          <w:sz w:val="24"/>
          <w:szCs w:val="24"/>
        </w:rPr>
        <w:t>pesticide cocktail effect</w:t>
      </w:r>
      <w:r w:rsidRPr="00AB6810" w:rsidR="00D764FD">
        <w:rPr>
          <w:rFonts w:ascii="Arial" w:hAnsi="Arial" w:cs="Arial"/>
          <w:sz w:val="24"/>
          <w:szCs w:val="24"/>
        </w:rPr>
        <w:t>)</w:t>
      </w:r>
      <w:r w:rsidRPr="00AB6810" w:rsidR="006C0980">
        <w:rPr>
          <w:rFonts w:ascii="Arial" w:hAnsi="Arial" w:cs="Arial"/>
          <w:sz w:val="24"/>
          <w:szCs w:val="24"/>
        </w:rPr>
        <w:t xml:space="preserve">. Among those independent exposures, </w:t>
      </w:r>
      <w:r w:rsidRPr="00AB6810" w:rsidR="00324D53">
        <w:rPr>
          <w:rFonts w:ascii="Arial" w:hAnsi="Arial" w:cs="Arial"/>
          <w:sz w:val="24"/>
          <w:szCs w:val="24"/>
        </w:rPr>
        <w:t xml:space="preserve">we </w:t>
      </w:r>
      <w:r w:rsidRPr="00AB6810" w:rsidR="006C0980">
        <w:rPr>
          <w:rFonts w:ascii="Arial" w:hAnsi="Arial" w:cs="Arial"/>
          <w:sz w:val="24"/>
          <w:szCs w:val="24"/>
        </w:rPr>
        <w:t xml:space="preserve">arbitrarily chose </w:t>
      </w:r>
      <w:r w:rsidRPr="00AB6810" w:rsidR="00324D53">
        <w:rPr>
          <w:rFonts w:ascii="Arial" w:hAnsi="Arial" w:cs="Arial"/>
          <w:sz w:val="24"/>
          <w:szCs w:val="24"/>
        </w:rPr>
        <w:t>five</w:t>
      </w:r>
      <w:r w:rsidRPr="00AB6810" w:rsidR="006C0980">
        <w:rPr>
          <w:rFonts w:ascii="Arial" w:hAnsi="Arial" w:cs="Arial"/>
          <w:sz w:val="24"/>
          <w:szCs w:val="24"/>
        </w:rPr>
        <w:t xml:space="preserve"> active substances in two distinct categories</w:t>
      </w:r>
      <w:r w:rsidRPr="00AB6810" w:rsidR="00582FC9">
        <w:rPr>
          <w:rFonts w:ascii="Arial" w:hAnsi="Arial" w:cs="Arial"/>
          <w:sz w:val="24"/>
          <w:szCs w:val="24"/>
        </w:rPr>
        <w:t xml:space="preserve">, therefore </w:t>
      </w:r>
      <w:r w:rsidRPr="00AB6810" w:rsidR="006C0980">
        <w:rPr>
          <w:rFonts w:ascii="Arial" w:hAnsi="Arial" w:cs="Arial"/>
          <w:sz w:val="24"/>
          <w:szCs w:val="24"/>
        </w:rPr>
        <w:t>exclud</w:t>
      </w:r>
      <w:r w:rsidRPr="00AB6810" w:rsidR="00582FC9">
        <w:rPr>
          <w:rFonts w:ascii="Arial" w:hAnsi="Arial" w:cs="Arial"/>
          <w:sz w:val="24"/>
          <w:szCs w:val="24"/>
        </w:rPr>
        <w:t>ing others</w:t>
      </w:r>
      <w:r w:rsidRPr="00AB6810" w:rsidR="006C0980">
        <w:rPr>
          <w:rFonts w:ascii="Arial" w:hAnsi="Arial" w:cs="Arial"/>
          <w:sz w:val="24"/>
          <w:szCs w:val="24"/>
        </w:rPr>
        <w:t>,</w:t>
      </w:r>
      <w:r w:rsidRPr="00AB6810" w:rsidR="00582FC9">
        <w:rPr>
          <w:rFonts w:ascii="Arial" w:hAnsi="Arial" w:cs="Arial"/>
          <w:sz w:val="24"/>
          <w:szCs w:val="24"/>
        </w:rPr>
        <w:t xml:space="preserve"> which </w:t>
      </w:r>
      <w:r w:rsidRPr="00AB6810" w:rsidR="006C0980">
        <w:rPr>
          <w:rFonts w:ascii="Arial" w:hAnsi="Arial" w:cs="Arial"/>
          <w:sz w:val="24"/>
          <w:szCs w:val="24"/>
        </w:rPr>
        <w:t xml:space="preserve">may </w:t>
      </w:r>
      <w:r w:rsidRPr="00AB6810" w:rsidR="001D1A77">
        <w:rPr>
          <w:rFonts w:ascii="Arial" w:hAnsi="Arial" w:cs="Arial"/>
          <w:sz w:val="24"/>
          <w:szCs w:val="24"/>
        </w:rPr>
        <w:t xml:space="preserve">also </w:t>
      </w:r>
      <w:r w:rsidRPr="00AB6810" w:rsidR="00582FC9">
        <w:rPr>
          <w:rFonts w:ascii="Arial" w:hAnsi="Arial" w:cs="Arial"/>
          <w:sz w:val="24"/>
          <w:szCs w:val="24"/>
        </w:rPr>
        <w:t>impact the</w:t>
      </w:r>
      <w:r w:rsidRPr="00AB6810" w:rsidR="006C0980">
        <w:rPr>
          <w:rFonts w:ascii="Arial" w:hAnsi="Arial" w:cs="Arial"/>
          <w:sz w:val="24"/>
          <w:szCs w:val="24"/>
        </w:rPr>
        <w:t xml:space="preserve"> risk of PA. A multi-source multi-exposure model seems as relevant as it is complicated to design due to the number of sources, active </w:t>
      </w:r>
      <w:r w:rsidRPr="00AB6810" w:rsidR="00324D53">
        <w:rPr>
          <w:rFonts w:ascii="Arial" w:hAnsi="Arial" w:cs="Arial"/>
          <w:sz w:val="24"/>
          <w:szCs w:val="24"/>
        </w:rPr>
        <w:t>substances,</w:t>
      </w:r>
      <w:r w:rsidRPr="00AB6810" w:rsidR="006C0980">
        <w:rPr>
          <w:rFonts w:ascii="Arial" w:hAnsi="Arial" w:cs="Arial"/>
          <w:sz w:val="24"/>
          <w:szCs w:val="24"/>
        </w:rPr>
        <w:t xml:space="preserve"> or traditional risk factors, metabolization, non-interoperable data sources and individual susceptibility. </w:t>
      </w:r>
      <w:r w:rsidRPr="00AB6810" w:rsidR="00D764FD">
        <w:rPr>
          <w:rFonts w:ascii="Arial" w:hAnsi="Arial" w:cs="Arial"/>
          <w:sz w:val="24"/>
          <w:szCs w:val="24"/>
        </w:rPr>
        <w:t>Furthermore, t</w:t>
      </w:r>
      <w:r w:rsidRPr="00AB6810" w:rsidR="006C0980">
        <w:rPr>
          <w:rFonts w:ascii="Arial" w:hAnsi="Arial" w:cs="Arial"/>
          <w:sz w:val="24"/>
          <w:szCs w:val="24"/>
        </w:rPr>
        <w:t xml:space="preserve">he lag between exposure and cancer development is </w:t>
      </w:r>
      <w:r w:rsidRPr="00AB6810" w:rsidR="00E815D0">
        <w:rPr>
          <w:rFonts w:ascii="Arial" w:hAnsi="Arial" w:cs="Arial"/>
          <w:sz w:val="24"/>
          <w:szCs w:val="24"/>
        </w:rPr>
        <w:t>challenging</w:t>
      </w:r>
      <w:r w:rsidRPr="00AB6810" w:rsidR="006C0980">
        <w:rPr>
          <w:rFonts w:ascii="Arial" w:hAnsi="Arial" w:cs="Arial"/>
          <w:sz w:val="24"/>
          <w:szCs w:val="24"/>
        </w:rPr>
        <w:t xml:space="preserve"> to determine retrospectively. </w:t>
      </w:r>
      <w:r w:rsidRPr="00AB6810" w:rsidR="00E815D0">
        <w:rPr>
          <w:rFonts w:ascii="Arial" w:hAnsi="Arial" w:cs="Arial"/>
          <w:sz w:val="24"/>
          <w:szCs w:val="24"/>
        </w:rPr>
        <w:t>This</w:t>
      </w:r>
      <w:r w:rsidRPr="00AB6810" w:rsidR="006C0980">
        <w:rPr>
          <w:rFonts w:ascii="Arial" w:hAnsi="Arial" w:cs="Arial"/>
          <w:sz w:val="24"/>
          <w:szCs w:val="24"/>
        </w:rPr>
        <w:t xml:space="preserve"> lag is generally long and could be specific to the type of substance used and the type of malignancy</w:t>
      </w:r>
      <w:r w:rsidRPr="00AB6810" w:rsidR="006C0980">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{"citationID":"6CbHcg4o","properties":{"formattedCitation":"\\super 45\\nosupersub{}","plainCitation":"45","noteIndex":0},"citationItems":[{"id":24921,"uris":["http://zotero.org/users/9040671/items/ZQG4DWBF"],"itemData":{"id":24921,"type":"article-journal","abstract":"The aim was to identify the scope of the epidemiology literature reviewed regarding the risk of cancer as related to occupational exposure to pesticides and to compare regulatory toxicity results where feasible.","container-title":"International Archives of Occupational and Environmental Health","DOI":"10.1007/s00420-020-01638-y","ISSN":"1432-1246","issue":"5","journalAbbreviation":"Int Arch Occup Environ Health","language":"en","page":"945-957","source":"Springer Link","title":"Cancer and occupational exposure to pesticides: an umbrella review","title-short":"Cancer and occupational exposure to pesticides","volume":"94","author":[{"family":"Burns","given":"Carol J."},{"family":"Juberg","given":"Daland R."}],"issued":{"date-parts":[["2021",7,1]]}}}],"schema":"https://github.com/citation-style-language/schema/raw/master/csl-citation.json"} </w:instrText>
      </w:r>
      <w:r w:rsidRPr="00AB6810" w:rsidR="006C0980">
        <w:rPr>
          <w:rFonts w:ascii="Arial" w:hAnsi="Arial" w:cs="Arial"/>
          <w:sz w:val="24"/>
          <w:szCs w:val="24"/>
        </w:rPr>
        <w:fldChar w:fldCharType="separate"/>
      </w:r>
      <w:r w:rsidRPr="00AB6810" w:rsidR="00094508">
        <w:rPr>
          <w:rFonts w:ascii="Arial" w:hAnsi="Arial" w:cs="Arial"/>
          <w:sz w:val="24"/>
          <w:szCs w:val="24"/>
          <w:vertAlign w:val="superscript"/>
        </w:rPr>
        <w:t>45</w:t>
      </w:r>
      <w:r w:rsidRPr="00AB6810" w:rsidR="006C0980">
        <w:rPr>
          <w:rFonts w:ascii="Arial" w:hAnsi="Arial" w:cs="Arial"/>
          <w:sz w:val="24"/>
          <w:szCs w:val="24"/>
        </w:rPr>
        <w:fldChar w:fldCharType="end"/>
      </w:r>
      <w:r w:rsidRPr="00AB6810" w:rsidR="006C0980">
        <w:rPr>
          <w:rFonts w:ascii="Arial" w:hAnsi="Arial" w:cs="Arial"/>
          <w:sz w:val="24"/>
          <w:szCs w:val="24"/>
        </w:rPr>
        <w:t xml:space="preserve">. </w:t>
      </w:r>
      <w:r w:rsidRPr="00AB6810" w:rsidR="00603D7E">
        <w:rPr>
          <w:rFonts w:ascii="Arial" w:hAnsi="Arial" w:cs="Arial"/>
          <w:sz w:val="24"/>
          <w:szCs w:val="24"/>
        </w:rPr>
        <w:t xml:space="preserve">However, </w:t>
      </w:r>
      <w:r w:rsidRPr="00AB6810" w:rsidR="008C22E4">
        <w:rPr>
          <w:rFonts w:ascii="Arial" w:hAnsi="Arial" w:cs="Arial"/>
          <w:sz w:val="24"/>
          <w:szCs w:val="24"/>
        </w:rPr>
        <w:t xml:space="preserve">in the study period considered in this investigation, </w:t>
      </w:r>
      <w:r w:rsidRPr="00AB6810" w:rsidR="00603D7E">
        <w:rPr>
          <w:rFonts w:ascii="Arial" w:hAnsi="Arial" w:cs="Arial"/>
          <w:sz w:val="24"/>
          <w:szCs w:val="24"/>
        </w:rPr>
        <w:t>we should underline that agricultural surfaces decreased slowly over time (median between 2012 and 2018: -0.08% [IQR: -0.09%; +0.03%]). Moreover, there is a strong correlation between the 2013 to 2015 PEXI and the PEXI encompassing the entire study period</w:t>
      </w:r>
      <w:r w:rsidRPr="00AB6810" w:rsidR="008C22E4">
        <w:rPr>
          <w:rFonts w:ascii="Arial" w:hAnsi="Arial" w:cs="Arial"/>
          <w:sz w:val="24"/>
          <w:szCs w:val="24"/>
        </w:rPr>
        <w:t>; finally, the spatial distribution of the cases for the end of the period (2019-2021) is consistent with that of the entire study period, while the number of cases is lower (around 30,000). This suggests that in the present study a lag analysis would not be feasible.</w:t>
      </w:r>
      <w:r w:rsidRPr="00AB6810" w:rsidR="00603D7E">
        <w:rPr>
          <w:rFonts w:ascii="Arial" w:hAnsi="Arial" w:cs="Arial"/>
          <w:sz w:val="24"/>
          <w:szCs w:val="24"/>
        </w:rPr>
        <w:t xml:space="preserve"> A large cohort using individual data with a better remote pesticide exposure assessment would allow more precise analyses. </w:t>
      </w:r>
      <w:r w:rsidRPr="00AB6810" w:rsidR="00D764FD">
        <w:rPr>
          <w:rFonts w:ascii="Arial" w:hAnsi="Arial" w:cs="Arial"/>
          <w:sz w:val="24"/>
          <w:szCs w:val="24"/>
        </w:rPr>
        <w:t xml:space="preserve">Additionally, we were unable to model population movement during the study period. Finally, satellite images </w:t>
      </w:r>
      <w:r w:rsidRPr="00AB6810" w:rsidR="001D1A77">
        <w:rPr>
          <w:rFonts w:ascii="Arial" w:hAnsi="Arial" w:cs="Arial"/>
          <w:sz w:val="24"/>
          <w:szCs w:val="24"/>
        </w:rPr>
        <w:t xml:space="preserve">may overestimate </w:t>
      </w:r>
      <w:r w:rsidRPr="00AB6810" w:rsidR="00D764FD">
        <w:rPr>
          <w:rFonts w:ascii="Arial" w:hAnsi="Arial" w:cs="Arial"/>
          <w:sz w:val="24"/>
          <w:szCs w:val="24"/>
        </w:rPr>
        <w:t>agricultural surfaces in steep landscapes</w:t>
      </w:r>
      <w:r w:rsidRPr="00AB6810" w:rsidR="001D1A77">
        <w:rPr>
          <w:rFonts w:ascii="Arial" w:hAnsi="Arial" w:cs="Arial"/>
          <w:sz w:val="24"/>
          <w:szCs w:val="24"/>
        </w:rPr>
        <w:t xml:space="preserve"> which is a low proportion of the spatial units</w:t>
      </w:r>
      <w:r w:rsidRPr="00AB6810" w:rsidR="00D764FD">
        <w:rPr>
          <w:rFonts w:ascii="Arial" w:hAnsi="Arial" w:cs="Arial"/>
          <w:sz w:val="24"/>
          <w:szCs w:val="24"/>
        </w:rPr>
        <w:fldChar w:fldCharType="begin"/>
      </w:r>
      <w:r w:rsidRPr="00AB6810" w:rsidR="00094508">
        <w:rPr>
          <w:rFonts w:ascii="Arial" w:hAnsi="Arial" w:cs="Arial"/>
          <w:sz w:val="24"/>
          <w:szCs w:val="24"/>
        </w:rPr>
        <w:instrText xml:space="preserve"> ADDIN ZOTERO_ITEM CSL_CITATION {"citationID":"79br4t82","properties":{"formattedCitation":"\\super 46\\nosupersub{}","plainCitation":"46","noteIndex":0},"citationItems":[{"id":24906,"uris":["http://zotero.org/users/9040671/items/RAPJTYV7"],"itemData":{"id":24906,"type":"webpage","abstract":"Estimer les expositions aux pesticides : données et approches géographiques. Synthèse du séminaire du 28 juin 2022","language":"fr","title":"Estimer les expositions aux pesticides : données et approches géographiques. Synthèse du séminaire du 28 juin 2022","title-short":"Estimer les expositions aux pesticides","URL":"https://www.santepubliquefrance.fr/import/estimer-les-expositions-aux-pesticides-donnees-et-approches-geographiques.-synthese-du-seminaire-du-28-juin-2022","author":[{"family":"Seminar synthesis (June 28th 2023)","given":""}],"accessed":{"date-parts":[["2023",6,9]]}}}],"schema":"https://github.com/citation-style-language/schema/raw/master/csl-citation.json"} </w:instrText>
      </w:r>
      <w:r w:rsidRPr="00AB6810" w:rsidR="00D764FD">
        <w:rPr>
          <w:rFonts w:ascii="Arial" w:hAnsi="Arial" w:cs="Arial"/>
          <w:sz w:val="24"/>
          <w:szCs w:val="24"/>
        </w:rPr>
        <w:fldChar w:fldCharType="separate"/>
      </w:r>
      <w:r w:rsidRPr="00AB6810" w:rsidR="00094508">
        <w:rPr>
          <w:rFonts w:ascii="Arial" w:hAnsi="Arial" w:cs="Arial"/>
          <w:sz w:val="24"/>
          <w:szCs w:val="24"/>
          <w:vertAlign w:val="superscript"/>
        </w:rPr>
        <w:t>46</w:t>
      </w:r>
      <w:r w:rsidRPr="00AB6810" w:rsidR="00D764FD">
        <w:rPr>
          <w:rFonts w:ascii="Arial" w:hAnsi="Arial" w:cs="Arial"/>
          <w:sz w:val="24"/>
          <w:szCs w:val="24"/>
        </w:rPr>
        <w:fldChar w:fldCharType="end"/>
      </w:r>
      <w:r w:rsidRPr="00AB6810" w:rsidR="00D764FD">
        <w:rPr>
          <w:rFonts w:ascii="Arial" w:hAnsi="Arial" w:cs="Arial"/>
          <w:sz w:val="24"/>
          <w:szCs w:val="24"/>
        </w:rPr>
        <w:t>. On the other hand, national agricultural censuses present greater limitations as they are not designed to be mapped</w:t>
      </w:r>
      <w:r w:rsidRPr="00AB6810" w:rsidR="00D764FD">
        <w:rPr>
          <w:rFonts w:ascii="Arial" w:hAnsi="Arial" w:cs="Arial"/>
          <w:sz w:val="24"/>
          <w:szCs w:val="24"/>
        </w:rPr>
        <w:fldChar w:fldCharType="begin"/>
      </w:r>
      <w:r w:rsidRPr="00AB6810" w:rsidR="00D04D0A">
        <w:rPr>
          <w:rFonts w:ascii="Arial" w:hAnsi="Arial" w:cs="Arial"/>
          <w:sz w:val="24"/>
          <w:szCs w:val="24"/>
        </w:rPr>
        <w:instrText xml:space="preserve"> ADDIN ZOTERO_ITEM CSL_CITATION {"citationID":"1UqFWeF4","properties":{"formattedCitation":"\\super 6\\nosupersub{}","plainCitation":"6","noteIndex":0},"citationItems":[{"id":23223,"uris":["http://zotero.org/users/local/vY69w1Y2/items/HF9QAPVC","http://zotero.org/users/9040671/items/HF9QAPVC"],"itemData":{"id":23223,"type":"webpage","title":"Recensement agricole 2020 - Indicateurs : cartes, données et graphiques","URL":"https://stats.agriculture.gouv.fr/cartostat/#view=map11&amp;c=indicator","accessed":{"date-parts":[["2023",6,9]]}}}],"schema":"https://github.com/citation-style-language/schema/raw/master/csl-citation.json"} </w:instrText>
      </w:r>
      <w:r w:rsidRPr="00AB6810" w:rsidR="00D764FD">
        <w:rPr>
          <w:rFonts w:ascii="Arial" w:hAnsi="Arial" w:cs="Arial"/>
          <w:sz w:val="24"/>
          <w:szCs w:val="24"/>
        </w:rPr>
        <w:fldChar w:fldCharType="separate"/>
      </w:r>
      <w:r w:rsidRPr="00AB6810" w:rsidR="00EC530C">
        <w:rPr>
          <w:rFonts w:ascii="Arial" w:hAnsi="Arial" w:cs="Arial"/>
          <w:sz w:val="24"/>
          <w:szCs w:val="24"/>
          <w:vertAlign w:val="superscript"/>
        </w:rPr>
        <w:t>6</w:t>
      </w:r>
      <w:r w:rsidRPr="00AB6810" w:rsidR="00D764FD">
        <w:rPr>
          <w:rFonts w:ascii="Arial" w:hAnsi="Arial" w:cs="Arial"/>
          <w:sz w:val="24"/>
          <w:szCs w:val="24"/>
        </w:rPr>
        <w:fldChar w:fldCharType="end"/>
      </w:r>
      <w:r w:rsidRPr="00AB6810" w:rsidR="00D764FD">
        <w:rPr>
          <w:rFonts w:ascii="Arial" w:hAnsi="Arial" w:cs="Arial"/>
          <w:sz w:val="24"/>
          <w:szCs w:val="24"/>
        </w:rPr>
        <w:t>.</w:t>
      </w:r>
    </w:p>
    <w:p w:rsidRPr="00AB6810" w:rsidR="006C0980" w:rsidP="00CF781E" w:rsidRDefault="005438F3" w14:paraId="64F869A8" w14:textId="76EE36A2">
      <w:pPr>
        <w:spacing w:line="480" w:lineRule="auto"/>
        <w:rPr>
          <w:rFonts w:ascii="Arial" w:hAnsi="Arial" w:cs="Arial"/>
          <w:b/>
          <w:bCs/>
          <w:sz w:val="24"/>
          <w:szCs w:val="24"/>
        </w:rPr>
      </w:pPr>
      <w:r w:rsidRPr="00AB6810">
        <w:rPr>
          <w:rFonts w:ascii="Arial" w:hAnsi="Arial" w:cs="Arial"/>
          <w:b/>
          <w:bCs/>
          <w:sz w:val="24"/>
          <w:szCs w:val="24"/>
        </w:rPr>
        <w:t>Conclusion</w:t>
      </w:r>
    </w:p>
    <w:p w:rsidRPr="00AB6810" w:rsidR="006C0980" w:rsidP="00CF781E" w:rsidRDefault="006C0980" w14:paraId="48E083B0" w14:textId="2CC74381">
      <w:pPr>
        <w:spacing w:line="480" w:lineRule="auto"/>
        <w:rPr>
          <w:rFonts w:ascii="Arial" w:hAnsi="Arial" w:cs="Arial"/>
          <w:sz w:val="24"/>
          <w:szCs w:val="24"/>
        </w:rPr>
        <w:sectPr w:rsidRPr="00AB6810" w:rsidR="006C0980" w:rsidSect="00AC4310">
          <w:pgSz w:w="11906" w:h="16838" w:orient="portrait"/>
          <w:pgMar w:top="1134" w:right="1134" w:bottom="1134" w:left="1134" w:header="708" w:footer="708" w:gutter="0"/>
          <w:lnNumType w:countBy="1" w:restart="continuous"/>
          <w:cols w:space="708"/>
          <w:titlePg/>
          <w:docGrid w:linePitch="360"/>
        </w:sectPr>
      </w:pPr>
      <w:r w:rsidRPr="00AB6810">
        <w:rPr>
          <w:rFonts w:ascii="Arial" w:hAnsi="Arial" w:cs="Arial"/>
          <w:sz w:val="24"/>
          <w:szCs w:val="24"/>
        </w:rPr>
        <w:t xml:space="preserve">The </w:t>
      </w:r>
      <w:r w:rsidRPr="00AB6810">
        <w:rPr>
          <w:rFonts w:ascii="Arial" w:hAnsi="Arial" w:cs="Arial"/>
          <w:i/>
          <w:iCs/>
          <w:sz w:val="24"/>
          <w:szCs w:val="24"/>
        </w:rPr>
        <w:t>ecoPESTIPAC</w:t>
      </w:r>
      <w:r w:rsidRPr="00AB6810">
        <w:rPr>
          <w:rFonts w:ascii="Arial" w:hAnsi="Arial" w:cs="Arial"/>
          <w:sz w:val="24"/>
          <w:szCs w:val="24"/>
        </w:rPr>
        <w:t xml:space="preserve"> study is the first one to describe the risk of PA </w:t>
      </w:r>
      <w:r w:rsidRPr="00AB6810" w:rsidR="00E431C4">
        <w:rPr>
          <w:rFonts w:ascii="Arial" w:hAnsi="Arial" w:cs="Arial"/>
          <w:sz w:val="24"/>
          <w:szCs w:val="24"/>
        </w:rPr>
        <w:t xml:space="preserve">and to evaluate the role of pesticides at </w:t>
      </w:r>
      <w:r w:rsidRPr="00AB6810" w:rsidR="00C965FF">
        <w:rPr>
          <w:rFonts w:ascii="Arial" w:hAnsi="Arial" w:cs="Arial"/>
          <w:sz w:val="24"/>
          <w:szCs w:val="24"/>
        </w:rPr>
        <w:t xml:space="preserve">a </w:t>
      </w:r>
      <w:r w:rsidRPr="00AB6810" w:rsidR="00E431C4">
        <w:rPr>
          <w:rFonts w:ascii="Arial" w:hAnsi="Arial" w:cs="Arial"/>
          <w:sz w:val="24"/>
          <w:szCs w:val="24"/>
        </w:rPr>
        <w:t xml:space="preserve">population level, considering </w:t>
      </w:r>
      <w:r w:rsidRPr="00AB6810">
        <w:rPr>
          <w:rFonts w:ascii="Arial" w:hAnsi="Arial" w:cs="Arial"/>
          <w:sz w:val="24"/>
          <w:szCs w:val="24"/>
        </w:rPr>
        <w:t xml:space="preserve">a fine spatial granularity </w:t>
      </w:r>
      <w:r w:rsidRPr="00AB6810" w:rsidR="00E431C4">
        <w:rPr>
          <w:rFonts w:ascii="Arial" w:hAnsi="Arial" w:cs="Arial"/>
          <w:sz w:val="24"/>
          <w:szCs w:val="24"/>
        </w:rPr>
        <w:t xml:space="preserve">across France and </w:t>
      </w:r>
      <w:r w:rsidRPr="00AB6810" w:rsidR="00E431C4">
        <w:rPr>
          <w:rFonts w:ascii="Arial" w:hAnsi="Arial" w:cs="Arial"/>
          <w:sz w:val="24"/>
          <w:szCs w:val="24"/>
        </w:rPr>
        <w:t xml:space="preserve">a long </w:t>
      </w:r>
      <w:r w:rsidRPr="00AB6810" w:rsidR="00C965FF">
        <w:rPr>
          <w:rFonts w:ascii="Arial" w:hAnsi="Arial" w:cs="Arial"/>
          <w:sz w:val="24"/>
          <w:szCs w:val="24"/>
        </w:rPr>
        <w:t>period</w:t>
      </w:r>
      <w:r w:rsidRPr="00AB6810">
        <w:rPr>
          <w:rFonts w:ascii="Arial" w:hAnsi="Arial" w:cs="Arial"/>
          <w:sz w:val="24"/>
          <w:szCs w:val="24"/>
        </w:rPr>
        <w:t xml:space="preserve">. </w:t>
      </w:r>
      <w:r w:rsidRPr="00AB6810" w:rsidR="002715BD">
        <w:rPr>
          <w:rFonts w:ascii="Arial" w:hAnsi="Arial" w:cs="Arial"/>
          <w:sz w:val="24"/>
          <w:szCs w:val="24"/>
        </w:rPr>
        <w:t xml:space="preserve">We showed the heterogeneous spatial distribution </w:t>
      </w:r>
      <w:r w:rsidRPr="00AB6810" w:rsidR="00546EA2">
        <w:rPr>
          <w:rFonts w:ascii="Arial" w:hAnsi="Arial" w:cs="Arial"/>
          <w:sz w:val="24"/>
          <w:szCs w:val="24"/>
        </w:rPr>
        <w:t xml:space="preserve">of PA risk, </w:t>
      </w:r>
      <w:r w:rsidRPr="00AB6810" w:rsidR="00E431C4">
        <w:rPr>
          <w:rFonts w:ascii="Arial" w:hAnsi="Arial" w:cs="Arial"/>
          <w:sz w:val="24"/>
          <w:szCs w:val="24"/>
        </w:rPr>
        <w:t xml:space="preserve">suggesting that additional research needs to be carried out to hypothesise </w:t>
      </w:r>
      <w:r w:rsidRPr="00AB6810" w:rsidR="00C965FF">
        <w:rPr>
          <w:rFonts w:ascii="Arial" w:hAnsi="Arial" w:cs="Arial"/>
          <w:sz w:val="24"/>
          <w:szCs w:val="24"/>
        </w:rPr>
        <w:t>neighbourhood-level</w:t>
      </w:r>
      <w:r w:rsidRPr="00AB6810" w:rsidR="00E431C4">
        <w:rPr>
          <w:rFonts w:ascii="Arial" w:hAnsi="Arial" w:cs="Arial"/>
          <w:sz w:val="24"/>
          <w:szCs w:val="24"/>
        </w:rPr>
        <w:t xml:space="preserve"> risk factors, such as environmental exposures. </w:t>
      </w:r>
      <w:r w:rsidRPr="00AB6810">
        <w:rPr>
          <w:rFonts w:ascii="Arial" w:hAnsi="Arial" w:cs="Arial"/>
          <w:sz w:val="24"/>
          <w:szCs w:val="24"/>
        </w:rPr>
        <w:t>Moreover, we observed</w:t>
      </w:r>
      <w:r w:rsidRPr="00AB6810" w:rsidR="00546EA2">
        <w:rPr>
          <w:rFonts w:ascii="Arial" w:hAnsi="Arial" w:cs="Arial"/>
          <w:sz w:val="24"/>
          <w:szCs w:val="24"/>
        </w:rPr>
        <w:t xml:space="preserve"> evidence of a</w:t>
      </w:r>
      <w:r w:rsidRPr="00AB6810" w:rsidR="00B9756F">
        <w:rPr>
          <w:rFonts w:ascii="Arial" w:hAnsi="Arial" w:cs="Arial"/>
          <w:sz w:val="24"/>
          <w:szCs w:val="24"/>
        </w:rPr>
        <w:t>n</w:t>
      </w:r>
      <w:r w:rsidRPr="00AB6810">
        <w:rPr>
          <w:rFonts w:ascii="Arial" w:hAnsi="Arial" w:cs="Arial"/>
          <w:sz w:val="24"/>
          <w:szCs w:val="24"/>
        </w:rPr>
        <w:t xml:space="preserve"> association </w:t>
      </w:r>
      <w:r w:rsidRPr="00AB6810" w:rsidR="00603D7E">
        <w:rPr>
          <w:rFonts w:ascii="Arial" w:hAnsi="Arial" w:cs="Arial"/>
          <w:sz w:val="24"/>
          <w:szCs w:val="24"/>
        </w:rPr>
        <w:t xml:space="preserve">of small magnitude </w:t>
      </w:r>
      <w:r w:rsidRPr="00AB6810">
        <w:rPr>
          <w:rFonts w:ascii="Arial" w:hAnsi="Arial" w:cs="Arial"/>
          <w:sz w:val="24"/>
          <w:szCs w:val="24"/>
        </w:rPr>
        <w:t xml:space="preserve">between PA and </w:t>
      </w:r>
      <w:r w:rsidRPr="00AB6810" w:rsidR="00603D7E">
        <w:rPr>
          <w:rFonts w:ascii="Arial" w:hAnsi="Arial" w:cs="Arial"/>
          <w:sz w:val="24"/>
          <w:szCs w:val="24"/>
        </w:rPr>
        <w:t xml:space="preserve">total </w:t>
      </w:r>
      <w:r w:rsidRPr="00AB6810">
        <w:rPr>
          <w:rFonts w:ascii="Arial" w:hAnsi="Arial" w:cs="Arial"/>
          <w:sz w:val="24"/>
          <w:szCs w:val="24"/>
        </w:rPr>
        <w:t>pesticides</w:t>
      </w:r>
      <w:r w:rsidRPr="00AB6810" w:rsidR="00546EA2">
        <w:rPr>
          <w:rFonts w:ascii="Arial" w:hAnsi="Arial" w:cs="Arial"/>
          <w:sz w:val="24"/>
          <w:szCs w:val="24"/>
        </w:rPr>
        <w:t>, sulphur for spraying, mancozeb and glyphosate</w:t>
      </w:r>
      <w:r w:rsidRPr="00AB6810">
        <w:rPr>
          <w:rFonts w:ascii="Arial" w:hAnsi="Arial" w:cs="Arial"/>
          <w:sz w:val="24"/>
          <w:szCs w:val="24"/>
        </w:rPr>
        <w:t xml:space="preserve"> using an indirect exposure index. However, their specific implication in pancreatic carcinogenesis remains poorly described. These results need to be supported by other mechanistic and epidemiological data. </w:t>
      </w:r>
    </w:p>
    <w:p w:rsidRPr="00AB6810" w:rsidR="009E78E0" w:rsidP="00CF781E" w:rsidRDefault="009E78E0" w14:paraId="5A6BDE3B" w14:textId="7B06D4EF">
      <w:pPr>
        <w:spacing w:line="480" w:lineRule="auto"/>
        <w:rPr>
          <w:rFonts w:ascii="Arial" w:hAnsi="Arial" w:cs="Arial"/>
          <w:b/>
          <w:sz w:val="24"/>
          <w:szCs w:val="24"/>
          <w:u w:val="single"/>
        </w:rPr>
      </w:pPr>
      <w:r w:rsidRPr="00AB6810">
        <w:rPr>
          <w:rFonts w:ascii="Arial" w:hAnsi="Arial" w:cs="Arial"/>
          <w:b/>
          <w:sz w:val="24"/>
          <w:szCs w:val="24"/>
          <w:u w:val="single"/>
        </w:rPr>
        <w:t>References</w:t>
      </w:r>
    </w:p>
    <w:p w:rsidRPr="00AB6810" w:rsidR="00094508" w:rsidP="00094508" w:rsidRDefault="00967902" w14:paraId="42ED40BC" w14:textId="77777777">
      <w:pPr>
        <w:pStyle w:val="Bibliographie"/>
        <w:rPr>
          <w:rFonts w:cs="Times New Roman"/>
          <w:sz w:val="24"/>
          <w:szCs w:val="24"/>
        </w:rPr>
      </w:pPr>
      <w:r w:rsidRPr="00AB6810">
        <w:fldChar w:fldCharType="begin"/>
      </w:r>
      <w:r w:rsidRPr="00AB6810" w:rsidR="00F01B36">
        <w:instrText xml:space="preserve"> ADDIN ZOTERO_BIBL {"uncited":[],"omitted":[],"custom":[]} CSL_BIBLIOGRAPHY </w:instrText>
      </w:r>
      <w:r w:rsidRPr="00AB6810">
        <w:fldChar w:fldCharType="separate"/>
      </w:r>
      <w:r w:rsidRPr="00AB6810" w:rsidR="00094508">
        <w:rPr>
          <w:rFonts w:cs="Times New Roman"/>
          <w:sz w:val="24"/>
          <w:szCs w:val="24"/>
        </w:rPr>
        <w:t>1</w:t>
      </w:r>
      <w:r w:rsidRPr="00AB6810" w:rsidR="00094508">
        <w:rPr>
          <w:rFonts w:cs="Times New Roman"/>
          <w:sz w:val="24"/>
          <w:szCs w:val="24"/>
        </w:rPr>
        <w:tab/>
      </w:r>
      <w:r w:rsidRPr="00AB6810" w:rsidR="00094508">
        <w:rPr>
          <w:rFonts w:cs="Times New Roman"/>
          <w:sz w:val="24"/>
          <w:szCs w:val="24"/>
        </w:rPr>
        <w:t>Cancer today. http://gco.iarc.fr/today/home (accessed Oct 7, 2022).</w:t>
      </w:r>
    </w:p>
    <w:p w:rsidRPr="00AB6810" w:rsidR="00094508" w:rsidP="00094508" w:rsidRDefault="00094508" w14:paraId="22D940D1" w14:textId="77777777">
      <w:pPr>
        <w:pStyle w:val="Bibliographie"/>
        <w:rPr>
          <w:rFonts w:cs="Times New Roman"/>
          <w:sz w:val="24"/>
          <w:szCs w:val="24"/>
        </w:rPr>
      </w:pPr>
      <w:r w:rsidRPr="00AB6810">
        <w:rPr>
          <w:rFonts w:cs="Times New Roman"/>
          <w:sz w:val="24"/>
          <w:szCs w:val="24"/>
          <w:lang w:val="fr-FR"/>
        </w:rPr>
        <w:t>2</w:t>
      </w:r>
      <w:r w:rsidRPr="00AB6810">
        <w:rPr>
          <w:rFonts w:cs="Times New Roman"/>
          <w:sz w:val="24"/>
          <w:szCs w:val="24"/>
          <w:lang w:val="fr-FR"/>
        </w:rPr>
        <w:tab/>
      </w:r>
      <w:r w:rsidRPr="00AB6810">
        <w:rPr>
          <w:rFonts w:cs="Times New Roman"/>
          <w:sz w:val="24"/>
          <w:szCs w:val="24"/>
          <w:lang w:val="fr-FR"/>
        </w:rPr>
        <w:t xml:space="preserve">Bouvier A-M, Uhry Z, Jooste V,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Focus on an unusual rise in pancreatic cancer incidence in France. </w:t>
      </w:r>
      <w:r w:rsidRPr="00AB6810">
        <w:rPr>
          <w:rFonts w:cs="Times New Roman"/>
          <w:i/>
          <w:iCs/>
          <w:sz w:val="24"/>
          <w:szCs w:val="24"/>
        </w:rPr>
        <w:t>Int J Epidemiol</w:t>
      </w:r>
      <w:r w:rsidRPr="00AB6810">
        <w:rPr>
          <w:rFonts w:cs="Times New Roman"/>
          <w:sz w:val="24"/>
          <w:szCs w:val="24"/>
        </w:rPr>
        <w:t xml:space="preserve"> 2017; </w:t>
      </w:r>
      <w:r w:rsidRPr="00AB6810">
        <w:rPr>
          <w:rFonts w:cs="Times New Roman"/>
          <w:b/>
          <w:bCs/>
          <w:sz w:val="24"/>
          <w:szCs w:val="24"/>
        </w:rPr>
        <w:t>46</w:t>
      </w:r>
      <w:r w:rsidRPr="00AB6810">
        <w:rPr>
          <w:rFonts w:cs="Times New Roman"/>
          <w:sz w:val="24"/>
          <w:szCs w:val="24"/>
        </w:rPr>
        <w:t>: 1764–72.</w:t>
      </w:r>
    </w:p>
    <w:p w:rsidRPr="00AB6810" w:rsidR="00094508" w:rsidP="00094508" w:rsidRDefault="00094508" w14:paraId="03986793" w14:textId="77777777">
      <w:pPr>
        <w:pStyle w:val="Bibliographie"/>
        <w:rPr>
          <w:rFonts w:cs="Times New Roman"/>
          <w:sz w:val="24"/>
          <w:szCs w:val="24"/>
        </w:rPr>
      </w:pPr>
      <w:r w:rsidRPr="00AB6810">
        <w:rPr>
          <w:rFonts w:cs="Times New Roman"/>
          <w:sz w:val="24"/>
          <w:szCs w:val="24"/>
        </w:rPr>
        <w:t>3</w:t>
      </w:r>
      <w:r w:rsidRPr="00AB6810">
        <w:rPr>
          <w:rFonts w:cs="Times New Roman"/>
          <w:sz w:val="24"/>
          <w:szCs w:val="24"/>
        </w:rPr>
        <w:tab/>
      </w:r>
      <w:r w:rsidRPr="00AB6810">
        <w:rPr>
          <w:rFonts w:cs="Times New Roman"/>
          <w:sz w:val="24"/>
          <w:szCs w:val="24"/>
        </w:rPr>
        <w:t xml:space="preserve">The Lancet Gastroenterology Hepatology  null. Cause for concern: the rising incidence of early-onset pancreatic cancer. </w:t>
      </w:r>
      <w:r w:rsidRPr="00AB6810">
        <w:rPr>
          <w:rFonts w:cs="Times New Roman"/>
          <w:i/>
          <w:iCs/>
          <w:sz w:val="24"/>
          <w:szCs w:val="24"/>
        </w:rPr>
        <w:t>Lancet Gastroenterol Hepatol</w:t>
      </w:r>
      <w:r w:rsidRPr="00AB6810">
        <w:rPr>
          <w:rFonts w:cs="Times New Roman"/>
          <w:sz w:val="24"/>
          <w:szCs w:val="24"/>
        </w:rPr>
        <w:t xml:space="preserve"> 2023; </w:t>
      </w:r>
      <w:r w:rsidRPr="00AB6810">
        <w:rPr>
          <w:rFonts w:cs="Times New Roman"/>
          <w:b/>
          <w:bCs/>
          <w:sz w:val="24"/>
          <w:szCs w:val="24"/>
        </w:rPr>
        <w:t>8</w:t>
      </w:r>
      <w:r w:rsidRPr="00AB6810">
        <w:rPr>
          <w:rFonts w:cs="Times New Roman"/>
          <w:sz w:val="24"/>
          <w:szCs w:val="24"/>
        </w:rPr>
        <w:t>: 287.</w:t>
      </w:r>
    </w:p>
    <w:p w:rsidRPr="00AB6810" w:rsidR="00094508" w:rsidP="00094508" w:rsidRDefault="00094508" w14:paraId="08CA171F" w14:textId="77777777">
      <w:pPr>
        <w:pStyle w:val="Bibliographie"/>
        <w:rPr>
          <w:rFonts w:cs="Times New Roman"/>
          <w:sz w:val="24"/>
          <w:szCs w:val="24"/>
        </w:rPr>
      </w:pPr>
      <w:r w:rsidRPr="00AB6810">
        <w:rPr>
          <w:rFonts w:cs="Times New Roman"/>
          <w:sz w:val="24"/>
          <w:szCs w:val="24"/>
        </w:rPr>
        <w:t>4</w:t>
      </w:r>
      <w:r w:rsidRPr="00AB6810">
        <w:rPr>
          <w:rFonts w:cs="Times New Roman"/>
          <w:sz w:val="24"/>
          <w:szCs w:val="24"/>
        </w:rPr>
        <w:tab/>
      </w:r>
      <w:r w:rsidRPr="00AB6810">
        <w:rPr>
          <w:rFonts w:cs="Times New Roman"/>
          <w:sz w:val="24"/>
          <w:szCs w:val="24"/>
        </w:rPr>
        <w:t xml:space="preserve">Klein AP. Pancreatic cancer epidemiology: understanding the role of lifestyle and inherited risk factors. </w:t>
      </w:r>
      <w:r w:rsidRPr="00AB6810">
        <w:rPr>
          <w:rFonts w:cs="Times New Roman"/>
          <w:i/>
          <w:iCs/>
          <w:sz w:val="24"/>
          <w:szCs w:val="24"/>
        </w:rPr>
        <w:t>Nat Rev Gastroenterol Hepatol</w:t>
      </w:r>
      <w:r w:rsidRPr="00AB6810">
        <w:rPr>
          <w:rFonts w:cs="Times New Roman"/>
          <w:sz w:val="24"/>
          <w:szCs w:val="24"/>
        </w:rPr>
        <w:t xml:space="preserve"> 2021; </w:t>
      </w:r>
      <w:r w:rsidRPr="00AB6810">
        <w:rPr>
          <w:rFonts w:cs="Times New Roman"/>
          <w:b/>
          <w:bCs/>
          <w:sz w:val="24"/>
          <w:szCs w:val="24"/>
        </w:rPr>
        <w:t>18</w:t>
      </w:r>
      <w:r w:rsidRPr="00AB6810">
        <w:rPr>
          <w:rFonts w:cs="Times New Roman"/>
          <w:sz w:val="24"/>
          <w:szCs w:val="24"/>
        </w:rPr>
        <w:t>: 493–502.</w:t>
      </w:r>
    </w:p>
    <w:p w:rsidRPr="00AB6810" w:rsidR="00094508" w:rsidP="00094508" w:rsidRDefault="00094508" w14:paraId="4BE5B3E3" w14:textId="77777777">
      <w:pPr>
        <w:pStyle w:val="Bibliographie"/>
        <w:rPr>
          <w:rFonts w:cs="Times New Roman"/>
          <w:sz w:val="24"/>
          <w:szCs w:val="24"/>
        </w:rPr>
      </w:pPr>
      <w:r w:rsidRPr="00AB6810">
        <w:rPr>
          <w:rFonts w:cs="Times New Roman"/>
          <w:sz w:val="24"/>
          <w:szCs w:val="24"/>
        </w:rPr>
        <w:t>5</w:t>
      </w:r>
      <w:r w:rsidRPr="00AB6810">
        <w:rPr>
          <w:rFonts w:cs="Times New Roman"/>
          <w:sz w:val="24"/>
          <w:szCs w:val="24"/>
        </w:rPr>
        <w:tab/>
      </w:r>
      <w:r w:rsidRPr="00AB6810">
        <w:rPr>
          <w:rFonts w:cs="Times New Roman"/>
          <w:sz w:val="24"/>
          <w:szCs w:val="24"/>
        </w:rPr>
        <w:t xml:space="preserve">Brugel M, Carlier C, Reyes-Castellanos G, Callon S, Carrier A, Bouché O. Pesticides and pancreatic adenocarcinoma: A transversal epidemiological, environmental and mechanistic narrative review. </w:t>
      </w:r>
      <w:r w:rsidRPr="00AB6810">
        <w:rPr>
          <w:rFonts w:cs="Times New Roman"/>
          <w:i/>
          <w:iCs/>
          <w:sz w:val="24"/>
          <w:szCs w:val="24"/>
        </w:rPr>
        <w:t>Dig Liver Dis Off J Ital Soc Gastroenterol Ital Assoc Study Liver</w:t>
      </w:r>
      <w:r w:rsidRPr="00AB6810">
        <w:rPr>
          <w:rFonts w:cs="Times New Roman"/>
          <w:sz w:val="24"/>
          <w:szCs w:val="24"/>
        </w:rPr>
        <w:t xml:space="preserve"> 2022; : S1590-8658(22)00654-5.</w:t>
      </w:r>
    </w:p>
    <w:p w:rsidRPr="00AB6810" w:rsidR="00094508" w:rsidP="00094508" w:rsidRDefault="00094508" w14:paraId="4632EB13" w14:textId="77777777">
      <w:pPr>
        <w:pStyle w:val="Bibliographie"/>
        <w:rPr>
          <w:rFonts w:cs="Times New Roman"/>
          <w:sz w:val="24"/>
          <w:szCs w:val="24"/>
          <w:lang w:val="fr-FR"/>
        </w:rPr>
      </w:pPr>
      <w:r w:rsidRPr="00AB6810">
        <w:rPr>
          <w:rFonts w:cs="Times New Roman"/>
          <w:sz w:val="24"/>
          <w:szCs w:val="24"/>
          <w:lang w:val="fr-FR"/>
        </w:rPr>
        <w:t>6</w:t>
      </w:r>
      <w:r w:rsidRPr="00AB6810">
        <w:rPr>
          <w:rFonts w:cs="Times New Roman"/>
          <w:sz w:val="24"/>
          <w:szCs w:val="24"/>
          <w:lang w:val="fr-FR"/>
        </w:rPr>
        <w:tab/>
      </w:r>
      <w:r w:rsidRPr="00AB6810">
        <w:rPr>
          <w:rFonts w:cs="Times New Roman"/>
          <w:sz w:val="24"/>
          <w:szCs w:val="24"/>
          <w:lang w:val="fr-FR"/>
        </w:rPr>
        <w:t>Recensement agricole 2020 - Indicateurs : cartes, données et graphiques. https://stats.agriculture.gouv.fr/cartostat/#view=map11&amp;c=indicator (accessed June 9, 2023).</w:t>
      </w:r>
    </w:p>
    <w:p w:rsidRPr="00AB6810" w:rsidR="00094508" w:rsidP="00094508" w:rsidRDefault="00094508" w14:paraId="2A71090D" w14:textId="77777777">
      <w:pPr>
        <w:pStyle w:val="Bibliographie"/>
        <w:rPr>
          <w:rFonts w:cs="Times New Roman"/>
          <w:sz w:val="24"/>
          <w:szCs w:val="24"/>
        </w:rPr>
      </w:pPr>
      <w:r w:rsidRPr="00AB6810">
        <w:rPr>
          <w:rFonts w:cs="Times New Roman"/>
          <w:sz w:val="24"/>
          <w:szCs w:val="24"/>
        </w:rPr>
        <w:t>7</w:t>
      </w:r>
      <w:r w:rsidRPr="00AB6810">
        <w:rPr>
          <w:rFonts w:cs="Times New Roman"/>
          <w:sz w:val="24"/>
          <w:szCs w:val="24"/>
        </w:rPr>
        <w:tab/>
      </w:r>
      <w:r w:rsidRPr="00AB6810">
        <w:rPr>
          <w:rFonts w:cs="Times New Roman"/>
          <w:sz w:val="24"/>
          <w:szCs w:val="24"/>
        </w:rPr>
        <w:t>Inserm. Effects of pesticides on health: New data. https://www.inserm.fr/expertise-collective/pesticides-et-sante-nouvelles-donnees-2021/.</w:t>
      </w:r>
    </w:p>
    <w:p w:rsidRPr="00AB6810" w:rsidR="00094508" w:rsidP="00094508" w:rsidRDefault="00094508" w14:paraId="4D7506B2" w14:textId="77777777">
      <w:pPr>
        <w:pStyle w:val="Bibliographie"/>
        <w:rPr>
          <w:rFonts w:cs="Times New Roman"/>
          <w:sz w:val="24"/>
          <w:szCs w:val="24"/>
        </w:rPr>
      </w:pPr>
      <w:r w:rsidRPr="00AB6810">
        <w:rPr>
          <w:rFonts w:cs="Times New Roman"/>
          <w:sz w:val="24"/>
          <w:szCs w:val="24"/>
          <w:lang w:val="fr-FR"/>
        </w:rPr>
        <w:t>8</w:t>
      </w:r>
      <w:r w:rsidRPr="00AB6810">
        <w:rPr>
          <w:rFonts w:cs="Times New Roman"/>
          <w:sz w:val="24"/>
          <w:szCs w:val="24"/>
          <w:lang w:val="fr-FR"/>
        </w:rPr>
        <w:tab/>
      </w:r>
      <w:r w:rsidRPr="00AB6810">
        <w:rPr>
          <w:rFonts w:cs="Times New Roman"/>
          <w:sz w:val="24"/>
          <w:szCs w:val="24"/>
          <w:lang w:val="fr-FR"/>
        </w:rPr>
        <w:t xml:space="preserve">Costet N, Béranger R, Garlantézec R,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Occupational exposure to organic solvents during pregnancy and childhood behavior: findings from the PELAGIE birth cohort (France, 2002-2013). </w:t>
      </w:r>
      <w:r w:rsidRPr="00AB6810">
        <w:rPr>
          <w:rFonts w:cs="Times New Roman"/>
          <w:i/>
          <w:iCs/>
          <w:sz w:val="24"/>
          <w:szCs w:val="24"/>
        </w:rPr>
        <w:t>Environ Health Glob Access Sci Source</w:t>
      </w:r>
      <w:r w:rsidRPr="00AB6810">
        <w:rPr>
          <w:rFonts w:cs="Times New Roman"/>
          <w:sz w:val="24"/>
          <w:szCs w:val="24"/>
        </w:rPr>
        <w:t xml:space="preserve"> 2018; </w:t>
      </w:r>
      <w:r w:rsidRPr="00AB6810">
        <w:rPr>
          <w:rFonts w:cs="Times New Roman"/>
          <w:b/>
          <w:bCs/>
          <w:sz w:val="24"/>
          <w:szCs w:val="24"/>
        </w:rPr>
        <w:t>17</w:t>
      </w:r>
      <w:r w:rsidRPr="00AB6810">
        <w:rPr>
          <w:rFonts w:cs="Times New Roman"/>
          <w:sz w:val="24"/>
          <w:szCs w:val="24"/>
        </w:rPr>
        <w:t>: 63.</w:t>
      </w:r>
    </w:p>
    <w:p w:rsidRPr="00AB6810" w:rsidR="00094508" w:rsidP="00094508" w:rsidRDefault="00094508" w14:paraId="1D8EC5BD" w14:textId="77777777">
      <w:pPr>
        <w:pStyle w:val="Bibliographie"/>
        <w:rPr>
          <w:rFonts w:cs="Times New Roman"/>
          <w:sz w:val="24"/>
          <w:szCs w:val="24"/>
        </w:rPr>
      </w:pPr>
      <w:r w:rsidRPr="00AB6810">
        <w:rPr>
          <w:rFonts w:cs="Times New Roman"/>
          <w:sz w:val="24"/>
          <w:szCs w:val="24"/>
        </w:rPr>
        <w:t>9</w:t>
      </w:r>
      <w:r w:rsidRPr="00AB6810">
        <w:rPr>
          <w:rFonts w:cs="Times New Roman"/>
          <w:sz w:val="24"/>
          <w:szCs w:val="24"/>
        </w:rPr>
        <w:tab/>
      </w:r>
      <w:r w:rsidRPr="00AB6810">
        <w:rPr>
          <w:rFonts w:cs="Times New Roman"/>
          <w:sz w:val="24"/>
          <w:szCs w:val="24"/>
        </w:rPr>
        <w:t xml:space="preserve">Béranger R, Hardy EM, Binter A-C, </w:t>
      </w:r>
      <w:r w:rsidRPr="00AB6810">
        <w:rPr>
          <w:rFonts w:cs="Times New Roman"/>
          <w:i/>
          <w:iCs/>
          <w:sz w:val="24"/>
          <w:szCs w:val="24"/>
        </w:rPr>
        <w:t>et al.</w:t>
      </w:r>
      <w:r w:rsidRPr="00AB6810">
        <w:rPr>
          <w:rFonts w:cs="Times New Roman"/>
          <w:sz w:val="24"/>
          <w:szCs w:val="24"/>
        </w:rPr>
        <w:t xml:space="preserve"> Multiple pesticides in mothers’ hair samples and children’s measurements at birth: Results from the French national birth cohort (ELFE). </w:t>
      </w:r>
      <w:r w:rsidRPr="00AB6810">
        <w:rPr>
          <w:rFonts w:cs="Times New Roman"/>
          <w:i/>
          <w:iCs/>
          <w:sz w:val="24"/>
          <w:szCs w:val="24"/>
        </w:rPr>
        <w:t>Int J Hyg Environ Health</w:t>
      </w:r>
      <w:r w:rsidRPr="00AB6810">
        <w:rPr>
          <w:rFonts w:cs="Times New Roman"/>
          <w:sz w:val="24"/>
          <w:szCs w:val="24"/>
        </w:rPr>
        <w:t xml:space="preserve"> 2020; </w:t>
      </w:r>
      <w:r w:rsidRPr="00AB6810">
        <w:rPr>
          <w:rFonts w:cs="Times New Roman"/>
          <w:b/>
          <w:bCs/>
          <w:sz w:val="24"/>
          <w:szCs w:val="24"/>
        </w:rPr>
        <w:t>223</w:t>
      </w:r>
      <w:r w:rsidRPr="00AB6810">
        <w:rPr>
          <w:rFonts w:cs="Times New Roman"/>
          <w:sz w:val="24"/>
          <w:szCs w:val="24"/>
        </w:rPr>
        <w:t>: 22–33.</w:t>
      </w:r>
    </w:p>
    <w:p w:rsidRPr="00AB6810" w:rsidR="00094508" w:rsidP="00094508" w:rsidRDefault="00094508" w14:paraId="0944ACCB" w14:textId="77777777">
      <w:pPr>
        <w:pStyle w:val="Bibliographie"/>
        <w:rPr>
          <w:rFonts w:cs="Times New Roman"/>
          <w:sz w:val="24"/>
          <w:szCs w:val="24"/>
          <w:lang w:val="fr-FR"/>
        </w:rPr>
      </w:pPr>
      <w:r w:rsidRPr="00AB6810">
        <w:rPr>
          <w:rFonts w:cs="Times New Roman"/>
          <w:sz w:val="24"/>
          <w:szCs w:val="24"/>
        </w:rPr>
        <w:t>10</w:t>
      </w:r>
      <w:r w:rsidRPr="00AB6810">
        <w:rPr>
          <w:rFonts w:cs="Times New Roman"/>
          <w:sz w:val="24"/>
          <w:szCs w:val="24"/>
        </w:rPr>
        <w:tab/>
      </w:r>
      <w:r w:rsidRPr="00AB6810">
        <w:rPr>
          <w:rFonts w:cs="Times New Roman"/>
          <w:sz w:val="24"/>
          <w:szCs w:val="24"/>
        </w:rPr>
        <w:t xml:space="preserve">Perrin L, Moisan F, Spinosi J, Chaperon L, Jezewski-Serra D, Elbaz A. Combining crop-exposure matrices and land use data to estimate indices of environmental and occupational exposure to pesticides. </w:t>
      </w:r>
      <w:r w:rsidRPr="00AB6810">
        <w:rPr>
          <w:rFonts w:cs="Times New Roman"/>
          <w:i/>
          <w:iCs/>
          <w:sz w:val="24"/>
          <w:szCs w:val="24"/>
          <w:lang w:val="fr-FR"/>
        </w:rPr>
        <w:t>J Expo Sci Environ Epidemiol</w:t>
      </w:r>
      <w:r w:rsidRPr="00AB6810">
        <w:rPr>
          <w:rFonts w:cs="Times New Roman"/>
          <w:sz w:val="24"/>
          <w:szCs w:val="24"/>
          <w:lang w:val="fr-FR"/>
        </w:rPr>
        <w:t xml:space="preserve"> 2023; published online June 14. DOI:10.1038/s41370-023-00562-w.</w:t>
      </w:r>
    </w:p>
    <w:p w:rsidRPr="00AB6810" w:rsidR="00094508" w:rsidP="00094508" w:rsidRDefault="00094508" w14:paraId="2AA5A603" w14:textId="77777777">
      <w:pPr>
        <w:pStyle w:val="Bibliographie"/>
        <w:rPr>
          <w:rFonts w:cs="Times New Roman"/>
          <w:sz w:val="24"/>
          <w:szCs w:val="24"/>
        </w:rPr>
      </w:pPr>
      <w:r w:rsidRPr="00AB6810">
        <w:rPr>
          <w:rFonts w:cs="Times New Roman"/>
          <w:sz w:val="24"/>
          <w:szCs w:val="24"/>
          <w:lang w:val="fr-FR"/>
        </w:rPr>
        <w:t>11</w:t>
      </w:r>
      <w:r w:rsidRPr="00AB6810">
        <w:rPr>
          <w:rFonts w:cs="Times New Roman"/>
          <w:sz w:val="24"/>
          <w:szCs w:val="24"/>
          <w:lang w:val="fr-FR"/>
        </w:rPr>
        <w:tab/>
      </w:r>
      <w:r w:rsidRPr="00AB6810">
        <w:rPr>
          <w:rFonts w:cs="Times New Roman"/>
          <w:sz w:val="24"/>
          <w:szCs w:val="24"/>
          <w:lang w:val="fr-FR"/>
        </w:rPr>
        <w:t xml:space="preserve">ameli, le site de l’Assurance Maladie en ligne | ameli.fr | Assuré. </w:t>
      </w:r>
      <w:r w:rsidRPr="00AB6810">
        <w:rPr>
          <w:rFonts w:cs="Times New Roman"/>
          <w:sz w:val="24"/>
          <w:szCs w:val="24"/>
        </w:rPr>
        <w:t>2023; published online July 26. https://www.ameli.fr/assure (accessed Aug 7, 2023).</w:t>
      </w:r>
    </w:p>
    <w:p w:rsidRPr="00AB6810" w:rsidR="00094508" w:rsidP="00094508" w:rsidRDefault="00094508" w14:paraId="2FDE98C2" w14:textId="77777777">
      <w:pPr>
        <w:pStyle w:val="Bibliographie"/>
        <w:rPr>
          <w:rFonts w:cs="Times New Roman"/>
          <w:sz w:val="24"/>
          <w:szCs w:val="24"/>
          <w:lang w:val="fr-FR"/>
        </w:rPr>
      </w:pPr>
      <w:r w:rsidRPr="00AB6810">
        <w:rPr>
          <w:rFonts w:cs="Times New Roman"/>
          <w:sz w:val="24"/>
          <w:szCs w:val="24"/>
          <w:lang w:val="fr-FR"/>
        </w:rPr>
        <w:t>12</w:t>
      </w:r>
      <w:r w:rsidRPr="00AB6810">
        <w:rPr>
          <w:rFonts w:cs="Times New Roman"/>
          <w:sz w:val="24"/>
          <w:szCs w:val="24"/>
          <w:lang w:val="fr-FR"/>
        </w:rPr>
        <w:tab/>
      </w:r>
      <w:r w:rsidRPr="00AB6810">
        <w:rPr>
          <w:rFonts w:cs="Times New Roman"/>
          <w:sz w:val="24"/>
          <w:szCs w:val="24"/>
          <w:lang w:val="fr-FR"/>
        </w:rPr>
        <w:t>Cartographie PMSI - Indicateurs : cartes, données et graphiques. https://cartographie.atih.sante.fr/#c=indicator&amp;e=000000000&amp;f=TT&amp;i=sejoursmco.eft&amp;s=2021&amp;t=A02&amp;view=map1 (accessed June 9, 2023).</w:t>
      </w:r>
    </w:p>
    <w:p w:rsidRPr="00AB6810" w:rsidR="00094508" w:rsidP="00094508" w:rsidRDefault="00094508" w14:paraId="099711E3" w14:textId="77777777">
      <w:pPr>
        <w:pStyle w:val="Bibliographie"/>
        <w:rPr>
          <w:rFonts w:cs="Times New Roman"/>
          <w:sz w:val="24"/>
          <w:szCs w:val="24"/>
        </w:rPr>
      </w:pPr>
      <w:r w:rsidRPr="00AB6810">
        <w:rPr>
          <w:rFonts w:cs="Times New Roman"/>
          <w:sz w:val="24"/>
          <w:szCs w:val="24"/>
          <w:lang w:val="fr-FR"/>
        </w:rPr>
        <w:t>13</w:t>
      </w:r>
      <w:r w:rsidRPr="00AB6810">
        <w:rPr>
          <w:rFonts w:cs="Times New Roman"/>
          <w:sz w:val="24"/>
          <w:szCs w:val="24"/>
          <w:lang w:val="fr-FR"/>
        </w:rPr>
        <w:tab/>
      </w:r>
      <w:r w:rsidRPr="00AB6810">
        <w:rPr>
          <w:rFonts w:cs="Times New Roman"/>
          <w:sz w:val="24"/>
          <w:szCs w:val="24"/>
          <w:lang w:val="fr-FR"/>
        </w:rPr>
        <w:t xml:space="preserve">Ghenassia A, Beuscart JB, Ficheur G,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A generic method for improving the spatial interoperability of medical and ecological databases. </w:t>
      </w:r>
      <w:r w:rsidRPr="00AB6810">
        <w:rPr>
          <w:rFonts w:cs="Times New Roman"/>
          <w:i/>
          <w:iCs/>
          <w:sz w:val="24"/>
          <w:szCs w:val="24"/>
        </w:rPr>
        <w:t>Int J Health Geogr</w:t>
      </w:r>
      <w:r w:rsidRPr="00AB6810">
        <w:rPr>
          <w:rFonts w:cs="Times New Roman"/>
          <w:sz w:val="24"/>
          <w:szCs w:val="24"/>
        </w:rPr>
        <w:t xml:space="preserve"> 2017; </w:t>
      </w:r>
      <w:r w:rsidRPr="00AB6810">
        <w:rPr>
          <w:rFonts w:cs="Times New Roman"/>
          <w:b/>
          <w:bCs/>
          <w:sz w:val="24"/>
          <w:szCs w:val="24"/>
        </w:rPr>
        <w:t>16</w:t>
      </w:r>
      <w:r w:rsidRPr="00AB6810">
        <w:rPr>
          <w:rFonts w:cs="Times New Roman"/>
          <w:sz w:val="24"/>
          <w:szCs w:val="24"/>
        </w:rPr>
        <w:t>: 36.</w:t>
      </w:r>
    </w:p>
    <w:p w:rsidRPr="00AB6810" w:rsidR="00094508" w:rsidP="00094508" w:rsidRDefault="00094508" w14:paraId="0395E8EA" w14:textId="77777777">
      <w:pPr>
        <w:pStyle w:val="Bibliographie"/>
        <w:rPr>
          <w:rFonts w:cs="Times New Roman"/>
          <w:sz w:val="24"/>
          <w:szCs w:val="24"/>
          <w:lang w:val="fr-FR"/>
        </w:rPr>
      </w:pPr>
      <w:r w:rsidRPr="00AB6810">
        <w:rPr>
          <w:rFonts w:cs="Times New Roman"/>
          <w:sz w:val="24"/>
          <w:szCs w:val="24"/>
        </w:rPr>
        <w:t>14</w:t>
      </w:r>
      <w:r w:rsidRPr="00AB6810">
        <w:rPr>
          <w:rFonts w:cs="Times New Roman"/>
          <w:sz w:val="24"/>
          <w:szCs w:val="24"/>
        </w:rPr>
        <w:tab/>
      </w:r>
      <w:r w:rsidRPr="00AB6810">
        <w:rPr>
          <w:rFonts w:cs="Times New Roman"/>
          <w:sz w:val="24"/>
          <w:szCs w:val="24"/>
        </w:rPr>
        <w:t xml:space="preserve">Conroy T, Castan F, Lopez A, </w:t>
      </w:r>
      <w:r w:rsidRPr="00AB6810">
        <w:rPr>
          <w:rFonts w:cs="Times New Roman"/>
          <w:i/>
          <w:iCs/>
          <w:sz w:val="24"/>
          <w:szCs w:val="24"/>
        </w:rPr>
        <w:t>et al.</w:t>
      </w:r>
      <w:r w:rsidRPr="00AB6810">
        <w:rPr>
          <w:rFonts w:cs="Times New Roman"/>
          <w:sz w:val="24"/>
          <w:szCs w:val="24"/>
        </w:rPr>
        <w:t xml:space="preserve"> Five-Year Outcomes of FOLFIRINOX vs Gemcitabine as Adjuvant Therapy for Pancreatic Cancer: A Randomized Clinical Trial. </w:t>
      </w:r>
      <w:r w:rsidRPr="00AB6810">
        <w:rPr>
          <w:rFonts w:cs="Times New Roman"/>
          <w:i/>
          <w:iCs/>
          <w:sz w:val="24"/>
          <w:szCs w:val="24"/>
          <w:lang w:val="fr-FR"/>
        </w:rPr>
        <w:t>JAMA Oncol</w:t>
      </w:r>
      <w:r w:rsidRPr="00AB6810">
        <w:rPr>
          <w:rFonts w:cs="Times New Roman"/>
          <w:sz w:val="24"/>
          <w:szCs w:val="24"/>
          <w:lang w:val="fr-FR"/>
        </w:rPr>
        <w:t xml:space="preserve"> 2022; </w:t>
      </w:r>
      <w:r w:rsidRPr="00AB6810">
        <w:rPr>
          <w:rFonts w:cs="Times New Roman"/>
          <w:b/>
          <w:bCs/>
          <w:sz w:val="24"/>
          <w:szCs w:val="24"/>
          <w:lang w:val="fr-FR"/>
        </w:rPr>
        <w:t>8</w:t>
      </w:r>
      <w:r w:rsidRPr="00AB6810">
        <w:rPr>
          <w:rFonts w:cs="Times New Roman"/>
          <w:sz w:val="24"/>
          <w:szCs w:val="24"/>
          <w:lang w:val="fr-FR"/>
        </w:rPr>
        <w:t>: 1571–8.</w:t>
      </w:r>
    </w:p>
    <w:p w:rsidRPr="00AB6810" w:rsidR="00094508" w:rsidP="00094508" w:rsidRDefault="00094508" w14:paraId="29151C5F" w14:textId="77777777">
      <w:pPr>
        <w:pStyle w:val="Bibliographie"/>
        <w:rPr>
          <w:rFonts w:cs="Times New Roman"/>
          <w:sz w:val="24"/>
          <w:szCs w:val="24"/>
          <w:lang w:val="fr-FR"/>
        </w:rPr>
      </w:pPr>
      <w:r w:rsidRPr="00AB6810">
        <w:rPr>
          <w:rFonts w:cs="Times New Roman"/>
          <w:sz w:val="24"/>
          <w:szCs w:val="24"/>
          <w:lang w:val="fr-FR"/>
        </w:rPr>
        <w:t>15</w:t>
      </w:r>
      <w:r w:rsidRPr="00AB6810">
        <w:rPr>
          <w:rFonts w:cs="Times New Roman"/>
          <w:sz w:val="24"/>
          <w:szCs w:val="24"/>
          <w:lang w:val="fr-FR"/>
        </w:rPr>
        <w:tab/>
      </w:r>
      <w:r w:rsidRPr="00AB6810">
        <w:rPr>
          <w:rFonts w:cs="Times New Roman"/>
          <w:sz w:val="24"/>
          <w:szCs w:val="24"/>
          <w:lang w:val="fr-FR"/>
        </w:rPr>
        <w:t>EU Pesticides Database - Active substances. https://ec.europa.eu/food/plant/pesticides/eu-pesticides-database/start/screen/active-substances (accessed Nov 29, 2022).</w:t>
      </w:r>
    </w:p>
    <w:p w:rsidRPr="00AB6810" w:rsidR="00094508" w:rsidP="00094508" w:rsidRDefault="00094508" w14:paraId="29EE274E" w14:textId="77777777">
      <w:pPr>
        <w:pStyle w:val="Bibliographie"/>
        <w:rPr>
          <w:rFonts w:cs="Times New Roman"/>
          <w:sz w:val="24"/>
          <w:szCs w:val="24"/>
        </w:rPr>
      </w:pPr>
      <w:r w:rsidRPr="00AB6810">
        <w:rPr>
          <w:rFonts w:cs="Times New Roman"/>
          <w:sz w:val="24"/>
          <w:szCs w:val="24"/>
        </w:rPr>
        <w:t>16</w:t>
      </w:r>
      <w:r w:rsidRPr="00AB6810">
        <w:rPr>
          <w:rFonts w:cs="Times New Roman"/>
          <w:sz w:val="24"/>
          <w:szCs w:val="24"/>
        </w:rPr>
        <w:tab/>
      </w:r>
      <w:r w:rsidRPr="00AB6810">
        <w:rPr>
          <w:rFonts w:cs="Times New Roman"/>
          <w:sz w:val="24"/>
          <w:szCs w:val="24"/>
        </w:rPr>
        <w:t>BNVD TRAÇABILITÉ. https://ventes-produits-phytopharmaceutiques.eaufrance.fr/search (accessed Nov 29, 2022).</w:t>
      </w:r>
    </w:p>
    <w:p w:rsidRPr="00AB6810" w:rsidR="00094508" w:rsidP="00094508" w:rsidRDefault="00094508" w14:paraId="3066970E" w14:textId="77777777">
      <w:pPr>
        <w:pStyle w:val="Bibliographie"/>
        <w:rPr>
          <w:rFonts w:cs="Times New Roman"/>
          <w:sz w:val="24"/>
          <w:szCs w:val="24"/>
        </w:rPr>
      </w:pPr>
      <w:r w:rsidRPr="00AB6810">
        <w:rPr>
          <w:rFonts w:cs="Times New Roman"/>
          <w:sz w:val="24"/>
          <w:szCs w:val="24"/>
        </w:rPr>
        <w:t>17</w:t>
      </w:r>
      <w:r w:rsidRPr="00AB6810">
        <w:rPr>
          <w:rFonts w:cs="Times New Roman"/>
          <w:sz w:val="24"/>
          <w:szCs w:val="24"/>
        </w:rPr>
        <w:tab/>
      </w:r>
      <w:r w:rsidRPr="00AB6810">
        <w:rPr>
          <w:rFonts w:cs="Times New Roman"/>
          <w:sz w:val="24"/>
          <w:szCs w:val="24"/>
        </w:rPr>
        <w:t>CORINE Land Cover — Copernicus Land Monitoring Service. https://land.copernicus.eu/pan-european/corine-land-cover (accessed Nov 29, 2022).</w:t>
      </w:r>
    </w:p>
    <w:p w:rsidRPr="00AB6810" w:rsidR="00094508" w:rsidP="00094508" w:rsidRDefault="00094508" w14:paraId="6ABDC502" w14:textId="77777777">
      <w:pPr>
        <w:pStyle w:val="Bibliographie"/>
        <w:rPr>
          <w:rFonts w:cs="Times New Roman"/>
          <w:sz w:val="24"/>
          <w:szCs w:val="24"/>
        </w:rPr>
      </w:pPr>
      <w:r w:rsidRPr="00AB6810">
        <w:rPr>
          <w:rFonts w:cs="Times New Roman"/>
          <w:sz w:val="24"/>
          <w:szCs w:val="24"/>
        </w:rPr>
        <w:t>18</w:t>
      </w:r>
      <w:r w:rsidRPr="00AB6810">
        <w:rPr>
          <w:rFonts w:cs="Times New Roman"/>
          <w:sz w:val="24"/>
          <w:szCs w:val="24"/>
        </w:rPr>
        <w:tab/>
      </w:r>
      <w:r w:rsidRPr="00AB6810">
        <w:rPr>
          <w:rFonts w:cs="Times New Roman"/>
          <w:sz w:val="24"/>
          <w:szCs w:val="24"/>
        </w:rPr>
        <w:t xml:space="preserve">Togawa K, Leon ME, Lebailly P, </w:t>
      </w:r>
      <w:r w:rsidRPr="00AB6810">
        <w:rPr>
          <w:rFonts w:cs="Times New Roman"/>
          <w:i/>
          <w:iCs/>
          <w:sz w:val="24"/>
          <w:szCs w:val="24"/>
        </w:rPr>
        <w:t>et al.</w:t>
      </w:r>
      <w:r w:rsidRPr="00AB6810">
        <w:rPr>
          <w:rFonts w:cs="Times New Roman"/>
          <w:sz w:val="24"/>
          <w:szCs w:val="24"/>
        </w:rPr>
        <w:t xml:space="preserve"> Cancer incidence in agricultural workers: Findings from an international consortium of agricultural cohort studies (AGRICOH). </w:t>
      </w:r>
      <w:r w:rsidRPr="00AB6810">
        <w:rPr>
          <w:rFonts w:cs="Times New Roman"/>
          <w:i/>
          <w:iCs/>
          <w:sz w:val="24"/>
          <w:szCs w:val="24"/>
        </w:rPr>
        <w:t>Environ Int</w:t>
      </w:r>
      <w:r w:rsidRPr="00AB6810">
        <w:rPr>
          <w:rFonts w:cs="Times New Roman"/>
          <w:sz w:val="24"/>
          <w:szCs w:val="24"/>
        </w:rPr>
        <w:t xml:space="preserve"> 2021; </w:t>
      </w:r>
      <w:r w:rsidRPr="00AB6810">
        <w:rPr>
          <w:rFonts w:cs="Times New Roman"/>
          <w:b/>
          <w:bCs/>
          <w:sz w:val="24"/>
          <w:szCs w:val="24"/>
        </w:rPr>
        <w:t>157</w:t>
      </w:r>
      <w:r w:rsidRPr="00AB6810">
        <w:rPr>
          <w:rFonts w:cs="Times New Roman"/>
          <w:sz w:val="24"/>
          <w:szCs w:val="24"/>
        </w:rPr>
        <w:t>: 106825.</w:t>
      </w:r>
    </w:p>
    <w:p w:rsidRPr="00AB6810" w:rsidR="00094508" w:rsidP="00094508" w:rsidRDefault="00094508" w14:paraId="0D3BBE2A" w14:textId="77777777">
      <w:pPr>
        <w:pStyle w:val="Bibliographie"/>
        <w:rPr>
          <w:rFonts w:cs="Times New Roman"/>
          <w:sz w:val="24"/>
          <w:szCs w:val="24"/>
        </w:rPr>
      </w:pPr>
      <w:r w:rsidRPr="00AB6810">
        <w:rPr>
          <w:rFonts w:cs="Times New Roman"/>
          <w:sz w:val="24"/>
          <w:szCs w:val="24"/>
        </w:rPr>
        <w:t>19</w:t>
      </w:r>
      <w:r w:rsidRPr="00AB6810">
        <w:rPr>
          <w:rFonts w:cs="Times New Roman"/>
          <w:sz w:val="24"/>
          <w:szCs w:val="24"/>
        </w:rPr>
        <w:tab/>
      </w:r>
      <w:r w:rsidRPr="00AB6810">
        <w:rPr>
          <w:rFonts w:cs="Times New Roman"/>
          <w:sz w:val="24"/>
          <w:szCs w:val="24"/>
        </w:rPr>
        <w:t xml:space="preserve">Reitsma MB, Flor LS, Mullany EC, Gupta V, Hay SI, Gakidou E. Spatial, temporal, and demographic patterns in prevalence of smoking tobacco use and initiation among young people in 204 countries and territories, 1990–2019. </w:t>
      </w:r>
      <w:r w:rsidRPr="00AB6810">
        <w:rPr>
          <w:rFonts w:cs="Times New Roman"/>
          <w:i/>
          <w:iCs/>
          <w:sz w:val="24"/>
          <w:szCs w:val="24"/>
        </w:rPr>
        <w:t>Lancet Public Health</w:t>
      </w:r>
      <w:r w:rsidRPr="00AB6810">
        <w:rPr>
          <w:rFonts w:cs="Times New Roman"/>
          <w:sz w:val="24"/>
          <w:szCs w:val="24"/>
        </w:rPr>
        <w:t xml:space="preserve"> 2021; </w:t>
      </w:r>
      <w:r w:rsidRPr="00AB6810">
        <w:rPr>
          <w:rFonts w:cs="Times New Roman"/>
          <w:b/>
          <w:bCs/>
          <w:sz w:val="24"/>
          <w:szCs w:val="24"/>
        </w:rPr>
        <w:t>6</w:t>
      </w:r>
      <w:r w:rsidRPr="00AB6810">
        <w:rPr>
          <w:rFonts w:cs="Times New Roman"/>
          <w:sz w:val="24"/>
          <w:szCs w:val="24"/>
        </w:rPr>
        <w:t>: e472–81.</w:t>
      </w:r>
    </w:p>
    <w:p w:rsidRPr="00AB6810" w:rsidR="00094508" w:rsidP="00094508" w:rsidRDefault="00094508" w14:paraId="47FAFBF7" w14:textId="77777777">
      <w:pPr>
        <w:pStyle w:val="Bibliographie"/>
        <w:rPr>
          <w:rFonts w:cs="Times New Roman"/>
          <w:sz w:val="24"/>
          <w:szCs w:val="24"/>
        </w:rPr>
      </w:pPr>
      <w:r w:rsidRPr="00AB6810">
        <w:rPr>
          <w:rFonts w:cs="Times New Roman"/>
          <w:sz w:val="24"/>
          <w:szCs w:val="24"/>
        </w:rPr>
        <w:t>20</w:t>
      </w:r>
      <w:r w:rsidRPr="00AB6810">
        <w:rPr>
          <w:rFonts w:cs="Times New Roman"/>
          <w:sz w:val="24"/>
          <w:szCs w:val="24"/>
        </w:rPr>
        <w:tab/>
      </w:r>
      <w:r w:rsidRPr="00AB6810">
        <w:rPr>
          <w:rFonts w:cs="Times New Roman"/>
          <w:sz w:val="24"/>
          <w:szCs w:val="24"/>
        </w:rPr>
        <w:t xml:space="preserve">Schwarzinger M, Pollock BG, Hasan OSM, </w:t>
      </w:r>
      <w:r w:rsidRPr="00AB6810">
        <w:rPr>
          <w:rFonts w:cs="Times New Roman"/>
          <w:i/>
          <w:iCs/>
          <w:sz w:val="24"/>
          <w:szCs w:val="24"/>
        </w:rPr>
        <w:t>et al.</w:t>
      </w:r>
      <w:r w:rsidRPr="00AB6810">
        <w:rPr>
          <w:rFonts w:cs="Times New Roman"/>
          <w:sz w:val="24"/>
          <w:szCs w:val="24"/>
        </w:rPr>
        <w:t xml:space="preserve"> Contribution of alcohol use disorders to the burden of dementia in France 2008–13: a nationwide retrospective cohort study. </w:t>
      </w:r>
      <w:r w:rsidRPr="00AB6810">
        <w:rPr>
          <w:rFonts w:cs="Times New Roman"/>
          <w:i/>
          <w:iCs/>
          <w:sz w:val="24"/>
          <w:szCs w:val="24"/>
        </w:rPr>
        <w:t>Lancet Public Health</w:t>
      </w:r>
      <w:r w:rsidRPr="00AB6810">
        <w:rPr>
          <w:rFonts w:cs="Times New Roman"/>
          <w:sz w:val="24"/>
          <w:szCs w:val="24"/>
        </w:rPr>
        <w:t xml:space="preserve"> 2018; </w:t>
      </w:r>
      <w:r w:rsidRPr="00AB6810">
        <w:rPr>
          <w:rFonts w:cs="Times New Roman"/>
          <w:b/>
          <w:bCs/>
          <w:sz w:val="24"/>
          <w:szCs w:val="24"/>
        </w:rPr>
        <w:t>3</w:t>
      </w:r>
      <w:r w:rsidRPr="00AB6810">
        <w:rPr>
          <w:rFonts w:cs="Times New Roman"/>
          <w:sz w:val="24"/>
          <w:szCs w:val="24"/>
        </w:rPr>
        <w:t>: e124–32.</w:t>
      </w:r>
    </w:p>
    <w:p w:rsidRPr="00AB6810" w:rsidR="00094508" w:rsidP="00094508" w:rsidRDefault="00094508" w14:paraId="02A1211B" w14:textId="3D2C3228">
      <w:pPr>
        <w:pStyle w:val="Bibliographie"/>
        <w:rPr>
          <w:rFonts w:cs="Times New Roman"/>
          <w:sz w:val="24"/>
          <w:szCs w:val="24"/>
          <w:lang w:val="fr-FR"/>
        </w:rPr>
      </w:pPr>
      <w:r w:rsidRPr="00AB6810">
        <w:rPr>
          <w:rFonts w:cs="Times New Roman"/>
          <w:sz w:val="24"/>
          <w:szCs w:val="24"/>
        </w:rPr>
        <w:t>21</w:t>
      </w:r>
      <w:r w:rsidRPr="00AB6810">
        <w:rPr>
          <w:rFonts w:cs="Times New Roman"/>
          <w:sz w:val="24"/>
          <w:szCs w:val="24"/>
        </w:rPr>
        <w:tab/>
      </w:r>
      <w:r w:rsidRPr="00AB6810">
        <w:rPr>
          <w:rFonts w:cs="Times New Roman"/>
          <w:sz w:val="24"/>
          <w:szCs w:val="24"/>
        </w:rPr>
        <w:t xml:space="preserve">Bailly L, Fabre R, Pradier C, Iannelli A. Colorectal Cancer Risk Following Bariatric Surgery in a Nationwide Study of French Individuals With Obesity. </w:t>
      </w:r>
      <w:r w:rsidRPr="00AB6810">
        <w:rPr>
          <w:rFonts w:cs="Times New Roman"/>
          <w:i/>
          <w:iCs/>
          <w:sz w:val="24"/>
          <w:szCs w:val="24"/>
          <w:lang w:val="fr-FR"/>
        </w:rPr>
        <w:t>JAMA Surg</w:t>
      </w:r>
      <w:r w:rsidRPr="00AB6810">
        <w:rPr>
          <w:rFonts w:cs="Times New Roman"/>
          <w:sz w:val="24"/>
          <w:szCs w:val="24"/>
          <w:lang w:val="fr-FR"/>
        </w:rPr>
        <w:t xml:space="preserve"> 2020; </w:t>
      </w:r>
      <w:r w:rsidRPr="00AB6810">
        <w:rPr>
          <w:rFonts w:cs="Times New Roman"/>
          <w:b/>
          <w:bCs/>
          <w:sz w:val="24"/>
          <w:szCs w:val="24"/>
          <w:lang w:val="fr-FR"/>
        </w:rPr>
        <w:t>155</w:t>
      </w:r>
      <w:r w:rsidRPr="00AB6810">
        <w:rPr>
          <w:rFonts w:cs="Times New Roman"/>
          <w:sz w:val="24"/>
          <w:szCs w:val="24"/>
          <w:lang w:val="fr-FR"/>
        </w:rPr>
        <w:t>: 395.</w:t>
      </w:r>
    </w:p>
    <w:p w:rsidRPr="00AB6810" w:rsidR="00094508" w:rsidP="00094508" w:rsidRDefault="00094508" w14:paraId="7A7FAB46" w14:textId="77777777">
      <w:pPr>
        <w:pStyle w:val="Bibliographie"/>
        <w:rPr>
          <w:rFonts w:cs="Times New Roman"/>
          <w:sz w:val="24"/>
          <w:szCs w:val="24"/>
          <w:lang w:val="fr-FR"/>
        </w:rPr>
      </w:pPr>
      <w:r w:rsidRPr="00AB6810">
        <w:rPr>
          <w:rFonts w:cs="Times New Roman"/>
          <w:sz w:val="24"/>
          <w:szCs w:val="24"/>
          <w:lang w:val="fr-FR"/>
        </w:rPr>
        <w:t>22</w:t>
      </w:r>
      <w:r w:rsidRPr="00AB6810">
        <w:rPr>
          <w:rFonts w:cs="Times New Roman"/>
          <w:sz w:val="24"/>
          <w:szCs w:val="24"/>
          <w:lang w:val="fr-FR"/>
        </w:rPr>
        <w:tab/>
      </w:r>
      <w:r w:rsidRPr="00AB6810">
        <w:rPr>
          <w:rFonts w:cs="Times New Roman"/>
          <w:sz w:val="24"/>
          <w:szCs w:val="24"/>
          <w:lang w:val="fr-FR"/>
        </w:rPr>
        <w:t>Métropole - Indice de défavorisation sociale (FDep) à l’échelle communale - Inserm - Data Europa EU. https://data.europa.eu/data/datasets/e26abc40-995d-402c-9a3e-a563870d27b5?locale=en (accessed June 9, 2023).</w:t>
      </w:r>
    </w:p>
    <w:p w:rsidRPr="00AB6810" w:rsidR="00094508" w:rsidP="00094508" w:rsidRDefault="00094508" w14:paraId="0EDA8B8E" w14:textId="77777777">
      <w:pPr>
        <w:pStyle w:val="Bibliographie"/>
        <w:rPr>
          <w:rFonts w:cs="Times New Roman"/>
          <w:sz w:val="24"/>
          <w:szCs w:val="24"/>
          <w:lang w:val="fr-FR"/>
        </w:rPr>
      </w:pPr>
      <w:r w:rsidRPr="00AB6810">
        <w:rPr>
          <w:rFonts w:cs="Times New Roman"/>
          <w:sz w:val="24"/>
          <w:szCs w:val="24"/>
          <w:lang w:val="fr-FR"/>
        </w:rPr>
        <w:t>23</w:t>
      </w:r>
      <w:r w:rsidRPr="00AB6810">
        <w:rPr>
          <w:rFonts w:cs="Times New Roman"/>
          <w:sz w:val="24"/>
          <w:szCs w:val="24"/>
          <w:lang w:val="fr-FR"/>
        </w:rPr>
        <w:tab/>
      </w:r>
      <w:r w:rsidRPr="00AB6810">
        <w:rPr>
          <w:rFonts w:cs="Times New Roman"/>
          <w:sz w:val="24"/>
          <w:szCs w:val="24"/>
          <w:lang w:val="fr-FR"/>
        </w:rPr>
        <w:t>L’indicateur d’accessibilité potentielle localisée (APL) | Direction de la recherche, des études, de l’évaluation et des statistiques. https://drees.solidarites-sante.gouv.fr/sources-outils-et-enquetes/lindicateur-daccessibilite-potentielle-localisee-apl (accessed June 9, 2023).</w:t>
      </w:r>
    </w:p>
    <w:p w:rsidRPr="00AB6810" w:rsidR="00094508" w:rsidP="00094508" w:rsidRDefault="00094508" w14:paraId="71287903" w14:textId="77777777">
      <w:pPr>
        <w:pStyle w:val="Bibliographie"/>
        <w:rPr>
          <w:rFonts w:cs="Times New Roman"/>
          <w:sz w:val="24"/>
          <w:szCs w:val="24"/>
        </w:rPr>
      </w:pPr>
      <w:r w:rsidRPr="00AB6810">
        <w:rPr>
          <w:rFonts w:cs="Times New Roman"/>
          <w:sz w:val="24"/>
          <w:szCs w:val="24"/>
        </w:rPr>
        <w:t>24</w:t>
      </w:r>
      <w:r w:rsidRPr="00AB6810">
        <w:rPr>
          <w:rFonts w:cs="Times New Roman"/>
          <w:sz w:val="24"/>
          <w:szCs w:val="24"/>
        </w:rPr>
        <w:tab/>
      </w:r>
      <w:r w:rsidRPr="00AB6810">
        <w:rPr>
          <w:rFonts w:cs="Times New Roman"/>
          <w:sz w:val="24"/>
          <w:szCs w:val="24"/>
        </w:rPr>
        <w:t xml:space="preserve">MacNab YC. Bayesian disease mapping: Past, present, and future. </w:t>
      </w:r>
      <w:r w:rsidRPr="00AB6810">
        <w:rPr>
          <w:rFonts w:cs="Times New Roman"/>
          <w:i/>
          <w:iCs/>
          <w:sz w:val="24"/>
          <w:szCs w:val="24"/>
        </w:rPr>
        <w:t>Spat Stat</w:t>
      </w:r>
      <w:r w:rsidRPr="00AB6810">
        <w:rPr>
          <w:rFonts w:cs="Times New Roman"/>
          <w:sz w:val="24"/>
          <w:szCs w:val="24"/>
        </w:rPr>
        <w:t xml:space="preserve"> 2022; </w:t>
      </w:r>
      <w:r w:rsidRPr="00AB6810">
        <w:rPr>
          <w:rFonts w:cs="Times New Roman"/>
          <w:b/>
          <w:bCs/>
          <w:sz w:val="24"/>
          <w:szCs w:val="24"/>
        </w:rPr>
        <w:t>50</w:t>
      </w:r>
      <w:r w:rsidRPr="00AB6810">
        <w:rPr>
          <w:rFonts w:cs="Times New Roman"/>
          <w:sz w:val="24"/>
          <w:szCs w:val="24"/>
        </w:rPr>
        <w:t>: 100593.</w:t>
      </w:r>
    </w:p>
    <w:p w:rsidRPr="00AB6810" w:rsidR="00094508" w:rsidP="00094508" w:rsidRDefault="00094508" w14:paraId="38B74B4C" w14:textId="77777777">
      <w:pPr>
        <w:pStyle w:val="Bibliographie"/>
        <w:rPr>
          <w:rFonts w:cs="Times New Roman"/>
          <w:sz w:val="24"/>
          <w:szCs w:val="24"/>
        </w:rPr>
      </w:pPr>
      <w:r w:rsidRPr="00AB6810">
        <w:rPr>
          <w:rFonts w:cs="Times New Roman"/>
          <w:sz w:val="24"/>
          <w:szCs w:val="24"/>
        </w:rPr>
        <w:t>25</w:t>
      </w:r>
      <w:r w:rsidRPr="00AB6810">
        <w:rPr>
          <w:rFonts w:cs="Times New Roman"/>
          <w:sz w:val="24"/>
          <w:szCs w:val="24"/>
        </w:rPr>
        <w:tab/>
      </w:r>
      <w:r w:rsidRPr="00AB6810">
        <w:rPr>
          <w:rFonts w:cs="Times New Roman"/>
          <w:sz w:val="24"/>
          <w:szCs w:val="24"/>
        </w:rPr>
        <w:t xml:space="preserve">Gelman A, Hwang J, Vehtari A. Understanding predictive information criteria for Bayesian models. </w:t>
      </w:r>
      <w:r w:rsidRPr="00AB6810">
        <w:rPr>
          <w:rFonts w:cs="Times New Roman"/>
          <w:i/>
          <w:iCs/>
          <w:sz w:val="24"/>
          <w:szCs w:val="24"/>
        </w:rPr>
        <w:t>Stat Comput</w:t>
      </w:r>
      <w:r w:rsidRPr="00AB6810">
        <w:rPr>
          <w:rFonts w:cs="Times New Roman"/>
          <w:sz w:val="24"/>
          <w:szCs w:val="24"/>
        </w:rPr>
        <w:t xml:space="preserve"> 2014; </w:t>
      </w:r>
      <w:r w:rsidRPr="00AB6810">
        <w:rPr>
          <w:rFonts w:cs="Times New Roman"/>
          <w:b/>
          <w:bCs/>
          <w:sz w:val="24"/>
          <w:szCs w:val="24"/>
        </w:rPr>
        <w:t>24</w:t>
      </w:r>
      <w:r w:rsidRPr="00AB6810">
        <w:rPr>
          <w:rFonts w:cs="Times New Roman"/>
          <w:sz w:val="24"/>
          <w:szCs w:val="24"/>
        </w:rPr>
        <w:t>: 997–1016.</w:t>
      </w:r>
    </w:p>
    <w:p w:rsidRPr="00AB6810" w:rsidR="00094508" w:rsidP="00094508" w:rsidRDefault="00094508" w14:paraId="6AD068F7" w14:textId="77777777">
      <w:pPr>
        <w:pStyle w:val="Bibliographie"/>
        <w:rPr>
          <w:rFonts w:cs="Times New Roman"/>
          <w:sz w:val="24"/>
          <w:szCs w:val="24"/>
        </w:rPr>
      </w:pPr>
      <w:r w:rsidRPr="00AB6810">
        <w:rPr>
          <w:rFonts w:cs="Times New Roman"/>
          <w:sz w:val="24"/>
          <w:szCs w:val="24"/>
        </w:rPr>
        <w:t>26</w:t>
      </w:r>
      <w:r w:rsidRPr="00AB6810">
        <w:rPr>
          <w:rFonts w:cs="Times New Roman"/>
          <w:sz w:val="24"/>
          <w:szCs w:val="24"/>
        </w:rPr>
        <w:tab/>
      </w:r>
      <w:r w:rsidRPr="00AB6810">
        <w:rPr>
          <w:rFonts w:cs="Times New Roman"/>
          <w:sz w:val="24"/>
          <w:szCs w:val="24"/>
        </w:rPr>
        <w:t xml:space="preserve">Richardson S, Thomson A, Best N, Elliott P. Interpreting Posterior Relative Risk Estimates in Disease-Mapping Studies. </w:t>
      </w:r>
      <w:r w:rsidRPr="00AB6810">
        <w:rPr>
          <w:rFonts w:cs="Times New Roman"/>
          <w:i/>
          <w:iCs/>
          <w:sz w:val="24"/>
          <w:szCs w:val="24"/>
        </w:rPr>
        <w:t>Environ Health Perspect</w:t>
      </w:r>
      <w:r w:rsidRPr="00AB6810">
        <w:rPr>
          <w:rFonts w:cs="Times New Roman"/>
          <w:sz w:val="24"/>
          <w:szCs w:val="24"/>
        </w:rPr>
        <w:t xml:space="preserve"> 2004; </w:t>
      </w:r>
      <w:r w:rsidRPr="00AB6810">
        <w:rPr>
          <w:rFonts w:cs="Times New Roman"/>
          <w:b/>
          <w:bCs/>
          <w:sz w:val="24"/>
          <w:szCs w:val="24"/>
        </w:rPr>
        <w:t>112</w:t>
      </w:r>
      <w:r w:rsidRPr="00AB6810">
        <w:rPr>
          <w:rFonts w:cs="Times New Roman"/>
          <w:sz w:val="24"/>
          <w:szCs w:val="24"/>
        </w:rPr>
        <w:t>: 1016–25.</w:t>
      </w:r>
    </w:p>
    <w:p w:rsidRPr="00AB6810" w:rsidR="00094508" w:rsidP="00094508" w:rsidRDefault="00094508" w14:paraId="5857BB13" w14:textId="77777777">
      <w:pPr>
        <w:pStyle w:val="Bibliographie"/>
        <w:rPr>
          <w:rFonts w:cs="Times New Roman"/>
          <w:sz w:val="24"/>
          <w:szCs w:val="24"/>
        </w:rPr>
      </w:pPr>
      <w:r w:rsidRPr="00AB6810">
        <w:rPr>
          <w:rFonts w:cs="Times New Roman"/>
          <w:sz w:val="24"/>
          <w:szCs w:val="24"/>
        </w:rPr>
        <w:t>27</w:t>
      </w:r>
      <w:r w:rsidRPr="00AB6810">
        <w:rPr>
          <w:rFonts w:cs="Times New Roman"/>
          <w:sz w:val="24"/>
          <w:szCs w:val="24"/>
        </w:rPr>
        <w:tab/>
      </w:r>
      <w:r w:rsidRPr="00AB6810">
        <w:rPr>
          <w:rFonts w:cs="Times New Roman"/>
          <w:sz w:val="24"/>
          <w:szCs w:val="24"/>
        </w:rPr>
        <w:t xml:space="preserve">Rue H, Martino S, Chopin N. Approximate Bayesian inference for latent Gaussian models by using integrated nested Laplace approximations. </w:t>
      </w:r>
      <w:r w:rsidRPr="00AB6810">
        <w:rPr>
          <w:rFonts w:cs="Times New Roman"/>
          <w:i/>
          <w:iCs/>
          <w:sz w:val="24"/>
          <w:szCs w:val="24"/>
        </w:rPr>
        <w:t>J R Stat Soc Ser B Stat Methodol</w:t>
      </w:r>
      <w:r w:rsidRPr="00AB6810">
        <w:rPr>
          <w:rFonts w:cs="Times New Roman"/>
          <w:sz w:val="24"/>
          <w:szCs w:val="24"/>
        </w:rPr>
        <w:t xml:space="preserve"> 2009; </w:t>
      </w:r>
      <w:r w:rsidRPr="00AB6810">
        <w:rPr>
          <w:rFonts w:cs="Times New Roman"/>
          <w:b/>
          <w:bCs/>
          <w:sz w:val="24"/>
          <w:szCs w:val="24"/>
        </w:rPr>
        <w:t>71</w:t>
      </w:r>
      <w:r w:rsidRPr="00AB6810">
        <w:rPr>
          <w:rFonts w:cs="Times New Roman"/>
          <w:sz w:val="24"/>
          <w:szCs w:val="24"/>
        </w:rPr>
        <w:t>: 319–92.</w:t>
      </w:r>
    </w:p>
    <w:p w:rsidRPr="00AB6810" w:rsidR="00094508" w:rsidP="00094508" w:rsidRDefault="00094508" w14:paraId="38B09EBF" w14:textId="77777777">
      <w:pPr>
        <w:pStyle w:val="Bibliographie"/>
        <w:rPr>
          <w:rFonts w:cs="Times New Roman"/>
          <w:sz w:val="24"/>
          <w:szCs w:val="24"/>
          <w:lang w:val="fr-FR"/>
        </w:rPr>
      </w:pPr>
      <w:r w:rsidRPr="00AB6810">
        <w:rPr>
          <w:rFonts w:cs="Times New Roman"/>
          <w:sz w:val="24"/>
          <w:szCs w:val="24"/>
        </w:rPr>
        <w:t>28</w:t>
      </w:r>
      <w:r w:rsidRPr="00AB6810">
        <w:rPr>
          <w:rFonts w:cs="Times New Roman"/>
          <w:sz w:val="24"/>
          <w:szCs w:val="24"/>
        </w:rPr>
        <w:tab/>
      </w:r>
      <w:r w:rsidRPr="00AB6810">
        <w:rPr>
          <w:rFonts w:cs="Times New Roman"/>
          <w:sz w:val="24"/>
          <w:szCs w:val="24"/>
        </w:rPr>
        <w:t xml:space="preserve">Colonna M, Sauleau E-A. How to interpret and choose a Bayesian spatial model and a Poisson regression model in the context of describing small area cancer risks variations. </w:t>
      </w:r>
      <w:r w:rsidRPr="00AB6810">
        <w:rPr>
          <w:rFonts w:cs="Times New Roman"/>
          <w:i/>
          <w:iCs/>
          <w:sz w:val="24"/>
          <w:szCs w:val="24"/>
          <w:lang w:val="fr-FR"/>
        </w:rPr>
        <w:t>Rev Epidemiol Sante Publique</w:t>
      </w:r>
      <w:r w:rsidRPr="00AB6810">
        <w:rPr>
          <w:rFonts w:cs="Times New Roman"/>
          <w:sz w:val="24"/>
          <w:szCs w:val="24"/>
          <w:lang w:val="fr-FR"/>
        </w:rPr>
        <w:t xml:space="preserve"> 2013; </w:t>
      </w:r>
      <w:r w:rsidRPr="00AB6810">
        <w:rPr>
          <w:rFonts w:cs="Times New Roman"/>
          <w:b/>
          <w:bCs/>
          <w:sz w:val="24"/>
          <w:szCs w:val="24"/>
          <w:lang w:val="fr-FR"/>
        </w:rPr>
        <w:t>61</w:t>
      </w:r>
      <w:r w:rsidRPr="00AB6810">
        <w:rPr>
          <w:rFonts w:cs="Times New Roman"/>
          <w:sz w:val="24"/>
          <w:szCs w:val="24"/>
          <w:lang w:val="fr-FR"/>
        </w:rPr>
        <w:t>: 559–67.</w:t>
      </w:r>
    </w:p>
    <w:p w:rsidRPr="00AB6810" w:rsidR="00094508" w:rsidP="00094508" w:rsidRDefault="00094508" w14:paraId="6AC6CCDE" w14:textId="77777777">
      <w:pPr>
        <w:pStyle w:val="Bibliographie"/>
        <w:rPr>
          <w:rFonts w:cs="Times New Roman"/>
          <w:sz w:val="24"/>
          <w:szCs w:val="24"/>
          <w:lang w:val="fr-FR"/>
        </w:rPr>
      </w:pPr>
      <w:r w:rsidRPr="00AB6810">
        <w:rPr>
          <w:rFonts w:cs="Times New Roman"/>
          <w:sz w:val="24"/>
          <w:szCs w:val="24"/>
          <w:lang w:val="fr-FR"/>
        </w:rPr>
        <w:t>29</w:t>
      </w:r>
      <w:r w:rsidRPr="00AB6810">
        <w:rPr>
          <w:rFonts w:cs="Times New Roman"/>
          <w:sz w:val="24"/>
          <w:szCs w:val="24"/>
          <w:lang w:val="fr-FR"/>
        </w:rPr>
        <w:tab/>
      </w:r>
      <w:r w:rsidRPr="00AB6810">
        <w:rPr>
          <w:rFonts w:cs="Times New Roman"/>
          <w:sz w:val="24"/>
          <w:szCs w:val="24"/>
          <w:lang w:val="fr-FR"/>
        </w:rPr>
        <w:t xml:space="preserve">Etxeberria J, Goicoa T, López-Abente G, Riebler A, Ugarte MD. </w:t>
      </w:r>
      <w:r w:rsidRPr="00AB6810">
        <w:rPr>
          <w:rFonts w:cs="Times New Roman"/>
          <w:sz w:val="24"/>
          <w:szCs w:val="24"/>
        </w:rPr>
        <w:t xml:space="preserve">Spatial gender-age-period-cohort analysis of pancreatic cancer mortality in Spain (1990-2013). </w:t>
      </w:r>
      <w:r w:rsidRPr="00AB6810">
        <w:rPr>
          <w:rFonts w:cs="Times New Roman"/>
          <w:i/>
          <w:iCs/>
          <w:sz w:val="24"/>
          <w:szCs w:val="24"/>
          <w:lang w:val="fr-FR"/>
        </w:rPr>
        <w:t>PloS One</w:t>
      </w:r>
      <w:r w:rsidRPr="00AB6810">
        <w:rPr>
          <w:rFonts w:cs="Times New Roman"/>
          <w:sz w:val="24"/>
          <w:szCs w:val="24"/>
          <w:lang w:val="fr-FR"/>
        </w:rPr>
        <w:t xml:space="preserve"> 2017; </w:t>
      </w:r>
      <w:r w:rsidRPr="00AB6810">
        <w:rPr>
          <w:rFonts w:cs="Times New Roman"/>
          <w:b/>
          <w:bCs/>
          <w:sz w:val="24"/>
          <w:szCs w:val="24"/>
          <w:lang w:val="fr-FR"/>
        </w:rPr>
        <w:t>12</w:t>
      </w:r>
      <w:r w:rsidRPr="00AB6810">
        <w:rPr>
          <w:rFonts w:cs="Times New Roman"/>
          <w:sz w:val="24"/>
          <w:szCs w:val="24"/>
          <w:lang w:val="fr-FR"/>
        </w:rPr>
        <w:t>: e0169751.</w:t>
      </w:r>
    </w:p>
    <w:p w:rsidRPr="00AB6810" w:rsidR="00094508" w:rsidP="00094508" w:rsidRDefault="00094508" w14:paraId="67AE456D" w14:textId="77777777">
      <w:pPr>
        <w:pStyle w:val="Bibliographie"/>
        <w:rPr>
          <w:rFonts w:cs="Times New Roman"/>
          <w:sz w:val="24"/>
          <w:szCs w:val="24"/>
          <w:lang w:val="fr-FR"/>
        </w:rPr>
      </w:pPr>
      <w:r w:rsidRPr="00AB6810">
        <w:rPr>
          <w:rFonts w:cs="Times New Roman"/>
          <w:sz w:val="24"/>
          <w:szCs w:val="24"/>
          <w:lang w:val="fr-FR"/>
        </w:rPr>
        <w:t>30</w:t>
      </w:r>
      <w:r w:rsidRPr="00AB6810">
        <w:rPr>
          <w:rFonts w:cs="Times New Roman"/>
          <w:sz w:val="24"/>
          <w:szCs w:val="24"/>
          <w:lang w:val="fr-FR"/>
        </w:rPr>
        <w:tab/>
      </w:r>
      <w:r w:rsidRPr="00AB6810">
        <w:rPr>
          <w:rFonts w:cs="Times New Roman"/>
          <w:sz w:val="24"/>
          <w:szCs w:val="24"/>
          <w:lang w:val="fr-FR"/>
        </w:rPr>
        <w:t xml:space="preserve">Rashid T, Bennett JE, Muller DC,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Mortality from leading cancers in districts of England from 2002 to 2019: a population-based, spatiotemporal study. </w:t>
      </w:r>
      <w:r w:rsidRPr="00AB6810">
        <w:rPr>
          <w:rFonts w:cs="Times New Roman"/>
          <w:i/>
          <w:iCs/>
          <w:sz w:val="24"/>
          <w:szCs w:val="24"/>
          <w:lang w:val="fr-FR"/>
        </w:rPr>
        <w:t>Lancet Oncol</w:t>
      </w:r>
      <w:r w:rsidRPr="00AB6810">
        <w:rPr>
          <w:rFonts w:cs="Times New Roman"/>
          <w:sz w:val="24"/>
          <w:szCs w:val="24"/>
          <w:lang w:val="fr-FR"/>
        </w:rPr>
        <w:t xml:space="preserve"> 2024; </w:t>
      </w:r>
      <w:r w:rsidRPr="00AB6810">
        <w:rPr>
          <w:rFonts w:cs="Times New Roman"/>
          <w:b/>
          <w:bCs/>
          <w:sz w:val="24"/>
          <w:szCs w:val="24"/>
          <w:lang w:val="fr-FR"/>
        </w:rPr>
        <w:t>25</w:t>
      </w:r>
      <w:r w:rsidRPr="00AB6810">
        <w:rPr>
          <w:rFonts w:cs="Times New Roman"/>
          <w:sz w:val="24"/>
          <w:szCs w:val="24"/>
          <w:lang w:val="fr-FR"/>
        </w:rPr>
        <w:t>: 86–98.</w:t>
      </w:r>
    </w:p>
    <w:p w:rsidRPr="00AB6810" w:rsidR="00094508" w:rsidP="00094508" w:rsidRDefault="00094508" w14:paraId="23AA4C47" w14:textId="77777777">
      <w:pPr>
        <w:pStyle w:val="Bibliographie"/>
        <w:rPr>
          <w:rFonts w:cs="Times New Roman"/>
          <w:sz w:val="24"/>
          <w:szCs w:val="24"/>
        </w:rPr>
      </w:pPr>
      <w:r w:rsidRPr="00AB6810">
        <w:rPr>
          <w:rFonts w:cs="Times New Roman"/>
          <w:sz w:val="24"/>
          <w:szCs w:val="24"/>
          <w:lang w:val="fr-FR"/>
        </w:rPr>
        <w:t>31</w:t>
      </w:r>
      <w:r w:rsidRPr="00AB6810">
        <w:rPr>
          <w:rFonts w:cs="Times New Roman"/>
          <w:sz w:val="24"/>
          <w:szCs w:val="24"/>
          <w:lang w:val="fr-FR"/>
        </w:rPr>
        <w:tab/>
      </w:r>
      <w:r w:rsidRPr="00AB6810">
        <w:rPr>
          <w:rFonts w:cs="Times New Roman"/>
          <w:sz w:val="24"/>
          <w:szCs w:val="24"/>
          <w:lang w:val="fr-FR"/>
        </w:rPr>
        <w:t xml:space="preserve">Dereumeaux C, Mercier F, Soulard P,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Identification of pesticides exposure biomarkers for residents living close to vineyards in France. </w:t>
      </w:r>
      <w:r w:rsidRPr="00AB6810">
        <w:rPr>
          <w:rFonts w:cs="Times New Roman"/>
          <w:i/>
          <w:iCs/>
          <w:sz w:val="24"/>
          <w:szCs w:val="24"/>
        </w:rPr>
        <w:t>Environ Int</w:t>
      </w:r>
      <w:r w:rsidRPr="00AB6810">
        <w:rPr>
          <w:rFonts w:cs="Times New Roman"/>
          <w:sz w:val="24"/>
          <w:szCs w:val="24"/>
        </w:rPr>
        <w:t xml:space="preserve"> 2022; </w:t>
      </w:r>
      <w:r w:rsidRPr="00AB6810">
        <w:rPr>
          <w:rFonts w:cs="Times New Roman"/>
          <w:b/>
          <w:bCs/>
          <w:sz w:val="24"/>
          <w:szCs w:val="24"/>
        </w:rPr>
        <w:t>159</w:t>
      </w:r>
      <w:r w:rsidRPr="00AB6810">
        <w:rPr>
          <w:rFonts w:cs="Times New Roman"/>
          <w:sz w:val="24"/>
          <w:szCs w:val="24"/>
        </w:rPr>
        <w:t>: 107013.</w:t>
      </w:r>
    </w:p>
    <w:p w:rsidRPr="00AB6810" w:rsidR="00094508" w:rsidP="00094508" w:rsidRDefault="00094508" w14:paraId="573D05ED" w14:textId="77777777">
      <w:pPr>
        <w:pStyle w:val="Bibliographie"/>
        <w:rPr>
          <w:rFonts w:cs="Times New Roman"/>
          <w:sz w:val="24"/>
          <w:szCs w:val="24"/>
          <w:lang w:val="fr-FR"/>
        </w:rPr>
      </w:pPr>
      <w:r w:rsidRPr="00AB6810">
        <w:rPr>
          <w:rFonts w:cs="Times New Roman"/>
          <w:sz w:val="24"/>
          <w:szCs w:val="24"/>
        </w:rPr>
        <w:t>32</w:t>
      </w:r>
      <w:r w:rsidRPr="00AB6810">
        <w:rPr>
          <w:rFonts w:cs="Times New Roman"/>
          <w:sz w:val="24"/>
          <w:szCs w:val="24"/>
        </w:rPr>
        <w:tab/>
      </w:r>
      <w:r w:rsidRPr="00AB6810">
        <w:rPr>
          <w:rFonts w:cs="Times New Roman"/>
          <w:sz w:val="24"/>
          <w:szCs w:val="24"/>
        </w:rPr>
        <w:t xml:space="preserve">Perrin L, Spinosi J, Chaperon L, Kab S, Moisan F, Ebaz A. Pesticides expenditures by farming type and incidence of Parkinson disease in farmers: A French nationwide study. </w:t>
      </w:r>
      <w:r w:rsidRPr="00AB6810">
        <w:rPr>
          <w:rFonts w:cs="Times New Roman"/>
          <w:i/>
          <w:iCs/>
          <w:sz w:val="24"/>
          <w:szCs w:val="24"/>
          <w:lang w:val="fr-FR"/>
        </w:rPr>
        <w:t>Environ Res</w:t>
      </w:r>
      <w:r w:rsidRPr="00AB6810">
        <w:rPr>
          <w:rFonts w:cs="Times New Roman"/>
          <w:sz w:val="24"/>
          <w:szCs w:val="24"/>
          <w:lang w:val="fr-FR"/>
        </w:rPr>
        <w:t xml:space="preserve"> 2021; </w:t>
      </w:r>
      <w:r w:rsidRPr="00AB6810">
        <w:rPr>
          <w:rFonts w:cs="Times New Roman"/>
          <w:b/>
          <w:bCs/>
          <w:sz w:val="24"/>
          <w:szCs w:val="24"/>
          <w:lang w:val="fr-FR"/>
        </w:rPr>
        <w:t>197</w:t>
      </w:r>
      <w:r w:rsidRPr="00AB6810">
        <w:rPr>
          <w:rFonts w:cs="Times New Roman"/>
          <w:sz w:val="24"/>
          <w:szCs w:val="24"/>
          <w:lang w:val="fr-FR"/>
        </w:rPr>
        <w:t>: 111161.</w:t>
      </w:r>
    </w:p>
    <w:p w:rsidRPr="00AB6810" w:rsidR="00094508" w:rsidP="00094508" w:rsidRDefault="00094508" w14:paraId="5B192F89" w14:textId="77777777">
      <w:pPr>
        <w:pStyle w:val="Bibliographie"/>
        <w:rPr>
          <w:rFonts w:cs="Times New Roman"/>
          <w:sz w:val="24"/>
          <w:szCs w:val="24"/>
          <w:lang w:val="fr-FR"/>
        </w:rPr>
      </w:pPr>
      <w:r w:rsidRPr="00AB6810">
        <w:rPr>
          <w:rFonts w:cs="Times New Roman"/>
          <w:sz w:val="24"/>
          <w:szCs w:val="24"/>
          <w:lang w:val="fr-FR"/>
        </w:rPr>
        <w:t>33</w:t>
      </w:r>
      <w:r w:rsidRPr="00AB6810">
        <w:rPr>
          <w:rFonts w:cs="Times New Roman"/>
          <w:sz w:val="24"/>
          <w:szCs w:val="24"/>
          <w:lang w:val="fr-FR"/>
        </w:rPr>
        <w:tab/>
      </w:r>
      <w:r w:rsidRPr="00AB6810">
        <w:rPr>
          <w:rFonts w:cs="Times New Roman"/>
          <w:sz w:val="24"/>
          <w:szCs w:val="24"/>
          <w:lang w:val="fr-FR"/>
        </w:rPr>
        <w:t>Fréry N, Guldner L, Saoudi A, Garnier R, Zeghnoun A, Bidondo M. Exposition de la population française aux substances chimiques de l’environnement. Tome 2 - Polychlorobiphényles (PCB-NDL). Pesticides. https://www.santepubliquefrance.fr/determinants-de-sante/exposition-a-des-substances-chimiques/pesticides/exposition-de-la-population-francaise-aux-substances-chimiques-de-l-environnement.-tome-2-polychlorobiphenyles-pcb-ndl-.-pesticides (accessed Aug 2, 2023).</w:t>
      </w:r>
    </w:p>
    <w:p w:rsidRPr="00AB6810" w:rsidR="00094508" w:rsidP="00094508" w:rsidRDefault="00094508" w14:paraId="70417DD2" w14:textId="77777777">
      <w:pPr>
        <w:pStyle w:val="Bibliographie"/>
        <w:rPr>
          <w:rFonts w:cs="Times New Roman"/>
          <w:sz w:val="24"/>
          <w:szCs w:val="24"/>
        </w:rPr>
      </w:pPr>
      <w:r w:rsidRPr="00AB6810">
        <w:rPr>
          <w:rFonts w:cs="Times New Roman"/>
          <w:sz w:val="24"/>
          <w:szCs w:val="24"/>
        </w:rPr>
        <w:t>34</w:t>
      </w:r>
      <w:r w:rsidRPr="00AB6810">
        <w:rPr>
          <w:rFonts w:cs="Times New Roman"/>
          <w:sz w:val="24"/>
          <w:szCs w:val="24"/>
        </w:rPr>
        <w:tab/>
      </w:r>
      <w:r w:rsidRPr="00AB6810">
        <w:rPr>
          <w:rFonts w:cs="Times New Roman"/>
          <w:sz w:val="24"/>
          <w:szCs w:val="24"/>
        </w:rPr>
        <w:t xml:space="preserve">Wang Y, Nguyen LH, Mehta RS, Song M, Huttenhower C, Chan AT. Association Between the Sulfur Microbial Diet and Risk of Colorectal Cancer. </w:t>
      </w:r>
      <w:r w:rsidRPr="00AB6810">
        <w:rPr>
          <w:rFonts w:cs="Times New Roman"/>
          <w:i/>
          <w:iCs/>
          <w:sz w:val="24"/>
          <w:szCs w:val="24"/>
        </w:rPr>
        <w:t>JAMA Netw Open</w:t>
      </w:r>
      <w:r w:rsidRPr="00AB6810">
        <w:rPr>
          <w:rFonts w:cs="Times New Roman"/>
          <w:sz w:val="24"/>
          <w:szCs w:val="24"/>
        </w:rPr>
        <w:t xml:space="preserve"> 2021; </w:t>
      </w:r>
      <w:r w:rsidRPr="00AB6810">
        <w:rPr>
          <w:rFonts w:cs="Times New Roman"/>
          <w:b/>
          <w:bCs/>
          <w:sz w:val="24"/>
          <w:szCs w:val="24"/>
        </w:rPr>
        <w:t>4</w:t>
      </w:r>
      <w:r w:rsidRPr="00AB6810">
        <w:rPr>
          <w:rFonts w:cs="Times New Roman"/>
          <w:sz w:val="24"/>
          <w:szCs w:val="24"/>
        </w:rPr>
        <w:t>: e2134308.</w:t>
      </w:r>
    </w:p>
    <w:p w:rsidRPr="00AB6810" w:rsidR="00094508" w:rsidP="00094508" w:rsidRDefault="00094508" w14:paraId="1B84E670" w14:textId="77777777">
      <w:pPr>
        <w:pStyle w:val="Bibliographie"/>
        <w:rPr>
          <w:rFonts w:cs="Times New Roman"/>
          <w:sz w:val="24"/>
          <w:szCs w:val="24"/>
        </w:rPr>
      </w:pPr>
      <w:r w:rsidRPr="00AB6810">
        <w:rPr>
          <w:rFonts w:cs="Times New Roman"/>
          <w:sz w:val="24"/>
          <w:szCs w:val="24"/>
        </w:rPr>
        <w:t>35</w:t>
      </w:r>
      <w:r w:rsidRPr="00AB6810">
        <w:rPr>
          <w:rFonts w:cs="Times New Roman"/>
          <w:sz w:val="24"/>
          <w:szCs w:val="24"/>
        </w:rPr>
        <w:tab/>
      </w:r>
      <w:r w:rsidRPr="00AB6810">
        <w:rPr>
          <w:rFonts w:cs="Times New Roman"/>
          <w:sz w:val="24"/>
          <w:szCs w:val="24"/>
        </w:rPr>
        <w:t xml:space="preserve">Davoren MJ, Schiestl RH. Glyphosate-based herbicides and cancer risk: a post-IARC decision review of potential mechanisms, policy and avenues of research. </w:t>
      </w:r>
      <w:r w:rsidRPr="00AB6810">
        <w:rPr>
          <w:rFonts w:cs="Times New Roman"/>
          <w:i/>
          <w:iCs/>
          <w:sz w:val="24"/>
          <w:szCs w:val="24"/>
        </w:rPr>
        <w:t>Carcinogenesis</w:t>
      </w:r>
      <w:r w:rsidRPr="00AB6810">
        <w:rPr>
          <w:rFonts w:cs="Times New Roman"/>
          <w:sz w:val="24"/>
          <w:szCs w:val="24"/>
        </w:rPr>
        <w:t xml:space="preserve"> 2018; </w:t>
      </w:r>
      <w:r w:rsidRPr="00AB6810">
        <w:rPr>
          <w:rFonts w:cs="Times New Roman"/>
          <w:b/>
          <w:bCs/>
          <w:sz w:val="24"/>
          <w:szCs w:val="24"/>
        </w:rPr>
        <w:t>39</w:t>
      </w:r>
      <w:r w:rsidRPr="00AB6810">
        <w:rPr>
          <w:rFonts w:cs="Times New Roman"/>
          <w:sz w:val="24"/>
          <w:szCs w:val="24"/>
        </w:rPr>
        <w:t>: 1207–15.</w:t>
      </w:r>
    </w:p>
    <w:p w:rsidRPr="00AB6810" w:rsidR="00094508" w:rsidP="00094508" w:rsidRDefault="00094508" w14:paraId="548927FC" w14:textId="77777777">
      <w:pPr>
        <w:pStyle w:val="Bibliographie"/>
        <w:rPr>
          <w:rFonts w:cs="Times New Roman"/>
          <w:sz w:val="24"/>
          <w:szCs w:val="24"/>
        </w:rPr>
      </w:pPr>
      <w:r w:rsidRPr="00AB6810">
        <w:rPr>
          <w:rFonts w:cs="Times New Roman"/>
          <w:sz w:val="24"/>
          <w:szCs w:val="24"/>
        </w:rPr>
        <w:t>36</w:t>
      </w:r>
      <w:r w:rsidRPr="00AB6810">
        <w:rPr>
          <w:rFonts w:cs="Times New Roman"/>
          <w:sz w:val="24"/>
          <w:szCs w:val="24"/>
        </w:rPr>
        <w:tab/>
      </w:r>
      <w:r w:rsidRPr="00AB6810">
        <w:rPr>
          <w:rFonts w:cs="Times New Roman"/>
          <w:sz w:val="24"/>
          <w:szCs w:val="24"/>
        </w:rPr>
        <w:t xml:space="preserve">Corsini E, Sokooti M, Galli CL, Moretto A, Colosio C. Pesticide induced immunotoxicity in humans: a comprehensive review of the existing evidence. </w:t>
      </w:r>
      <w:r w:rsidRPr="00AB6810">
        <w:rPr>
          <w:rFonts w:cs="Times New Roman"/>
          <w:i/>
          <w:iCs/>
          <w:sz w:val="24"/>
          <w:szCs w:val="24"/>
        </w:rPr>
        <w:t>Toxicology</w:t>
      </w:r>
      <w:r w:rsidRPr="00AB6810">
        <w:rPr>
          <w:rFonts w:cs="Times New Roman"/>
          <w:sz w:val="24"/>
          <w:szCs w:val="24"/>
        </w:rPr>
        <w:t xml:space="preserve"> 2013; </w:t>
      </w:r>
      <w:r w:rsidRPr="00AB6810">
        <w:rPr>
          <w:rFonts w:cs="Times New Roman"/>
          <w:b/>
          <w:bCs/>
          <w:sz w:val="24"/>
          <w:szCs w:val="24"/>
        </w:rPr>
        <w:t>307</w:t>
      </w:r>
      <w:r w:rsidRPr="00AB6810">
        <w:rPr>
          <w:rFonts w:cs="Times New Roman"/>
          <w:sz w:val="24"/>
          <w:szCs w:val="24"/>
        </w:rPr>
        <w:t>: 123–35.</w:t>
      </w:r>
    </w:p>
    <w:p w:rsidRPr="00AB6810" w:rsidR="00094508" w:rsidP="00094508" w:rsidRDefault="00094508" w14:paraId="2CCFCB76" w14:textId="77777777">
      <w:pPr>
        <w:pStyle w:val="Bibliographie"/>
        <w:rPr>
          <w:rFonts w:cs="Times New Roman"/>
          <w:sz w:val="24"/>
          <w:szCs w:val="24"/>
        </w:rPr>
      </w:pPr>
      <w:r w:rsidRPr="00AB6810">
        <w:rPr>
          <w:rFonts w:cs="Times New Roman"/>
          <w:sz w:val="24"/>
          <w:szCs w:val="24"/>
        </w:rPr>
        <w:t>37</w:t>
      </w:r>
      <w:r w:rsidRPr="00AB6810">
        <w:rPr>
          <w:rFonts w:cs="Times New Roman"/>
          <w:sz w:val="24"/>
          <w:szCs w:val="24"/>
        </w:rPr>
        <w:tab/>
      </w:r>
      <w:r w:rsidRPr="00AB6810">
        <w:rPr>
          <w:rFonts w:cs="Times New Roman"/>
          <w:sz w:val="24"/>
          <w:szCs w:val="24"/>
        </w:rPr>
        <w:t xml:space="preserve">Corsini E, Birindelli S, Fustinoni S, </w:t>
      </w:r>
      <w:r w:rsidRPr="00AB6810">
        <w:rPr>
          <w:rFonts w:cs="Times New Roman"/>
          <w:i/>
          <w:iCs/>
          <w:sz w:val="24"/>
          <w:szCs w:val="24"/>
        </w:rPr>
        <w:t>et al.</w:t>
      </w:r>
      <w:r w:rsidRPr="00AB6810">
        <w:rPr>
          <w:rFonts w:cs="Times New Roman"/>
          <w:sz w:val="24"/>
          <w:szCs w:val="24"/>
        </w:rPr>
        <w:t xml:space="preserve"> Immunomodulatory effects of the fungicide Mancozeb in agricultural workers. </w:t>
      </w:r>
      <w:r w:rsidRPr="00AB6810">
        <w:rPr>
          <w:rFonts w:cs="Times New Roman"/>
          <w:i/>
          <w:iCs/>
          <w:sz w:val="24"/>
          <w:szCs w:val="24"/>
        </w:rPr>
        <w:t>Toxicol Appl Pharmacol</w:t>
      </w:r>
      <w:r w:rsidRPr="00AB6810">
        <w:rPr>
          <w:rFonts w:cs="Times New Roman"/>
          <w:sz w:val="24"/>
          <w:szCs w:val="24"/>
        </w:rPr>
        <w:t xml:space="preserve"> 2005; </w:t>
      </w:r>
      <w:r w:rsidRPr="00AB6810">
        <w:rPr>
          <w:rFonts w:cs="Times New Roman"/>
          <w:b/>
          <w:bCs/>
          <w:sz w:val="24"/>
          <w:szCs w:val="24"/>
        </w:rPr>
        <w:t>208</w:t>
      </w:r>
      <w:r w:rsidRPr="00AB6810">
        <w:rPr>
          <w:rFonts w:cs="Times New Roman"/>
          <w:sz w:val="24"/>
          <w:szCs w:val="24"/>
        </w:rPr>
        <w:t>: 178–85.</w:t>
      </w:r>
    </w:p>
    <w:p w:rsidRPr="00AB6810" w:rsidR="00094508" w:rsidP="00094508" w:rsidRDefault="00094508" w14:paraId="3ABD2A56" w14:textId="77777777">
      <w:pPr>
        <w:pStyle w:val="Bibliographie"/>
        <w:rPr>
          <w:rFonts w:cs="Times New Roman"/>
          <w:sz w:val="24"/>
          <w:szCs w:val="24"/>
        </w:rPr>
      </w:pPr>
      <w:r w:rsidRPr="00AB6810">
        <w:rPr>
          <w:rFonts w:cs="Times New Roman"/>
          <w:sz w:val="24"/>
          <w:szCs w:val="24"/>
        </w:rPr>
        <w:t>38</w:t>
      </w:r>
      <w:r w:rsidRPr="00AB6810">
        <w:rPr>
          <w:rFonts w:cs="Times New Roman"/>
          <w:sz w:val="24"/>
          <w:szCs w:val="24"/>
        </w:rPr>
        <w:tab/>
      </w:r>
      <w:r w:rsidRPr="00AB6810">
        <w:rPr>
          <w:rFonts w:cs="Times New Roman"/>
          <w:sz w:val="24"/>
          <w:szCs w:val="24"/>
        </w:rPr>
        <w:t xml:space="preserve">Andreotti G, Koutros S, Hofmann JN, </w:t>
      </w:r>
      <w:r w:rsidRPr="00AB6810">
        <w:rPr>
          <w:rFonts w:cs="Times New Roman"/>
          <w:i/>
          <w:iCs/>
          <w:sz w:val="24"/>
          <w:szCs w:val="24"/>
        </w:rPr>
        <w:t>et al.</w:t>
      </w:r>
      <w:r w:rsidRPr="00AB6810">
        <w:rPr>
          <w:rFonts w:cs="Times New Roman"/>
          <w:sz w:val="24"/>
          <w:szCs w:val="24"/>
        </w:rPr>
        <w:t xml:space="preserve"> Glyphosate Use and Cancer Incidence in the Agricultural Health Study. </w:t>
      </w:r>
      <w:r w:rsidRPr="00AB6810">
        <w:rPr>
          <w:rFonts w:cs="Times New Roman"/>
          <w:i/>
          <w:iCs/>
          <w:sz w:val="24"/>
          <w:szCs w:val="24"/>
        </w:rPr>
        <w:t>J Natl Cancer Inst</w:t>
      </w:r>
      <w:r w:rsidRPr="00AB6810">
        <w:rPr>
          <w:rFonts w:cs="Times New Roman"/>
          <w:sz w:val="24"/>
          <w:szCs w:val="24"/>
        </w:rPr>
        <w:t xml:space="preserve"> 2018; </w:t>
      </w:r>
      <w:r w:rsidRPr="00AB6810">
        <w:rPr>
          <w:rFonts w:cs="Times New Roman"/>
          <w:b/>
          <w:bCs/>
          <w:sz w:val="24"/>
          <w:szCs w:val="24"/>
        </w:rPr>
        <w:t>110</w:t>
      </w:r>
      <w:r w:rsidRPr="00AB6810">
        <w:rPr>
          <w:rFonts w:cs="Times New Roman"/>
          <w:sz w:val="24"/>
          <w:szCs w:val="24"/>
        </w:rPr>
        <w:t>: 509–16.</w:t>
      </w:r>
    </w:p>
    <w:p w:rsidRPr="00AB6810" w:rsidR="00094508" w:rsidP="00094508" w:rsidRDefault="00094508" w14:paraId="060DEF20" w14:textId="77777777">
      <w:pPr>
        <w:pStyle w:val="Bibliographie"/>
        <w:rPr>
          <w:rFonts w:cs="Times New Roman"/>
          <w:sz w:val="24"/>
          <w:szCs w:val="24"/>
        </w:rPr>
      </w:pPr>
      <w:r w:rsidRPr="00AB6810">
        <w:rPr>
          <w:rFonts w:cs="Times New Roman"/>
          <w:sz w:val="24"/>
          <w:szCs w:val="24"/>
        </w:rPr>
        <w:t>39</w:t>
      </w:r>
      <w:r w:rsidRPr="00AB6810">
        <w:rPr>
          <w:rFonts w:cs="Times New Roman"/>
          <w:sz w:val="24"/>
          <w:szCs w:val="24"/>
        </w:rPr>
        <w:tab/>
      </w:r>
      <w:r w:rsidRPr="00AB6810">
        <w:rPr>
          <w:rFonts w:cs="Times New Roman"/>
          <w:sz w:val="24"/>
          <w:szCs w:val="24"/>
        </w:rPr>
        <w:t xml:space="preserve">Habran S, Philippart C, Jacquemin P, Remy S. Mapping agricultural use of pesticides to enable research and environmental health actions in Belgium. </w:t>
      </w:r>
      <w:r w:rsidRPr="00AB6810">
        <w:rPr>
          <w:rFonts w:cs="Times New Roman"/>
          <w:i/>
          <w:iCs/>
          <w:sz w:val="24"/>
          <w:szCs w:val="24"/>
        </w:rPr>
        <w:t>Environ Pollut Barking Essex 1987</w:t>
      </w:r>
      <w:r w:rsidRPr="00AB6810">
        <w:rPr>
          <w:rFonts w:cs="Times New Roman"/>
          <w:sz w:val="24"/>
          <w:szCs w:val="24"/>
        </w:rPr>
        <w:t xml:space="preserve"> 2022; </w:t>
      </w:r>
      <w:r w:rsidRPr="00AB6810">
        <w:rPr>
          <w:rFonts w:cs="Times New Roman"/>
          <w:b/>
          <w:bCs/>
          <w:sz w:val="24"/>
          <w:szCs w:val="24"/>
        </w:rPr>
        <w:t>301</w:t>
      </w:r>
      <w:r w:rsidRPr="00AB6810">
        <w:rPr>
          <w:rFonts w:cs="Times New Roman"/>
          <w:sz w:val="24"/>
          <w:szCs w:val="24"/>
        </w:rPr>
        <w:t>: 119018.</w:t>
      </w:r>
    </w:p>
    <w:p w:rsidRPr="00AB6810" w:rsidR="00094508" w:rsidP="00094508" w:rsidRDefault="00094508" w14:paraId="5F9B55D8" w14:textId="77777777">
      <w:pPr>
        <w:pStyle w:val="Bibliographie"/>
        <w:rPr>
          <w:rFonts w:cs="Times New Roman"/>
          <w:sz w:val="24"/>
          <w:szCs w:val="24"/>
        </w:rPr>
      </w:pPr>
      <w:r w:rsidRPr="00AB6810">
        <w:rPr>
          <w:rFonts w:cs="Times New Roman"/>
          <w:sz w:val="24"/>
          <w:szCs w:val="24"/>
        </w:rPr>
        <w:t>40</w:t>
      </w:r>
      <w:r w:rsidRPr="00AB6810">
        <w:rPr>
          <w:rFonts w:cs="Times New Roman"/>
          <w:sz w:val="24"/>
          <w:szCs w:val="24"/>
        </w:rPr>
        <w:tab/>
      </w:r>
      <w:r w:rsidRPr="00AB6810">
        <w:rPr>
          <w:rFonts w:cs="Times New Roman"/>
          <w:sz w:val="24"/>
          <w:szCs w:val="24"/>
        </w:rPr>
        <w:t>Carte ‘pesticides’ - Adonis - Solagro. https://solagro.org/nos-domaines-d-intervention/agroecologie/carte-pesticides-adonis (accessed Aug 4, 2023).</w:t>
      </w:r>
    </w:p>
    <w:p w:rsidRPr="00AB6810" w:rsidR="00094508" w:rsidP="00094508" w:rsidRDefault="00094508" w14:paraId="65393AA6" w14:textId="77777777">
      <w:pPr>
        <w:pStyle w:val="Bibliographie"/>
        <w:rPr>
          <w:rFonts w:cs="Times New Roman"/>
          <w:sz w:val="24"/>
          <w:szCs w:val="24"/>
          <w:lang w:val="fr-FR"/>
        </w:rPr>
      </w:pPr>
      <w:r w:rsidRPr="00AB6810">
        <w:rPr>
          <w:rFonts w:cs="Times New Roman"/>
          <w:sz w:val="24"/>
          <w:szCs w:val="24"/>
          <w:lang w:val="fr-FR"/>
        </w:rPr>
        <w:t>41</w:t>
      </w:r>
      <w:r w:rsidRPr="00AB6810">
        <w:rPr>
          <w:rFonts w:cs="Times New Roman"/>
          <w:sz w:val="24"/>
          <w:szCs w:val="24"/>
          <w:lang w:val="fr-FR"/>
        </w:rPr>
        <w:tab/>
      </w:r>
      <w:r w:rsidRPr="00AB6810">
        <w:rPr>
          <w:rFonts w:cs="Times New Roman"/>
          <w:sz w:val="24"/>
          <w:szCs w:val="24"/>
          <w:lang w:val="fr-FR"/>
        </w:rPr>
        <w:t xml:space="preserve">Bezin J, Duong M, Lassalle R,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The national healthcare system claims databases in France, SNIIRAM and EGB: Powerful tools for pharmacoepidemiology. </w:t>
      </w:r>
      <w:r w:rsidRPr="00AB6810">
        <w:rPr>
          <w:rFonts w:cs="Times New Roman"/>
          <w:i/>
          <w:iCs/>
          <w:sz w:val="24"/>
          <w:szCs w:val="24"/>
          <w:lang w:val="fr-FR"/>
        </w:rPr>
        <w:t>Pharmacoepidemiol Drug Saf</w:t>
      </w:r>
      <w:r w:rsidRPr="00AB6810">
        <w:rPr>
          <w:rFonts w:cs="Times New Roman"/>
          <w:sz w:val="24"/>
          <w:szCs w:val="24"/>
          <w:lang w:val="fr-FR"/>
        </w:rPr>
        <w:t xml:space="preserve"> 2017; </w:t>
      </w:r>
      <w:r w:rsidRPr="00AB6810">
        <w:rPr>
          <w:rFonts w:cs="Times New Roman"/>
          <w:b/>
          <w:bCs/>
          <w:sz w:val="24"/>
          <w:szCs w:val="24"/>
          <w:lang w:val="fr-FR"/>
        </w:rPr>
        <w:t>26</w:t>
      </w:r>
      <w:r w:rsidRPr="00AB6810">
        <w:rPr>
          <w:rFonts w:cs="Times New Roman"/>
          <w:sz w:val="24"/>
          <w:szCs w:val="24"/>
          <w:lang w:val="fr-FR"/>
        </w:rPr>
        <w:t>: 954–62.</w:t>
      </w:r>
    </w:p>
    <w:p w:rsidRPr="00AB6810" w:rsidR="00094508" w:rsidP="00094508" w:rsidRDefault="00094508" w14:paraId="5F8BE3D2" w14:textId="77777777">
      <w:pPr>
        <w:pStyle w:val="Bibliographie"/>
        <w:rPr>
          <w:rFonts w:cs="Times New Roman"/>
          <w:sz w:val="24"/>
          <w:szCs w:val="24"/>
        </w:rPr>
      </w:pPr>
      <w:r w:rsidRPr="00AB6810">
        <w:rPr>
          <w:rFonts w:cs="Times New Roman"/>
          <w:sz w:val="24"/>
          <w:szCs w:val="24"/>
          <w:lang w:val="fr-FR"/>
        </w:rPr>
        <w:t>42</w:t>
      </w:r>
      <w:r w:rsidRPr="00AB6810">
        <w:rPr>
          <w:rFonts w:cs="Times New Roman"/>
          <w:sz w:val="24"/>
          <w:szCs w:val="24"/>
          <w:lang w:val="fr-FR"/>
        </w:rPr>
        <w:tab/>
      </w:r>
      <w:r w:rsidRPr="00AB6810">
        <w:rPr>
          <w:rFonts w:cs="Times New Roman"/>
          <w:sz w:val="24"/>
          <w:szCs w:val="24"/>
          <w:lang w:val="fr-FR"/>
        </w:rPr>
        <w:t xml:space="preserve">Lassalle M, Le Tri T, Afchain P, </w:t>
      </w:r>
      <w:r w:rsidRPr="00AB6810">
        <w:rPr>
          <w:rFonts w:cs="Times New Roman"/>
          <w:i/>
          <w:iCs/>
          <w:sz w:val="24"/>
          <w:szCs w:val="24"/>
          <w:lang w:val="fr-FR"/>
        </w:rPr>
        <w:t>et al.</w:t>
      </w:r>
      <w:r w:rsidRPr="00AB6810">
        <w:rPr>
          <w:rFonts w:cs="Times New Roman"/>
          <w:sz w:val="24"/>
          <w:szCs w:val="24"/>
          <w:lang w:val="fr-FR"/>
        </w:rPr>
        <w:t xml:space="preserve"> </w:t>
      </w:r>
      <w:r w:rsidRPr="00AB6810">
        <w:rPr>
          <w:rFonts w:cs="Times New Roman"/>
          <w:sz w:val="24"/>
          <w:szCs w:val="24"/>
        </w:rPr>
        <w:t xml:space="preserve">Use of Proton Pump Inhibitors and Risk of Pancreatic Cancer: A Nationwide Case-Control Study Based on the French National Health Data System (SNDS). </w:t>
      </w:r>
      <w:r w:rsidRPr="00AB6810">
        <w:rPr>
          <w:rFonts w:cs="Times New Roman"/>
          <w:i/>
          <w:iCs/>
          <w:sz w:val="24"/>
          <w:szCs w:val="24"/>
        </w:rPr>
        <w:t>Cancer Epidemiol Biomark Prev Publ Am Assoc Cancer Res Cosponsored Am Soc Prev Oncol</w:t>
      </w:r>
      <w:r w:rsidRPr="00AB6810">
        <w:rPr>
          <w:rFonts w:cs="Times New Roman"/>
          <w:sz w:val="24"/>
          <w:szCs w:val="24"/>
        </w:rPr>
        <w:t xml:space="preserve"> 2022; </w:t>
      </w:r>
      <w:r w:rsidRPr="00AB6810">
        <w:rPr>
          <w:rFonts w:cs="Times New Roman"/>
          <w:b/>
          <w:bCs/>
          <w:sz w:val="24"/>
          <w:szCs w:val="24"/>
        </w:rPr>
        <w:t>31</w:t>
      </w:r>
      <w:r w:rsidRPr="00AB6810">
        <w:rPr>
          <w:rFonts w:cs="Times New Roman"/>
          <w:sz w:val="24"/>
          <w:szCs w:val="24"/>
        </w:rPr>
        <w:t>: 662–9.</w:t>
      </w:r>
    </w:p>
    <w:p w:rsidRPr="00AB6810" w:rsidR="00094508" w:rsidP="00094508" w:rsidRDefault="00094508" w14:paraId="14AFD040" w14:textId="77777777">
      <w:pPr>
        <w:pStyle w:val="Bibliographie"/>
        <w:rPr>
          <w:rFonts w:cs="Times New Roman"/>
          <w:sz w:val="24"/>
          <w:szCs w:val="24"/>
        </w:rPr>
      </w:pPr>
      <w:r w:rsidRPr="00AB6810">
        <w:rPr>
          <w:rFonts w:cs="Times New Roman"/>
          <w:sz w:val="24"/>
          <w:szCs w:val="24"/>
        </w:rPr>
        <w:t>43</w:t>
      </w:r>
      <w:r w:rsidRPr="00AB6810">
        <w:rPr>
          <w:rFonts w:cs="Times New Roman"/>
          <w:sz w:val="24"/>
          <w:szCs w:val="24"/>
        </w:rPr>
        <w:tab/>
      </w:r>
      <w:r w:rsidRPr="00AB6810">
        <w:rPr>
          <w:rFonts w:cs="Times New Roman"/>
          <w:sz w:val="24"/>
          <w:szCs w:val="24"/>
        </w:rPr>
        <w:t xml:space="preserve">Olive F, Gomez F, Schott A-M, </w:t>
      </w:r>
      <w:r w:rsidRPr="00AB6810">
        <w:rPr>
          <w:rFonts w:cs="Times New Roman"/>
          <w:i/>
          <w:iCs/>
          <w:sz w:val="24"/>
          <w:szCs w:val="24"/>
        </w:rPr>
        <w:t>et al.</w:t>
      </w:r>
      <w:r w:rsidRPr="00AB6810">
        <w:rPr>
          <w:rFonts w:cs="Times New Roman"/>
          <w:sz w:val="24"/>
          <w:szCs w:val="24"/>
        </w:rPr>
        <w:t xml:space="preserve"> Critical analysis of French DRG based information system (PMSI) databases for the epidemiology of cancer: a longitudinal approach becomes possible. </w:t>
      </w:r>
      <w:r w:rsidRPr="00AB6810">
        <w:rPr>
          <w:rFonts w:cs="Times New Roman"/>
          <w:i/>
          <w:iCs/>
          <w:sz w:val="24"/>
          <w:szCs w:val="24"/>
        </w:rPr>
        <w:t>Rev Epidemiol Sante Publique</w:t>
      </w:r>
      <w:r w:rsidRPr="00AB6810">
        <w:rPr>
          <w:rFonts w:cs="Times New Roman"/>
          <w:sz w:val="24"/>
          <w:szCs w:val="24"/>
        </w:rPr>
        <w:t xml:space="preserve"> 2011; </w:t>
      </w:r>
      <w:r w:rsidRPr="00AB6810">
        <w:rPr>
          <w:rFonts w:cs="Times New Roman"/>
          <w:b/>
          <w:bCs/>
          <w:sz w:val="24"/>
          <w:szCs w:val="24"/>
        </w:rPr>
        <w:t>59</w:t>
      </w:r>
      <w:r w:rsidRPr="00AB6810">
        <w:rPr>
          <w:rFonts w:cs="Times New Roman"/>
          <w:sz w:val="24"/>
          <w:szCs w:val="24"/>
        </w:rPr>
        <w:t>: 53–8.</w:t>
      </w:r>
    </w:p>
    <w:p w:rsidRPr="00AB6810" w:rsidR="00094508" w:rsidP="00094508" w:rsidRDefault="00094508" w14:paraId="37D4DC60" w14:textId="77777777">
      <w:pPr>
        <w:pStyle w:val="Bibliographie"/>
        <w:rPr>
          <w:rFonts w:cs="Times New Roman"/>
          <w:sz w:val="24"/>
          <w:szCs w:val="24"/>
        </w:rPr>
      </w:pPr>
      <w:r w:rsidRPr="00AB6810">
        <w:rPr>
          <w:rFonts w:cs="Times New Roman"/>
          <w:sz w:val="24"/>
          <w:szCs w:val="24"/>
        </w:rPr>
        <w:t>44</w:t>
      </w:r>
      <w:r w:rsidRPr="00AB6810">
        <w:rPr>
          <w:rFonts w:cs="Times New Roman"/>
          <w:sz w:val="24"/>
          <w:szCs w:val="24"/>
        </w:rPr>
        <w:tab/>
      </w:r>
      <w:r w:rsidRPr="00AB6810">
        <w:rPr>
          <w:rFonts w:cs="Times New Roman"/>
          <w:sz w:val="24"/>
          <w:szCs w:val="24"/>
        </w:rPr>
        <w:t xml:space="preserve">Doat S, Samson S, Fagot-Campagna A, Tuppin P, Menegaux F. Estimation of breast, prostate, and colorectal cancer incidence using a French administrative database (general sample of health insurance beneficiaries). </w:t>
      </w:r>
      <w:r w:rsidRPr="00AB6810">
        <w:rPr>
          <w:rFonts w:cs="Times New Roman"/>
          <w:i/>
          <w:iCs/>
          <w:sz w:val="24"/>
          <w:szCs w:val="24"/>
        </w:rPr>
        <w:t>Rev Epidemiol Sante Publique</w:t>
      </w:r>
      <w:r w:rsidRPr="00AB6810">
        <w:rPr>
          <w:rFonts w:cs="Times New Roman"/>
          <w:sz w:val="24"/>
          <w:szCs w:val="24"/>
        </w:rPr>
        <w:t xml:space="preserve"> 2016; </w:t>
      </w:r>
      <w:r w:rsidRPr="00AB6810">
        <w:rPr>
          <w:rFonts w:cs="Times New Roman"/>
          <w:b/>
          <w:bCs/>
          <w:sz w:val="24"/>
          <w:szCs w:val="24"/>
        </w:rPr>
        <w:t>64</w:t>
      </w:r>
      <w:r w:rsidRPr="00AB6810">
        <w:rPr>
          <w:rFonts w:cs="Times New Roman"/>
          <w:sz w:val="24"/>
          <w:szCs w:val="24"/>
        </w:rPr>
        <w:t>: 145–52.</w:t>
      </w:r>
    </w:p>
    <w:p w:rsidRPr="00AB6810" w:rsidR="00094508" w:rsidP="00094508" w:rsidRDefault="00094508" w14:paraId="7C172065" w14:textId="77777777">
      <w:pPr>
        <w:pStyle w:val="Bibliographie"/>
        <w:rPr>
          <w:rFonts w:cs="Times New Roman"/>
          <w:sz w:val="24"/>
          <w:szCs w:val="24"/>
        </w:rPr>
      </w:pPr>
      <w:r w:rsidRPr="00AB6810">
        <w:rPr>
          <w:rFonts w:cs="Times New Roman"/>
          <w:sz w:val="24"/>
          <w:szCs w:val="24"/>
        </w:rPr>
        <w:t>45</w:t>
      </w:r>
      <w:r w:rsidRPr="00AB6810">
        <w:rPr>
          <w:rFonts w:cs="Times New Roman"/>
          <w:sz w:val="24"/>
          <w:szCs w:val="24"/>
        </w:rPr>
        <w:tab/>
      </w:r>
      <w:r w:rsidRPr="00AB6810">
        <w:rPr>
          <w:rFonts w:cs="Times New Roman"/>
          <w:sz w:val="24"/>
          <w:szCs w:val="24"/>
        </w:rPr>
        <w:t xml:space="preserve">Burns CJ, Juberg DR. Cancer and occupational exposure to pesticides: an umbrella review. </w:t>
      </w:r>
      <w:r w:rsidRPr="00AB6810">
        <w:rPr>
          <w:rFonts w:cs="Times New Roman"/>
          <w:i/>
          <w:iCs/>
          <w:sz w:val="24"/>
          <w:szCs w:val="24"/>
        </w:rPr>
        <w:t>Int Arch Occup Environ Health</w:t>
      </w:r>
      <w:r w:rsidRPr="00AB6810">
        <w:rPr>
          <w:rFonts w:cs="Times New Roman"/>
          <w:sz w:val="24"/>
          <w:szCs w:val="24"/>
        </w:rPr>
        <w:t xml:space="preserve"> 2021; </w:t>
      </w:r>
      <w:r w:rsidRPr="00AB6810">
        <w:rPr>
          <w:rFonts w:cs="Times New Roman"/>
          <w:b/>
          <w:bCs/>
          <w:sz w:val="24"/>
          <w:szCs w:val="24"/>
        </w:rPr>
        <w:t>94</w:t>
      </w:r>
      <w:r w:rsidRPr="00AB6810">
        <w:rPr>
          <w:rFonts w:cs="Times New Roman"/>
          <w:sz w:val="24"/>
          <w:szCs w:val="24"/>
        </w:rPr>
        <w:t>: 945–57.</w:t>
      </w:r>
    </w:p>
    <w:p w:rsidRPr="00AB6810" w:rsidR="00094508" w:rsidP="00094508" w:rsidRDefault="00094508" w14:paraId="1E42B483" w14:textId="77777777">
      <w:pPr>
        <w:pStyle w:val="Bibliographie"/>
        <w:rPr>
          <w:rFonts w:cs="Times New Roman"/>
          <w:sz w:val="24"/>
          <w:szCs w:val="24"/>
          <w:lang w:val="fr-FR"/>
        </w:rPr>
      </w:pPr>
      <w:r w:rsidRPr="00AB6810">
        <w:rPr>
          <w:rFonts w:cs="Times New Roman"/>
          <w:sz w:val="24"/>
          <w:szCs w:val="24"/>
          <w:lang w:val="fr-FR"/>
        </w:rPr>
        <w:t>46</w:t>
      </w:r>
      <w:r w:rsidRPr="00AB6810">
        <w:rPr>
          <w:rFonts w:cs="Times New Roman"/>
          <w:sz w:val="24"/>
          <w:szCs w:val="24"/>
          <w:lang w:val="fr-FR"/>
        </w:rPr>
        <w:tab/>
      </w:r>
      <w:r w:rsidRPr="00AB6810">
        <w:rPr>
          <w:rFonts w:cs="Times New Roman"/>
          <w:sz w:val="24"/>
          <w:szCs w:val="24"/>
          <w:lang w:val="fr-FR"/>
        </w:rPr>
        <w:t>Seminar synthesis (June 28th 2023). Estimer les expositions aux pesticides : données et approches géographiques. Synthèse du séminaire du 28 juin 2022. https://www.santepubliquefrance.fr/import/estimer-les-expositions-aux-pesticides-donnees-et-approches-geographiques.-synthese-du-seminaire-du-28-juin-2022 (accessed June 9, 2023).</w:t>
      </w:r>
    </w:p>
    <w:p w:rsidRPr="00AB6810" w:rsidR="00EC530C" w:rsidP="00CF781E" w:rsidRDefault="00967902" w14:paraId="5EFC9876" w14:textId="0F31188B">
      <w:pPr>
        <w:spacing w:line="480" w:lineRule="auto"/>
        <w:rPr>
          <w:rFonts w:ascii="Arial" w:hAnsi="Arial" w:cs="Arial"/>
          <w:sz w:val="24"/>
          <w:szCs w:val="24"/>
          <w:lang w:val="fr-FR"/>
        </w:rPr>
      </w:pPr>
      <w:r w:rsidRPr="00AB6810">
        <w:rPr>
          <w:rFonts w:ascii="Arial" w:hAnsi="Arial" w:cs="Arial"/>
          <w:sz w:val="24"/>
          <w:szCs w:val="24"/>
        </w:rPr>
        <w:fldChar w:fldCharType="end"/>
      </w:r>
    </w:p>
    <w:p w:rsidRPr="00AB6810" w:rsidR="00EC530C" w:rsidRDefault="00EC530C" w14:paraId="5522F35C" w14:textId="77777777">
      <w:pPr>
        <w:jc w:val="left"/>
        <w:rPr>
          <w:rFonts w:ascii="Arial" w:hAnsi="Arial" w:cs="Arial"/>
          <w:sz w:val="24"/>
          <w:szCs w:val="24"/>
          <w:lang w:val="fr-FR"/>
        </w:rPr>
      </w:pPr>
      <w:r w:rsidRPr="00AB6810">
        <w:rPr>
          <w:rFonts w:ascii="Arial" w:hAnsi="Arial" w:cs="Arial"/>
          <w:sz w:val="24"/>
          <w:szCs w:val="24"/>
          <w:lang w:val="fr-FR"/>
        </w:rPr>
        <w:br w:type="page"/>
      </w:r>
    </w:p>
    <w:p w:rsidRPr="00AB6810" w:rsidR="001749BA" w:rsidP="001749BA" w:rsidRDefault="001749BA" w14:paraId="1983F961" w14:textId="77777777">
      <w:pPr>
        <w:spacing w:line="480" w:lineRule="auto"/>
        <w:rPr>
          <w:rFonts w:ascii="Arial" w:hAnsi="Arial" w:cs="Arial"/>
          <w:b/>
          <w:sz w:val="24"/>
          <w:szCs w:val="24"/>
          <w:u w:val="single"/>
        </w:rPr>
      </w:pPr>
      <w:r w:rsidRPr="00AB6810">
        <w:rPr>
          <w:rFonts w:ascii="Arial" w:hAnsi="Arial" w:cs="Arial"/>
          <w:b/>
          <w:sz w:val="24"/>
          <w:szCs w:val="24"/>
          <w:u w:val="single"/>
        </w:rPr>
        <w:t>Statements &amp; Declarations</w:t>
      </w:r>
    </w:p>
    <w:p w:rsidRPr="00AB6810" w:rsidR="001749BA" w:rsidP="001749BA" w:rsidRDefault="001749BA" w14:paraId="7702C33F" w14:textId="77777777">
      <w:pPr>
        <w:spacing w:line="480" w:lineRule="auto"/>
        <w:rPr>
          <w:rFonts w:ascii="Arial" w:hAnsi="Arial" w:cs="Arial"/>
          <w:b/>
          <w:sz w:val="24"/>
          <w:szCs w:val="24"/>
          <w:u w:val="single"/>
        </w:rPr>
      </w:pPr>
      <w:r w:rsidRPr="00AB6810">
        <w:rPr>
          <w:rFonts w:ascii="Arial" w:hAnsi="Arial" w:cs="Arial"/>
          <w:b/>
          <w:sz w:val="24"/>
          <w:szCs w:val="24"/>
          <w:u w:val="single"/>
        </w:rPr>
        <w:t>Funding</w:t>
      </w:r>
    </w:p>
    <w:p w:rsidRPr="00AB6810" w:rsidR="001749BA" w:rsidP="001749BA" w:rsidRDefault="001749BA" w14:paraId="40092CE4" w14:textId="77777777">
      <w:pPr>
        <w:spacing w:line="480" w:lineRule="auto"/>
        <w:rPr>
          <w:rFonts w:ascii="Arial" w:hAnsi="Arial" w:cs="Arial"/>
          <w:sz w:val="24"/>
          <w:szCs w:val="24"/>
        </w:rPr>
      </w:pPr>
      <w:r w:rsidRPr="00AB6810">
        <w:rPr>
          <w:rFonts w:ascii="Arial" w:hAnsi="Arial" w:cs="Arial"/>
          <w:sz w:val="24"/>
          <w:szCs w:val="24"/>
        </w:rPr>
        <w:t>No funding was received for conducting this study</w:t>
      </w:r>
    </w:p>
    <w:p w:rsidRPr="00AB6810" w:rsidR="001749BA" w:rsidP="001749BA" w:rsidRDefault="001749BA" w14:paraId="3B0BFAF9" w14:textId="77777777">
      <w:pPr>
        <w:spacing w:line="480" w:lineRule="auto"/>
        <w:rPr>
          <w:rFonts w:ascii="Arial" w:hAnsi="Arial" w:cs="Arial"/>
          <w:b/>
          <w:sz w:val="24"/>
          <w:szCs w:val="24"/>
          <w:u w:val="single"/>
        </w:rPr>
      </w:pPr>
      <w:r w:rsidRPr="00AB6810">
        <w:rPr>
          <w:rFonts w:ascii="Arial" w:hAnsi="Arial" w:cs="Arial"/>
          <w:b/>
          <w:sz w:val="24"/>
          <w:szCs w:val="24"/>
          <w:u w:val="single"/>
        </w:rPr>
        <w:t>Competing interests</w:t>
      </w:r>
    </w:p>
    <w:p w:rsidRPr="00AB6810" w:rsidR="001749BA" w:rsidP="001749BA" w:rsidRDefault="001749BA" w14:paraId="55A7FB9F" w14:textId="77777777">
      <w:pPr>
        <w:suppressAutoHyphens/>
        <w:spacing w:line="480" w:lineRule="auto"/>
        <w:textAlignment w:val="baseline"/>
        <w:rPr>
          <w:rFonts w:ascii="Arial" w:hAnsi="Arial" w:cs="Arial"/>
          <w:color w:val="000000"/>
          <w:sz w:val="24"/>
          <w:szCs w:val="24"/>
          <w:shd w:val="clear" w:color="auto" w:fill="FFFFFF"/>
        </w:rPr>
      </w:pPr>
      <w:r w:rsidRPr="00AB6810">
        <w:rPr>
          <w:rFonts w:ascii="Arial" w:hAnsi="Arial" w:cs="Arial"/>
          <w:color w:val="000000"/>
          <w:kern w:val="2"/>
          <w:sz w:val="24"/>
          <w:szCs w:val="24"/>
          <w:lang w:bidi="hi-IN"/>
        </w:rPr>
        <w:t>O.B.</w:t>
      </w:r>
      <w:r w:rsidRPr="00AB6810">
        <w:rPr>
          <w:rFonts w:ascii="Arial" w:hAnsi="Arial" w:cs="Arial"/>
          <w:kern w:val="2"/>
          <w:sz w:val="24"/>
          <w:szCs w:val="24"/>
          <w:lang w:bidi="hi-IN"/>
        </w:rPr>
        <w:t xml:space="preserve"> reports </w:t>
      </w:r>
      <w:r w:rsidRPr="00AB6810">
        <w:rPr>
          <w:rFonts w:ascii="Arial" w:hAnsi="Arial" w:cs="Arial"/>
          <w:color w:val="000000"/>
          <w:kern w:val="2"/>
          <w:sz w:val="24"/>
          <w:szCs w:val="24"/>
          <w:lang w:bidi="hi-IN"/>
        </w:rPr>
        <w:t>personal fees as a speaker and/or in an advisory role from Apmonia Therapeutics, Merck KGaA, Bayer, MSD, Amgen, Deciphera, Servier, and Pierre Fabre, outside the submitted work.</w:t>
      </w:r>
    </w:p>
    <w:p w:rsidRPr="00AB6810" w:rsidR="001749BA" w:rsidP="001749BA" w:rsidRDefault="001749BA" w14:paraId="286CE272" w14:textId="77777777">
      <w:pPr>
        <w:spacing w:line="480" w:lineRule="auto"/>
        <w:rPr>
          <w:rFonts w:ascii="Arial" w:hAnsi="Arial" w:cs="Arial"/>
          <w:sz w:val="24"/>
          <w:szCs w:val="24"/>
        </w:rPr>
      </w:pPr>
      <w:r w:rsidRPr="00AB6810">
        <w:rPr>
          <w:rFonts w:ascii="Arial" w:hAnsi="Arial" w:cs="Arial"/>
          <w:sz w:val="24"/>
          <w:szCs w:val="24"/>
        </w:rPr>
        <w:t>Mathias Brugel, Victoria Gauthier, Marta Blangiardo, Michaël Génin had no conflict of interest.</w:t>
      </w:r>
    </w:p>
    <w:p w:rsidRPr="00AB6810" w:rsidR="001749BA" w:rsidP="001749BA" w:rsidRDefault="001749BA" w14:paraId="74380787" w14:textId="77777777">
      <w:pPr>
        <w:spacing w:line="480" w:lineRule="auto"/>
        <w:rPr>
          <w:rFonts w:ascii="Arial" w:hAnsi="Arial" w:cs="Arial"/>
          <w:b/>
          <w:sz w:val="24"/>
          <w:szCs w:val="24"/>
          <w:u w:val="single"/>
        </w:rPr>
      </w:pPr>
      <w:r w:rsidRPr="00AB6810">
        <w:rPr>
          <w:rFonts w:ascii="Arial" w:hAnsi="Arial" w:cs="Arial"/>
          <w:b/>
          <w:sz w:val="24"/>
          <w:szCs w:val="24"/>
          <w:u w:val="single"/>
        </w:rPr>
        <w:t>Authors Contributions</w:t>
      </w:r>
    </w:p>
    <w:p w:rsidRPr="00AB6810" w:rsidR="001749BA" w:rsidP="001749BA" w:rsidRDefault="001749BA" w14:paraId="2485B743" w14:textId="77777777">
      <w:pPr>
        <w:spacing w:line="480" w:lineRule="auto"/>
        <w:rPr>
          <w:rFonts w:ascii="Arial" w:hAnsi="Arial" w:cs="Arial"/>
          <w:sz w:val="24"/>
          <w:szCs w:val="24"/>
        </w:rPr>
      </w:pPr>
      <w:r w:rsidRPr="00AB6810">
        <w:rPr>
          <w:rFonts w:ascii="Arial" w:hAnsi="Arial" w:cs="Arial"/>
          <w:sz w:val="24"/>
          <w:szCs w:val="24"/>
        </w:rPr>
        <w:t>Mathias Brugel: conceptualization, methodology, software programming, formal analysis, validation, investigation, resources, data curation, writing – original draft, writing – review &amp; editing, visualization, project administration; Victoria Gauthier: conceptualization, methodology, software programming, investigation, resources, data curation, writing – review &amp; editing; Olivier Bouché: conceptualization, writing – review &amp; editing; Marta Blangiardo: conceptualization, methodology, investigation, writing – review &amp; editing; Michaël Génin: conceptualization, methodology, software programming, formal analysis, validation, investigation, resources, data curation, writing – review &amp; editing, visualization, supervision, project administration</w:t>
      </w:r>
    </w:p>
    <w:p w:rsidRPr="00AB6810" w:rsidR="001749BA" w:rsidP="001749BA" w:rsidRDefault="001749BA" w14:paraId="38D44A80" w14:textId="77777777">
      <w:pPr>
        <w:spacing w:line="480" w:lineRule="auto"/>
        <w:rPr>
          <w:rFonts w:ascii="Arial" w:hAnsi="Arial" w:cs="Arial"/>
          <w:b/>
          <w:sz w:val="24"/>
          <w:szCs w:val="24"/>
          <w:u w:val="single"/>
        </w:rPr>
      </w:pPr>
      <w:r w:rsidRPr="00AB6810">
        <w:rPr>
          <w:rFonts w:ascii="Arial" w:hAnsi="Arial" w:cs="Arial"/>
          <w:b/>
          <w:sz w:val="24"/>
          <w:szCs w:val="24"/>
          <w:u w:val="single"/>
        </w:rPr>
        <w:t>Data sharing statement</w:t>
      </w:r>
    </w:p>
    <w:p w:rsidRPr="00AB6810" w:rsidR="001749BA" w:rsidP="001749BA" w:rsidRDefault="001749BA" w14:paraId="433ADD14" w14:textId="77777777">
      <w:pPr>
        <w:spacing w:line="480" w:lineRule="auto"/>
        <w:rPr>
          <w:rFonts w:ascii="Arial" w:hAnsi="Arial" w:cs="Arial"/>
          <w:sz w:val="24"/>
          <w:szCs w:val="24"/>
        </w:rPr>
      </w:pPr>
      <w:r w:rsidRPr="00AB6810">
        <w:rPr>
          <w:rFonts w:ascii="Arial" w:hAnsi="Arial" w:cs="Arial"/>
          <w:sz w:val="24"/>
          <w:szCs w:val="24"/>
        </w:rPr>
        <w:t xml:space="preserve">Some of the data that support the findings of this article are openly available in public repositories, cited as references. Raw observational data were extracted from the </w:t>
      </w:r>
      <w:r w:rsidRPr="00AB6810">
        <w:rPr>
          <w:rFonts w:ascii="Arial" w:hAnsi="Arial" w:cs="Arial"/>
          <w:sz w:val="24"/>
          <w:szCs w:val="24"/>
        </w:rPr>
        <w:t>SNDS (</w:t>
      </w:r>
      <w:r w:rsidRPr="00AB6810">
        <w:rPr>
          <w:rFonts w:hint="eastAsia" w:ascii="Arial" w:hAnsi="Arial" w:cs="Arial"/>
          <w:i/>
          <w:iCs/>
          <w:color w:val="333333"/>
          <w:sz w:val="24"/>
          <w:szCs w:val="24"/>
          <w:shd w:val="clear" w:color="auto" w:fill="FFFFFF"/>
        </w:rPr>
        <w:t>Système National des Données de Santé</w:t>
      </w:r>
      <w:r w:rsidRPr="00AB6810">
        <w:rPr>
          <w:rFonts w:hint="eastAsia" w:ascii="Arial" w:hAnsi="Arial" w:cs="Arial"/>
          <w:color w:val="333333"/>
          <w:sz w:val="24"/>
          <w:szCs w:val="24"/>
          <w:shd w:val="clear" w:color="auto" w:fill="FFFFFF"/>
        </w:rPr>
        <w:t>)</w:t>
      </w:r>
      <w:r w:rsidRPr="00AB6810">
        <w:rPr>
          <w:rFonts w:ascii="Arial" w:hAnsi="Arial" w:cs="Arial"/>
          <w:sz w:val="24"/>
          <w:szCs w:val="24"/>
        </w:rPr>
        <w:t>, and are subject to authorisation for reuse.</w:t>
      </w:r>
    </w:p>
    <w:p w:rsidRPr="00AB6810" w:rsidR="001749BA" w:rsidP="001749BA" w:rsidRDefault="001749BA" w14:paraId="4440142B" w14:textId="77777777">
      <w:pPr>
        <w:spacing w:line="480" w:lineRule="auto"/>
        <w:jc w:val="left"/>
        <w:rPr>
          <w:rFonts w:ascii="Arial" w:hAnsi="Arial" w:cs="Arial"/>
          <w:b/>
          <w:sz w:val="24"/>
          <w:szCs w:val="24"/>
          <w:u w:val="single"/>
        </w:rPr>
      </w:pPr>
      <w:r w:rsidRPr="00AB6810">
        <w:rPr>
          <w:rFonts w:ascii="Arial" w:hAnsi="Arial" w:cs="Arial"/>
          <w:b/>
          <w:sz w:val="24"/>
          <w:szCs w:val="24"/>
          <w:u w:val="single"/>
        </w:rPr>
        <w:t>Acknowledgements</w:t>
      </w:r>
    </w:p>
    <w:p w:rsidRPr="00AB6810" w:rsidR="001749BA" w:rsidP="001749BA" w:rsidRDefault="001749BA" w14:paraId="40E1B86A" w14:textId="77777777">
      <w:pPr>
        <w:spacing w:line="480" w:lineRule="auto"/>
        <w:rPr>
          <w:rFonts w:ascii="Arial" w:hAnsi="Arial" w:cs="Arial"/>
          <w:sz w:val="24"/>
          <w:szCs w:val="24"/>
        </w:rPr>
      </w:pPr>
      <w:r w:rsidRPr="00AB6810">
        <w:rPr>
          <w:rFonts w:ascii="Arial" w:hAnsi="Arial" w:cs="Arial"/>
          <w:sz w:val="24"/>
          <w:szCs w:val="24"/>
        </w:rPr>
        <w:t>We would like to thank Florent Occelli and Emmanuel Chazard for their help and support during this study.</w:t>
      </w:r>
    </w:p>
    <w:p w:rsidRPr="00AB6810" w:rsidR="001749BA" w:rsidRDefault="001749BA" w14:paraId="14D4BF68" w14:textId="77777777">
      <w:pPr>
        <w:jc w:val="left"/>
        <w:rPr>
          <w:rFonts w:ascii="Arial" w:hAnsi="Arial" w:cs="Arial"/>
          <w:b/>
          <w:sz w:val="24"/>
          <w:szCs w:val="24"/>
          <w:u w:val="single"/>
        </w:rPr>
      </w:pPr>
      <w:r w:rsidRPr="00AB6810">
        <w:rPr>
          <w:rFonts w:ascii="Arial" w:hAnsi="Arial" w:cs="Arial"/>
          <w:b/>
          <w:sz w:val="24"/>
          <w:szCs w:val="24"/>
          <w:u w:val="single"/>
        </w:rPr>
        <w:br w:type="page"/>
      </w:r>
    </w:p>
    <w:p w:rsidRPr="00AB6810" w:rsidR="009A2D16" w:rsidP="001749BA" w:rsidRDefault="00EC530C" w14:paraId="6E8618D0" w14:textId="2E6C891C">
      <w:pPr>
        <w:spacing w:line="480" w:lineRule="auto"/>
        <w:rPr>
          <w:rFonts w:ascii="Arial" w:hAnsi="Arial" w:cs="Arial"/>
          <w:b/>
          <w:sz w:val="24"/>
          <w:szCs w:val="24"/>
          <w:u w:val="single"/>
        </w:rPr>
      </w:pPr>
      <w:r w:rsidRPr="2B52BC56" w:rsidR="00EC530C">
        <w:rPr>
          <w:rFonts w:ascii="Arial" w:hAnsi="Arial" w:cs="Arial"/>
          <w:b w:val="1"/>
          <w:bCs w:val="1"/>
          <w:sz w:val="24"/>
          <w:szCs w:val="24"/>
          <w:u w:val="single"/>
        </w:rPr>
        <w:t>Figures</w:t>
      </w:r>
    </w:p>
    <w:p w:rsidR="4078EE21" w:rsidP="2B52BC56" w:rsidRDefault="4078EE21" w14:paraId="264D82C5" w14:textId="31F20E5B">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B52BC56" w:rsidR="4078EE21">
        <w:rPr>
          <w:rFonts w:ascii="Arial" w:hAnsi="Arial" w:eastAsia="Arial" w:cs="Arial"/>
          <w:b w:val="1"/>
          <w:bCs w:val="1"/>
          <w:i w:val="0"/>
          <w:iCs w:val="0"/>
          <w:caps w:val="0"/>
          <w:smallCaps w:val="0"/>
          <w:noProof w:val="0"/>
          <w:color w:val="000000" w:themeColor="text1" w:themeTint="FF" w:themeShade="FF"/>
          <w:sz w:val="24"/>
          <w:szCs w:val="24"/>
          <w:lang w:val="en-GB"/>
        </w:rPr>
        <w:t xml:space="preserve">Figure 1. </w:t>
      </w:r>
      <w:r w:rsidRPr="2B52BC56" w:rsidR="4078EE21">
        <w:rPr>
          <w:rFonts w:ascii="Arial" w:hAnsi="Arial" w:eastAsia="Arial" w:cs="Arial"/>
          <w:b w:val="0"/>
          <w:bCs w:val="0"/>
          <w:i w:val="0"/>
          <w:iCs w:val="0"/>
          <w:caps w:val="0"/>
          <w:smallCaps w:val="0"/>
          <w:noProof w:val="0"/>
          <w:color w:val="000000" w:themeColor="text1" w:themeTint="FF" w:themeShade="FF"/>
          <w:sz w:val="24"/>
          <w:szCs w:val="24"/>
          <w:lang w:val="en-GB"/>
        </w:rPr>
        <w:t>Temporal relative risks of pancreatic adenocarcinoma and their 95% credibility interval in France from 2011 to 2021.</w:t>
      </w:r>
    </w:p>
    <w:p w:rsidR="2B52BC56" w:rsidP="2B52BC56" w:rsidRDefault="2B52BC56" w14:paraId="5D4767DA" w14:textId="77C20795">
      <w:pPr>
        <w:rPr>
          <w:rFonts w:ascii="Arial" w:hAnsi="Arial" w:eastAsia="Arial" w:cs="Arial"/>
          <w:b w:val="0"/>
          <w:bCs w:val="0"/>
          <w:i w:val="0"/>
          <w:iCs w:val="0"/>
          <w:caps w:val="0"/>
          <w:smallCaps w:val="0"/>
          <w:noProof w:val="0"/>
          <w:color w:val="000000" w:themeColor="text1" w:themeTint="FF" w:themeShade="FF"/>
          <w:sz w:val="24"/>
          <w:szCs w:val="24"/>
          <w:lang w:val="en-GB"/>
        </w:rPr>
      </w:pPr>
    </w:p>
    <w:p w:rsidR="4078EE21" w:rsidP="2B52BC56" w:rsidRDefault="4078EE21" w14:paraId="4CFF81C5" w14:textId="0F2EFF3B">
      <w:pPr>
        <w:rPr>
          <w:rFonts w:ascii="Arial" w:hAnsi="Arial" w:eastAsia="Arial" w:cs="Arial"/>
          <w:b w:val="0"/>
          <w:bCs w:val="0"/>
          <w:i w:val="0"/>
          <w:iCs w:val="0"/>
          <w:caps w:val="0"/>
          <w:smallCaps w:val="0"/>
          <w:noProof w:val="0"/>
          <w:color w:val="000000" w:themeColor="text1" w:themeTint="FF" w:themeShade="FF"/>
          <w:sz w:val="24"/>
          <w:szCs w:val="24"/>
          <w:lang w:val="en-GB"/>
        </w:rPr>
      </w:pPr>
      <w:r w:rsidR="4078EE21">
        <w:drawing>
          <wp:inline wp14:editId="2741D136" wp14:anchorId="3FFA9AD2">
            <wp:extent cx="5753098" cy="2867025"/>
            <wp:effectExtent l="0" t="0" r="0" b="0"/>
            <wp:docPr id="906644685" name="" title=""/>
            <wp:cNvGraphicFramePr>
              <a:graphicFrameLocks noChangeAspect="1"/>
            </wp:cNvGraphicFramePr>
            <a:graphic>
              <a:graphicData uri="http://schemas.openxmlformats.org/drawingml/2006/picture">
                <pic:pic>
                  <pic:nvPicPr>
                    <pic:cNvPr id="0" name=""/>
                    <pic:cNvPicPr/>
                  </pic:nvPicPr>
                  <pic:blipFill>
                    <a:blip r:embed="R8033f519ec8e49c5">
                      <a:extLst>
                        <a:ext xmlns:a="http://schemas.openxmlformats.org/drawingml/2006/main" uri="{28A0092B-C50C-407E-A947-70E740481C1C}">
                          <a14:useLocalDpi val="0"/>
                        </a:ext>
                      </a:extLst>
                    </a:blip>
                    <a:stretch>
                      <a:fillRect/>
                    </a:stretch>
                  </pic:blipFill>
                  <pic:spPr>
                    <a:xfrm>
                      <a:off x="0" y="0"/>
                      <a:ext cx="5753098" cy="2867025"/>
                    </a:xfrm>
                    <a:prstGeom prst="rect">
                      <a:avLst/>
                    </a:prstGeom>
                  </pic:spPr>
                </pic:pic>
              </a:graphicData>
            </a:graphic>
          </wp:inline>
        </w:drawing>
      </w:r>
    </w:p>
    <w:p w:rsidR="2B52BC56" w:rsidP="2B52BC56" w:rsidRDefault="2B52BC56" w14:paraId="6FA04F9A" w14:textId="5FB2E569">
      <w:pPr>
        <w:rPr>
          <w:rFonts w:ascii="Arial" w:hAnsi="Arial" w:eastAsia="Arial" w:cs="Arial"/>
          <w:b w:val="0"/>
          <w:bCs w:val="0"/>
          <w:i w:val="0"/>
          <w:iCs w:val="0"/>
          <w:caps w:val="0"/>
          <w:smallCaps w:val="0"/>
          <w:noProof w:val="0"/>
          <w:color w:val="000000" w:themeColor="text1" w:themeTint="FF" w:themeShade="FF"/>
          <w:sz w:val="24"/>
          <w:szCs w:val="24"/>
          <w:lang w:val="en-GB"/>
        </w:rPr>
      </w:pPr>
    </w:p>
    <w:p w:rsidR="4078EE21" w:rsidP="2B52BC56" w:rsidRDefault="4078EE21" w14:paraId="202233C9" w14:textId="1B6C1D41">
      <w:pPr>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2B52BC56" w:rsidR="4078EE21">
        <w:rPr>
          <w:rFonts w:ascii="Arial" w:hAnsi="Arial" w:eastAsia="Arial" w:cs="Arial"/>
          <w:b w:val="1"/>
          <w:bCs w:val="1"/>
          <w:i w:val="0"/>
          <w:iCs w:val="0"/>
          <w:caps w:val="0"/>
          <w:smallCaps w:val="0"/>
          <w:noProof w:val="0"/>
          <w:color w:val="000000" w:themeColor="text1" w:themeTint="FF" w:themeShade="FF"/>
          <w:sz w:val="24"/>
          <w:szCs w:val="24"/>
          <w:lang w:val="en-GB"/>
        </w:rPr>
        <w:t xml:space="preserve">Figure 2: </w:t>
      </w:r>
      <w:r w:rsidRPr="2B52BC56" w:rsidR="4078EE21">
        <w:rPr>
          <w:rFonts w:ascii="Arial" w:hAnsi="Arial" w:eastAsia="Arial" w:cs="Arial"/>
          <w:b w:val="0"/>
          <w:bCs w:val="0"/>
          <w:i w:val="0"/>
          <w:iCs w:val="0"/>
          <w:caps w:val="0"/>
          <w:smallCaps w:val="0"/>
          <w:noProof w:val="0"/>
          <w:color w:val="000000" w:themeColor="text1" w:themeTint="FF" w:themeShade="FF"/>
          <w:sz w:val="24"/>
          <w:szCs w:val="24"/>
          <w:lang w:val="en-GB"/>
        </w:rPr>
        <w:t>(a) Median posterior of the spatial relative risk (exponential of spatial random effect) of pancreatic adenocarcinoma in metropolitan France between 2011 and 2021; (b) Exceedance probability of the risk of pancreatic adenocarcinoma in metropolitan France for the period 2011-2021.</w:t>
      </w:r>
    </w:p>
    <w:p w:rsidR="4078EE21" w:rsidP="2B52BC56" w:rsidRDefault="4078EE21" w14:paraId="3EFA2E55" w14:textId="0119C122">
      <w:pPr>
        <w:rPr>
          <w:rFonts w:ascii="Arial" w:hAnsi="Arial" w:eastAsia="Arial" w:cs="Arial"/>
          <w:b w:val="0"/>
          <w:bCs w:val="0"/>
          <w:i w:val="0"/>
          <w:iCs w:val="0"/>
          <w:caps w:val="0"/>
          <w:smallCaps w:val="0"/>
          <w:noProof w:val="0"/>
          <w:color w:val="000000" w:themeColor="text1" w:themeTint="FF" w:themeShade="FF"/>
          <w:sz w:val="24"/>
          <w:szCs w:val="24"/>
          <w:lang w:val="en-GB"/>
        </w:rPr>
      </w:pPr>
      <w:r w:rsidR="4078EE21">
        <w:drawing>
          <wp:inline wp14:editId="55B2EBC7" wp14:anchorId="084E0469">
            <wp:extent cx="5753098" cy="2457450"/>
            <wp:effectExtent l="0" t="0" r="0" b="0"/>
            <wp:docPr id="705571539" name="" title=""/>
            <wp:cNvGraphicFramePr>
              <a:graphicFrameLocks noChangeAspect="1"/>
            </wp:cNvGraphicFramePr>
            <a:graphic>
              <a:graphicData uri="http://schemas.openxmlformats.org/drawingml/2006/picture">
                <pic:pic>
                  <pic:nvPicPr>
                    <pic:cNvPr id="0" name=""/>
                    <pic:cNvPicPr/>
                  </pic:nvPicPr>
                  <pic:blipFill>
                    <a:blip r:embed="Rdd2c03963a3c4858">
                      <a:extLst>
                        <a:ext xmlns:a="http://schemas.openxmlformats.org/drawingml/2006/main" uri="{28A0092B-C50C-407E-A947-70E740481C1C}">
                          <a14:useLocalDpi val="0"/>
                        </a:ext>
                      </a:extLst>
                    </a:blip>
                    <a:stretch>
                      <a:fillRect/>
                    </a:stretch>
                  </pic:blipFill>
                  <pic:spPr>
                    <a:xfrm>
                      <a:off x="0" y="0"/>
                      <a:ext cx="5753098" cy="2457450"/>
                    </a:xfrm>
                    <a:prstGeom prst="rect">
                      <a:avLst/>
                    </a:prstGeom>
                  </pic:spPr>
                </pic:pic>
              </a:graphicData>
            </a:graphic>
          </wp:inline>
        </w:drawing>
      </w:r>
    </w:p>
    <w:p w:rsidR="2B52BC56" w:rsidP="2B52BC56" w:rsidRDefault="2B52BC56" w14:paraId="6BE756E6" w14:textId="02B5DF70">
      <w:pPr>
        <w:rPr>
          <w:rFonts w:ascii="Arial" w:hAnsi="Arial" w:eastAsia="Arial" w:cs="Arial"/>
          <w:b w:val="0"/>
          <w:bCs w:val="0"/>
          <w:i w:val="0"/>
          <w:iCs w:val="0"/>
          <w:caps w:val="0"/>
          <w:smallCaps w:val="0"/>
          <w:noProof w:val="0"/>
          <w:color w:val="000000" w:themeColor="text1" w:themeTint="FF" w:themeShade="FF"/>
          <w:sz w:val="24"/>
          <w:szCs w:val="24"/>
          <w:lang w:val="en-GB"/>
        </w:rPr>
      </w:pPr>
    </w:p>
    <w:p w:rsidR="2B52BC56" w:rsidP="2B52BC56" w:rsidRDefault="2B52BC56" w14:paraId="46C6DECB" w14:textId="4C84FD2B">
      <w:pPr>
        <w:rPr>
          <w:rFonts w:ascii="Arial" w:hAnsi="Arial" w:eastAsia="Arial" w:cs="Arial"/>
          <w:b w:val="0"/>
          <w:bCs w:val="0"/>
          <w:i w:val="0"/>
          <w:iCs w:val="0"/>
          <w:caps w:val="0"/>
          <w:smallCaps w:val="0"/>
          <w:noProof w:val="0"/>
          <w:color w:val="000000" w:themeColor="text1" w:themeTint="FF" w:themeShade="FF"/>
          <w:sz w:val="24"/>
          <w:szCs w:val="24"/>
          <w:lang w:val="en-GB"/>
        </w:rPr>
      </w:pPr>
    </w:p>
    <w:p w:rsidR="4078EE21" w:rsidP="2B52BC56" w:rsidRDefault="4078EE21" w14:paraId="592F40DC" w14:textId="75194B24">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2B52BC56" w:rsidR="4078EE21">
        <w:rPr>
          <w:rFonts w:ascii="Arial" w:hAnsi="Arial" w:eastAsia="Arial" w:cs="Arial"/>
          <w:b w:val="1"/>
          <w:bCs w:val="1"/>
          <w:i w:val="0"/>
          <w:iCs w:val="0"/>
          <w:caps w:val="0"/>
          <w:smallCaps w:val="0"/>
          <w:noProof w:val="0"/>
          <w:color w:val="000000" w:themeColor="text1" w:themeTint="FF" w:themeShade="FF"/>
          <w:sz w:val="24"/>
          <w:szCs w:val="24"/>
          <w:lang w:val="en-GB"/>
        </w:rPr>
        <w:t xml:space="preserve">Figure 3: </w:t>
      </w:r>
      <w:r w:rsidRPr="2B52BC56" w:rsidR="4078EE21">
        <w:rPr>
          <w:rFonts w:ascii="Arial" w:hAnsi="Arial" w:eastAsia="Arial" w:cs="Arial"/>
          <w:b w:val="0"/>
          <w:bCs w:val="0"/>
          <w:i w:val="0"/>
          <w:iCs w:val="0"/>
          <w:caps w:val="0"/>
          <w:smallCaps w:val="0"/>
          <w:noProof w:val="0"/>
          <w:color w:val="000000" w:themeColor="text1" w:themeTint="FF" w:themeShade="FF"/>
          <w:sz w:val="24"/>
          <w:szCs w:val="24"/>
          <w:lang w:val="en-GB"/>
        </w:rPr>
        <w:t>Spatial distribution of the pesticide exposure intensity index for the total quantity of pesticide (total PEXI) in metropolitan France. The exposure index is defined as the standardised log median of total quantity bought per surface (kilogram (kg) per hectare (ha)). The browner the area, the higher the PEXI.</w:t>
      </w:r>
    </w:p>
    <w:p w:rsidR="2B52BC56" w:rsidP="2B52BC56" w:rsidRDefault="2B52BC56" w14:paraId="40A17A10" w14:textId="4F1D04B7">
      <w:pPr>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4078EE21" w:rsidP="2B52BC56" w:rsidRDefault="4078EE21" w14:paraId="5F06E34D" w14:textId="4831B653">
      <w:pPr>
        <w:spacing w:beforeAutospacing="on" w:afterAutospacing="on"/>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4078EE21">
        <w:drawing>
          <wp:inline wp14:editId="4196315D" wp14:anchorId="0A8433F5">
            <wp:extent cx="5753098" cy="5753098"/>
            <wp:effectExtent l="0" t="0" r="0" b="0"/>
            <wp:docPr id="1467072340" name="" descr="C:\Users\Mathias Brugel\AppData\Local\Packages\Microsoft.Windows.Photos_8wekyb3d8bbwe\TempState\ShareServiceTempFolder\Fig3_MapCumulatedPesticide_continuous.jpeg" title=""/>
            <wp:cNvGraphicFramePr>
              <a:graphicFrameLocks noChangeAspect="1"/>
            </wp:cNvGraphicFramePr>
            <a:graphic>
              <a:graphicData uri="http://schemas.openxmlformats.org/drawingml/2006/picture">
                <pic:pic>
                  <pic:nvPicPr>
                    <pic:cNvPr id="0" name=""/>
                    <pic:cNvPicPr/>
                  </pic:nvPicPr>
                  <pic:blipFill>
                    <a:blip r:embed="R9f4436237bba46b7">
                      <a:extLst>
                        <a:ext xmlns:a="http://schemas.openxmlformats.org/drawingml/2006/main" uri="{28A0092B-C50C-407E-A947-70E740481C1C}">
                          <a14:useLocalDpi val="0"/>
                        </a:ext>
                      </a:extLst>
                    </a:blip>
                    <a:stretch>
                      <a:fillRect/>
                    </a:stretch>
                  </pic:blipFill>
                  <pic:spPr>
                    <a:xfrm>
                      <a:off x="0" y="0"/>
                      <a:ext cx="5753098" cy="5753098"/>
                    </a:xfrm>
                    <a:prstGeom prst="rect">
                      <a:avLst/>
                    </a:prstGeom>
                  </pic:spPr>
                </pic:pic>
              </a:graphicData>
            </a:graphic>
          </wp:inline>
        </w:drawing>
      </w:r>
    </w:p>
    <w:p w:rsidR="2B52BC56" w:rsidP="2B52BC56" w:rsidRDefault="2B52BC56" w14:paraId="73AFA08C" w14:textId="555A4D0E">
      <w:pPr>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2B52BC56" w:rsidP="2B52BC56" w:rsidRDefault="2B52BC56" w14:paraId="2A572336" w14:textId="69D5AEE1">
      <w:pPr>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2B52BC56" w:rsidP="2B52BC56" w:rsidRDefault="2B52BC56" w14:paraId="600D6EFC" w14:textId="56EEF783">
      <w:pPr>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2B52BC56" w:rsidP="2B52BC56" w:rsidRDefault="2B52BC56" w14:paraId="13FEAFD1" w14:textId="112AFCD5">
      <w:pPr>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2B52BC56" w:rsidP="2B52BC56" w:rsidRDefault="2B52BC56" w14:paraId="2482738C" w14:textId="1D4350E6">
      <w:pPr>
        <w:rPr>
          <w:rFonts w:ascii="Arial" w:hAnsi="Arial" w:eastAsia="Arial" w:cs="Arial"/>
          <w:b w:val="0"/>
          <w:bCs w:val="0"/>
          <w:i w:val="0"/>
          <w:iCs w:val="0"/>
          <w:caps w:val="0"/>
          <w:smallCaps w:val="0"/>
          <w:noProof w:val="0"/>
          <w:color w:val="000000" w:themeColor="text1" w:themeTint="FF" w:themeShade="FF"/>
          <w:sz w:val="24"/>
          <w:szCs w:val="24"/>
          <w:lang w:val="en-GB"/>
        </w:rPr>
      </w:pPr>
    </w:p>
    <w:p w:rsidR="4078EE21" w:rsidP="2B52BC56" w:rsidRDefault="4078EE21" w14:paraId="43E6141D" w14:textId="2D699B84">
      <w:pPr>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2B52BC56" w:rsidR="4078EE21">
        <w:rPr>
          <w:rFonts w:ascii="Arial" w:hAnsi="Arial" w:eastAsia="Arial" w:cs="Arial"/>
          <w:b w:val="1"/>
          <w:bCs w:val="1"/>
          <w:i w:val="0"/>
          <w:iCs w:val="0"/>
          <w:caps w:val="0"/>
          <w:smallCaps w:val="0"/>
          <w:noProof w:val="0"/>
          <w:color w:val="000000" w:themeColor="text1" w:themeTint="FF" w:themeShade="FF"/>
          <w:sz w:val="24"/>
          <w:szCs w:val="24"/>
          <w:lang w:val="en-GB"/>
        </w:rPr>
        <w:t xml:space="preserve">Figure 4. </w:t>
      </w:r>
      <w:r w:rsidRPr="2B52BC56" w:rsidR="4078EE21">
        <w:rPr>
          <w:rFonts w:ascii="Arial" w:hAnsi="Arial" w:eastAsia="Arial" w:cs="Arial"/>
          <w:b w:val="0"/>
          <w:bCs w:val="0"/>
          <w:i w:val="0"/>
          <w:iCs w:val="0"/>
          <w:caps w:val="0"/>
          <w:smallCaps w:val="0"/>
          <w:noProof w:val="0"/>
          <w:color w:val="000000" w:themeColor="text1" w:themeTint="FF" w:themeShade="FF"/>
          <w:sz w:val="24"/>
          <w:szCs w:val="24"/>
          <w:lang w:val="en-GB"/>
        </w:rPr>
        <w:t>Relative risk (RR) [95%CI] of pancreatic adenocarcinoma incidence as a function of pesticide exposures, after adjustment for the yearly prevalence of patients diagnosed with tobacco-related diseases, morbid obesity, alcohol-related diseases, French Deprivation index and community medicine accessibility index.</w:t>
      </w:r>
    </w:p>
    <w:p w:rsidR="4078EE21" w:rsidP="2B52BC56" w:rsidRDefault="4078EE21" w14:paraId="353AF0DF" w14:textId="20FF5587">
      <w:pPr>
        <w:jc w:val="both"/>
        <w:rPr>
          <w:rFonts w:ascii="Arial" w:hAnsi="Arial" w:eastAsia="Arial" w:cs="Arial"/>
          <w:b w:val="0"/>
          <w:bCs w:val="0"/>
          <w:i w:val="0"/>
          <w:iCs w:val="0"/>
          <w:caps w:val="0"/>
          <w:smallCaps w:val="0"/>
          <w:noProof w:val="0"/>
          <w:color w:val="000000" w:themeColor="text1" w:themeTint="FF" w:themeShade="FF"/>
          <w:sz w:val="24"/>
          <w:szCs w:val="24"/>
          <w:lang w:val="en-GB"/>
        </w:rPr>
      </w:pPr>
      <w:r w:rsidR="4078EE21">
        <w:drawing>
          <wp:inline wp14:editId="6C48ACC0" wp14:anchorId="7B74CAB9">
            <wp:extent cx="5753098" cy="4610098"/>
            <wp:effectExtent l="0" t="0" r="0" b="0"/>
            <wp:docPr id="1874773040" name="" title=""/>
            <wp:cNvGraphicFramePr>
              <a:graphicFrameLocks noChangeAspect="1"/>
            </wp:cNvGraphicFramePr>
            <a:graphic>
              <a:graphicData uri="http://schemas.openxmlformats.org/drawingml/2006/picture">
                <pic:pic>
                  <pic:nvPicPr>
                    <pic:cNvPr id="0" name=""/>
                    <pic:cNvPicPr/>
                  </pic:nvPicPr>
                  <pic:blipFill>
                    <a:blip r:embed="R53642458ee054567">
                      <a:extLst>
                        <a:ext xmlns:a="http://schemas.openxmlformats.org/drawingml/2006/main" uri="{28A0092B-C50C-407E-A947-70E740481C1C}">
                          <a14:useLocalDpi val="0"/>
                        </a:ext>
                      </a:extLst>
                    </a:blip>
                    <a:stretch>
                      <a:fillRect/>
                    </a:stretch>
                  </pic:blipFill>
                  <pic:spPr>
                    <a:xfrm>
                      <a:off x="0" y="0"/>
                      <a:ext cx="5753098" cy="4610098"/>
                    </a:xfrm>
                    <a:prstGeom prst="rect">
                      <a:avLst/>
                    </a:prstGeom>
                  </pic:spPr>
                </pic:pic>
              </a:graphicData>
            </a:graphic>
          </wp:inline>
        </w:drawing>
      </w:r>
    </w:p>
    <w:p w:rsidR="2B52BC56" w:rsidP="2B52BC56" w:rsidRDefault="2B52BC56" w14:paraId="355F6F67" w14:textId="2D5BA02C">
      <w:pPr>
        <w:spacing w:line="480" w:lineRule="auto"/>
        <w:rPr>
          <w:rFonts w:ascii="Arial" w:hAnsi="Arial" w:cs="Arial"/>
          <w:b w:val="1"/>
          <w:bCs w:val="1"/>
          <w:sz w:val="24"/>
          <w:szCs w:val="24"/>
        </w:rPr>
      </w:pPr>
    </w:p>
    <w:p w:rsidRPr="00AB6810" w:rsidR="009A2D16" w:rsidP="00590499" w:rsidRDefault="003638C8" w14:paraId="23CF968E" w14:textId="51993E0B">
      <w:pPr>
        <w:spacing w:line="480" w:lineRule="auto"/>
        <w:rPr>
          <w:rFonts w:ascii="Arial" w:hAnsi="Arial" w:cs="Arial"/>
          <w:sz w:val="24"/>
          <w:szCs w:val="24"/>
        </w:rPr>
      </w:pPr>
      <w:r w:rsidRPr="00AB6810">
        <w:rPr>
          <w:rFonts w:ascii="Arial" w:hAnsi="Arial" w:cs="Arial"/>
          <w:i/>
          <w:sz w:val="24"/>
          <w:szCs w:val="24"/>
        </w:rPr>
        <w:t>Abbreviations: RR: relative risk; 95%CI: 95% credible interval</w:t>
      </w:r>
    </w:p>
    <w:p w:rsidRPr="00AB6810" w:rsidR="00F02E8A" w:rsidRDefault="00F02E8A" w14:paraId="505333C9" w14:textId="7AA90529">
      <w:pPr>
        <w:jc w:val="left"/>
        <w:rPr>
          <w:rFonts w:ascii="Arial" w:hAnsi="Arial" w:cs="Arial"/>
          <w:sz w:val="24"/>
          <w:szCs w:val="24"/>
        </w:rPr>
      </w:pPr>
      <w:r w:rsidRPr="00AB6810">
        <w:rPr>
          <w:rFonts w:ascii="Arial" w:hAnsi="Arial" w:cs="Arial"/>
          <w:sz w:val="24"/>
          <w:szCs w:val="24"/>
        </w:rPr>
        <w:br w:type="page"/>
      </w:r>
    </w:p>
    <w:p w:rsidRPr="00AB6810" w:rsidR="00EC530C" w:rsidP="00CF781E" w:rsidRDefault="00EC530C" w14:paraId="64BD0823" w14:textId="17EC5793">
      <w:pPr>
        <w:spacing w:line="480" w:lineRule="auto"/>
        <w:rPr>
          <w:rFonts w:ascii="Arial" w:hAnsi="Arial" w:cs="Arial"/>
          <w:b/>
          <w:sz w:val="24"/>
          <w:szCs w:val="24"/>
          <w:u w:val="single"/>
        </w:rPr>
      </w:pPr>
      <w:r w:rsidRPr="00AB6810">
        <w:rPr>
          <w:rFonts w:ascii="Arial" w:hAnsi="Arial" w:cs="Arial"/>
          <w:b/>
          <w:sz w:val="24"/>
          <w:szCs w:val="24"/>
          <w:u w:val="single"/>
        </w:rPr>
        <w:t>Supplementary Figures and Tables</w:t>
      </w:r>
    </w:p>
    <w:p w:rsidRPr="00AB6810" w:rsidR="00FD0CFE" w:rsidP="00CF781E" w:rsidRDefault="00EC530C" w14:paraId="2816B8B2"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1</w:t>
      </w:r>
      <w:r w:rsidRPr="00AB6810" w:rsidR="00031DCB">
        <w:rPr>
          <w:rFonts w:ascii="Arial" w:hAnsi="Arial" w:cs="Arial"/>
          <w:b/>
          <w:sz w:val="24"/>
          <w:szCs w:val="24"/>
        </w:rPr>
        <w:t xml:space="preserve"> Distribution of the median quantity of pesticides per agricultural surface according to their log transformation, by substance</w:t>
      </w:r>
    </w:p>
    <w:p w:rsidRPr="00AB6810" w:rsidR="00EC530C" w:rsidP="00CF781E" w:rsidRDefault="00D111D4" w14:paraId="3F6B2E01" w14:textId="41EFD04C">
      <w:pPr>
        <w:spacing w:line="480" w:lineRule="auto"/>
        <w:rPr>
          <w:rFonts w:ascii="Arial" w:hAnsi="Arial" w:cs="Arial"/>
          <w:sz w:val="24"/>
          <w:szCs w:val="24"/>
        </w:rPr>
      </w:pPr>
      <w:r w:rsidRPr="00AB6810">
        <w:rPr>
          <w:rFonts w:ascii="Arial" w:hAnsi="Arial" w:cs="Arial"/>
          <w:sz w:val="24"/>
          <w:szCs w:val="24"/>
        </w:rPr>
        <w:t xml:space="preserve">For each substance, the </w:t>
      </w:r>
      <w:r w:rsidRPr="00AB6810" w:rsidR="00DF5C04">
        <w:rPr>
          <w:rFonts w:ascii="Arial" w:hAnsi="Arial" w:cs="Arial"/>
          <w:sz w:val="24"/>
          <w:szCs w:val="24"/>
        </w:rPr>
        <w:t xml:space="preserve">lower line </w:t>
      </w:r>
      <w:r w:rsidRPr="00AB6810">
        <w:rPr>
          <w:rFonts w:ascii="Arial" w:hAnsi="Arial" w:cs="Arial"/>
          <w:sz w:val="24"/>
          <w:szCs w:val="24"/>
        </w:rPr>
        <w:t>represent</w:t>
      </w:r>
      <w:r w:rsidRPr="00AB6810" w:rsidR="00DF5C04">
        <w:rPr>
          <w:rFonts w:ascii="Arial" w:hAnsi="Arial" w:cs="Arial"/>
          <w:sz w:val="24"/>
          <w:szCs w:val="24"/>
        </w:rPr>
        <w:t>s</w:t>
      </w:r>
      <w:r w:rsidRPr="00AB6810">
        <w:rPr>
          <w:rFonts w:ascii="Arial" w:hAnsi="Arial" w:cs="Arial"/>
          <w:sz w:val="24"/>
          <w:szCs w:val="24"/>
        </w:rPr>
        <w:t xml:space="preserve"> the distribution </w:t>
      </w:r>
      <w:r w:rsidRPr="00AB6810" w:rsidR="00DF5C04">
        <w:rPr>
          <w:rFonts w:ascii="Arial" w:hAnsi="Arial" w:cs="Arial"/>
          <w:sz w:val="24"/>
          <w:szCs w:val="24"/>
        </w:rPr>
        <w:t>on the natural scale, while the upper line represents the log-transformed distribution</w:t>
      </w:r>
      <w:r w:rsidRPr="00AB6810">
        <w:rPr>
          <w:rFonts w:ascii="Arial" w:hAnsi="Arial" w:cs="Arial"/>
          <w:sz w:val="24"/>
          <w:szCs w:val="24"/>
        </w:rPr>
        <w:t>.</w:t>
      </w:r>
    </w:p>
    <w:p w:rsidRPr="00AB6810" w:rsidR="00FD0CFE" w:rsidP="002F0BE2" w:rsidRDefault="00EC530C" w14:paraId="3611EBD4"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2</w:t>
      </w:r>
      <w:r w:rsidRPr="00AB6810" w:rsidR="00031DCB">
        <w:rPr>
          <w:rFonts w:ascii="Arial" w:hAnsi="Arial" w:cs="Arial"/>
          <w:b/>
          <w:sz w:val="24"/>
          <w:szCs w:val="24"/>
        </w:rPr>
        <w:t xml:space="preserve"> </w:t>
      </w:r>
      <w:r w:rsidRPr="00AB6810" w:rsidR="002F0BE2">
        <w:rPr>
          <w:rFonts w:ascii="Arial" w:hAnsi="Arial" w:cs="Arial"/>
          <w:b/>
          <w:sz w:val="24"/>
          <w:szCs w:val="24"/>
        </w:rPr>
        <w:t>Comparison of the age-standardised incidence rate (World) per 100 000 individuals according to the source of the data (French national hospital discharge database (Programme de Médicalisation des Systèmes d’Information (PMSI) and official statistics from the French Network of Cancer Registries FRANCIM, from 2011 to 2018), over the study period from 2011 to 2021, in men and women</w:t>
      </w:r>
    </w:p>
    <w:p w:rsidRPr="00AB6810" w:rsidR="00031DCB" w:rsidP="002F0BE2" w:rsidRDefault="00031DCB" w14:paraId="1039BC35" w14:textId="3E509FDE">
      <w:pPr>
        <w:spacing w:line="480" w:lineRule="auto"/>
        <w:rPr>
          <w:rFonts w:ascii="Arial" w:hAnsi="Arial" w:cs="Arial"/>
          <w:b/>
          <w:sz w:val="24"/>
          <w:szCs w:val="24"/>
          <w:lang w:val="fr-FR"/>
        </w:rPr>
      </w:pPr>
      <w:r w:rsidRPr="00AB6810">
        <w:rPr>
          <w:rFonts w:ascii="Arial" w:hAnsi="Arial" w:cs="Arial"/>
          <w:sz w:val="24"/>
          <w:szCs w:val="24"/>
          <w:lang w:val="fr-FR"/>
        </w:rPr>
        <w:t xml:space="preserve">Abbreviation: PMSI: </w:t>
      </w:r>
      <w:r w:rsidRPr="00AB6810">
        <w:rPr>
          <w:rFonts w:ascii="Arial" w:hAnsi="Arial" w:cs="Arial"/>
          <w:i/>
          <w:sz w:val="24"/>
          <w:szCs w:val="24"/>
          <w:lang w:val="fr-FR"/>
        </w:rPr>
        <w:t>Programme de Médicalisation des Systèmes d’information</w:t>
      </w:r>
      <w:r w:rsidRPr="00AB6810">
        <w:rPr>
          <w:rFonts w:ascii="Arial" w:hAnsi="Arial" w:cs="Arial"/>
          <w:sz w:val="24"/>
          <w:szCs w:val="24"/>
          <w:lang w:val="fr-FR"/>
        </w:rPr>
        <w:t>.</w:t>
      </w:r>
    </w:p>
    <w:p w:rsidRPr="00AB6810" w:rsidR="00FD0CFE" w:rsidP="00CF781E" w:rsidRDefault="00EC530C" w14:paraId="0FD9C0CB"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3</w:t>
      </w:r>
      <w:r w:rsidRPr="00AB6810" w:rsidR="00C57B68">
        <w:rPr>
          <w:rFonts w:ascii="Arial" w:hAnsi="Arial" w:cs="Arial"/>
          <w:b/>
          <w:sz w:val="24"/>
          <w:szCs w:val="24"/>
        </w:rPr>
        <w:t xml:space="preserve"> Map of the covariates according to their respective index, in France</w:t>
      </w:r>
    </w:p>
    <w:p w:rsidRPr="00AB6810" w:rsidR="00FD0CFE" w:rsidP="00CF781E" w:rsidRDefault="00C57B68" w14:paraId="65BB4DE3" w14:textId="77777777">
      <w:pPr>
        <w:spacing w:line="480" w:lineRule="auto"/>
        <w:rPr>
          <w:rFonts w:ascii="Arial" w:hAnsi="Arial" w:cs="Arial"/>
          <w:b/>
          <w:sz w:val="24"/>
          <w:szCs w:val="24"/>
        </w:rPr>
      </w:pPr>
      <w:r w:rsidRPr="00AB6810">
        <w:rPr>
          <w:rFonts w:ascii="Arial" w:hAnsi="Arial" w:cs="Arial"/>
          <w:b/>
          <w:sz w:val="24"/>
          <w:szCs w:val="24"/>
        </w:rPr>
        <w:t xml:space="preserve">a) </w:t>
      </w:r>
      <w:r w:rsidRPr="00AB6810" w:rsidR="00AC4C08">
        <w:rPr>
          <w:rFonts w:ascii="Arial" w:hAnsi="Arial" w:cs="Arial"/>
          <w:b/>
          <w:sz w:val="24"/>
          <w:szCs w:val="24"/>
        </w:rPr>
        <w:t>Average d</w:t>
      </w:r>
      <w:r w:rsidRPr="00AB6810">
        <w:rPr>
          <w:rFonts w:ascii="Arial" w:hAnsi="Arial" w:cs="Arial"/>
          <w:b/>
          <w:sz w:val="24"/>
          <w:szCs w:val="24"/>
        </w:rPr>
        <w:t>eprivation index</w:t>
      </w:r>
      <w:r w:rsidRPr="00AB6810" w:rsidR="00AC4C08">
        <w:rPr>
          <w:rFonts w:ascii="Arial" w:hAnsi="Arial" w:cs="Arial"/>
          <w:b/>
          <w:sz w:val="24"/>
          <w:szCs w:val="24"/>
        </w:rPr>
        <w:t xml:space="preserve"> </w:t>
      </w:r>
      <w:r w:rsidRPr="00AB6810" w:rsidR="00B55CB1">
        <w:rPr>
          <w:rFonts w:ascii="Arial" w:hAnsi="Arial" w:cs="Arial"/>
          <w:b/>
          <w:sz w:val="24"/>
          <w:szCs w:val="24"/>
        </w:rPr>
        <w:t>between 2011 and 2021</w:t>
      </w:r>
      <w:r w:rsidRPr="00AB6810">
        <w:rPr>
          <w:rFonts w:ascii="Arial" w:hAnsi="Arial" w:cs="Arial"/>
          <w:b/>
          <w:sz w:val="24"/>
          <w:szCs w:val="24"/>
        </w:rPr>
        <w:t>, according to the FDep (French Deprivation index)</w:t>
      </w:r>
    </w:p>
    <w:p w:rsidRPr="00AB6810" w:rsidR="00FD0CFE" w:rsidP="00CF781E" w:rsidRDefault="00C57B68" w14:paraId="017C4383" w14:textId="77777777">
      <w:pPr>
        <w:spacing w:line="480" w:lineRule="auto"/>
        <w:rPr>
          <w:rFonts w:ascii="Arial" w:hAnsi="Arial" w:cs="Arial"/>
          <w:b/>
          <w:sz w:val="24"/>
          <w:szCs w:val="24"/>
        </w:rPr>
      </w:pPr>
      <w:r w:rsidRPr="00AB6810">
        <w:rPr>
          <w:rFonts w:ascii="Arial" w:hAnsi="Arial" w:cs="Arial"/>
          <w:b/>
          <w:sz w:val="24"/>
          <w:szCs w:val="24"/>
        </w:rPr>
        <w:t xml:space="preserve">b) </w:t>
      </w:r>
      <w:r w:rsidRPr="00AB6810" w:rsidR="005E30A2">
        <w:rPr>
          <w:rFonts w:ascii="Arial" w:hAnsi="Arial" w:cs="Arial"/>
          <w:b/>
          <w:sz w:val="24"/>
          <w:szCs w:val="24"/>
        </w:rPr>
        <w:t xml:space="preserve">Community medicine </w:t>
      </w:r>
      <w:r w:rsidRPr="00AB6810">
        <w:rPr>
          <w:rFonts w:ascii="Arial" w:hAnsi="Arial" w:cs="Arial"/>
          <w:b/>
          <w:sz w:val="24"/>
          <w:szCs w:val="24"/>
        </w:rPr>
        <w:t>accessibility index, according to the APL</w:t>
      </w:r>
      <w:r w:rsidRPr="00AB6810" w:rsidR="00FF0C47">
        <w:rPr>
          <w:rFonts w:ascii="Arial" w:hAnsi="Arial" w:cs="Arial"/>
          <w:b/>
          <w:sz w:val="24"/>
          <w:szCs w:val="24"/>
        </w:rPr>
        <w:t xml:space="preserve"> (</w:t>
      </w:r>
      <w:r w:rsidRPr="00AB6810">
        <w:rPr>
          <w:rFonts w:ascii="Arial" w:hAnsi="Arial" w:cs="Arial"/>
          <w:b/>
          <w:i/>
          <w:sz w:val="24"/>
          <w:szCs w:val="24"/>
        </w:rPr>
        <w:t>Accessibilité Potentielle Localisée</w:t>
      </w:r>
      <w:r w:rsidRPr="00AB6810">
        <w:rPr>
          <w:rFonts w:ascii="Arial" w:hAnsi="Arial" w:cs="Arial"/>
          <w:b/>
          <w:sz w:val="24"/>
          <w:szCs w:val="24"/>
        </w:rPr>
        <w:t>)</w:t>
      </w:r>
      <w:r w:rsidRPr="00AB6810" w:rsidR="005E30A2">
        <w:rPr>
          <w:rFonts w:ascii="Arial" w:hAnsi="Arial" w:cs="Arial"/>
          <w:b/>
          <w:sz w:val="24"/>
          <w:szCs w:val="24"/>
        </w:rPr>
        <w:t>,</w:t>
      </w:r>
      <w:r w:rsidRPr="00AB6810">
        <w:rPr>
          <w:rFonts w:ascii="Arial" w:hAnsi="Arial" w:cs="Arial"/>
          <w:b/>
          <w:sz w:val="24"/>
          <w:szCs w:val="24"/>
        </w:rPr>
        <w:t xml:space="preserve"> </w:t>
      </w:r>
      <w:r w:rsidRPr="00AB6810" w:rsidR="00FF0C47">
        <w:rPr>
          <w:rFonts w:ascii="Arial" w:hAnsi="Arial" w:cs="Arial"/>
          <w:b/>
          <w:sz w:val="24"/>
          <w:szCs w:val="24"/>
        </w:rPr>
        <w:t xml:space="preserve">average </w:t>
      </w:r>
      <w:r w:rsidRPr="00AB6810">
        <w:rPr>
          <w:rFonts w:ascii="Arial" w:hAnsi="Arial" w:cs="Arial"/>
          <w:b/>
          <w:sz w:val="24"/>
          <w:szCs w:val="24"/>
        </w:rPr>
        <w:t>between 2011 and 2021</w:t>
      </w:r>
    </w:p>
    <w:p w:rsidRPr="00AB6810" w:rsidR="00FD0CFE" w:rsidP="00CF781E" w:rsidRDefault="00C57B68" w14:paraId="29EF1D45" w14:textId="565F76D1">
      <w:pPr>
        <w:spacing w:line="480" w:lineRule="auto"/>
        <w:rPr>
          <w:rFonts w:ascii="Arial" w:hAnsi="Arial" w:cs="Arial"/>
          <w:b/>
          <w:sz w:val="24"/>
          <w:szCs w:val="24"/>
        </w:rPr>
      </w:pPr>
      <w:r w:rsidRPr="00AB6810">
        <w:rPr>
          <w:rFonts w:ascii="Arial" w:hAnsi="Arial" w:cs="Arial"/>
          <w:b/>
          <w:sz w:val="24"/>
          <w:szCs w:val="24"/>
        </w:rPr>
        <w:t xml:space="preserve">c) Tobacco consumption, </w:t>
      </w:r>
      <w:r w:rsidRPr="00AB6810" w:rsidR="005E30A2">
        <w:rPr>
          <w:rFonts w:ascii="Arial" w:hAnsi="Arial" w:cs="Arial"/>
          <w:b/>
          <w:sz w:val="24"/>
          <w:szCs w:val="24"/>
        </w:rPr>
        <w:t>average</w:t>
      </w:r>
      <w:r w:rsidRPr="00AB6810">
        <w:rPr>
          <w:rFonts w:ascii="Arial" w:hAnsi="Arial" w:cs="Arial"/>
          <w:b/>
          <w:sz w:val="24"/>
          <w:szCs w:val="24"/>
        </w:rPr>
        <w:t xml:space="preserve"> prevalence of tobacco-related disease for 100 000 individuals, between 2011 and 2021</w:t>
      </w:r>
    </w:p>
    <w:p w:rsidRPr="00AB6810" w:rsidR="00671E0D" w:rsidP="00671E0D" w:rsidRDefault="00671E0D" w14:paraId="0884A9AB" w14:textId="77777777">
      <w:pPr>
        <w:spacing w:line="480" w:lineRule="auto"/>
        <w:rPr>
          <w:rFonts w:ascii="Arial" w:hAnsi="Arial" w:cs="Arial"/>
          <w:b/>
          <w:sz w:val="24"/>
          <w:szCs w:val="24"/>
        </w:rPr>
      </w:pPr>
      <w:r w:rsidRPr="00AB6810">
        <w:rPr>
          <w:rFonts w:ascii="Arial" w:hAnsi="Arial" w:cs="Arial"/>
          <w:b/>
          <w:sz w:val="24"/>
          <w:szCs w:val="24"/>
        </w:rPr>
        <w:t xml:space="preserve">d) Alcohol consumption, average prevalence of alcohol-related disease for 100 000 individuals, between 2011 and 2021, </w:t>
      </w:r>
    </w:p>
    <w:p w:rsidRPr="00AB6810" w:rsidR="00671E0D" w:rsidP="00671E0D" w:rsidRDefault="00671E0D" w14:paraId="275E0173" w14:textId="32412712">
      <w:pPr>
        <w:spacing w:line="480" w:lineRule="auto"/>
        <w:rPr>
          <w:rFonts w:ascii="Arial" w:hAnsi="Arial" w:cs="Arial"/>
          <w:b/>
          <w:sz w:val="24"/>
          <w:szCs w:val="24"/>
        </w:rPr>
      </w:pPr>
      <w:r w:rsidRPr="00AB6810">
        <w:rPr>
          <w:rFonts w:ascii="Arial" w:hAnsi="Arial" w:cs="Arial"/>
          <w:b/>
          <w:sz w:val="24"/>
          <w:szCs w:val="24"/>
        </w:rPr>
        <w:t>e) Morbid obesity, average prevalence of morbid obesity for 100 000 individuals, between 2011 and 2</w:t>
      </w:r>
    </w:p>
    <w:p w:rsidRPr="00AB6810" w:rsidR="00EC530C" w:rsidP="00CF781E" w:rsidRDefault="005E30A2" w14:paraId="03F87EC6" w14:textId="1736BCA1">
      <w:pPr>
        <w:spacing w:line="480" w:lineRule="auto"/>
        <w:rPr>
          <w:rFonts w:ascii="Arial" w:hAnsi="Arial" w:cs="Arial"/>
          <w:sz w:val="24"/>
          <w:szCs w:val="24"/>
        </w:rPr>
      </w:pPr>
      <w:r w:rsidRPr="00AB6810">
        <w:rPr>
          <w:rFonts w:ascii="Arial" w:hAnsi="Arial" w:cs="Arial"/>
          <w:sz w:val="24"/>
          <w:szCs w:val="24"/>
        </w:rPr>
        <w:t xml:space="preserve">Abbreviations: </w:t>
      </w:r>
      <w:r w:rsidRPr="00AB6810">
        <w:rPr>
          <w:rFonts w:ascii="Arial" w:hAnsi="Arial" w:cs="Arial"/>
          <w:i/>
          <w:sz w:val="24"/>
          <w:szCs w:val="24"/>
        </w:rPr>
        <w:t>FDep: French Deprivation index.</w:t>
      </w:r>
    </w:p>
    <w:p w:rsidRPr="00AB6810" w:rsidR="00FD0CFE" w:rsidP="00CF781E" w:rsidRDefault="00EC530C" w14:paraId="74185060"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4</w:t>
      </w:r>
      <w:r w:rsidRPr="00AB6810" w:rsidR="00C57B68">
        <w:rPr>
          <w:rFonts w:ascii="Arial" w:hAnsi="Arial" w:cs="Arial"/>
          <w:b/>
          <w:sz w:val="24"/>
          <w:szCs w:val="24"/>
        </w:rPr>
        <w:t xml:space="preserve"> </w:t>
      </w:r>
      <w:r w:rsidRPr="00AB6810" w:rsidR="005E30A2">
        <w:rPr>
          <w:rFonts w:ascii="Arial" w:hAnsi="Arial" w:cs="Arial"/>
          <w:b/>
          <w:sz w:val="24"/>
          <w:szCs w:val="24"/>
        </w:rPr>
        <w:t>Pearson’s c</w:t>
      </w:r>
      <w:r w:rsidRPr="00AB6810" w:rsidR="00C57B68">
        <w:rPr>
          <w:rFonts w:ascii="Arial" w:hAnsi="Arial" w:cs="Arial"/>
          <w:b/>
          <w:sz w:val="24"/>
          <w:szCs w:val="24"/>
        </w:rPr>
        <w:t>orrelation plot of the covariates and the exposure</w:t>
      </w:r>
    </w:p>
    <w:p w:rsidRPr="00AB6810" w:rsidR="00C57B68" w:rsidP="00CF781E" w:rsidRDefault="00C57B68" w14:paraId="6844373E" w14:textId="6D1FB2B9">
      <w:pPr>
        <w:spacing w:line="480" w:lineRule="auto"/>
        <w:rPr>
          <w:rFonts w:ascii="Arial" w:hAnsi="Arial" w:cs="Arial"/>
          <w:sz w:val="24"/>
          <w:szCs w:val="24"/>
        </w:rPr>
      </w:pPr>
      <w:r w:rsidRPr="00AB6810">
        <w:rPr>
          <w:rFonts w:ascii="Arial" w:hAnsi="Arial" w:cs="Arial"/>
          <w:sz w:val="24"/>
          <w:szCs w:val="24"/>
        </w:rPr>
        <w:t xml:space="preserve">Abbreviation: </w:t>
      </w:r>
      <w:r w:rsidRPr="00AB6810">
        <w:rPr>
          <w:rFonts w:ascii="Arial" w:hAnsi="Arial" w:cs="Arial"/>
          <w:i/>
          <w:sz w:val="24"/>
          <w:szCs w:val="24"/>
        </w:rPr>
        <w:t>FDep: French Deprivation index; Corr: correlation.</w:t>
      </w:r>
    </w:p>
    <w:p w:rsidRPr="00AB6810" w:rsidR="00C57B68" w:rsidP="00EC530C" w:rsidRDefault="00EC530C" w14:paraId="77C72F36" w14:textId="2AE70D75">
      <w:pPr>
        <w:spacing w:line="480" w:lineRule="auto"/>
        <w:rPr>
          <w:rFonts w:ascii="Arial" w:hAnsi="Arial" w:cs="Arial"/>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5</w:t>
      </w:r>
      <w:r w:rsidRPr="00AB6810" w:rsidR="00C57B68">
        <w:rPr>
          <w:rFonts w:ascii="Arial" w:hAnsi="Arial" w:cs="Arial"/>
          <w:b/>
          <w:sz w:val="24"/>
          <w:szCs w:val="24"/>
        </w:rPr>
        <w:t xml:space="preserve"> Map of the </w:t>
      </w:r>
      <w:r w:rsidRPr="00AB6810" w:rsidR="00441795">
        <w:rPr>
          <w:rFonts w:ascii="Arial" w:hAnsi="Arial" w:cs="Arial"/>
          <w:b/>
          <w:sz w:val="24"/>
          <w:szCs w:val="24"/>
        </w:rPr>
        <w:t>space-time interaction in the model without covariates.</w:t>
      </w:r>
    </w:p>
    <w:p w:rsidRPr="00AB6810" w:rsidR="00FD0CFE" w:rsidP="00A75C68" w:rsidRDefault="00EC530C" w14:paraId="4D2B495F" w14:textId="77777777">
      <w:pPr>
        <w:spacing w:line="480" w:lineRule="auto"/>
        <w:rPr>
          <w:rFonts w:ascii="Arial" w:hAnsi="Arial" w:cs="Arial"/>
          <w:b/>
          <w:sz w:val="24"/>
          <w:szCs w:val="24"/>
        </w:rPr>
      </w:pPr>
      <w:r w:rsidRPr="00AB6810">
        <w:rPr>
          <w:rFonts w:ascii="Arial" w:hAnsi="Arial" w:cs="Arial"/>
          <w:b/>
          <w:sz w:val="24"/>
          <w:szCs w:val="24"/>
        </w:rPr>
        <w:t xml:space="preserve">Supplementary </w:t>
      </w:r>
      <w:r w:rsidRPr="00AB6810" w:rsidR="00441795">
        <w:rPr>
          <w:rFonts w:ascii="Arial" w:hAnsi="Arial" w:cs="Arial"/>
          <w:b/>
          <w:sz w:val="24"/>
          <w:szCs w:val="24"/>
        </w:rPr>
        <w:t xml:space="preserve">Figure </w:t>
      </w:r>
      <w:r w:rsidRPr="00AB6810" w:rsidR="001C1841">
        <w:rPr>
          <w:rFonts w:ascii="Arial" w:hAnsi="Arial" w:cs="Arial"/>
          <w:b/>
          <w:sz w:val="24"/>
          <w:szCs w:val="24"/>
        </w:rPr>
        <w:t>6</w:t>
      </w:r>
      <w:r w:rsidRPr="00AB6810" w:rsidR="00441795">
        <w:rPr>
          <w:rFonts w:ascii="Arial" w:hAnsi="Arial" w:cs="Arial"/>
          <w:b/>
          <w:sz w:val="24"/>
          <w:szCs w:val="24"/>
        </w:rPr>
        <w:t xml:space="preserve"> Map of the pesticide exposure intensity index (PEXI) for each substance</w:t>
      </w:r>
    </w:p>
    <w:p w:rsidRPr="00AB6810" w:rsidR="00C57B68" w:rsidP="00A75C68" w:rsidRDefault="00441795" w14:paraId="118B0C23" w14:textId="4AC49C5B">
      <w:pPr>
        <w:spacing w:line="480" w:lineRule="auto"/>
        <w:rPr>
          <w:rFonts w:ascii="Arial" w:hAnsi="Arial" w:cs="Arial"/>
          <w:i/>
          <w:sz w:val="24"/>
          <w:szCs w:val="24"/>
        </w:rPr>
      </w:pPr>
      <w:r w:rsidRPr="00AB6810">
        <w:rPr>
          <w:rFonts w:ascii="Arial" w:hAnsi="Arial" w:cs="Arial"/>
          <w:sz w:val="24"/>
          <w:szCs w:val="24"/>
        </w:rPr>
        <w:t>The exposure index is defined as the standardi</w:t>
      </w:r>
      <w:r w:rsidRPr="00AB6810" w:rsidR="002F0BE2">
        <w:rPr>
          <w:rFonts w:ascii="Arial" w:hAnsi="Arial" w:cs="Arial"/>
          <w:sz w:val="24"/>
          <w:szCs w:val="24"/>
        </w:rPr>
        <w:t>s</w:t>
      </w:r>
      <w:r w:rsidRPr="00AB6810">
        <w:rPr>
          <w:rFonts w:ascii="Arial" w:hAnsi="Arial" w:cs="Arial"/>
          <w:sz w:val="24"/>
          <w:szCs w:val="24"/>
        </w:rPr>
        <w:t xml:space="preserve">ed log median of </w:t>
      </w:r>
      <w:r w:rsidRPr="00AB6810" w:rsidR="00EE2E3F">
        <w:rPr>
          <w:rFonts w:ascii="Arial" w:hAnsi="Arial" w:cs="Arial"/>
          <w:sz w:val="24"/>
          <w:szCs w:val="24"/>
        </w:rPr>
        <w:t>total</w:t>
      </w:r>
      <w:r w:rsidRPr="00AB6810">
        <w:rPr>
          <w:rFonts w:ascii="Arial" w:hAnsi="Arial" w:cs="Arial"/>
          <w:sz w:val="24"/>
          <w:szCs w:val="24"/>
        </w:rPr>
        <w:t xml:space="preserve"> quantity bought per surface (kilogram (kg) per hectare (ha)). </w:t>
      </w:r>
      <w:r w:rsidRPr="00AB6810" w:rsidR="00A75C68">
        <w:rPr>
          <w:rFonts w:ascii="Arial" w:hAnsi="Arial" w:cs="Arial"/>
          <w:sz w:val="24"/>
          <w:szCs w:val="24"/>
        </w:rPr>
        <w:t xml:space="preserve">The </w:t>
      </w:r>
      <w:r w:rsidRPr="00AB6810" w:rsidR="00A75C68">
        <w:rPr>
          <w:rFonts w:ascii="Arial" w:hAnsi="Arial" w:cs="Arial"/>
        </w:rPr>
        <w:t>browner</w:t>
      </w:r>
      <w:r w:rsidRPr="00AB6810" w:rsidR="00A75C68">
        <w:rPr>
          <w:rFonts w:ascii="Arial" w:hAnsi="Arial" w:cs="Arial"/>
          <w:sz w:val="24"/>
          <w:szCs w:val="24"/>
        </w:rPr>
        <w:t xml:space="preserve"> the area, the higher the PEXI</w:t>
      </w:r>
      <w:r w:rsidRPr="00AB6810" w:rsidR="00A90ABD">
        <w:rPr>
          <w:rFonts w:ascii="Arial" w:hAnsi="Arial" w:cs="Arial"/>
          <w:sz w:val="24"/>
          <w:szCs w:val="24"/>
        </w:rPr>
        <w:t xml:space="preserve">. </w:t>
      </w:r>
      <w:r w:rsidRPr="00AB6810">
        <w:rPr>
          <w:rFonts w:ascii="Arial" w:hAnsi="Arial" w:cs="Arial"/>
          <w:sz w:val="24"/>
          <w:szCs w:val="24"/>
        </w:rPr>
        <w:t xml:space="preserve">(a) Glyphosate, (b) Isoproturon, (c) Mancozeb, (d) Prosulfocarb, (e) Sulfur, (f) Sulfur (spraying), (g) Chlorothalonil, (h) Chlorotoluron, (i) Folpel. </w:t>
      </w:r>
    </w:p>
    <w:p w:rsidRPr="00AB6810" w:rsidR="00FD0CFE" w:rsidP="00441795" w:rsidRDefault="00441795" w14:paraId="14507FBE"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7</w:t>
      </w:r>
      <w:r w:rsidRPr="00AB6810">
        <w:rPr>
          <w:rFonts w:ascii="Arial" w:hAnsi="Arial" w:cs="Arial"/>
          <w:b/>
          <w:sz w:val="24"/>
          <w:szCs w:val="24"/>
        </w:rPr>
        <w:t xml:space="preserve"> Random walks of order </w:t>
      </w:r>
      <w:r w:rsidRPr="00AB6810" w:rsidR="00A75C68">
        <w:rPr>
          <w:rFonts w:ascii="Arial" w:hAnsi="Arial" w:cs="Arial"/>
          <w:b/>
          <w:sz w:val="24"/>
          <w:szCs w:val="24"/>
        </w:rPr>
        <w:t>2</w:t>
      </w:r>
      <w:r w:rsidRPr="00AB6810">
        <w:rPr>
          <w:rFonts w:ascii="Arial" w:hAnsi="Arial" w:cs="Arial"/>
          <w:b/>
          <w:sz w:val="24"/>
          <w:szCs w:val="24"/>
        </w:rPr>
        <w:t xml:space="preserve"> on the pancreatic adenocarcinoma relative risk for each pesticide exposur</w:t>
      </w:r>
      <w:r w:rsidRPr="00AB6810" w:rsidR="00FD0CFE">
        <w:rPr>
          <w:rFonts w:ascii="Arial" w:hAnsi="Arial" w:cs="Arial"/>
          <w:b/>
          <w:sz w:val="24"/>
          <w:szCs w:val="24"/>
        </w:rPr>
        <w:t>e</w:t>
      </w:r>
    </w:p>
    <w:p w:rsidRPr="00AB6810" w:rsidR="00441795" w:rsidP="00671E0D" w:rsidRDefault="00441795" w14:paraId="66C629F7" w14:textId="2F11145D">
      <w:pPr>
        <w:spacing w:line="480" w:lineRule="auto"/>
        <w:rPr>
          <w:rFonts w:ascii="Arial" w:hAnsi="Arial" w:cs="Arial"/>
          <w:sz w:val="24"/>
          <w:szCs w:val="24"/>
        </w:rPr>
      </w:pPr>
      <w:r w:rsidRPr="00AB6810">
        <w:rPr>
          <w:rFonts w:ascii="Arial" w:hAnsi="Arial" w:cs="Arial"/>
          <w:sz w:val="24"/>
          <w:szCs w:val="24"/>
        </w:rPr>
        <w:t xml:space="preserve">Each model was adjusted for ecological factors by adding as fixed effects the yearly prevalence of patients diagnosed with tobacco-related diseases, </w:t>
      </w:r>
      <w:r w:rsidRPr="00AB6810" w:rsidR="00671E0D">
        <w:rPr>
          <w:rFonts w:ascii="Arial" w:hAnsi="Arial" w:cs="Arial"/>
          <w:sz w:val="24"/>
          <w:szCs w:val="24"/>
        </w:rPr>
        <w:t xml:space="preserve">alcohol-related diseases, yearly prevalence of morbid obesity, </w:t>
      </w:r>
      <w:r w:rsidRPr="00AB6810">
        <w:rPr>
          <w:rFonts w:ascii="Arial" w:hAnsi="Arial" w:cs="Arial"/>
          <w:sz w:val="24"/>
          <w:szCs w:val="24"/>
        </w:rPr>
        <w:t xml:space="preserve">the French Deprivation index and community medicine accessibility index. </w:t>
      </w:r>
      <w:r w:rsidRPr="00AB6810" w:rsidR="002F0BE2">
        <w:rPr>
          <w:rFonts w:ascii="Arial" w:hAnsi="Arial" w:cs="Arial"/>
          <w:sz w:val="24"/>
          <w:szCs w:val="24"/>
        </w:rPr>
        <w:t>T</w:t>
      </w:r>
      <w:r w:rsidRPr="00AB6810" w:rsidR="00A90ABD">
        <w:rPr>
          <w:rFonts w:ascii="Arial" w:hAnsi="Arial" w:cs="Arial"/>
          <w:sz w:val="24"/>
          <w:szCs w:val="24"/>
        </w:rPr>
        <w:t xml:space="preserve">he black line represents the relative risk </w:t>
      </w:r>
      <w:r w:rsidRPr="00AB6810" w:rsidR="002F0BE2">
        <w:rPr>
          <w:rFonts w:ascii="Arial" w:hAnsi="Arial" w:cs="Arial"/>
          <w:sz w:val="24"/>
          <w:szCs w:val="24"/>
        </w:rPr>
        <w:t xml:space="preserve">of pancreatic adenocarcinoma </w:t>
      </w:r>
      <w:r w:rsidRPr="00AB6810" w:rsidR="00A90ABD">
        <w:rPr>
          <w:rFonts w:ascii="Arial" w:hAnsi="Arial" w:cs="Arial"/>
          <w:sz w:val="24"/>
          <w:szCs w:val="24"/>
        </w:rPr>
        <w:t>and the blue ribbon its 95% credible interval.</w:t>
      </w:r>
    </w:p>
    <w:p w:rsidRPr="00AB6810" w:rsidR="00FD0CFE" w:rsidP="003D5685" w:rsidRDefault="00EC530C" w14:paraId="61789A80" w14:textId="73AF2C31">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8</w:t>
      </w:r>
      <w:r w:rsidRPr="00AB6810" w:rsidR="00C57B68">
        <w:rPr>
          <w:rFonts w:ascii="Arial" w:hAnsi="Arial" w:cs="Arial"/>
          <w:b/>
          <w:sz w:val="24"/>
          <w:szCs w:val="24"/>
        </w:rPr>
        <w:t xml:space="preserve"> </w:t>
      </w:r>
      <w:r w:rsidRPr="00AB6810" w:rsidR="003D5685">
        <w:rPr>
          <w:rFonts w:ascii="Arial" w:hAnsi="Arial" w:cs="Arial"/>
          <w:b/>
          <w:sz w:val="24"/>
          <w:szCs w:val="24"/>
        </w:rPr>
        <w:t>Sensibility analysis: model without the tobacco</w:t>
      </w:r>
      <w:r w:rsidRPr="00AB6810" w:rsidR="00671E0D">
        <w:rPr>
          <w:rFonts w:ascii="Arial" w:hAnsi="Arial" w:cs="Arial"/>
          <w:b/>
          <w:sz w:val="24"/>
          <w:szCs w:val="24"/>
        </w:rPr>
        <w:t xml:space="preserve">, alcohol and obesity </w:t>
      </w:r>
      <w:r w:rsidRPr="00AB6810" w:rsidR="003D5685">
        <w:rPr>
          <w:rFonts w:ascii="Arial" w:hAnsi="Arial" w:cs="Arial"/>
          <w:b/>
          <w:sz w:val="24"/>
          <w:szCs w:val="24"/>
        </w:rPr>
        <w:t>covariate</w:t>
      </w:r>
      <w:r w:rsidRPr="00AB6810" w:rsidR="00671E0D">
        <w:rPr>
          <w:rFonts w:ascii="Arial" w:hAnsi="Arial" w:cs="Arial"/>
          <w:b/>
          <w:sz w:val="24"/>
          <w:szCs w:val="24"/>
        </w:rPr>
        <w:t>s</w:t>
      </w:r>
    </w:p>
    <w:p w:rsidRPr="00AB6810" w:rsidR="003D5685" w:rsidP="003D5685" w:rsidRDefault="003D5685" w14:paraId="6F41FC02" w14:textId="6ACC183C">
      <w:pPr>
        <w:spacing w:line="480" w:lineRule="auto"/>
        <w:rPr>
          <w:rFonts w:ascii="Arial" w:hAnsi="Arial" w:cs="Arial"/>
          <w:sz w:val="24"/>
          <w:szCs w:val="24"/>
        </w:rPr>
      </w:pPr>
      <w:r w:rsidRPr="00AB6810">
        <w:rPr>
          <w:rFonts w:ascii="Arial" w:hAnsi="Arial" w:cs="Arial"/>
          <w:sz w:val="24"/>
          <w:szCs w:val="24"/>
        </w:rPr>
        <w:t xml:space="preserve">The relative risk (RR) [95%CI] of pancreatic adenocarcinoma incidence as a function of pesticide exposures, after adjustment for the French Deprivation index and community medicine accessibility index. Abbreviations: </w:t>
      </w:r>
      <w:r w:rsidRPr="00AB6810">
        <w:rPr>
          <w:rFonts w:ascii="Arial" w:hAnsi="Arial" w:cs="Arial"/>
          <w:i/>
          <w:sz w:val="24"/>
          <w:szCs w:val="24"/>
        </w:rPr>
        <w:t>RR: relative risk; 95%CI: 95% credible interval.</w:t>
      </w:r>
    </w:p>
    <w:p w:rsidRPr="00AB6810" w:rsidR="00FD0CFE" w:rsidP="003D5685" w:rsidRDefault="00EC530C" w14:paraId="020BD885" w14:textId="77777777">
      <w:pPr>
        <w:spacing w:line="480" w:lineRule="auto"/>
        <w:rPr>
          <w:rFonts w:ascii="Arial" w:hAnsi="Arial" w:cs="Arial"/>
          <w:b/>
          <w:sz w:val="24"/>
          <w:szCs w:val="24"/>
        </w:rPr>
      </w:pPr>
      <w:r w:rsidRPr="00AB6810">
        <w:rPr>
          <w:rFonts w:ascii="Arial" w:hAnsi="Arial" w:cs="Arial"/>
          <w:b/>
          <w:sz w:val="24"/>
          <w:szCs w:val="24"/>
        </w:rPr>
        <w:t xml:space="preserve">Supplementary Figure </w:t>
      </w:r>
      <w:r w:rsidRPr="00AB6810" w:rsidR="001C1841">
        <w:rPr>
          <w:rFonts w:ascii="Arial" w:hAnsi="Arial" w:cs="Arial"/>
          <w:b/>
          <w:sz w:val="24"/>
          <w:szCs w:val="24"/>
        </w:rPr>
        <w:t>9</w:t>
      </w:r>
      <w:r w:rsidRPr="00AB6810" w:rsidR="00BA3BC2">
        <w:rPr>
          <w:rFonts w:ascii="Arial" w:hAnsi="Arial" w:cs="Arial"/>
          <w:b/>
          <w:sz w:val="24"/>
          <w:szCs w:val="24"/>
        </w:rPr>
        <w:t xml:space="preserve"> </w:t>
      </w:r>
      <w:r w:rsidRPr="00AB6810" w:rsidR="003D5685">
        <w:rPr>
          <w:rFonts w:ascii="Arial" w:hAnsi="Arial" w:cs="Arial"/>
          <w:b/>
          <w:sz w:val="24"/>
          <w:szCs w:val="24"/>
        </w:rPr>
        <w:t>Sensibility analysis: model with different PC priors</w:t>
      </w:r>
    </w:p>
    <w:p w:rsidRPr="00AB6810" w:rsidR="00671E0D" w:rsidP="00671E0D" w:rsidRDefault="003D5685" w14:paraId="4AFC56BA" w14:textId="3EA3DC91">
      <w:pPr>
        <w:spacing w:line="480" w:lineRule="auto"/>
        <w:rPr>
          <w:rFonts w:ascii="Arial" w:hAnsi="Arial" w:cs="Arial"/>
          <w:sz w:val="24"/>
          <w:szCs w:val="24"/>
        </w:rPr>
      </w:pPr>
      <w:r w:rsidRPr="00AB6810">
        <w:rPr>
          <w:rFonts w:ascii="Arial" w:hAnsi="Arial" w:cs="Arial"/>
          <w:sz w:val="24"/>
          <w:szCs w:val="24"/>
        </w:rPr>
        <w:t xml:space="preserve">The relative risk (RR) [95%CI] of pancreatic adenocarcinoma incidence as a function of pesticide exposures, after adjustment for the yearly prevalence of patients diagnosed with tobacco-related diseases, </w:t>
      </w:r>
      <w:r w:rsidRPr="00AB6810" w:rsidR="00671E0D">
        <w:rPr>
          <w:rFonts w:ascii="Arial" w:hAnsi="Arial" w:cs="Arial"/>
          <w:sz w:val="24"/>
          <w:szCs w:val="24"/>
        </w:rPr>
        <w:t>alcohol-related diseases, yearly prevalence</w:t>
      </w:r>
    </w:p>
    <w:p w:rsidRPr="00AB6810" w:rsidR="00BA3BC2" w:rsidP="00671E0D" w:rsidRDefault="00671E0D" w14:paraId="6398624A" w14:textId="4D97F9A8">
      <w:pPr>
        <w:spacing w:line="480" w:lineRule="auto"/>
        <w:rPr>
          <w:rFonts w:ascii="Arial" w:hAnsi="Arial" w:cs="Arial"/>
          <w:i/>
          <w:sz w:val="24"/>
          <w:szCs w:val="24"/>
        </w:rPr>
      </w:pPr>
      <w:r w:rsidRPr="00AB6810">
        <w:rPr>
          <w:rFonts w:ascii="Arial" w:hAnsi="Arial" w:cs="Arial"/>
          <w:sz w:val="24"/>
          <w:szCs w:val="24"/>
        </w:rPr>
        <w:t xml:space="preserve">of morbid obesity, </w:t>
      </w:r>
      <w:r w:rsidRPr="00AB6810" w:rsidR="003D5685">
        <w:rPr>
          <w:rFonts w:ascii="Arial" w:hAnsi="Arial" w:cs="Arial"/>
          <w:sz w:val="24"/>
          <w:szCs w:val="24"/>
        </w:rPr>
        <w:t xml:space="preserve">the French Deprivation index and community medicine accessibility index. Abbreviations: </w:t>
      </w:r>
      <w:r w:rsidRPr="00AB6810" w:rsidR="003D5685">
        <w:rPr>
          <w:rFonts w:ascii="Arial" w:hAnsi="Arial" w:cs="Arial"/>
          <w:i/>
          <w:sz w:val="24"/>
          <w:szCs w:val="24"/>
        </w:rPr>
        <w:t>RR: relative risk; 95%CI: 95% credible interval.</w:t>
      </w:r>
    </w:p>
    <w:p w:rsidRPr="00AB6810" w:rsidR="001903F6" w:rsidP="003D5685" w:rsidRDefault="001903F6" w14:paraId="277F721A" w14:textId="0465BC0A">
      <w:pPr>
        <w:spacing w:line="480" w:lineRule="auto"/>
        <w:rPr>
          <w:rFonts w:ascii="Arial" w:hAnsi="Arial" w:cs="Arial"/>
          <w:b/>
          <w:sz w:val="24"/>
          <w:szCs w:val="24"/>
        </w:rPr>
      </w:pPr>
      <w:r w:rsidRPr="00AB6810">
        <w:rPr>
          <w:rFonts w:ascii="Arial" w:hAnsi="Arial" w:cs="Arial"/>
          <w:b/>
          <w:sz w:val="24"/>
          <w:szCs w:val="24"/>
        </w:rPr>
        <w:t>Supplementary Figure 10 Median posterior of the spatial relative risk (exponential of spatial random effect) of pancreatic adenocarcinoma in metropolitan France between 2011 and 2021 for men (a) and women (b) and their corresponding exceedance probabilities (c</w:t>
      </w:r>
      <w:r w:rsidRPr="00AB6810" w:rsidR="00671E0D">
        <w:rPr>
          <w:rFonts w:ascii="Arial" w:hAnsi="Arial" w:cs="Arial"/>
          <w:b/>
          <w:sz w:val="24"/>
          <w:szCs w:val="24"/>
        </w:rPr>
        <w:t>)</w:t>
      </w:r>
      <w:r w:rsidRPr="00AB6810">
        <w:rPr>
          <w:rFonts w:ascii="Arial" w:hAnsi="Arial" w:cs="Arial"/>
          <w:b/>
          <w:sz w:val="24"/>
          <w:szCs w:val="24"/>
        </w:rPr>
        <w:t xml:space="preserve"> and </w:t>
      </w:r>
      <w:r w:rsidRPr="00AB6810" w:rsidR="00671E0D">
        <w:rPr>
          <w:rFonts w:ascii="Arial" w:hAnsi="Arial" w:cs="Arial"/>
          <w:b/>
          <w:sz w:val="24"/>
          <w:szCs w:val="24"/>
        </w:rPr>
        <w:t>(</w:t>
      </w:r>
      <w:r w:rsidRPr="00AB6810">
        <w:rPr>
          <w:rFonts w:ascii="Arial" w:hAnsi="Arial" w:cs="Arial"/>
          <w:b/>
          <w:sz w:val="24"/>
          <w:szCs w:val="24"/>
        </w:rPr>
        <w:t>d)</w:t>
      </w:r>
    </w:p>
    <w:p w:rsidRPr="00AB6810" w:rsidR="001903F6" w:rsidP="003D5685" w:rsidRDefault="001903F6" w14:paraId="41BBECFB" w14:textId="0AD3031B">
      <w:pPr>
        <w:spacing w:line="480" w:lineRule="auto"/>
        <w:rPr>
          <w:rFonts w:ascii="Arial" w:hAnsi="Arial" w:cs="Arial"/>
          <w:i/>
          <w:sz w:val="24"/>
          <w:szCs w:val="24"/>
          <w:lang w:val="fr-FR"/>
        </w:rPr>
      </w:pPr>
      <w:proofErr w:type="spellStart"/>
      <w:proofErr w:type="gramStart"/>
      <w:r w:rsidRPr="00AB6810">
        <w:rPr>
          <w:rFonts w:ascii="Arial" w:hAnsi="Arial" w:cs="Arial"/>
          <w:i/>
          <w:sz w:val="24"/>
          <w:szCs w:val="24"/>
          <w:lang w:val="fr-FR"/>
        </w:rPr>
        <w:t>Abbreviation</w:t>
      </w:r>
      <w:proofErr w:type="spellEnd"/>
      <w:r w:rsidRPr="00AB6810">
        <w:rPr>
          <w:rFonts w:ascii="Arial" w:hAnsi="Arial" w:cs="Arial"/>
          <w:i/>
          <w:sz w:val="24"/>
          <w:szCs w:val="24"/>
          <w:lang w:val="fr-FR"/>
        </w:rPr>
        <w:t>:</w:t>
      </w:r>
      <w:proofErr w:type="gramEnd"/>
      <w:r w:rsidRPr="00AB6810">
        <w:rPr>
          <w:rFonts w:ascii="Arial" w:hAnsi="Arial" w:cs="Arial"/>
          <w:i/>
          <w:sz w:val="24"/>
          <w:szCs w:val="24"/>
          <w:lang w:val="fr-FR"/>
        </w:rPr>
        <w:t xml:space="preserve"> SNDS: Système national des Données de Santé; RR: relative </w:t>
      </w:r>
      <w:proofErr w:type="spellStart"/>
      <w:r w:rsidRPr="00AB6810">
        <w:rPr>
          <w:rFonts w:ascii="Arial" w:hAnsi="Arial" w:cs="Arial"/>
          <w:i/>
          <w:sz w:val="24"/>
          <w:szCs w:val="24"/>
          <w:lang w:val="fr-FR"/>
        </w:rPr>
        <w:t>risk</w:t>
      </w:r>
      <w:proofErr w:type="spellEnd"/>
      <w:r w:rsidRPr="00AB6810">
        <w:rPr>
          <w:rFonts w:ascii="Arial" w:hAnsi="Arial" w:cs="Arial"/>
          <w:i/>
          <w:sz w:val="24"/>
          <w:szCs w:val="24"/>
          <w:lang w:val="fr-FR"/>
        </w:rPr>
        <w:t xml:space="preserve">; P: </w:t>
      </w:r>
      <w:proofErr w:type="spellStart"/>
      <w:r w:rsidRPr="00AB6810">
        <w:rPr>
          <w:rFonts w:ascii="Arial" w:hAnsi="Arial" w:cs="Arial"/>
          <w:i/>
          <w:sz w:val="24"/>
          <w:szCs w:val="24"/>
          <w:lang w:val="fr-FR"/>
        </w:rPr>
        <w:t>probability</w:t>
      </w:r>
      <w:proofErr w:type="spellEnd"/>
    </w:p>
    <w:p w:rsidRPr="00AB6810" w:rsidR="00FD0CFE" w:rsidP="009A3221" w:rsidRDefault="009A3221" w14:paraId="45D48B71" w14:textId="61361236">
      <w:pPr>
        <w:spacing w:line="480" w:lineRule="auto"/>
        <w:rPr>
          <w:rFonts w:ascii="Arial" w:hAnsi="Arial" w:cs="Arial"/>
          <w:b/>
          <w:sz w:val="24"/>
          <w:szCs w:val="24"/>
        </w:rPr>
      </w:pPr>
      <w:r w:rsidRPr="00AB6810">
        <w:rPr>
          <w:rFonts w:ascii="Arial" w:hAnsi="Arial" w:cs="Arial"/>
          <w:b/>
          <w:sz w:val="24"/>
          <w:szCs w:val="24"/>
        </w:rPr>
        <w:t>Supplementary Table 1 International Classification of Diseases 10</w:t>
      </w:r>
      <w:r w:rsidRPr="00AB6810">
        <w:rPr>
          <w:rFonts w:ascii="Arial" w:hAnsi="Arial" w:cs="Arial"/>
          <w:b/>
          <w:sz w:val="24"/>
          <w:szCs w:val="24"/>
          <w:vertAlign w:val="superscript"/>
        </w:rPr>
        <w:t>th</w:t>
      </w:r>
      <w:r w:rsidRPr="00AB6810">
        <w:rPr>
          <w:rFonts w:ascii="Arial" w:hAnsi="Arial" w:cs="Arial"/>
          <w:b/>
          <w:sz w:val="24"/>
          <w:szCs w:val="24"/>
        </w:rPr>
        <w:t xml:space="preserve"> codes used to identify tobacco-related diseases</w:t>
      </w:r>
      <w:r w:rsidRPr="00AB6810" w:rsidR="00671E0D">
        <w:rPr>
          <w:rFonts w:ascii="Arial" w:hAnsi="Arial" w:cs="Arial"/>
          <w:b/>
          <w:sz w:val="24"/>
          <w:szCs w:val="24"/>
        </w:rPr>
        <w:t>, alcohol-related diseases and morbid obesity</w:t>
      </w:r>
    </w:p>
    <w:p w:rsidRPr="00AB6810" w:rsidR="009A3221" w:rsidP="009A3221" w:rsidRDefault="009A3221" w14:paraId="34BA1487" w14:textId="3B54F8AB">
      <w:pPr>
        <w:spacing w:line="480" w:lineRule="auto"/>
        <w:rPr>
          <w:rFonts w:ascii="Arial" w:hAnsi="Arial" w:cs="Arial"/>
          <w:sz w:val="24"/>
          <w:szCs w:val="24"/>
        </w:rPr>
      </w:pPr>
      <w:r w:rsidRPr="00AB6810">
        <w:rPr>
          <w:rFonts w:ascii="Arial" w:hAnsi="Arial" w:cs="Arial"/>
          <w:sz w:val="24"/>
          <w:szCs w:val="24"/>
        </w:rPr>
        <w:t xml:space="preserve">Abbreviation: </w:t>
      </w:r>
      <w:r w:rsidRPr="00AB6810" w:rsidR="00A32D4C">
        <w:rPr>
          <w:rFonts w:ascii="Arial" w:hAnsi="Arial" w:cs="Arial"/>
          <w:i/>
          <w:sz w:val="24"/>
          <w:szCs w:val="24"/>
        </w:rPr>
        <w:t>LOCP</w:t>
      </w:r>
      <w:r w:rsidRPr="00AB6810">
        <w:rPr>
          <w:rFonts w:ascii="Arial" w:hAnsi="Arial" w:cs="Arial"/>
          <w:i/>
          <w:sz w:val="24"/>
          <w:szCs w:val="24"/>
        </w:rPr>
        <w:t xml:space="preserve">: </w:t>
      </w:r>
      <w:r w:rsidRPr="00AB6810" w:rsidR="00A32D4C">
        <w:rPr>
          <w:rFonts w:ascii="Arial" w:hAnsi="Arial" w:cs="Arial"/>
          <w:i/>
          <w:sz w:val="24"/>
          <w:szCs w:val="24"/>
        </w:rPr>
        <w:t>lip oral cavity pharynx</w:t>
      </w:r>
      <w:r w:rsidRPr="00AB6810">
        <w:rPr>
          <w:rFonts w:ascii="Arial" w:hAnsi="Arial" w:cs="Arial"/>
          <w:i/>
          <w:sz w:val="24"/>
          <w:szCs w:val="24"/>
        </w:rPr>
        <w:t xml:space="preserve">; </w:t>
      </w:r>
      <w:r w:rsidRPr="00AB6810" w:rsidR="00A32D4C">
        <w:rPr>
          <w:rFonts w:ascii="Arial" w:hAnsi="Arial" w:cs="Arial"/>
          <w:i/>
          <w:sz w:val="24"/>
          <w:szCs w:val="24"/>
        </w:rPr>
        <w:t>COPD: chronic obstructive pulmonary disease.</w:t>
      </w:r>
    </w:p>
    <w:p w:rsidRPr="00AB6810" w:rsidR="00FD0CFE" w:rsidP="00630644" w:rsidRDefault="009A3221" w14:paraId="64444D09" w14:textId="3426F403">
      <w:pPr>
        <w:spacing w:line="480" w:lineRule="auto"/>
        <w:rPr>
          <w:rFonts w:ascii="Arial" w:hAnsi="Arial" w:cs="Arial"/>
          <w:b/>
          <w:sz w:val="24"/>
          <w:szCs w:val="24"/>
        </w:rPr>
      </w:pPr>
      <w:r w:rsidRPr="00AB6810">
        <w:rPr>
          <w:rFonts w:ascii="Arial" w:hAnsi="Arial" w:cs="Arial"/>
          <w:b/>
          <w:sz w:val="24"/>
          <w:szCs w:val="24"/>
        </w:rPr>
        <w:t xml:space="preserve">Supplementary Table 2 </w:t>
      </w:r>
      <w:r w:rsidRPr="00AB6810" w:rsidR="00630644">
        <w:rPr>
          <w:rFonts w:ascii="Arial" w:hAnsi="Arial" w:cs="Arial"/>
          <w:b/>
          <w:sz w:val="24"/>
          <w:szCs w:val="24"/>
        </w:rPr>
        <w:t xml:space="preserve">The relative risk (RR) [95%CI] of pancreatic adenocarcinoma incidence as a function of the yearly prevalence of patients </w:t>
      </w:r>
      <w:r w:rsidRPr="00AB6810" w:rsidR="00630644">
        <w:rPr>
          <w:rFonts w:ascii="Arial" w:hAnsi="Arial" w:cs="Arial"/>
          <w:b/>
          <w:sz w:val="24"/>
          <w:szCs w:val="24"/>
        </w:rPr>
        <w:t xml:space="preserve">diagnosed with tobacco-related diseases (Tobacco smoking), </w:t>
      </w:r>
      <w:r w:rsidRPr="00AB6810" w:rsidR="00671E0D">
        <w:rPr>
          <w:rFonts w:ascii="Arial" w:hAnsi="Arial" w:cs="Arial"/>
          <w:b/>
          <w:sz w:val="24"/>
          <w:szCs w:val="24"/>
        </w:rPr>
        <w:t xml:space="preserve">alcohol-related diseases (Alcohol consumption), yearly prevalence of morbid obesity, </w:t>
      </w:r>
      <w:r w:rsidRPr="00AB6810" w:rsidR="00630644">
        <w:rPr>
          <w:rFonts w:ascii="Arial" w:hAnsi="Arial" w:cs="Arial"/>
          <w:b/>
          <w:sz w:val="24"/>
          <w:szCs w:val="24"/>
        </w:rPr>
        <w:t>the French Deprivation index (FDep) and community medicine accessibility index (Healthcare accessibility index), by pesticide</w:t>
      </w:r>
    </w:p>
    <w:p w:rsidRPr="00CC76DF" w:rsidR="009A3221" w:rsidP="00630644" w:rsidRDefault="009A3221" w14:paraId="333F1359" w14:textId="55D194BF">
      <w:pPr>
        <w:spacing w:line="480" w:lineRule="auto"/>
        <w:rPr>
          <w:rFonts w:ascii="Arial" w:hAnsi="Arial" w:cs="Arial"/>
          <w:sz w:val="24"/>
          <w:szCs w:val="24"/>
        </w:rPr>
      </w:pPr>
      <w:r w:rsidRPr="00AB6810">
        <w:rPr>
          <w:rFonts w:ascii="Arial" w:hAnsi="Arial" w:cs="Arial"/>
          <w:sz w:val="24"/>
          <w:szCs w:val="24"/>
        </w:rPr>
        <w:t xml:space="preserve">Abbreviation: </w:t>
      </w:r>
      <w:r w:rsidRPr="00AB6810">
        <w:rPr>
          <w:rFonts w:ascii="Arial" w:hAnsi="Arial" w:cs="Arial"/>
          <w:i/>
          <w:sz w:val="24"/>
          <w:szCs w:val="24"/>
        </w:rPr>
        <w:t xml:space="preserve">RR: relative risk; 95%CI: 95% credible interval; </w:t>
      </w:r>
      <w:proofErr w:type="spellStart"/>
      <w:r w:rsidRPr="00AB6810">
        <w:rPr>
          <w:rFonts w:ascii="Arial" w:hAnsi="Arial" w:cs="Arial"/>
          <w:i/>
          <w:sz w:val="24"/>
          <w:szCs w:val="24"/>
        </w:rPr>
        <w:t>FDep</w:t>
      </w:r>
      <w:proofErr w:type="spellEnd"/>
      <w:r w:rsidRPr="00AB6810">
        <w:rPr>
          <w:rFonts w:ascii="Arial" w:hAnsi="Arial" w:cs="Arial"/>
          <w:i/>
          <w:sz w:val="24"/>
          <w:szCs w:val="24"/>
        </w:rPr>
        <w:t>: French deprivation index.</w:t>
      </w:r>
    </w:p>
    <w:p w:rsidRPr="00CC76DF" w:rsidR="009A3221" w:rsidP="00BA3BC2" w:rsidRDefault="009A3221" w14:paraId="54B7E6B1" w14:textId="77777777">
      <w:pPr>
        <w:spacing w:line="480" w:lineRule="auto"/>
        <w:rPr>
          <w:rFonts w:ascii="Arial" w:hAnsi="Arial" w:cs="Arial"/>
          <w:sz w:val="24"/>
          <w:szCs w:val="24"/>
        </w:rPr>
      </w:pPr>
    </w:p>
    <w:p w:rsidRPr="00CC76DF" w:rsidR="00EC530C" w:rsidP="00CF781E" w:rsidRDefault="00EC530C" w14:paraId="5124D8B1" w14:textId="0BED3C3A">
      <w:pPr>
        <w:spacing w:line="480" w:lineRule="auto"/>
        <w:rPr>
          <w:rFonts w:ascii="Arial" w:hAnsi="Arial" w:cs="Arial"/>
          <w:sz w:val="24"/>
          <w:szCs w:val="24"/>
        </w:rPr>
      </w:pPr>
    </w:p>
    <w:sectPr w:rsidRPr="00CC76DF" w:rsidR="00EC530C">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68E7" w:rsidP="00007CA8" w:rsidRDefault="005C68E7" w14:paraId="38FBB0D6" w14:textId="77777777">
      <w:pPr>
        <w:spacing w:after="0" w:line="240" w:lineRule="auto"/>
      </w:pPr>
      <w:r>
        <w:separator/>
      </w:r>
    </w:p>
  </w:endnote>
  <w:endnote w:type="continuationSeparator" w:id="0">
    <w:p w:rsidR="005C68E7" w:rsidP="00007CA8" w:rsidRDefault="005C68E7" w14:paraId="037959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1895110"/>
      <w:docPartObj>
        <w:docPartGallery w:val="Page Numbers (Bottom of Page)"/>
        <w:docPartUnique/>
      </w:docPartObj>
    </w:sdtPr>
    <w:sdtEndPr>
      <w:rPr>
        <w:noProof/>
      </w:rPr>
    </w:sdtEndPr>
    <w:sdtContent>
      <w:p w:rsidR="008C22E4" w:rsidRDefault="008C22E4" w14:paraId="60BE49C9" w14:textId="5D0F056B">
        <w:pPr>
          <w:pStyle w:val="Pieddepage"/>
        </w:pPr>
        <w:r>
          <w:fldChar w:fldCharType="begin"/>
        </w:r>
        <w:r>
          <w:instrText xml:space="preserve"> PAGE   \* MERGEFORMAT </w:instrText>
        </w:r>
        <w:r>
          <w:fldChar w:fldCharType="separate"/>
        </w:r>
        <w:r>
          <w:rPr>
            <w:noProof/>
          </w:rPr>
          <w:t>2</w:t>
        </w:r>
        <w:r>
          <w:rPr>
            <w:noProof/>
          </w:rPr>
          <w:fldChar w:fldCharType="end"/>
        </w:r>
      </w:p>
    </w:sdtContent>
  </w:sdt>
  <w:p w:rsidR="008C22E4" w:rsidRDefault="008C22E4" w14:paraId="45D04B2D"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68E7" w:rsidP="00007CA8" w:rsidRDefault="005C68E7" w14:paraId="31CAD12B" w14:textId="77777777">
      <w:pPr>
        <w:spacing w:after="0" w:line="240" w:lineRule="auto"/>
      </w:pPr>
      <w:r>
        <w:separator/>
      </w:r>
    </w:p>
  </w:footnote>
  <w:footnote w:type="continuationSeparator" w:id="0">
    <w:p w:rsidR="005C68E7" w:rsidP="00007CA8" w:rsidRDefault="005C68E7" w14:paraId="1185FBC6"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JRA0jWDOBEx97Z" int2:id="lgggjZNT">
      <int2:state int2:value="Rejected" int2:type="AugLoop_Text_Critique"/>
    </int2:textHash>
    <int2:textHash int2:hashCode="nW/882lVcDYgp1" int2:id="mUrbohfU">
      <int2:state int2:value="Rejected" int2:type="AugLoop_Text_Critique"/>
    </int2:textHash>
    <int2:textHash int2:hashCode="mrBLHqguguI8q5" int2:id="OdBWxgdw">
      <int2:state int2:value="Rejected" int2:type="AugLoop_Text_Critique"/>
    </int2:textHash>
    <int2:textHash int2:hashCode="5et9fv7TjKKalM" int2:id="SOzmeFgk">
      <int2:state int2:value="Rejected" int2:type="AugLoop_Text_Critique"/>
    </int2:textHash>
    <int2:textHash int2:hashCode="2k77lnJXjXgdam" int2:id="bYONZU0T">
      <int2:state int2:value="Rejected" int2:type="AugLoop_Text_Critique"/>
    </int2:textHash>
    <int2:textHash int2:hashCode="oJ5Bgp+hdxLAfO" int2:id="LF3SiNAV">
      <int2:state int2:value="Rejected" int2:type="AugLoop_Text_Critique"/>
    </int2:textHash>
    <int2:textHash int2:hashCode="+fkUBgzLHhDVUa" int2:id="E8oyN881">
      <int2:state int2:value="Rejected" int2:type="AugLoop_Text_Critique"/>
    </int2:textHash>
    <int2:textHash int2:hashCode="yDY5BPEWfRo25D" int2:id="N6LHKDd6">
      <int2:state int2:value="Rejected" int2:type="AugLoop_Text_Critique"/>
    </int2:textHash>
    <int2:textHash int2:hashCode="YoWjxT+QRny6kP" int2:id="M5Qk5dmP">
      <int2:state int2:value="Rejected" int2:type="AugLoop_Text_Critique"/>
    </int2:textHash>
    <int2:bookmark int2:bookmarkName="_Int_2fAfhefM" int2:invalidationBookmarkName="" int2:hashCode="OW+ZdNpOYP8tjM" int2:id="JlRLtSVO">
      <int2:state int2:value="Rejected" int2:type="AugLoop_Text_Critique"/>
    </int2:bookmark>
    <int2:bookmark int2:bookmarkName="_Int_hLOrF9e9" int2:invalidationBookmarkName="" int2:hashCode="EC6jBDRUEwOzSZ" int2:id="0toZzpm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5211"/>
    <w:multiLevelType w:val="hybridMultilevel"/>
    <w:tmpl w:val="97D68906"/>
    <w:lvl w:ilvl="0" w:tplc="299A74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D66BA"/>
    <w:multiLevelType w:val="multilevel"/>
    <w:tmpl w:val="8F7AB6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14F263C"/>
    <w:multiLevelType w:val="hybridMultilevel"/>
    <w:tmpl w:val="E56E520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1AD22B7C"/>
    <w:multiLevelType w:val="hybridMultilevel"/>
    <w:tmpl w:val="60F61FA0"/>
    <w:lvl w:ilvl="0" w:tplc="6CEAAD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1C47BE"/>
    <w:multiLevelType w:val="hybridMultilevel"/>
    <w:tmpl w:val="F7586BB8"/>
    <w:lvl w:ilvl="0" w:tplc="CAB4143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BD7656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0096C1F"/>
    <w:multiLevelType w:val="hybridMultilevel"/>
    <w:tmpl w:val="59161DE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abstractNumId w:val="3"/>
  </w:num>
  <w:num w:numId="2">
    <w:abstractNumId w:val="0"/>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hideGrammaticalError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tbQ0NzQ2MjIwNjRW0lEKTi0uzszPAykwqQUAZf4g2iwAAAA="/>
  </w:docVars>
  <w:rsids>
    <w:rsidRoot w:val="008735F7"/>
    <w:rsid w:val="00007CA8"/>
    <w:rsid w:val="00010CA4"/>
    <w:rsid w:val="00010D7A"/>
    <w:rsid w:val="0001727F"/>
    <w:rsid w:val="00031DCB"/>
    <w:rsid w:val="00031E40"/>
    <w:rsid w:val="0003362D"/>
    <w:rsid w:val="000372AB"/>
    <w:rsid w:val="0004410E"/>
    <w:rsid w:val="00050DF0"/>
    <w:rsid w:val="000557B2"/>
    <w:rsid w:val="000566E9"/>
    <w:rsid w:val="000579D1"/>
    <w:rsid w:val="00060E3F"/>
    <w:rsid w:val="00071F17"/>
    <w:rsid w:val="00074785"/>
    <w:rsid w:val="000763EE"/>
    <w:rsid w:val="00076FB7"/>
    <w:rsid w:val="00087771"/>
    <w:rsid w:val="00094508"/>
    <w:rsid w:val="00094E4E"/>
    <w:rsid w:val="00097195"/>
    <w:rsid w:val="000A12D8"/>
    <w:rsid w:val="000A1BEE"/>
    <w:rsid w:val="000A41FE"/>
    <w:rsid w:val="000A7F08"/>
    <w:rsid w:val="000C21EC"/>
    <w:rsid w:val="000C6FEA"/>
    <w:rsid w:val="000D2C4E"/>
    <w:rsid w:val="000D366E"/>
    <w:rsid w:val="000E67E4"/>
    <w:rsid w:val="000E74D0"/>
    <w:rsid w:val="00100506"/>
    <w:rsid w:val="001007E4"/>
    <w:rsid w:val="00106A4B"/>
    <w:rsid w:val="00136842"/>
    <w:rsid w:val="0014677E"/>
    <w:rsid w:val="0015220E"/>
    <w:rsid w:val="001537EA"/>
    <w:rsid w:val="001548FC"/>
    <w:rsid w:val="00155461"/>
    <w:rsid w:val="00155D5E"/>
    <w:rsid w:val="001566CF"/>
    <w:rsid w:val="001608C1"/>
    <w:rsid w:val="00164092"/>
    <w:rsid w:val="00172F81"/>
    <w:rsid w:val="001749BA"/>
    <w:rsid w:val="0017686D"/>
    <w:rsid w:val="00176EF0"/>
    <w:rsid w:val="00181612"/>
    <w:rsid w:val="00187307"/>
    <w:rsid w:val="001903F6"/>
    <w:rsid w:val="00191D31"/>
    <w:rsid w:val="00192A6E"/>
    <w:rsid w:val="00195F70"/>
    <w:rsid w:val="001A52FF"/>
    <w:rsid w:val="001A59FD"/>
    <w:rsid w:val="001A6AAF"/>
    <w:rsid w:val="001B17E6"/>
    <w:rsid w:val="001C1841"/>
    <w:rsid w:val="001C4677"/>
    <w:rsid w:val="001D1A77"/>
    <w:rsid w:val="001D2E34"/>
    <w:rsid w:val="001D3A45"/>
    <w:rsid w:val="001E3763"/>
    <w:rsid w:val="001E4881"/>
    <w:rsid w:val="001F0725"/>
    <w:rsid w:val="001F0A42"/>
    <w:rsid w:val="001F3276"/>
    <w:rsid w:val="002022A4"/>
    <w:rsid w:val="00207171"/>
    <w:rsid w:val="002072D2"/>
    <w:rsid w:val="00210D93"/>
    <w:rsid w:val="00214571"/>
    <w:rsid w:val="00215128"/>
    <w:rsid w:val="00220D07"/>
    <w:rsid w:val="0023074B"/>
    <w:rsid w:val="00240254"/>
    <w:rsid w:val="00247587"/>
    <w:rsid w:val="00255D19"/>
    <w:rsid w:val="002563D9"/>
    <w:rsid w:val="002715BD"/>
    <w:rsid w:val="00273004"/>
    <w:rsid w:val="0027398D"/>
    <w:rsid w:val="002800CF"/>
    <w:rsid w:val="00281DA8"/>
    <w:rsid w:val="00294966"/>
    <w:rsid w:val="002A2AE1"/>
    <w:rsid w:val="002CE2AD"/>
    <w:rsid w:val="002E6158"/>
    <w:rsid w:val="002E7AB4"/>
    <w:rsid w:val="002F0533"/>
    <w:rsid w:val="002F0BE2"/>
    <w:rsid w:val="00302762"/>
    <w:rsid w:val="00304B0A"/>
    <w:rsid w:val="00312D6B"/>
    <w:rsid w:val="00314C92"/>
    <w:rsid w:val="00317806"/>
    <w:rsid w:val="003212EB"/>
    <w:rsid w:val="003224F0"/>
    <w:rsid w:val="00324D53"/>
    <w:rsid w:val="003359B4"/>
    <w:rsid w:val="00342984"/>
    <w:rsid w:val="003436FE"/>
    <w:rsid w:val="0034572A"/>
    <w:rsid w:val="00351007"/>
    <w:rsid w:val="003638C8"/>
    <w:rsid w:val="00364ADC"/>
    <w:rsid w:val="00365192"/>
    <w:rsid w:val="00382D68"/>
    <w:rsid w:val="00396F9C"/>
    <w:rsid w:val="003A10C7"/>
    <w:rsid w:val="003A5E21"/>
    <w:rsid w:val="003B76D9"/>
    <w:rsid w:val="003C345D"/>
    <w:rsid w:val="003D5685"/>
    <w:rsid w:val="003E0270"/>
    <w:rsid w:val="003E0A7C"/>
    <w:rsid w:val="003E2721"/>
    <w:rsid w:val="003F6401"/>
    <w:rsid w:val="0040780B"/>
    <w:rsid w:val="00415335"/>
    <w:rsid w:val="00417E2B"/>
    <w:rsid w:val="004243CB"/>
    <w:rsid w:val="004328F0"/>
    <w:rsid w:val="00435E4F"/>
    <w:rsid w:val="00441795"/>
    <w:rsid w:val="00446AB4"/>
    <w:rsid w:val="004576F2"/>
    <w:rsid w:val="00465AAC"/>
    <w:rsid w:val="00465EC8"/>
    <w:rsid w:val="0047265E"/>
    <w:rsid w:val="00475B2B"/>
    <w:rsid w:val="00477E69"/>
    <w:rsid w:val="00491B60"/>
    <w:rsid w:val="00495A75"/>
    <w:rsid w:val="004A3EF7"/>
    <w:rsid w:val="004A7E18"/>
    <w:rsid w:val="004B2BF8"/>
    <w:rsid w:val="004C0436"/>
    <w:rsid w:val="004C41C4"/>
    <w:rsid w:val="004C5773"/>
    <w:rsid w:val="004D7BC0"/>
    <w:rsid w:val="004E0EB6"/>
    <w:rsid w:val="004E4BA9"/>
    <w:rsid w:val="004F34AA"/>
    <w:rsid w:val="004F3F79"/>
    <w:rsid w:val="005011D1"/>
    <w:rsid w:val="00502F6E"/>
    <w:rsid w:val="00506462"/>
    <w:rsid w:val="0050675E"/>
    <w:rsid w:val="00513C03"/>
    <w:rsid w:val="0052341E"/>
    <w:rsid w:val="00530F07"/>
    <w:rsid w:val="00537318"/>
    <w:rsid w:val="005377E7"/>
    <w:rsid w:val="005438F3"/>
    <w:rsid w:val="00546EA2"/>
    <w:rsid w:val="005505E9"/>
    <w:rsid w:val="005523C4"/>
    <w:rsid w:val="005570CA"/>
    <w:rsid w:val="0055726C"/>
    <w:rsid w:val="00572FDA"/>
    <w:rsid w:val="0058140C"/>
    <w:rsid w:val="00582FC9"/>
    <w:rsid w:val="00584A0F"/>
    <w:rsid w:val="00587426"/>
    <w:rsid w:val="00587D08"/>
    <w:rsid w:val="00590499"/>
    <w:rsid w:val="005A0FB6"/>
    <w:rsid w:val="005A1CB8"/>
    <w:rsid w:val="005B2914"/>
    <w:rsid w:val="005B3F99"/>
    <w:rsid w:val="005B579E"/>
    <w:rsid w:val="005B601F"/>
    <w:rsid w:val="005C3218"/>
    <w:rsid w:val="005C68E7"/>
    <w:rsid w:val="005D7D8C"/>
    <w:rsid w:val="005E1209"/>
    <w:rsid w:val="005E30A2"/>
    <w:rsid w:val="00601D3A"/>
    <w:rsid w:val="00602541"/>
    <w:rsid w:val="00603D7E"/>
    <w:rsid w:val="006062BD"/>
    <w:rsid w:val="0062699F"/>
    <w:rsid w:val="0062753D"/>
    <w:rsid w:val="00630644"/>
    <w:rsid w:val="00631B9F"/>
    <w:rsid w:val="00633C8E"/>
    <w:rsid w:val="006354FB"/>
    <w:rsid w:val="00636471"/>
    <w:rsid w:val="00641BEB"/>
    <w:rsid w:val="00642FB3"/>
    <w:rsid w:val="0065014F"/>
    <w:rsid w:val="006505EF"/>
    <w:rsid w:val="00655810"/>
    <w:rsid w:val="006562A0"/>
    <w:rsid w:val="006622E6"/>
    <w:rsid w:val="00670780"/>
    <w:rsid w:val="00671E0D"/>
    <w:rsid w:val="00672A37"/>
    <w:rsid w:val="00672D60"/>
    <w:rsid w:val="00675E01"/>
    <w:rsid w:val="00683473"/>
    <w:rsid w:val="00694282"/>
    <w:rsid w:val="006965BB"/>
    <w:rsid w:val="006A39C0"/>
    <w:rsid w:val="006A6059"/>
    <w:rsid w:val="006B4C1C"/>
    <w:rsid w:val="006C02DB"/>
    <w:rsid w:val="006C0980"/>
    <w:rsid w:val="006C0A4F"/>
    <w:rsid w:val="006C4D89"/>
    <w:rsid w:val="006D1A11"/>
    <w:rsid w:val="006D1CC2"/>
    <w:rsid w:val="006D242A"/>
    <w:rsid w:val="006D2819"/>
    <w:rsid w:val="006D6A33"/>
    <w:rsid w:val="00710B83"/>
    <w:rsid w:val="007158CF"/>
    <w:rsid w:val="0073773E"/>
    <w:rsid w:val="00742520"/>
    <w:rsid w:val="00752006"/>
    <w:rsid w:val="00752968"/>
    <w:rsid w:val="00767B30"/>
    <w:rsid w:val="00786915"/>
    <w:rsid w:val="007A1E80"/>
    <w:rsid w:val="007B05B5"/>
    <w:rsid w:val="007C3F6B"/>
    <w:rsid w:val="007D1418"/>
    <w:rsid w:val="007D3292"/>
    <w:rsid w:val="007D7767"/>
    <w:rsid w:val="007E1055"/>
    <w:rsid w:val="007E5FB9"/>
    <w:rsid w:val="00801202"/>
    <w:rsid w:val="00817D4D"/>
    <w:rsid w:val="00824017"/>
    <w:rsid w:val="0082411F"/>
    <w:rsid w:val="00827EFB"/>
    <w:rsid w:val="008309B7"/>
    <w:rsid w:val="00854051"/>
    <w:rsid w:val="00856C41"/>
    <w:rsid w:val="00860487"/>
    <w:rsid w:val="00862DC4"/>
    <w:rsid w:val="00862DEC"/>
    <w:rsid w:val="00872334"/>
    <w:rsid w:val="00873347"/>
    <w:rsid w:val="008735F7"/>
    <w:rsid w:val="00875387"/>
    <w:rsid w:val="00875CDB"/>
    <w:rsid w:val="00877ADD"/>
    <w:rsid w:val="00881FAB"/>
    <w:rsid w:val="00884B21"/>
    <w:rsid w:val="00886F5F"/>
    <w:rsid w:val="00890E7B"/>
    <w:rsid w:val="00893BB4"/>
    <w:rsid w:val="008A6284"/>
    <w:rsid w:val="008C22E4"/>
    <w:rsid w:val="008C4CA4"/>
    <w:rsid w:val="008D4D75"/>
    <w:rsid w:val="008E1303"/>
    <w:rsid w:val="008E649B"/>
    <w:rsid w:val="008E7D87"/>
    <w:rsid w:val="008F36C5"/>
    <w:rsid w:val="008F7A8F"/>
    <w:rsid w:val="009015F3"/>
    <w:rsid w:val="00903AEE"/>
    <w:rsid w:val="00907EEE"/>
    <w:rsid w:val="0091590C"/>
    <w:rsid w:val="009326A3"/>
    <w:rsid w:val="00936C2D"/>
    <w:rsid w:val="00941B06"/>
    <w:rsid w:val="0095024D"/>
    <w:rsid w:val="00961160"/>
    <w:rsid w:val="00967902"/>
    <w:rsid w:val="00967FA7"/>
    <w:rsid w:val="00976D50"/>
    <w:rsid w:val="00993814"/>
    <w:rsid w:val="00994875"/>
    <w:rsid w:val="00997FDB"/>
    <w:rsid w:val="009A11F2"/>
    <w:rsid w:val="009A2D16"/>
    <w:rsid w:val="009A3221"/>
    <w:rsid w:val="009A6B29"/>
    <w:rsid w:val="009A6DBC"/>
    <w:rsid w:val="009B0DD5"/>
    <w:rsid w:val="009B119C"/>
    <w:rsid w:val="009B3161"/>
    <w:rsid w:val="009C178C"/>
    <w:rsid w:val="009C3913"/>
    <w:rsid w:val="009C4045"/>
    <w:rsid w:val="009D1A80"/>
    <w:rsid w:val="009D63C5"/>
    <w:rsid w:val="009D7159"/>
    <w:rsid w:val="009E000F"/>
    <w:rsid w:val="009E24F9"/>
    <w:rsid w:val="009E78E0"/>
    <w:rsid w:val="009F0789"/>
    <w:rsid w:val="009F0FCD"/>
    <w:rsid w:val="009F1E59"/>
    <w:rsid w:val="009F4725"/>
    <w:rsid w:val="009F6120"/>
    <w:rsid w:val="009F6898"/>
    <w:rsid w:val="00A01555"/>
    <w:rsid w:val="00A05E10"/>
    <w:rsid w:val="00A06F26"/>
    <w:rsid w:val="00A07A7E"/>
    <w:rsid w:val="00A101BB"/>
    <w:rsid w:val="00A13A48"/>
    <w:rsid w:val="00A14FB1"/>
    <w:rsid w:val="00A32D4C"/>
    <w:rsid w:val="00A34ECE"/>
    <w:rsid w:val="00A51157"/>
    <w:rsid w:val="00A54F50"/>
    <w:rsid w:val="00A5742D"/>
    <w:rsid w:val="00A61010"/>
    <w:rsid w:val="00A6275A"/>
    <w:rsid w:val="00A749AE"/>
    <w:rsid w:val="00A75C68"/>
    <w:rsid w:val="00A77173"/>
    <w:rsid w:val="00A90ABD"/>
    <w:rsid w:val="00A93589"/>
    <w:rsid w:val="00A94F24"/>
    <w:rsid w:val="00A97009"/>
    <w:rsid w:val="00AB27D8"/>
    <w:rsid w:val="00AB65EC"/>
    <w:rsid w:val="00AB6810"/>
    <w:rsid w:val="00AC0F88"/>
    <w:rsid w:val="00AC2C4F"/>
    <w:rsid w:val="00AC4310"/>
    <w:rsid w:val="00AC4C08"/>
    <w:rsid w:val="00AD090C"/>
    <w:rsid w:val="00AD0A7D"/>
    <w:rsid w:val="00AD1EE8"/>
    <w:rsid w:val="00AD2EFE"/>
    <w:rsid w:val="00AE3104"/>
    <w:rsid w:val="00AE49A7"/>
    <w:rsid w:val="00AF1845"/>
    <w:rsid w:val="00AF241A"/>
    <w:rsid w:val="00B018E8"/>
    <w:rsid w:val="00B100A7"/>
    <w:rsid w:val="00B247DE"/>
    <w:rsid w:val="00B3158F"/>
    <w:rsid w:val="00B3509B"/>
    <w:rsid w:val="00B36F2C"/>
    <w:rsid w:val="00B4254B"/>
    <w:rsid w:val="00B462CB"/>
    <w:rsid w:val="00B53210"/>
    <w:rsid w:val="00B53518"/>
    <w:rsid w:val="00B55CB1"/>
    <w:rsid w:val="00B57DC7"/>
    <w:rsid w:val="00B71C93"/>
    <w:rsid w:val="00B757B3"/>
    <w:rsid w:val="00B80715"/>
    <w:rsid w:val="00B83506"/>
    <w:rsid w:val="00B86586"/>
    <w:rsid w:val="00B87051"/>
    <w:rsid w:val="00B91402"/>
    <w:rsid w:val="00B92E3B"/>
    <w:rsid w:val="00B9756F"/>
    <w:rsid w:val="00B9797A"/>
    <w:rsid w:val="00BA0258"/>
    <w:rsid w:val="00BA3BC2"/>
    <w:rsid w:val="00BA519E"/>
    <w:rsid w:val="00BA52DE"/>
    <w:rsid w:val="00BC3492"/>
    <w:rsid w:val="00BC3610"/>
    <w:rsid w:val="00BC4DB8"/>
    <w:rsid w:val="00BC7A43"/>
    <w:rsid w:val="00BD05C9"/>
    <w:rsid w:val="00BD147D"/>
    <w:rsid w:val="00BD2199"/>
    <w:rsid w:val="00BD31F1"/>
    <w:rsid w:val="00BD4A0E"/>
    <w:rsid w:val="00BD5DD3"/>
    <w:rsid w:val="00BE025F"/>
    <w:rsid w:val="00BF10B3"/>
    <w:rsid w:val="00BF1B21"/>
    <w:rsid w:val="00C01B2D"/>
    <w:rsid w:val="00C1666D"/>
    <w:rsid w:val="00C21CA0"/>
    <w:rsid w:val="00C23437"/>
    <w:rsid w:val="00C25017"/>
    <w:rsid w:val="00C31D67"/>
    <w:rsid w:val="00C3297D"/>
    <w:rsid w:val="00C37421"/>
    <w:rsid w:val="00C43C89"/>
    <w:rsid w:val="00C54406"/>
    <w:rsid w:val="00C56B09"/>
    <w:rsid w:val="00C57B68"/>
    <w:rsid w:val="00C85B15"/>
    <w:rsid w:val="00C95096"/>
    <w:rsid w:val="00C9575A"/>
    <w:rsid w:val="00C965FF"/>
    <w:rsid w:val="00C96DCC"/>
    <w:rsid w:val="00CA619E"/>
    <w:rsid w:val="00CB0D70"/>
    <w:rsid w:val="00CB1FC1"/>
    <w:rsid w:val="00CB2E10"/>
    <w:rsid w:val="00CB55FB"/>
    <w:rsid w:val="00CB7BEC"/>
    <w:rsid w:val="00CC760C"/>
    <w:rsid w:val="00CC76DF"/>
    <w:rsid w:val="00CD1BF5"/>
    <w:rsid w:val="00CF781E"/>
    <w:rsid w:val="00D04D0A"/>
    <w:rsid w:val="00D111D4"/>
    <w:rsid w:val="00D14A1E"/>
    <w:rsid w:val="00D30DCE"/>
    <w:rsid w:val="00D330BB"/>
    <w:rsid w:val="00D340CE"/>
    <w:rsid w:val="00D40054"/>
    <w:rsid w:val="00D4094C"/>
    <w:rsid w:val="00D415D2"/>
    <w:rsid w:val="00D41DEA"/>
    <w:rsid w:val="00D50299"/>
    <w:rsid w:val="00D53453"/>
    <w:rsid w:val="00D65538"/>
    <w:rsid w:val="00D72804"/>
    <w:rsid w:val="00D764FD"/>
    <w:rsid w:val="00D77967"/>
    <w:rsid w:val="00D80128"/>
    <w:rsid w:val="00D90579"/>
    <w:rsid w:val="00D97CB5"/>
    <w:rsid w:val="00DA3A92"/>
    <w:rsid w:val="00DA4D23"/>
    <w:rsid w:val="00DB5044"/>
    <w:rsid w:val="00DE00CF"/>
    <w:rsid w:val="00DE6A5E"/>
    <w:rsid w:val="00DE79A3"/>
    <w:rsid w:val="00DF0BEF"/>
    <w:rsid w:val="00DF3AE5"/>
    <w:rsid w:val="00DF4F71"/>
    <w:rsid w:val="00DF59A6"/>
    <w:rsid w:val="00DF5C04"/>
    <w:rsid w:val="00DF654F"/>
    <w:rsid w:val="00E1245C"/>
    <w:rsid w:val="00E21451"/>
    <w:rsid w:val="00E25E90"/>
    <w:rsid w:val="00E328D2"/>
    <w:rsid w:val="00E33040"/>
    <w:rsid w:val="00E431C4"/>
    <w:rsid w:val="00E4554F"/>
    <w:rsid w:val="00E465A2"/>
    <w:rsid w:val="00E722C6"/>
    <w:rsid w:val="00E75155"/>
    <w:rsid w:val="00E80D6E"/>
    <w:rsid w:val="00E815D0"/>
    <w:rsid w:val="00E836C4"/>
    <w:rsid w:val="00E84D6B"/>
    <w:rsid w:val="00E900CD"/>
    <w:rsid w:val="00EB7126"/>
    <w:rsid w:val="00EC4348"/>
    <w:rsid w:val="00EC530C"/>
    <w:rsid w:val="00ED24F4"/>
    <w:rsid w:val="00EE2E3F"/>
    <w:rsid w:val="00EE5D29"/>
    <w:rsid w:val="00EF2670"/>
    <w:rsid w:val="00EF6FC0"/>
    <w:rsid w:val="00F01B36"/>
    <w:rsid w:val="00F02E8A"/>
    <w:rsid w:val="00F1412A"/>
    <w:rsid w:val="00F20078"/>
    <w:rsid w:val="00F2329D"/>
    <w:rsid w:val="00F2530E"/>
    <w:rsid w:val="00F264C4"/>
    <w:rsid w:val="00F2F51F"/>
    <w:rsid w:val="00F33AA9"/>
    <w:rsid w:val="00F36645"/>
    <w:rsid w:val="00F40AE9"/>
    <w:rsid w:val="00F41675"/>
    <w:rsid w:val="00F53051"/>
    <w:rsid w:val="00F53F02"/>
    <w:rsid w:val="00F55A52"/>
    <w:rsid w:val="00F55A8E"/>
    <w:rsid w:val="00F703E7"/>
    <w:rsid w:val="00F7157C"/>
    <w:rsid w:val="00F80D35"/>
    <w:rsid w:val="00F81E55"/>
    <w:rsid w:val="00F81F8F"/>
    <w:rsid w:val="00F8699C"/>
    <w:rsid w:val="00F94BCF"/>
    <w:rsid w:val="00FA502E"/>
    <w:rsid w:val="00FB11CF"/>
    <w:rsid w:val="00FB3DEE"/>
    <w:rsid w:val="00FC0A9E"/>
    <w:rsid w:val="00FC6236"/>
    <w:rsid w:val="00FC6ABD"/>
    <w:rsid w:val="00FC737D"/>
    <w:rsid w:val="00FC7713"/>
    <w:rsid w:val="00FD0CFE"/>
    <w:rsid w:val="00FD2F86"/>
    <w:rsid w:val="00FE3500"/>
    <w:rsid w:val="00FE46A2"/>
    <w:rsid w:val="00FE4787"/>
    <w:rsid w:val="00FF0C47"/>
    <w:rsid w:val="02375A38"/>
    <w:rsid w:val="02A06C10"/>
    <w:rsid w:val="0339D5A4"/>
    <w:rsid w:val="038FC995"/>
    <w:rsid w:val="03FA7E48"/>
    <w:rsid w:val="04112C1F"/>
    <w:rsid w:val="0482F02E"/>
    <w:rsid w:val="04C9B013"/>
    <w:rsid w:val="0516E2AF"/>
    <w:rsid w:val="05AA2A76"/>
    <w:rsid w:val="05DD5401"/>
    <w:rsid w:val="05E14F15"/>
    <w:rsid w:val="0636588E"/>
    <w:rsid w:val="06403BCE"/>
    <w:rsid w:val="0694AC02"/>
    <w:rsid w:val="07297AFC"/>
    <w:rsid w:val="07AD857C"/>
    <w:rsid w:val="08BF24FD"/>
    <w:rsid w:val="08F5AA3B"/>
    <w:rsid w:val="099E5026"/>
    <w:rsid w:val="09C9BD0E"/>
    <w:rsid w:val="0A002EED"/>
    <w:rsid w:val="0BA9A4E5"/>
    <w:rsid w:val="0BC26516"/>
    <w:rsid w:val="0C181819"/>
    <w:rsid w:val="0C84C4B5"/>
    <w:rsid w:val="0DF299A5"/>
    <w:rsid w:val="0E3F1A48"/>
    <w:rsid w:val="0E5898EC"/>
    <w:rsid w:val="0E5C94FB"/>
    <w:rsid w:val="0E654EBF"/>
    <w:rsid w:val="0E6DCFD2"/>
    <w:rsid w:val="0E909A92"/>
    <w:rsid w:val="0ECEF26D"/>
    <w:rsid w:val="0ED1CCF1"/>
    <w:rsid w:val="1026DB4D"/>
    <w:rsid w:val="105D93E5"/>
    <w:rsid w:val="107DE6AB"/>
    <w:rsid w:val="10F9185B"/>
    <w:rsid w:val="11F7DDBE"/>
    <w:rsid w:val="12D47286"/>
    <w:rsid w:val="12FC7C9A"/>
    <w:rsid w:val="132C0A0F"/>
    <w:rsid w:val="133707A1"/>
    <w:rsid w:val="1399C813"/>
    <w:rsid w:val="13F6A7C4"/>
    <w:rsid w:val="13F779B5"/>
    <w:rsid w:val="15597BE0"/>
    <w:rsid w:val="15B9BAF3"/>
    <w:rsid w:val="15D4DDBD"/>
    <w:rsid w:val="16410E92"/>
    <w:rsid w:val="16696281"/>
    <w:rsid w:val="1678E1B7"/>
    <w:rsid w:val="16A172B2"/>
    <w:rsid w:val="16B62229"/>
    <w:rsid w:val="16D2F54A"/>
    <w:rsid w:val="175FB196"/>
    <w:rsid w:val="176AB3C0"/>
    <w:rsid w:val="17A39FED"/>
    <w:rsid w:val="17C673B9"/>
    <w:rsid w:val="17FBC121"/>
    <w:rsid w:val="1850EA98"/>
    <w:rsid w:val="185D940D"/>
    <w:rsid w:val="186491FA"/>
    <w:rsid w:val="18CAEAD8"/>
    <w:rsid w:val="19481EFF"/>
    <w:rsid w:val="1968175E"/>
    <w:rsid w:val="1A22C528"/>
    <w:rsid w:val="1A2A1743"/>
    <w:rsid w:val="1A70A1A6"/>
    <w:rsid w:val="1A79E238"/>
    <w:rsid w:val="1A930A95"/>
    <w:rsid w:val="1ADB40AF"/>
    <w:rsid w:val="1B337871"/>
    <w:rsid w:val="1BBE9589"/>
    <w:rsid w:val="1BC2B61C"/>
    <w:rsid w:val="1BE37A83"/>
    <w:rsid w:val="1BFC4DCE"/>
    <w:rsid w:val="1C8F41A3"/>
    <w:rsid w:val="1D0839FA"/>
    <w:rsid w:val="1D08D679"/>
    <w:rsid w:val="1D4CFD83"/>
    <w:rsid w:val="1E9BD2C7"/>
    <w:rsid w:val="1ECFF2A0"/>
    <w:rsid w:val="1F9869CD"/>
    <w:rsid w:val="201723BC"/>
    <w:rsid w:val="20E923BC"/>
    <w:rsid w:val="20EC8E90"/>
    <w:rsid w:val="2185B3D5"/>
    <w:rsid w:val="219C283B"/>
    <w:rsid w:val="21AA5987"/>
    <w:rsid w:val="21DBBCA0"/>
    <w:rsid w:val="21DC479C"/>
    <w:rsid w:val="21E06D87"/>
    <w:rsid w:val="22493052"/>
    <w:rsid w:val="22C9E180"/>
    <w:rsid w:val="237817FD"/>
    <w:rsid w:val="23C530E6"/>
    <w:rsid w:val="24438681"/>
    <w:rsid w:val="24613DB4"/>
    <w:rsid w:val="24B556D6"/>
    <w:rsid w:val="25C47016"/>
    <w:rsid w:val="25EE7FF7"/>
    <w:rsid w:val="25F035CF"/>
    <w:rsid w:val="26B42E21"/>
    <w:rsid w:val="26D2B717"/>
    <w:rsid w:val="26F36AEC"/>
    <w:rsid w:val="274D4152"/>
    <w:rsid w:val="2778B87C"/>
    <w:rsid w:val="28540A27"/>
    <w:rsid w:val="285B966E"/>
    <w:rsid w:val="2896871D"/>
    <w:rsid w:val="28D94EB3"/>
    <w:rsid w:val="291FCCB0"/>
    <w:rsid w:val="29ACAA00"/>
    <w:rsid w:val="29E75981"/>
    <w:rsid w:val="2A051D83"/>
    <w:rsid w:val="2A1E4DB4"/>
    <w:rsid w:val="2A3AA60F"/>
    <w:rsid w:val="2A80D37B"/>
    <w:rsid w:val="2B0B6FFD"/>
    <w:rsid w:val="2B19576B"/>
    <w:rsid w:val="2B52BC56"/>
    <w:rsid w:val="2B8329E2"/>
    <w:rsid w:val="2BF90ECF"/>
    <w:rsid w:val="2C2BD663"/>
    <w:rsid w:val="2CB9A528"/>
    <w:rsid w:val="2CC3FF28"/>
    <w:rsid w:val="2CD48351"/>
    <w:rsid w:val="2CD8EEF7"/>
    <w:rsid w:val="2D43739D"/>
    <w:rsid w:val="2D651EF7"/>
    <w:rsid w:val="2E54A2C8"/>
    <w:rsid w:val="2EC3E322"/>
    <w:rsid w:val="2ED61FB3"/>
    <w:rsid w:val="2F098769"/>
    <w:rsid w:val="2F6C5CAA"/>
    <w:rsid w:val="3071F014"/>
    <w:rsid w:val="3232D16C"/>
    <w:rsid w:val="32AB88FD"/>
    <w:rsid w:val="333F855B"/>
    <w:rsid w:val="34157C1E"/>
    <w:rsid w:val="3423E2AE"/>
    <w:rsid w:val="3440AC92"/>
    <w:rsid w:val="34D24A09"/>
    <w:rsid w:val="34D5BF13"/>
    <w:rsid w:val="359EE264"/>
    <w:rsid w:val="35BFB30F"/>
    <w:rsid w:val="36626881"/>
    <w:rsid w:val="3662F280"/>
    <w:rsid w:val="3663F3FF"/>
    <w:rsid w:val="37482EF6"/>
    <w:rsid w:val="380D5FD5"/>
    <w:rsid w:val="384923A0"/>
    <w:rsid w:val="38C0C9F8"/>
    <w:rsid w:val="38FCF005"/>
    <w:rsid w:val="390A596B"/>
    <w:rsid w:val="39A890C3"/>
    <w:rsid w:val="3ACE29D4"/>
    <w:rsid w:val="3B11700B"/>
    <w:rsid w:val="3B69241F"/>
    <w:rsid w:val="3B80C462"/>
    <w:rsid w:val="3BD3B891"/>
    <w:rsid w:val="3C3D067A"/>
    <w:rsid w:val="3D78F09E"/>
    <w:rsid w:val="3DAADCAD"/>
    <w:rsid w:val="3DE1BC05"/>
    <w:rsid w:val="3E7083F2"/>
    <w:rsid w:val="3E7E8A9B"/>
    <w:rsid w:val="3EAD2BAB"/>
    <w:rsid w:val="3EBAA074"/>
    <w:rsid w:val="3F278779"/>
    <w:rsid w:val="3FB58E0C"/>
    <w:rsid w:val="3FF8A1ED"/>
    <w:rsid w:val="3FFAE705"/>
    <w:rsid w:val="401A10C9"/>
    <w:rsid w:val="4078EE21"/>
    <w:rsid w:val="4087D675"/>
    <w:rsid w:val="40900164"/>
    <w:rsid w:val="41156B50"/>
    <w:rsid w:val="4194724E"/>
    <w:rsid w:val="4198C2D1"/>
    <w:rsid w:val="422BD1C5"/>
    <w:rsid w:val="42334094"/>
    <w:rsid w:val="42446D42"/>
    <w:rsid w:val="42D9D136"/>
    <w:rsid w:val="42EB174C"/>
    <w:rsid w:val="43F52244"/>
    <w:rsid w:val="4437DB89"/>
    <w:rsid w:val="451A0E7F"/>
    <w:rsid w:val="455F31A4"/>
    <w:rsid w:val="455F6FE1"/>
    <w:rsid w:val="45B578AC"/>
    <w:rsid w:val="462534EC"/>
    <w:rsid w:val="4672C943"/>
    <w:rsid w:val="46C781BC"/>
    <w:rsid w:val="47863322"/>
    <w:rsid w:val="478C9A5A"/>
    <w:rsid w:val="47D94BE0"/>
    <w:rsid w:val="488495CA"/>
    <w:rsid w:val="488B9E86"/>
    <w:rsid w:val="48AC6430"/>
    <w:rsid w:val="495D4620"/>
    <w:rsid w:val="4985C9B0"/>
    <w:rsid w:val="49C70EB5"/>
    <w:rsid w:val="49E34C32"/>
    <w:rsid w:val="49FF73BA"/>
    <w:rsid w:val="4A030551"/>
    <w:rsid w:val="4A72F0D6"/>
    <w:rsid w:val="4AA716B0"/>
    <w:rsid w:val="4ABAE6B4"/>
    <w:rsid w:val="4ABC4D96"/>
    <w:rsid w:val="4B47B8A2"/>
    <w:rsid w:val="4B6311E7"/>
    <w:rsid w:val="4B708E18"/>
    <w:rsid w:val="4B788B32"/>
    <w:rsid w:val="4BB01089"/>
    <w:rsid w:val="4BE45B83"/>
    <w:rsid w:val="4C4D6792"/>
    <w:rsid w:val="4C600B7D"/>
    <w:rsid w:val="4C961F7D"/>
    <w:rsid w:val="4CF9BEE6"/>
    <w:rsid w:val="4D0C5E79"/>
    <w:rsid w:val="4D82DC2D"/>
    <w:rsid w:val="4DD110C7"/>
    <w:rsid w:val="4DDDC30B"/>
    <w:rsid w:val="4DF809C0"/>
    <w:rsid w:val="4E664273"/>
    <w:rsid w:val="507FA970"/>
    <w:rsid w:val="509C4764"/>
    <w:rsid w:val="50BF9571"/>
    <w:rsid w:val="512B54AE"/>
    <w:rsid w:val="51C1E01F"/>
    <w:rsid w:val="51D2536B"/>
    <w:rsid w:val="520C95D9"/>
    <w:rsid w:val="52258FD9"/>
    <w:rsid w:val="52699439"/>
    <w:rsid w:val="52EEB32A"/>
    <w:rsid w:val="535E817D"/>
    <w:rsid w:val="539938A5"/>
    <w:rsid w:val="53C0274D"/>
    <w:rsid w:val="53C072FD"/>
    <w:rsid w:val="53E68189"/>
    <w:rsid w:val="54880905"/>
    <w:rsid w:val="55350906"/>
    <w:rsid w:val="557FD770"/>
    <w:rsid w:val="55B69522"/>
    <w:rsid w:val="560496C7"/>
    <w:rsid w:val="5638DBD8"/>
    <w:rsid w:val="56469FDA"/>
    <w:rsid w:val="56577C2E"/>
    <w:rsid w:val="569627E6"/>
    <w:rsid w:val="5713766E"/>
    <w:rsid w:val="5714D5C1"/>
    <w:rsid w:val="57152949"/>
    <w:rsid w:val="5783C60D"/>
    <w:rsid w:val="57A2BE24"/>
    <w:rsid w:val="583F97DD"/>
    <w:rsid w:val="58756B34"/>
    <w:rsid w:val="587D58BA"/>
    <w:rsid w:val="587DF137"/>
    <w:rsid w:val="58929D05"/>
    <w:rsid w:val="5908C7D5"/>
    <w:rsid w:val="59711BAD"/>
    <w:rsid w:val="59BF281F"/>
    <w:rsid w:val="59D4DE42"/>
    <w:rsid w:val="5A2A083B"/>
    <w:rsid w:val="5ADA5EE6"/>
    <w:rsid w:val="5B04FE88"/>
    <w:rsid w:val="5B3ACB50"/>
    <w:rsid w:val="5B3E7860"/>
    <w:rsid w:val="5B518BBB"/>
    <w:rsid w:val="5B8231E8"/>
    <w:rsid w:val="5C82421C"/>
    <w:rsid w:val="5CD73A59"/>
    <w:rsid w:val="5D0D2C19"/>
    <w:rsid w:val="5D48DC57"/>
    <w:rsid w:val="5D50C9DD"/>
    <w:rsid w:val="5D82B7F2"/>
    <w:rsid w:val="5E08E620"/>
    <w:rsid w:val="5E34CA68"/>
    <w:rsid w:val="5E60D88D"/>
    <w:rsid w:val="605EC621"/>
    <w:rsid w:val="60BA58B4"/>
    <w:rsid w:val="60C79E30"/>
    <w:rsid w:val="61EBC423"/>
    <w:rsid w:val="620B12A3"/>
    <w:rsid w:val="6243174B"/>
    <w:rsid w:val="624E19D6"/>
    <w:rsid w:val="62B1FF83"/>
    <w:rsid w:val="63105F14"/>
    <w:rsid w:val="632D7E58"/>
    <w:rsid w:val="633D70EA"/>
    <w:rsid w:val="6459CD58"/>
    <w:rsid w:val="647D5107"/>
    <w:rsid w:val="64C30413"/>
    <w:rsid w:val="64EA4BF8"/>
    <w:rsid w:val="64F2442C"/>
    <w:rsid w:val="6512D21E"/>
    <w:rsid w:val="65329B0E"/>
    <w:rsid w:val="65806211"/>
    <w:rsid w:val="65BA20F6"/>
    <w:rsid w:val="6613A625"/>
    <w:rsid w:val="668AD8AE"/>
    <w:rsid w:val="67DE142B"/>
    <w:rsid w:val="6800F9E8"/>
    <w:rsid w:val="6868E515"/>
    <w:rsid w:val="68765818"/>
    <w:rsid w:val="69EAF788"/>
    <w:rsid w:val="6A2F4CE5"/>
    <w:rsid w:val="6A48129D"/>
    <w:rsid w:val="6AC7CD32"/>
    <w:rsid w:val="6B09E77B"/>
    <w:rsid w:val="6B3D886B"/>
    <w:rsid w:val="6BC25BDA"/>
    <w:rsid w:val="6BDBEE49"/>
    <w:rsid w:val="6BEB0BB0"/>
    <w:rsid w:val="6C45D3E4"/>
    <w:rsid w:val="6CB0F6CB"/>
    <w:rsid w:val="6CF16F12"/>
    <w:rsid w:val="6D169506"/>
    <w:rsid w:val="6D5E2C3B"/>
    <w:rsid w:val="6D7FB35F"/>
    <w:rsid w:val="6D918D49"/>
    <w:rsid w:val="6DA57880"/>
    <w:rsid w:val="6E0E1A99"/>
    <w:rsid w:val="6E1D419C"/>
    <w:rsid w:val="6E4CFC9B"/>
    <w:rsid w:val="6E782DF9"/>
    <w:rsid w:val="6F1FEFD9"/>
    <w:rsid w:val="6F50012C"/>
    <w:rsid w:val="70E05432"/>
    <w:rsid w:val="7108E392"/>
    <w:rsid w:val="719905DD"/>
    <w:rsid w:val="71AA1361"/>
    <w:rsid w:val="71F3F4A4"/>
    <w:rsid w:val="726F6D86"/>
    <w:rsid w:val="72F93458"/>
    <w:rsid w:val="74553629"/>
    <w:rsid w:val="74679BEC"/>
    <w:rsid w:val="7483D800"/>
    <w:rsid w:val="751A15BE"/>
    <w:rsid w:val="752C33BC"/>
    <w:rsid w:val="75437229"/>
    <w:rsid w:val="757C892D"/>
    <w:rsid w:val="75B0F048"/>
    <w:rsid w:val="760894C1"/>
    <w:rsid w:val="76B2242E"/>
    <w:rsid w:val="7718E651"/>
    <w:rsid w:val="7773AE8E"/>
    <w:rsid w:val="7784210D"/>
    <w:rsid w:val="77E86A83"/>
    <w:rsid w:val="77EE971D"/>
    <w:rsid w:val="78ADEDD6"/>
    <w:rsid w:val="78AE5538"/>
    <w:rsid w:val="795F9BD7"/>
    <w:rsid w:val="79771127"/>
    <w:rsid w:val="7A49BE37"/>
    <w:rsid w:val="7A5740B7"/>
    <w:rsid w:val="7AF2F76F"/>
    <w:rsid w:val="7B2B582D"/>
    <w:rsid w:val="7B98FE95"/>
    <w:rsid w:val="7BE58E98"/>
    <w:rsid w:val="7C9779D0"/>
    <w:rsid w:val="7CBBDBA6"/>
    <w:rsid w:val="7D1FF772"/>
    <w:rsid w:val="7DF3E99F"/>
    <w:rsid w:val="7E6B66FF"/>
    <w:rsid w:val="7E90E11C"/>
    <w:rsid w:val="7FB18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637F9"/>
  <w15:chartTrackingRefBased/>
  <w15:docId w15:val="{5A9734E6-1786-4482-94F1-EF1A7BC6AC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735F7"/>
    <w:pPr>
      <w:jc w:val="both"/>
    </w:pPr>
    <w:rPr>
      <w:rFonts w:ascii="Times New Roman" w:hAnsi="Times New Roman" w:eastAsia="SimSun"/>
      <w:kern w:val="0"/>
      <w14:ligatures w14:val="none"/>
    </w:rPr>
  </w:style>
  <w:style w:type="paragraph" w:styleId="Titre2">
    <w:name w:val="heading 2"/>
    <w:basedOn w:val="Normal"/>
    <w:next w:val="Normal"/>
    <w:link w:val="Titre2Car"/>
    <w:uiPriority w:val="9"/>
    <w:semiHidden/>
    <w:unhideWhenUsed/>
    <w:qFormat/>
    <w:rsid w:val="00E722C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Titre3">
    <w:name w:val="heading 3"/>
    <w:basedOn w:val="Normal"/>
    <w:next w:val="Normal"/>
    <w:link w:val="Titre3Car"/>
    <w:uiPriority w:val="9"/>
    <w:unhideWhenUsed/>
    <w:qFormat/>
    <w:rsid w:val="00B9797A"/>
    <w:pPr>
      <w:keepNext/>
      <w:keepLines/>
      <w:spacing w:before="160" w:after="120"/>
      <w:outlineLvl w:val="2"/>
    </w:pPr>
    <w:rPr>
      <w:rFonts w:ascii="Arial" w:hAnsi="Arial" w:eastAsiaTheme="majorEastAsia" w:cstheme="majorBidi"/>
      <w:i/>
      <w:sz w:val="24"/>
      <w:szCs w:val="24"/>
      <w:u w:val="single"/>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007D7767"/>
    <w:pPr>
      <w:ind w:left="720"/>
      <w:contextualSpacing/>
    </w:pPr>
  </w:style>
  <w:style w:type="character" w:styleId="Marquedecommentaire">
    <w:name w:val="annotation reference"/>
    <w:basedOn w:val="Policepardfaut"/>
    <w:uiPriority w:val="99"/>
    <w:semiHidden/>
    <w:unhideWhenUsed/>
    <w:rsid w:val="009F6120"/>
    <w:rPr>
      <w:sz w:val="16"/>
      <w:szCs w:val="16"/>
    </w:rPr>
  </w:style>
  <w:style w:type="paragraph" w:styleId="Commentaire">
    <w:name w:val="annotation text"/>
    <w:basedOn w:val="Normal"/>
    <w:link w:val="CommentaireCar"/>
    <w:uiPriority w:val="99"/>
    <w:unhideWhenUsed/>
    <w:rsid w:val="009F6120"/>
    <w:pPr>
      <w:spacing w:line="240" w:lineRule="auto"/>
    </w:pPr>
    <w:rPr>
      <w:sz w:val="20"/>
      <w:szCs w:val="20"/>
    </w:rPr>
  </w:style>
  <w:style w:type="character" w:styleId="CommentaireCar" w:customStyle="1">
    <w:name w:val="Commentaire Car"/>
    <w:basedOn w:val="Policepardfaut"/>
    <w:link w:val="Commentaire"/>
    <w:uiPriority w:val="99"/>
    <w:rsid w:val="009F6120"/>
    <w:rPr>
      <w:rFonts w:ascii="Times New Roman" w:hAnsi="Times New Roman" w:eastAsia="SimSu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9F6120"/>
    <w:rPr>
      <w:b/>
      <w:bCs/>
    </w:rPr>
  </w:style>
  <w:style w:type="character" w:styleId="ObjetducommentaireCar" w:customStyle="1">
    <w:name w:val="Objet du commentaire Car"/>
    <w:basedOn w:val="CommentaireCar"/>
    <w:link w:val="Objetducommentaire"/>
    <w:uiPriority w:val="99"/>
    <w:semiHidden/>
    <w:rsid w:val="009F6120"/>
    <w:rPr>
      <w:rFonts w:ascii="Times New Roman" w:hAnsi="Times New Roman" w:eastAsia="SimSun"/>
      <w:b/>
      <w:bCs/>
      <w:kern w:val="0"/>
      <w:sz w:val="20"/>
      <w:szCs w:val="20"/>
      <w14:ligatures w14:val="none"/>
    </w:rPr>
  </w:style>
  <w:style w:type="character" w:styleId="Titre3Car" w:customStyle="1">
    <w:name w:val="Titre 3 Car"/>
    <w:basedOn w:val="Policepardfaut"/>
    <w:link w:val="Titre3"/>
    <w:uiPriority w:val="9"/>
    <w:rsid w:val="00B9797A"/>
    <w:rPr>
      <w:rFonts w:ascii="Arial" w:hAnsi="Arial" w:eastAsiaTheme="majorEastAsia" w:cstheme="majorBidi"/>
      <w:i/>
      <w:kern w:val="0"/>
      <w:sz w:val="24"/>
      <w:szCs w:val="24"/>
      <w:u w:val="single"/>
      <w14:ligatures w14:val="none"/>
    </w:rPr>
  </w:style>
  <w:style w:type="character" w:styleId="Titre2Car" w:customStyle="1">
    <w:name w:val="Titre 2 Car"/>
    <w:basedOn w:val="Policepardfaut"/>
    <w:link w:val="Titre2"/>
    <w:uiPriority w:val="9"/>
    <w:semiHidden/>
    <w:rsid w:val="00E722C6"/>
    <w:rPr>
      <w:rFonts w:asciiTheme="majorHAnsi" w:hAnsiTheme="majorHAnsi" w:eastAsiaTheme="majorEastAsia" w:cstheme="majorBidi"/>
      <w:color w:val="2F5496" w:themeColor="accent1" w:themeShade="BF"/>
      <w:kern w:val="0"/>
      <w:sz w:val="26"/>
      <w:szCs w:val="26"/>
      <w14:ligatures w14:val="none"/>
    </w:rPr>
  </w:style>
  <w:style w:type="character" w:styleId="Lienhypertexte">
    <w:name w:val="Hyperlink"/>
    <w:basedOn w:val="Policepardfaut"/>
    <w:uiPriority w:val="99"/>
    <w:unhideWhenUsed/>
    <w:rsid w:val="006C0980"/>
    <w:rPr>
      <w:color w:val="0000FF"/>
      <w:u w:val="single"/>
    </w:rPr>
  </w:style>
  <w:style w:type="character" w:styleId="Lienhypertextesuivivisit">
    <w:name w:val="FollowedHyperlink"/>
    <w:basedOn w:val="Policepardfaut"/>
    <w:uiPriority w:val="99"/>
    <w:semiHidden/>
    <w:unhideWhenUsed/>
    <w:rsid w:val="004576F2"/>
    <w:rPr>
      <w:color w:val="954F72" w:themeColor="followedHyperlink"/>
      <w:u w:val="single"/>
    </w:rPr>
  </w:style>
  <w:style w:type="paragraph" w:styleId="En-tte">
    <w:name w:val="header"/>
    <w:basedOn w:val="Normal"/>
    <w:link w:val="En-tteCar"/>
    <w:uiPriority w:val="99"/>
    <w:unhideWhenUsed/>
    <w:rsid w:val="00007CA8"/>
    <w:pPr>
      <w:tabs>
        <w:tab w:val="center" w:pos="4536"/>
        <w:tab w:val="right" w:pos="9072"/>
      </w:tabs>
      <w:spacing w:after="0" w:line="240" w:lineRule="auto"/>
    </w:pPr>
  </w:style>
  <w:style w:type="character" w:styleId="En-tteCar" w:customStyle="1">
    <w:name w:val="En-tête Car"/>
    <w:basedOn w:val="Policepardfaut"/>
    <w:link w:val="En-tte"/>
    <w:uiPriority w:val="99"/>
    <w:rsid w:val="00007CA8"/>
    <w:rPr>
      <w:rFonts w:ascii="Times New Roman" w:hAnsi="Times New Roman" w:eastAsia="SimSun"/>
      <w:kern w:val="0"/>
      <w14:ligatures w14:val="none"/>
    </w:rPr>
  </w:style>
  <w:style w:type="paragraph" w:styleId="Pieddepage">
    <w:name w:val="footer"/>
    <w:basedOn w:val="Normal"/>
    <w:link w:val="PieddepageCar"/>
    <w:uiPriority w:val="99"/>
    <w:unhideWhenUsed/>
    <w:rsid w:val="00007CA8"/>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007CA8"/>
    <w:rPr>
      <w:rFonts w:ascii="Times New Roman" w:hAnsi="Times New Roman" w:eastAsia="SimSun"/>
      <w:kern w:val="0"/>
      <w14:ligatures w14:val="none"/>
    </w:rPr>
  </w:style>
  <w:style w:type="character" w:styleId="Numrodeligne">
    <w:name w:val="line number"/>
    <w:basedOn w:val="Policepardfaut"/>
    <w:uiPriority w:val="99"/>
    <w:semiHidden/>
    <w:unhideWhenUsed/>
    <w:rsid w:val="00007CA8"/>
  </w:style>
  <w:style w:type="paragraph" w:styleId="Bibliographie">
    <w:name w:val="Bibliography"/>
    <w:basedOn w:val="Normal"/>
    <w:next w:val="Normal"/>
    <w:uiPriority w:val="37"/>
    <w:unhideWhenUsed/>
    <w:rsid w:val="00967902"/>
    <w:pPr>
      <w:tabs>
        <w:tab w:val="left" w:pos="264"/>
      </w:tabs>
      <w:spacing w:after="240" w:line="240" w:lineRule="auto"/>
      <w:ind w:left="264" w:hanging="264"/>
    </w:pPr>
  </w:style>
  <w:style w:type="paragraph" w:styleId="Rvision">
    <w:name w:val="Revision"/>
    <w:hidden/>
    <w:uiPriority w:val="99"/>
    <w:semiHidden/>
    <w:rsid w:val="00694282"/>
    <w:pPr>
      <w:spacing w:after="0" w:line="240" w:lineRule="auto"/>
    </w:pPr>
    <w:rPr>
      <w:rFonts w:ascii="Times New Roman" w:hAnsi="Times New Roman" w:eastAsia="SimSun"/>
      <w:kern w:val="0"/>
      <w14:ligatures w14:val="none"/>
    </w:rPr>
  </w:style>
  <w:style w:type="character" w:styleId="Mentionnonrsolue">
    <w:name w:val="Unresolved Mention"/>
    <w:basedOn w:val="Policepardfaut"/>
    <w:uiPriority w:val="99"/>
    <w:semiHidden/>
    <w:unhideWhenUsed/>
    <w:rsid w:val="0015220E"/>
    <w:rPr>
      <w:color w:val="605E5C"/>
      <w:shd w:val="clear" w:color="auto" w:fill="E1DFDD"/>
    </w:rPr>
  </w:style>
  <w:style w:type="character" w:styleId="cf01" w:customStyle="1">
    <w:name w:val="cf01"/>
    <w:basedOn w:val="Policepardfaut"/>
    <w:rsid w:val="00D415D2"/>
    <w:rPr>
      <w:rFonts w:hint="default" w:ascii="Segoe UI" w:hAnsi="Segoe UI" w:cs="Segoe UI"/>
      <w:sz w:val="18"/>
      <w:szCs w:val="18"/>
    </w:rPr>
  </w:style>
  <w:style w:type="paragraph" w:styleId="Textedebulles">
    <w:name w:val="Balloon Text"/>
    <w:basedOn w:val="Normal"/>
    <w:link w:val="TextedebullesCar"/>
    <w:uiPriority w:val="99"/>
    <w:semiHidden/>
    <w:unhideWhenUsed/>
    <w:rsid w:val="00FE3500"/>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FE3500"/>
    <w:rPr>
      <w:rFonts w:ascii="Segoe UI" w:hAnsi="Segoe UI" w:eastAsia="SimSun" w:cs="Segoe UI"/>
      <w:kern w:val="0"/>
      <w:sz w:val="18"/>
      <w:szCs w:val="18"/>
      <w14:ligatures w14:val="none"/>
    </w:rPr>
  </w:style>
  <w:style w:type="paragraph" w:styleId="NormalWeb">
    <w:name w:val="Normal (Web)"/>
    <w:basedOn w:val="Normal"/>
    <w:uiPriority w:val="99"/>
    <w:semiHidden/>
    <w:unhideWhenUsed/>
    <w:rsid w:val="0027398D"/>
    <w:pPr>
      <w:spacing w:before="100" w:beforeAutospacing="1" w:after="100" w:afterAutospacing="1" w:line="240" w:lineRule="auto"/>
      <w:jc w:val="left"/>
    </w:pPr>
    <w:rPr>
      <w:rFonts w:eastAsia="Times New Roman" w:cs="Times New Roman"/>
      <w:sz w:val="24"/>
      <w:szCs w:val="24"/>
      <w:lang w:val="fr-FR" w:eastAsia="fr-FR"/>
    </w:rPr>
  </w:style>
  <w:style w:type="character" w:styleId="lev">
    <w:name w:val="Strong"/>
    <w:basedOn w:val="Policepardfaut"/>
    <w:uiPriority w:val="22"/>
    <w:qFormat/>
    <w:rsid w:val="002739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1564">
      <w:bodyDiv w:val="1"/>
      <w:marLeft w:val="0"/>
      <w:marRight w:val="0"/>
      <w:marTop w:val="0"/>
      <w:marBottom w:val="0"/>
      <w:divBdr>
        <w:top w:val="none" w:sz="0" w:space="0" w:color="auto"/>
        <w:left w:val="none" w:sz="0" w:space="0" w:color="auto"/>
        <w:bottom w:val="none" w:sz="0" w:space="0" w:color="auto"/>
        <w:right w:val="none" w:sz="0" w:space="0" w:color="auto"/>
      </w:divBdr>
      <w:divsChild>
        <w:div w:id="1364861484">
          <w:marLeft w:val="0"/>
          <w:marRight w:val="0"/>
          <w:marTop w:val="0"/>
          <w:marBottom w:val="0"/>
          <w:divBdr>
            <w:top w:val="none" w:sz="0" w:space="0" w:color="auto"/>
            <w:left w:val="none" w:sz="0" w:space="0" w:color="auto"/>
            <w:bottom w:val="none" w:sz="0" w:space="0" w:color="auto"/>
            <w:right w:val="none" w:sz="0" w:space="0" w:color="auto"/>
          </w:divBdr>
        </w:div>
      </w:divsChild>
    </w:div>
    <w:div w:id="26486505">
      <w:bodyDiv w:val="1"/>
      <w:marLeft w:val="0"/>
      <w:marRight w:val="0"/>
      <w:marTop w:val="0"/>
      <w:marBottom w:val="0"/>
      <w:divBdr>
        <w:top w:val="none" w:sz="0" w:space="0" w:color="auto"/>
        <w:left w:val="none" w:sz="0" w:space="0" w:color="auto"/>
        <w:bottom w:val="none" w:sz="0" w:space="0" w:color="auto"/>
        <w:right w:val="none" w:sz="0" w:space="0" w:color="auto"/>
      </w:divBdr>
      <w:divsChild>
        <w:div w:id="1270434411">
          <w:marLeft w:val="0"/>
          <w:marRight w:val="0"/>
          <w:marTop w:val="0"/>
          <w:marBottom w:val="0"/>
          <w:divBdr>
            <w:top w:val="none" w:sz="0" w:space="0" w:color="auto"/>
            <w:left w:val="none" w:sz="0" w:space="0" w:color="auto"/>
            <w:bottom w:val="none" w:sz="0" w:space="0" w:color="auto"/>
            <w:right w:val="none" w:sz="0" w:space="0" w:color="auto"/>
          </w:divBdr>
        </w:div>
      </w:divsChild>
    </w:div>
    <w:div w:id="177892666">
      <w:bodyDiv w:val="1"/>
      <w:marLeft w:val="0"/>
      <w:marRight w:val="0"/>
      <w:marTop w:val="0"/>
      <w:marBottom w:val="0"/>
      <w:divBdr>
        <w:top w:val="none" w:sz="0" w:space="0" w:color="auto"/>
        <w:left w:val="none" w:sz="0" w:space="0" w:color="auto"/>
        <w:bottom w:val="none" w:sz="0" w:space="0" w:color="auto"/>
        <w:right w:val="none" w:sz="0" w:space="0" w:color="auto"/>
      </w:divBdr>
      <w:divsChild>
        <w:div w:id="88082589">
          <w:marLeft w:val="0"/>
          <w:marRight w:val="0"/>
          <w:marTop w:val="0"/>
          <w:marBottom w:val="0"/>
          <w:divBdr>
            <w:top w:val="none" w:sz="0" w:space="0" w:color="auto"/>
            <w:left w:val="none" w:sz="0" w:space="0" w:color="auto"/>
            <w:bottom w:val="none" w:sz="0" w:space="0" w:color="auto"/>
            <w:right w:val="none" w:sz="0" w:space="0" w:color="auto"/>
          </w:divBdr>
          <w:divsChild>
            <w:div w:id="696661126">
              <w:marLeft w:val="0"/>
              <w:marRight w:val="0"/>
              <w:marTop w:val="0"/>
              <w:marBottom w:val="0"/>
              <w:divBdr>
                <w:top w:val="none" w:sz="0" w:space="0" w:color="auto"/>
                <w:left w:val="none" w:sz="0" w:space="0" w:color="auto"/>
                <w:bottom w:val="none" w:sz="0" w:space="0" w:color="auto"/>
                <w:right w:val="none" w:sz="0" w:space="0" w:color="auto"/>
              </w:divBdr>
              <w:divsChild>
                <w:div w:id="103392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127017">
      <w:bodyDiv w:val="1"/>
      <w:marLeft w:val="0"/>
      <w:marRight w:val="0"/>
      <w:marTop w:val="0"/>
      <w:marBottom w:val="0"/>
      <w:divBdr>
        <w:top w:val="none" w:sz="0" w:space="0" w:color="auto"/>
        <w:left w:val="none" w:sz="0" w:space="0" w:color="auto"/>
        <w:bottom w:val="none" w:sz="0" w:space="0" w:color="auto"/>
        <w:right w:val="none" w:sz="0" w:space="0" w:color="auto"/>
      </w:divBdr>
    </w:div>
    <w:div w:id="902521020">
      <w:bodyDiv w:val="1"/>
      <w:marLeft w:val="0"/>
      <w:marRight w:val="0"/>
      <w:marTop w:val="0"/>
      <w:marBottom w:val="0"/>
      <w:divBdr>
        <w:top w:val="none" w:sz="0" w:space="0" w:color="auto"/>
        <w:left w:val="none" w:sz="0" w:space="0" w:color="auto"/>
        <w:bottom w:val="none" w:sz="0" w:space="0" w:color="auto"/>
        <w:right w:val="none" w:sz="0" w:space="0" w:color="auto"/>
      </w:divBdr>
      <w:divsChild>
        <w:div w:id="818768921">
          <w:marLeft w:val="0"/>
          <w:marRight w:val="0"/>
          <w:marTop w:val="0"/>
          <w:marBottom w:val="0"/>
          <w:divBdr>
            <w:top w:val="none" w:sz="0" w:space="0" w:color="auto"/>
            <w:left w:val="none" w:sz="0" w:space="0" w:color="auto"/>
            <w:bottom w:val="none" w:sz="0" w:space="0" w:color="auto"/>
            <w:right w:val="none" w:sz="0" w:space="0" w:color="auto"/>
          </w:divBdr>
          <w:divsChild>
            <w:div w:id="1534615787">
              <w:marLeft w:val="0"/>
              <w:marRight w:val="0"/>
              <w:marTop w:val="0"/>
              <w:marBottom w:val="0"/>
              <w:divBdr>
                <w:top w:val="none" w:sz="0" w:space="0" w:color="auto"/>
                <w:left w:val="none" w:sz="0" w:space="0" w:color="auto"/>
                <w:bottom w:val="none" w:sz="0" w:space="0" w:color="auto"/>
                <w:right w:val="none" w:sz="0" w:space="0" w:color="auto"/>
              </w:divBdr>
              <w:divsChild>
                <w:div w:id="20321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370409">
      <w:bodyDiv w:val="1"/>
      <w:marLeft w:val="0"/>
      <w:marRight w:val="0"/>
      <w:marTop w:val="0"/>
      <w:marBottom w:val="0"/>
      <w:divBdr>
        <w:top w:val="none" w:sz="0" w:space="0" w:color="auto"/>
        <w:left w:val="none" w:sz="0" w:space="0" w:color="auto"/>
        <w:bottom w:val="none" w:sz="0" w:space="0" w:color="auto"/>
        <w:right w:val="none" w:sz="0" w:space="0" w:color="auto"/>
      </w:divBdr>
      <w:divsChild>
        <w:div w:id="668018589">
          <w:marLeft w:val="0"/>
          <w:marRight w:val="0"/>
          <w:marTop w:val="0"/>
          <w:marBottom w:val="0"/>
          <w:divBdr>
            <w:top w:val="none" w:sz="0" w:space="0" w:color="auto"/>
            <w:left w:val="none" w:sz="0" w:space="0" w:color="auto"/>
            <w:bottom w:val="none" w:sz="0" w:space="0" w:color="auto"/>
            <w:right w:val="none" w:sz="0" w:space="0" w:color="auto"/>
          </w:divBdr>
        </w:div>
      </w:divsChild>
    </w:div>
    <w:div w:id="1421606964">
      <w:bodyDiv w:val="1"/>
      <w:marLeft w:val="0"/>
      <w:marRight w:val="0"/>
      <w:marTop w:val="0"/>
      <w:marBottom w:val="0"/>
      <w:divBdr>
        <w:top w:val="none" w:sz="0" w:space="0" w:color="auto"/>
        <w:left w:val="none" w:sz="0" w:space="0" w:color="auto"/>
        <w:bottom w:val="none" w:sz="0" w:space="0" w:color="auto"/>
        <w:right w:val="none" w:sz="0" w:space="0" w:color="auto"/>
      </w:divBdr>
    </w:div>
    <w:div w:id="1781485464">
      <w:bodyDiv w:val="1"/>
      <w:marLeft w:val="0"/>
      <w:marRight w:val="0"/>
      <w:marTop w:val="0"/>
      <w:marBottom w:val="0"/>
      <w:divBdr>
        <w:top w:val="none" w:sz="0" w:space="0" w:color="auto"/>
        <w:left w:val="none" w:sz="0" w:space="0" w:color="auto"/>
        <w:bottom w:val="none" w:sz="0" w:space="0" w:color="auto"/>
        <w:right w:val="none" w:sz="0" w:space="0" w:color="auto"/>
      </w:divBdr>
    </w:div>
    <w:div w:id="2029409973">
      <w:bodyDiv w:val="1"/>
      <w:marLeft w:val="0"/>
      <w:marRight w:val="0"/>
      <w:marTop w:val="0"/>
      <w:marBottom w:val="0"/>
      <w:divBdr>
        <w:top w:val="none" w:sz="0" w:space="0" w:color="auto"/>
        <w:left w:val="none" w:sz="0" w:space="0" w:color="auto"/>
        <w:bottom w:val="none" w:sz="0" w:space="0" w:color="auto"/>
        <w:right w:val="none" w:sz="0" w:space="0" w:color="auto"/>
      </w:divBdr>
      <w:divsChild>
        <w:div w:id="1403066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mbrugel@ch-cotebasque.fr" TargetMode="External" Id="rId8" /><Relationship Type="http://schemas.openxmlformats.org/officeDocument/2006/relationships/hyperlink" Target="https://www.insee.fr/fr/statistiques?theme=0"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data.gouv.fr/fr/datasets/laccessibilite-potentielle-localisee-apl/" TargetMode="External" Id="rId12" /><Relationship Type="http://schemas.microsoft.com/office/2020/10/relationships/intelligence" Target="intelligence2.xml" Id="rId1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geo.data.gouv.fr/fr/datasets/ab7b98e64641dc70759b720b954306eba11fc302" TargetMode="Externa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yperlink" Target="https://geo.data.gouv.fr/fr/datasets/bdc2c6f21f70acccfea73445f68a5f0d6ee5b7c1" TargetMode="Externa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fontTable" Target="fontTable.xml" Id="rId14" /><Relationship Type="http://schemas.openxmlformats.org/officeDocument/2006/relationships/image" Target="/media/image.jpg" Id="R8033f519ec8e49c5" /><Relationship Type="http://schemas.openxmlformats.org/officeDocument/2006/relationships/image" Target="/media/image2.jpg" Id="Rdd2c03963a3c4858" /><Relationship Type="http://schemas.openxmlformats.org/officeDocument/2006/relationships/image" Target="/media/image3.jpg" Id="R9f4436237bba46b7" /><Relationship Type="http://schemas.openxmlformats.org/officeDocument/2006/relationships/image" Target="/media/image.png" Id="R53642458ee05456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A674E-37C7-40F1-B62F-2F59E75141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Mathias Brugel</dc:creator>
  <keywords/>
  <dc:description/>
  <lastModifiedBy>Blangiardo, Marta A G</lastModifiedBy>
  <revision>4</revision>
  <dcterms:created xsi:type="dcterms:W3CDTF">2024-10-30T08:38:00.0000000Z</dcterms:created>
  <dcterms:modified xsi:type="dcterms:W3CDTF">2024-12-05T17:27:51.6004468Z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id="4vSuxDHi"/&gt;&lt;style id="http://www.zotero.org/styles/the-lancet" hasBibliography="1" bibliographyStyleHasBeenSet="1"/&gt;&lt;prefs&gt;&lt;pref name="fieldType" value="Field"/&gt;&lt;pref name="automaticJournalAbbrev</vt:lpwstr>
  </property>
  <property fmtid="{D5CDD505-2E9C-101B-9397-08002B2CF9AE}" pid="3" name="ZOTERO_PREF_2">
    <vt:lpwstr>iations" value="true"/&gt;&lt;/prefs&gt;&lt;/data&gt;</vt:lpwstr>
  </property>
  <property fmtid="{D5CDD505-2E9C-101B-9397-08002B2CF9AE}" pid="4" name="GrammarlyDocumentId">
    <vt:lpwstr>025f57be674d240018d3b05d2ba314e7c061bf8c997c7d85c6586211e232023d</vt:lpwstr>
  </property>
</Properties>
</file>