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6b2a709e2b1f48d3" Type="http://schemas.microsoft.com/office/2006/relationships/ui/extensibility" Target="customUI/customUI.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43D" w:rsidRPr="000B6432" w:rsidRDefault="00A6043D" w:rsidP="00A6043D">
      <w:pPr>
        <w:pStyle w:val="01PaperTitle"/>
      </w:pPr>
      <w:bookmarkStart w:id="0" w:name="_GoBack"/>
      <w:bookmarkEnd w:id="0"/>
      <w:r>
        <w:t>Silver-catalysed intramolecular hydroamination of alkynes with trichloroacetimidates</w:t>
      </w:r>
    </w:p>
    <w:p w:rsidR="00A6043D" w:rsidRPr="000B6432" w:rsidRDefault="00A6043D" w:rsidP="00A6043D">
      <w:pPr>
        <w:pStyle w:val="02PaperAuthors"/>
      </w:pPr>
      <w:r>
        <w:t>Valerie H. L. Wong,</w:t>
      </w:r>
      <w:r>
        <w:rPr>
          <w:i/>
          <w:vertAlign w:val="superscript"/>
        </w:rPr>
        <w:t>a,b</w:t>
      </w:r>
      <w:r>
        <w:t xml:space="preserve"> T. S. Andy Hor</w:t>
      </w:r>
      <w:r>
        <w:rPr>
          <w:i/>
          <w:vertAlign w:val="superscript"/>
        </w:rPr>
        <w:t>b</w:t>
      </w:r>
      <w:r>
        <w:t xml:space="preserve"> and King Kuok (Mimi) Hii</w:t>
      </w:r>
      <w:r>
        <w:rPr>
          <w:i/>
          <w:vertAlign w:val="superscript"/>
        </w:rPr>
        <w:t>a,</w:t>
      </w:r>
      <w:r w:rsidRPr="00343A27">
        <w:rPr>
          <w:i/>
        </w:rPr>
        <w:t>*</w:t>
      </w:r>
    </w:p>
    <w:p w:rsidR="009101D8" w:rsidRPr="000B6432" w:rsidRDefault="00336344" w:rsidP="009101D8">
      <w:pPr>
        <w:pStyle w:val="L1Receivedaccepteddates"/>
      </w:pPr>
      <w:r>
        <w:t xml:space="preserve">Received (in XXX, XXX) </w:t>
      </w:r>
      <w:r w:rsidR="00677018">
        <w:t>Xth</w:t>
      </w:r>
      <w:r>
        <w:t xml:space="preserve"> </w:t>
      </w:r>
      <w:r w:rsidR="00677018">
        <w:t>XXXXXXXXX</w:t>
      </w:r>
      <w:r>
        <w:t xml:space="preserve"> 20</w:t>
      </w:r>
      <w:r w:rsidR="00DD73E8">
        <w:t>X</w:t>
      </w:r>
      <w:r w:rsidR="00677018">
        <w:t>X</w:t>
      </w:r>
      <w:r>
        <w:t xml:space="preserve">, </w:t>
      </w:r>
      <w:r w:rsidR="00512302">
        <w:t>Accept</w:t>
      </w:r>
      <w:r>
        <w:t xml:space="preserve">ed </w:t>
      </w:r>
      <w:r w:rsidR="00677018">
        <w:t>Xth XXXXXXXXX 20</w:t>
      </w:r>
      <w:r w:rsidR="00DD73E8">
        <w:t>X</w:t>
      </w:r>
      <w:r w:rsidR="00677018">
        <w:t>X</w:t>
      </w:r>
    </w:p>
    <w:p w:rsidR="009101D8" w:rsidRDefault="009101D8" w:rsidP="009101D8">
      <w:pPr>
        <w:pStyle w:val="L2DOI"/>
      </w:pPr>
      <w:r w:rsidRPr="000B6432">
        <w:t>DOI: 10.1039/b</w:t>
      </w:r>
      <w:r w:rsidR="00336344">
        <w:t>000000x</w:t>
      </w:r>
    </w:p>
    <w:p w:rsidR="00F41228" w:rsidRDefault="00F41228" w:rsidP="003F4A2D">
      <w:pPr>
        <w:pStyle w:val="08ArticleText"/>
        <w:sectPr w:rsidR="00F41228" w:rsidSect="0090472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5593" w:code="123"/>
          <w:pgMar w:top="1021" w:right="907" w:bottom="1021" w:left="1077" w:header="227" w:footer="624" w:gutter="0"/>
          <w:lnNumType w:countBy="5" w:distance="57"/>
          <w:pgNumType w:start="1"/>
          <w:cols w:space="397"/>
          <w:titlePg/>
          <w:docGrid w:linePitch="360"/>
        </w:sectPr>
      </w:pPr>
    </w:p>
    <w:p w:rsidR="001B4549" w:rsidRPr="005654E1" w:rsidRDefault="00A6043D" w:rsidP="001B4549">
      <w:pPr>
        <w:pStyle w:val="03Abstract"/>
        <w:rPr>
          <w:b w:val="0"/>
        </w:rPr>
      </w:pPr>
      <w:proofErr w:type="gramStart"/>
      <w:r>
        <w:lastRenderedPageBreak/>
        <w:t>Silver(</w:t>
      </w:r>
      <w:proofErr w:type="gramEnd"/>
      <w:r>
        <w:t xml:space="preserve">I) complexes catalyse the intramolecular addition of trichloroacetimidate to alkyne. In the absence of a ligand, the selectivity of the reaction is dependent upon the nature of the counter-anion and solvent. The introduction of non-chelating </w:t>
      </w:r>
      <w:proofErr w:type="spellStart"/>
      <w:r>
        <w:t>nitrogeneous</w:t>
      </w:r>
      <w:proofErr w:type="spellEnd"/>
      <w:r>
        <w:t xml:space="preserve"> ligands suppresses competitive Brønsted acid catalysis, improving the yield and selectivity of the reaction</w:t>
      </w:r>
      <w:r w:rsidR="001B4549">
        <w:t>.</w:t>
      </w:r>
    </w:p>
    <w:p w:rsidR="00A6043D" w:rsidRDefault="00A6043D" w:rsidP="00B52C54">
      <w:pPr>
        <w:pStyle w:val="08ArticleText"/>
      </w:pPr>
      <w:r>
        <w:t>The intramolecular cyclisation of (homo</w:t>
      </w:r>
      <w:proofErr w:type="gramStart"/>
      <w:r>
        <w:t>)propargylic</w:t>
      </w:r>
      <w:proofErr w:type="gramEnd"/>
      <w:r>
        <w:t xml:space="preserve"> trichloroacetimidates </w:t>
      </w:r>
      <w:r w:rsidRPr="0011231F">
        <w:rPr>
          <w:b/>
        </w:rPr>
        <w:t>1</w:t>
      </w:r>
      <w:r>
        <w:t xml:space="preserve"> can occur </w:t>
      </w:r>
      <w:r w:rsidRPr="004B490F">
        <w:rPr>
          <w:i/>
        </w:rPr>
        <w:t>via</w:t>
      </w:r>
      <w:r>
        <w:t xml:space="preserve"> a hydroamination reaction to furnish heterocycles </w:t>
      </w:r>
      <w:r w:rsidRPr="00947714">
        <w:rPr>
          <w:b/>
        </w:rPr>
        <w:t>2</w:t>
      </w:r>
      <w:r w:rsidRPr="00D45A5A">
        <w:t>,</w:t>
      </w:r>
      <w:r>
        <w:t xml:space="preserve"> </w:t>
      </w:r>
      <w:r w:rsidRPr="00947714">
        <w:rPr>
          <w:b/>
        </w:rPr>
        <w:t>3</w:t>
      </w:r>
      <w:r>
        <w:rPr>
          <w:b/>
        </w:rPr>
        <w:t xml:space="preserve"> </w:t>
      </w:r>
      <w:r w:rsidRPr="004B58FC">
        <w:t>(n = 0)</w:t>
      </w:r>
      <w:r>
        <w:t xml:space="preserve"> or </w:t>
      </w:r>
      <w:r w:rsidRPr="004B58FC">
        <w:rPr>
          <w:b/>
        </w:rPr>
        <w:t>4</w:t>
      </w:r>
      <w:r>
        <w:t xml:space="preserve"> (n = 1)</w:t>
      </w:r>
      <w:r w:rsidRPr="00D45A5A">
        <w:t xml:space="preserve"> </w:t>
      </w:r>
      <w:r>
        <w:t>(Scheme 1). To date, only gold catalysts have been reported to be effective for these reactions: Shin and co-workers</w:t>
      </w:r>
      <w:r w:rsidRPr="006674F4">
        <w:rPr>
          <w:vertAlign w:val="superscript"/>
        </w:rPr>
        <w:t>1</w:t>
      </w:r>
      <w:r>
        <w:t xml:space="preserve"> were the first to report the use of a cationic phosphine-</w:t>
      </w:r>
      <w:proofErr w:type="gramStart"/>
      <w:r>
        <w:t>gold(</w:t>
      </w:r>
      <w:proofErr w:type="gramEnd"/>
      <w:r>
        <w:t xml:space="preserve">I) complex to effect the cyclisation of sixteen acyclic substrates to </w:t>
      </w:r>
      <w:r w:rsidRPr="002E025D">
        <w:rPr>
          <w:i/>
        </w:rPr>
        <w:t>exo</w:t>
      </w:r>
      <w:r>
        <w:t xml:space="preserve">-methylene-substituted heterocycles </w:t>
      </w:r>
      <w:r w:rsidRPr="00947714">
        <w:rPr>
          <w:b/>
        </w:rPr>
        <w:t>2</w:t>
      </w:r>
      <w:r>
        <w:t xml:space="preserve"> and </w:t>
      </w:r>
      <w:r w:rsidRPr="004B58FC">
        <w:rPr>
          <w:b/>
        </w:rPr>
        <w:t>4</w:t>
      </w:r>
      <w:r>
        <w:t xml:space="preserve"> with good to excellent yields.</w:t>
      </w:r>
      <w:r w:rsidRPr="00947714">
        <w:t xml:space="preserve"> </w:t>
      </w:r>
      <w:r>
        <w:t>In contrast, the catalytic activity of AuCl</w:t>
      </w:r>
      <w:r w:rsidRPr="00947714">
        <w:rPr>
          <w:vertAlign w:val="subscript"/>
        </w:rPr>
        <w:t>3</w:t>
      </w:r>
      <w:r>
        <w:t xml:space="preserve"> is limited to the cyclisation of just two substrates</w:t>
      </w:r>
      <w:proofErr w:type="gramStart"/>
      <w:r>
        <w:t>,</w:t>
      </w:r>
      <w:r w:rsidRPr="006674F4">
        <w:rPr>
          <w:vertAlign w:val="superscript"/>
        </w:rPr>
        <w:t>2</w:t>
      </w:r>
      <w:proofErr w:type="gramEnd"/>
      <w:r>
        <w:t xml:space="preserve"> proceeding </w:t>
      </w:r>
      <w:r w:rsidRPr="00D45A5A">
        <w:rPr>
          <w:i/>
        </w:rPr>
        <w:t>via</w:t>
      </w:r>
      <w:r>
        <w:t xml:space="preserve"> the </w:t>
      </w:r>
      <w:r w:rsidRPr="002E025D">
        <w:rPr>
          <w:i/>
        </w:rPr>
        <w:t>exo</w:t>
      </w:r>
      <w:r>
        <w:t xml:space="preserve">-methylene </w:t>
      </w:r>
      <w:r w:rsidRPr="00947714">
        <w:rPr>
          <w:b/>
        </w:rPr>
        <w:t>2</w:t>
      </w:r>
      <w:r>
        <w:t xml:space="preserve"> intermediate to afford oxazole </w:t>
      </w:r>
      <w:r w:rsidRPr="00947714">
        <w:rPr>
          <w:b/>
        </w:rPr>
        <w:t>3</w:t>
      </w:r>
      <w:r>
        <w:t xml:space="preserve"> as the final product.</w:t>
      </w:r>
    </w:p>
    <w:p w:rsidR="00A6043D" w:rsidRDefault="00A6043D" w:rsidP="00A6043D">
      <w:pPr>
        <w:pStyle w:val="G1aFigureImage"/>
      </w:pPr>
      <w:r>
        <w:object w:dxaOrig="4622" w:dyaOrig="3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6pt;height:192.35pt" o:ole="">
            <v:imagedata r:id="rId16" o:title=""/>
          </v:shape>
          <o:OLEObject Type="Embed" ProgID="ChemDraw.Document.6.0" ShapeID="_x0000_i1025" DrawAspect="Content" ObjectID="_1502630775" r:id="rId17"/>
        </w:object>
      </w:r>
    </w:p>
    <w:p w:rsidR="00A6043D" w:rsidRPr="00A6043D" w:rsidRDefault="00A6043D" w:rsidP="00A6043D">
      <w:pPr>
        <w:pStyle w:val="G1bFigureCaption"/>
      </w:pPr>
      <w:r>
        <w:rPr>
          <w:b/>
        </w:rPr>
        <w:t>Scheme 1</w:t>
      </w:r>
      <w:r>
        <w:t xml:space="preserve"> </w:t>
      </w:r>
      <w:r w:rsidRPr="00A6043D">
        <w:t>Previous reports of intramolecular hydroamination of alkyne by trichloroacetimidate</w:t>
      </w:r>
      <w:r>
        <w:t>.</w:t>
      </w:r>
    </w:p>
    <w:p w:rsidR="00A6043D" w:rsidRDefault="00A6043D" w:rsidP="00B52C54">
      <w:pPr>
        <w:pStyle w:val="08ArticleText"/>
      </w:pPr>
    </w:p>
    <w:p w:rsidR="00A6043D" w:rsidRDefault="00B52C54" w:rsidP="00A6043D">
      <w:pPr>
        <w:pStyle w:val="08ArticleText"/>
      </w:pPr>
      <w:r w:rsidRPr="004E1FDE">
        <w:tab/>
      </w:r>
      <w:r w:rsidR="00A6043D">
        <w:t xml:space="preserve">As part of our programme to explore the use of </w:t>
      </w:r>
      <w:r w:rsidR="00A6043D" w:rsidRPr="007B5B75">
        <w:rPr>
          <w:highlight w:val="yellow"/>
        </w:rPr>
        <w:t>less expensive</w:t>
      </w:r>
      <w:r w:rsidR="00A6043D">
        <w:t xml:space="preserve"> coinage metal catalysts for the </w:t>
      </w:r>
      <w:proofErr w:type="spellStart"/>
      <w:r w:rsidR="00A6043D">
        <w:t>heterofunctionalisation</w:t>
      </w:r>
      <w:proofErr w:type="spellEnd"/>
      <w:r w:rsidR="00A6043D">
        <w:t xml:space="preserve"> of C=C bonds, we investigated the application of Ag catalysis to this particular type of hydroamination reactions.</w:t>
      </w:r>
      <w:r w:rsidR="00A6043D" w:rsidRPr="006674F4">
        <w:rPr>
          <w:vertAlign w:val="superscript"/>
        </w:rPr>
        <w:t>3-9</w:t>
      </w:r>
      <w:r w:rsidR="00A6043D">
        <w:t xml:space="preserve"> Prior to this, Ag-catalysed reactions of (relatively unactivated) alkynes were </w:t>
      </w:r>
      <w:r w:rsidR="00A6043D">
        <w:lastRenderedPageBreak/>
        <w:t>limited to the addition of alkyl and aryl amine substrates.</w:t>
      </w:r>
      <w:r w:rsidR="00A6043D" w:rsidRPr="006674F4">
        <w:rPr>
          <w:vertAlign w:val="superscript"/>
        </w:rPr>
        <w:t>10-16</w:t>
      </w:r>
    </w:p>
    <w:p w:rsidR="00A6043D" w:rsidRDefault="00A6043D" w:rsidP="00A6043D">
      <w:pPr>
        <w:pStyle w:val="08ArticleText"/>
      </w:pPr>
      <w:r>
        <w:tab/>
        <w:t xml:space="preserve">Using unsubstituted </w:t>
      </w:r>
      <w:r w:rsidRPr="00851EF4">
        <w:rPr>
          <w:b/>
        </w:rPr>
        <w:t>1</w:t>
      </w:r>
      <w:r>
        <w:rPr>
          <w:b/>
        </w:rPr>
        <w:t>a</w:t>
      </w:r>
      <w:r>
        <w:t xml:space="preserve"> as the model substrate, a total of eleven silver salts </w:t>
      </w:r>
      <w:proofErr w:type="spellStart"/>
      <w:r>
        <w:t>AgX</w:t>
      </w:r>
      <w:proofErr w:type="spellEnd"/>
      <w:r>
        <w:t xml:space="preserve"> or Ag</w:t>
      </w:r>
      <w:r w:rsidRPr="00DA3AB4">
        <w:rPr>
          <w:vertAlign w:val="subscript"/>
        </w:rPr>
        <w:t>2</w:t>
      </w:r>
      <w:r>
        <w:t>Y were initially assessed</w:t>
      </w:r>
      <w:r w:rsidRPr="009A1F3D">
        <w:t xml:space="preserve"> </w:t>
      </w:r>
      <w:r>
        <w:t xml:space="preserve">using DCE as the solvent, where X = </w:t>
      </w:r>
      <w:proofErr w:type="spellStart"/>
      <w:r>
        <w:t>OAc</w:t>
      </w:r>
      <w:proofErr w:type="spellEnd"/>
      <w:r>
        <w:t>, TFA, NO</w:t>
      </w:r>
      <w:r w:rsidRPr="00DA3AB4">
        <w:rPr>
          <w:vertAlign w:val="subscript"/>
        </w:rPr>
        <w:t>3</w:t>
      </w:r>
      <w:r>
        <w:t>, SbF</w:t>
      </w:r>
      <w:r w:rsidRPr="00DA3AB4">
        <w:rPr>
          <w:vertAlign w:val="subscript"/>
        </w:rPr>
        <w:t>6</w:t>
      </w:r>
      <w:r>
        <w:t>, PF</w:t>
      </w:r>
      <w:r w:rsidRPr="00DA3AB4">
        <w:rPr>
          <w:vertAlign w:val="subscript"/>
        </w:rPr>
        <w:t>6</w:t>
      </w:r>
      <w:r>
        <w:t>, BF</w:t>
      </w:r>
      <w:r w:rsidRPr="00DA3AB4">
        <w:rPr>
          <w:vertAlign w:val="subscript"/>
        </w:rPr>
        <w:t>4</w:t>
      </w:r>
      <w:r>
        <w:t xml:space="preserve">, </w:t>
      </w:r>
      <w:proofErr w:type="spellStart"/>
      <w:r>
        <w:t>OTf</w:t>
      </w:r>
      <w:proofErr w:type="spellEnd"/>
      <w:r>
        <w:t>, OTs; Y = CO</w:t>
      </w:r>
      <w:r w:rsidRPr="00DA3AB4">
        <w:rPr>
          <w:vertAlign w:val="subscript"/>
        </w:rPr>
        <w:t>3</w:t>
      </w:r>
      <w:r>
        <w:t>, O, SO</w:t>
      </w:r>
      <w:r w:rsidRPr="00DA3AB4">
        <w:rPr>
          <w:vertAlign w:val="subscript"/>
        </w:rPr>
        <w:t>4</w:t>
      </w:r>
      <w:r>
        <w:t xml:space="preserve"> </w:t>
      </w:r>
      <w:r w:rsidRPr="006E7A5A">
        <w:t xml:space="preserve">(Table S1 in the ESI, </w:t>
      </w:r>
      <w:r>
        <w:t xml:space="preserve">with </w:t>
      </w:r>
      <w:r w:rsidRPr="006E7A5A">
        <w:t>selected examples given in Table 1)</w:t>
      </w:r>
      <w:r>
        <w:t xml:space="preserve">. The preliminary study revealed a strong </w:t>
      </w:r>
      <w:proofErr w:type="spellStart"/>
      <w:r>
        <w:t>counteranion</w:t>
      </w:r>
      <w:proofErr w:type="spellEnd"/>
      <w:r>
        <w:t xml:space="preserve"> effect on catalytic activity. None of the di-silver salts (Ag</w:t>
      </w:r>
      <w:r w:rsidRPr="005D2BF5">
        <w:rPr>
          <w:vertAlign w:val="subscript"/>
        </w:rPr>
        <w:t>2</w:t>
      </w:r>
      <w:r>
        <w:t>Y) were active and, with the exception of AgNO</w:t>
      </w:r>
      <w:r w:rsidRPr="004D45DE">
        <w:rPr>
          <w:vertAlign w:val="subscript"/>
        </w:rPr>
        <w:t>3</w:t>
      </w:r>
      <w:r>
        <w:t xml:space="preserve"> and AgPF</w:t>
      </w:r>
      <w:r w:rsidRPr="004D45DE">
        <w:rPr>
          <w:vertAlign w:val="subscript"/>
        </w:rPr>
        <w:t>6</w:t>
      </w:r>
      <w:r>
        <w:t xml:space="preserve">, all other </w:t>
      </w:r>
      <w:proofErr w:type="spellStart"/>
      <w:r>
        <w:t>AgX</w:t>
      </w:r>
      <w:proofErr w:type="spellEnd"/>
      <w:r>
        <w:t xml:space="preserve"> salts afforded quantitative conversion of </w:t>
      </w:r>
      <w:r w:rsidRPr="000760CB">
        <w:rPr>
          <w:b/>
        </w:rPr>
        <w:t>1a</w:t>
      </w:r>
      <w:r>
        <w:t xml:space="preserve"> within 6 h at room temperature. Notably, the selectivity of the reaction is also dictated by the </w:t>
      </w:r>
      <w:proofErr w:type="spellStart"/>
      <w:r>
        <w:t>counteranion</w:t>
      </w:r>
      <w:proofErr w:type="spellEnd"/>
      <w:r>
        <w:t xml:space="preserve"> X. For example, the use of </w:t>
      </w:r>
      <w:proofErr w:type="spellStart"/>
      <w:r>
        <w:t>AgTFA</w:t>
      </w:r>
      <w:proofErr w:type="spellEnd"/>
      <w:r>
        <w:t xml:space="preserve"> afforded the 4-methylene-dihydrooxazole product </w:t>
      </w:r>
      <w:r w:rsidRPr="001D25CC">
        <w:rPr>
          <w:b/>
        </w:rPr>
        <w:t>2a</w:t>
      </w:r>
      <w:r>
        <w:t xml:space="preserve"> exclusively (Table 1, entry 1), while the use of </w:t>
      </w:r>
      <w:proofErr w:type="spellStart"/>
      <w:r>
        <w:t>AgOTf</w:t>
      </w:r>
      <w:proofErr w:type="spellEnd"/>
      <w:r>
        <w:t xml:space="preserve"> </w:t>
      </w:r>
      <w:proofErr w:type="gramStart"/>
      <w:r>
        <w:t>favoured</w:t>
      </w:r>
      <w:proofErr w:type="gramEnd"/>
      <w:r>
        <w:t xml:space="preserve"> the formation of the aromatic oxazole </w:t>
      </w:r>
      <w:r w:rsidRPr="001D25CC">
        <w:rPr>
          <w:b/>
        </w:rPr>
        <w:t>3a</w:t>
      </w:r>
      <w:r>
        <w:rPr>
          <w:b/>
        </w:rPr>
        <w:t xml:space="preserve"> </w:t>
      </w:r>
      <w:r>
        <w:t>(entry 2). In all cases, only low to moderate yields were obtained</w:t>
      </w:r>
      <w:r w:rsidRPr="00041150">
        <w:t xml:space="preserve"> </w:t>
      </w:r>
      <w:r>
        <w:t xml:space="preserve">for the reactions performed in DCE, due to formation of intractable side products. In an attempt to suppress the side reactions, the experiments were repeated using other solvents (see also Table S1, ESI); the use of acetonitrile facilitated the reaction catalysed by </w:t>
      </w:r>
      <w:proofErr w:type="spellStart"/>
      <w:r>
        <w:t>AgTFA</w:t>
      </w:r>
      <w:proofErr w:type="spellEnd"/>
      <w:r>
        <w:t xml:space="preserve">, where the formation of </w:t>
      </w:r>
      <w:r w:rsidRPr="00895F8A">
        <w:rPr>
          <w:b/>
        </w:rPr>
        <w:t>2a</w:t>
      </w:r>
      <w:r>
        <w:t xml:space="preserve"> improved from 14 to 76% (entry 1 </w:t>
      </w:r>
      <w:r w:rsidRPr="00895F8A">
        <w:rPr>
          <w:i/>
        </w:rPr>
        <w:t>vs</w:t>
      </w:r>
      <w:r>
        <w:t xml:space="preserve"> entry 3). On the other hand, switching between DCE and acetone prompted a change in selectivity from </w:t>
      </w:r>
      <w:r w:rsidRPr="00895F8A">
        <w:rPr>
          <w:b/>
        </w:rPr>
        <w:t>3a</w:t>
      </w:r>
      <w:r>
        <w:rPr>
          <w:b/>
        </w:rPr>
        <w:t xml:space="preserve"> </w:t>
      </w:r>
      <w:r>
        <w:t xml:space="preserve">to </w:t>
      </w:r>
      <w:r w:rsidRPr="00895F8A">
        <w:rPr>
          <w:b/>
        </w:rPr>
        <w:t>2a</w:t>
      </w:r>
      <w:r>
        <w:t xml:space="preserve"> in the </w:t>
      </w:r>
      <w:proofErr w:type="spellStart"/>
      <w:r>
        <w:t>AgOTf</w:t>
      </w:r>
      <w:proofErr w:type="spellEnd"/>
      <w:r>
        <w:t>-catalysed reaction (entries 2 and 6).</w:t>
      </w:r>
      <w:r w:rsidRPr="00497531">
        <w:t xml:space="preserve"> </w:t>
      </w:r>
      <w:r>
        <w:tab/>
      </w:r>
      <w:r>
        <w:tab/>
      </w:r>
    </w:p>
    <w:p w:rsidR="00A6043D" w:rsidRDefault="00A6043D" w:rsidP="00A6043D">
      <w:pPr>
        <w:pStyle w:val="08ArticleText"/>
      </w:pPr>
      <w:r>
        <w:tab/>
        <w:t xml:space="preserve">The isomerisation of </w:t>
      </w:r>
      <w:r w:rsidRPr="009575DB">
        <w:rPr>
          <w:b/>
        </w:rPr>
        <w:t>2a</w:t>
      </w:r>
      <w:r>
        <w:t xml:space="preserve"> to </w:t>
      </w:r>
      <w:r w:rsidRPr="009575DB">
        <w:rPr>
          <w:b/>
        </w:rPr>
        <w:t>3a</w:t>
      </w:r>
      <w:r>
        <w:t xml:space="preserve"> was reported to occur slowly under ambient conditions.</w:t>
      </w:r>
      <w:r w:rsidRPr="006674F4">
        <w:rPr>
          <w:vertAlign w:val="superscript"/>
        </w:rPr>
        <w:t>1</w:t>
      </w:r>
      <w:r>
        <w:t xml:space="preserve"> In this study, it was found that while </w:t>
      </w:r>
      <w:proofErr w:type="spellStart"/>
      <w:r>
        <w:t>TfOH</w:t>
      </w:r>
      <w:proofErr w:type="spellEnd"/>
      <w:r>
        <w:t xml:space="preserve"> is not catalytically active in the cyclisation (Table 1, entry 8), </w:t>
      </w:r>
      <w:r w:rsidRPr="00497531">
        <w:t xml:space="preserve">the </w:t>
      </w:r>
      <w:r>
        <w:t>aromatisation</w:t>
      </w:r>
      <w:r w:rsidRPr="00497531">
        <w:t xml:space="preserve"> of </w:t>
      </w:r>
      <w:r w:rsidRPr="00497531">
        <w:rPr>
          <w:b/>
        </w:rPr>
        <w:t>2a</w:t>
      </w:r>
      <w:r w:rsidRPr="00497531">
        <w:t xml:space="preserve"> to </w:t>
      </w:r>
      <w:r w:rsidRPr="00497531">
        <w:rPr>
          <w:b/>
        </w:rPr>
        <w:t>3a</w:t>
      </w:r>
      <w:r w:rsidRPr="00497531">
        <w:t xml:space="preserve"> was complete within 5 h</w:t>
      </w:r>
      <w:r w:rsidRPr="00CF5598">
        <w:t xml:space="preserve"> </w:t>
      </w:r>
      <w:r>
        <w:t xml:space="preserve">in </w:t>
      </w:r>
      <w:r w:rsidRPr="00497531">
        <w:t>the</w:t>
      </w:r>
    </w:p>
    <w:p w:rsidR="00A6043D" w:rsidRDefault="00A6043D" w:rsidP="00A6043D">
      <w:pPr>
        <w:pStyle w:val="G4aTableTitle"/>
      </w:pPr>
      <w:r>
        <w:rPr>
          <w:b/>
        </w:rPr>
        <w:t>Table 1</w:t>
      </w:r>
      <w:r>
        <w:t xml:space="preserve"> Initial screening of catalytic </w:t>
      </w:r>
      <w:proofErr w:type="spellStart"/>
      <w:r>
        <w:t>conditions.</w:t>
      </w:r>
      <w:r w:rsidRPr="009A7F4F">
        <w:rPr>
          <w:i/>
          <w:vertAlign w:val="superscript"/>
        </w:rPr>
        <w:t>a</w:t>
      </w:r>
      <w:proofErr w:type="spellEnd"/>
    </w:p>
    <w:tbl>
      <w:tblPr>
        <w:tblW w:w="4933" w:type="dxa"/>
        <w:tblLayout w:type="fixed"/>
        <w:tblCellMar>
          <w:left w:w="0" w:type="dxa"/>
          <w:right w:w="0" w:type="dxa"/>
        </w:tblCellMar>
        <w:tblLook w:val="0000" w:firstRow="0" w:lastRow="0" w:firstColumn="0" w:lastColumn="0" w:noHBand="0" w:noVBand="0"/>
      </w:tblPr>
      <w:tblGrid>
        <w:gridCol w:w="567"/>
        <w:gridCol w:w="993"/>
        <w:gridCol w:w="794"/>
        <w:gridCol w:w="991"/>
        <w:gridCol w:w="794"/>
        <w:gridCol w:w="794"/>
      </w:tblGrid>
      <w:tr w:rsidR="00A6043D" w:rsidTr="009B6D78">
        <w:trPr>
          <w:trHeight w:val="24"/>
        </w:trPr>
        <w:tc>
          <w:tcPr>
            <w:tcW w:w="567" w:type="dxa"/>
            <w:shd w:val="clear" w:color="auto" w:fill="auto"/>
          </w:tcPr>
          <w:p w:rsidR="00A6043D" w:rsidRPr="00FF56E8" w:rsidRDefault="00A6043D" w:rsidP="009B6D78">
            <w:pPr>
              <w:pStyle w:val="G4bTableBody"/>
            </w:pPr>
            <w:r>
              <w:t>Entry</w:t>
            </w:r>
          </w:p>
        </w:tc>
        <w:tc>
          <w:tcPr>
            <w:tcW w:w="993" w:type="dxa"/>
            <w:shd w:val="clear" w:color="auto" w:fill="auto"/>
          </w:tcPr>
          <w:p w:rsidR="00A6043D" w:rsidRPr="00FF56E8" w:rsidRDefault="00A6043D" w:rsidP="009B6D78">
            <w:pPr>
              <w:pStyle w:val="G4bTableBody"/>
            </w:pPr>
            <w:r>
              <w:t>[cat]</w:t>
            </w:r>
          </w:p>
        </w:tc>
        <w:tc>
          <w:tcPr>
            <w:tcW w:w="794" w:type="dxa"/>
            <w:shd w:val="clear" w:color="auto" w:fill="auto"/>
          </w:tcPr>
          <w:p w:rsidR="00A6043D" w:rsidRPr="00FF56E8" w:rsidRDefault="00A6043D" w:rsidP="009B6D78">
            <w:pPr>
              <w:pStyle w:val="G4bTableBody"/>
            </w:pPr>
            <w:r>
              <w:t>Solvent</w:t>
            </w:r>
          </w:p>
        </w:tc>
        <w:tc>
          <w:tcPr>
            <w:tcW w:w="991" w:type="dxa"/>
            <w:shd w:val="clear" w:color="auto" w:fill="auto"/>
          </w:tcPr>
          <w:p w:rsidR="00A6043D" w:rsidRPr="00FF56E8" w:rsidRDefault="00A6043D" w:rsidP="009B6D78">
            <w:pPr>
              <w:pStyle w:val="G4bTableBody"/>
            </w:pPr>
            <w:proofErr w:type="spellStart"/>
            <w:r>
              <w:t>Conversion</w:t>
            </w:r>
            <w:r w:rsidRPr="00041150">
              <w:rPr>
                <w:i/>
                <w:vertAlign w:val="superscript"/>
              </w:rPr>
              <w:t>b</w:t>
            </w:r>
            <w:proofErr w:type="spellEnd"/>
            <w:r>
              <w:t>/%</w:t>
            </w:r>
          </w:p>
        </w:tc>
        <w:tc>
          <w:tcPr>
            <w:tcW w:w="794" w:type="dxa"/>
            <w:shd w:val="clear" w:color="auto" w:fill="auto"/>
          </w:tcPr>
          <w:p w:rsidR="00A6043D" w:rsidRPr="00FF56E8" w:rsidRDefault="00A6043D" w:rsidP="009B6D78">
            <w:pPr>
              <w:pStyle w:val="G4bTableBody"/>
            </w:pPr>
            <w:r w:rsidRPr="009A7F4F">
              <w:rPr>
                <w:b/>
              </w:rPr>
              <w:t>2a</w:t>
            </w:r>
            <w:r>
              <w:rPr>
                <w:i/>
                <w:vertAlign w:val="superscript"/>
              </w:rPr>
              <w:t>b</w:t>
            </w:r>
            <w:r>
              <w:t>/%</w:t>
            </w:r>
          </w:p>
        </w:tc>
        <w:tc>
          <w:tcPr>
            <w:tcW w:w="794" w:type="dxa"/>
            <w:shd w:val="clear" w:color="auto" w:fill="auto"/>
          </w:tcPr>
          <w:p w:rsidR="00A6043D" w:rsidRPr="00FF56E8" w:rsidRDefault="00A6043D" w:rsidP="009B6D78">
            <w:pPr>
              <w:pStyle w:val="G4bTableBody"/>
            </w:pPr>
            <w:r w:rsidRPr="009A7F4F">
              <w:rPr>
                <w:b/>
              </w:rPr>
              <w:t>3a</w:t>
            </w:r>
            <w:r>
              <w:rPr>
                <w:i/>
                <w:vertAlign w:val="superscript"/>
              </w:rPr>
              <w:t>b</w:t>
            </w:r>
            <w:r>
              <w:t>/%</w:t>
            </w:r>
          </w:p>
        </w:tc>
      </w:tr>
      <w:tr w:rsidR="00A6043D" w:rsidTr="009B6D78">
        <w:trPr>
          <w:trHeight w:val="21"/>
        </w:trPr>
        <w:tc>
          <w:tcPr>
            <w:tcW w:w="567" w:type="dxa"/>
            <w:shd w:val="clear" w:color="auto" w:fill="auto"/>
          </w:tcPr>
          <w:p w:rsidR="00A6043D" w:rsidRDefault="00A6043D" w:rsidP="009B6D78">
            <w:pPr>
              <w:pStyle w:val="G4bTableBody"/>
            </w:pPr>
            <w:r>
              <w:t>1</w:t>
            </w:r>
          </w:p>
        </w:tc>
        <w:tc>
          <w:tcPr>
            <w:tcW w:w="993" w:type="dxa"/>
            <w:shd w:val="clear" w:color="auto" w:fill="auto"/>
          </w:tcPr>
          <w:p w:rsidR="00A6043D" w:rsidRDefault="00A6043D" w:rsidP="009B6D78">
            <w:pPr>
              <w:pStyle w:val="G4bTableBody"/>
            </w:pPr>
            <w:proofErr w:type="spellStart"/>
            <w:r>
              <w:t>AgTFA</w:t>
            </w:r>
            <w:proofErr w:type="spellEnd"/>
          </w:p>
        </w:tc>
        <w:tc>
          <w:tcPr>
            <w:tcW w:w="794" w:type="dxa"/>
            <w:shd w:val="clear" w:color="auto" w:fill="auto"/>
          </w:tcPr>
          <w:p w:rsidR="00A6043D" w:rsidRDefault="00A6043D" w:rsidP="009B6D78">
            <w:pPr>
              <w:pStyle w:val="G4bTableBody"/>
            </w:pPr>
            <w:r>
              <w:t>DCE</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14</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2</w:t>
            </w:r>
          </w:p>
        </w:tc>
        <w:tc>
          <w:tcPr>
            <w:tcW w:w="993" w:type="dxa"/>
            <w:shd w:val="clear" w:color="auto" w:fill="auto"/>
          </w:tcPr>
          <w:p w:rsidR="00A6043D" w:rsidRDefault="00A6043D" w:rsidP="009B6D78">
            <w:pPr>
              <w:pStyle w:val="G4bTableBody"/>
            </w:pPr>
            <w:proofErr w:type="spellStart"/>
            <w:r>
              <w:t>AgOTf</w:t>
            </w:r>
            <w:proofErr w:type="spellEnd"/>
          </w:p>
        </w:tc>
        <w:tc>
          <w:tcPr>
            <w:tcW w:w="794" w:type="dxa"/>
            <w:shd w:val="clear" w:color="auto" w:fill="auto"/>
          </w:tcPr>
          <w:p w:rsidR="00A6043D" w:rsidRDefault="00A6043D" w:rsidP="009B6D78">
            <w:pPr>
              <w:pStyle w:val="G4bTableBody"/>
            </w:pPr>
            <w:r>
              <w:t>DCE</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w:t>
            </w:r>
          </w:p>
        </w:tc>
        <w:tc>
          <w:tcPr>
            <w:tcW w:w="794" w:type="dxa"/>
            <w:shd w:val="clear" w:color="auto" w:fill="auto"/>
          </w:tcPr>
          <w:p w:rsidR="00A6043D" w:rsidRDefault="00A6043D" w:rsidP="009B6D78">
            <w:pPr>
              <w:pStyle w:val="G4bTableBody"/>
            </w:pPr>
            <w:r>
              <w:t>46</w:t>
            </w:r>
          </w:p>
        </w:tc>
      </w:tr>
      <w:tr w:rsidR="00A6043D" w:rsidTr="009B6D78">
        <w:trPr>
          <w:trHeight w:val="21"/>
        </w:trPr>
        <w:tc>
          <w:tcPr>
            <w:tcW w:w="567" w:type="dxa"/>
            <w:shd w:val="clear" w:color="auto" w:fill="auto"/>
          </w:tcPr>
          <w:p w:rsidR="00A6043D" w:rsidRDefault="00A6043D" w:rsidP="009B6D78">
            <w:pPr>
              <w:pStyle w:val="G4bTableBody"/>
            </w:pPr>
            <w:r>
              <w:t>3</w:t>
            </w:r>
          </w:p>
        </w:tc>
        <w:tc>
          <w:tcPr>
            <w:tcW w:w="993" w:type="dxa"/>
            <w:shd w:val="clear" w:color="auto" w:fill="auto"/>
          </w:tcPr>
          <w:p w:rsidR="00A6043D" w:rsidRDefault="00A6043D" w:rsidP="009B6D78">
            <w:pPr>
              <w:pStyle w:val="G4bTableBody"/>
            </w:pPr>
            <w:proofErr w:type="spellStart"/>
            <w:r>
              <w:t>AgTFA</w:t>
            </w:r>
            <w:proofErr w:type="spellEnd"/>
          </w:p>
        </w:tc>
        <w:tc>
          <w:tcPr>
            <w:tcW w:w="794" w:type="dxa"/>
            <w:shd w:val="clear" w:color="auto" w:fill="auto"/>
          </w:tcPr>
          <w:p w:rsidR="00A6043D" w:rsidRDefault="00A6043D" w:rsidP="009B6D78">
            <w:pPr>
              <w:pStyle w:val="G4bTableBody"/>
            </w:pPr>
            <w:proofErr w:type="spellStart"/>
            <w:r>
              <w:t>MeCN</w:t>
            </w:r>
            <w:proofErr w:type="spellEnd"/>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76</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4</w:t>
            </w:r>
          </w:p>
        </w:tc>
        <w:tc>
          <w:tcPr>
            <w:tcW w:w="993" w:type="dxa"/>
            <w:shd w:val="clear" w:color="auto" w:fill="auto"/>
          </w:tcPr>
          <w:p w:rsidR="00A6043D" w:rsidRDefault="00A6043D" w:rsidP="009B6D78">
            <w:pPr>
              <w:pStyle w:val="G4bTableBody"/>
            </w:pPr>
            <w:proofErr w:type="spellStart"/>
            <w:r>
              <w:t>AgOTf</w:t>
            </w:r>
            <w:proofErr w:type="spellEnd"/>
          </w:p>
        </w:tc>
        <w:tc>
          <w:tcPr>
            <w:tcW w:w="794" w:type="dxa"/>
            <w:shd w:val="clear" w:color="auto" w:fill="auto"/>
          </w:tcPr>
          <w:p w:rsidR="00A6043D" w:rsidRDefault="00A6043D" w:rsidP="009B6D78">
            <w:pPr>
              <w:pStyle w:val="G4bTableBody"/>
            </w:pPr>
            <w:proofErr w:type="spellStart"/>
            <w:r>
              <w:t>MeCN</w:t>
            </w:r>
            <w:proofErr w:type="spellEnd"/>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18</w:t>
            </w:r>
          </w:p>
        </w:tc>
        <w:tc>
          <w:tcPr>
            <w:tcW w:w="794" w:type="dxa"/>
            <w:shd w:val="clear" w:color="auto" w:fill="auto"/>
          </w:tcPr>
          <w:p w:rsidR="00A6043D" w:rsidRDefault="00A6043D" w:rsidP="009B6D78">
            <w:pPr>
              <w:pStyle w:val="G4bTableBody"/>
            </w:pPr>
            <w:r>
              <w:t>15</w:t>
            </w:r>
          </w:p>
        </w:tc>
      </w:tr>
      <w:tr w:rsidR="00A6043D" w:rsidTr="009B6D78">
        <w:trPr>
          <w:trHeight w:val="21"/>
        </w:trPr>
        <w:tc>
          <w:tcPr>
            <w:tcW w:w="567" w:type="dxa"/>
            <w:shd w:val="clear" w:color="auto" w:fill="auto"/>
          </w:tcPr>
          <w:p w:rsidR="00A6043D" w:rsidRDefault="00A6043D" w:rsidP="009B6D78">
            <w:pPr>
              <w:pStyle w:val="G4bTableBody"/>
            </w:pPr>
            <w:r>
              <w:t>5</w:t>
            </w:r>
          </w:p>
        </w:tc>
        <w:tc>
          <w:tcPr>
            <w:tcW w:w="993" w:type="dxa"/>
            <w:shd w:val="clear" w:color="auto" w:fill="auto"/>
          </w:tcPr>
          <w:p w:rsidR="00A6043D" w:rsidRDefault="00A6043D" w:rsidP="009B6D78">
            <w:pPr>
              <w:pStyle w:val="G4bTableBody"/>
            </w:pPr>
            <w:proofErr w:type="spellStart"/>
            <w:r>
              <w:t>AgTFA</w:t>
            </w:r>
            <w:proofErr w:type="spellEnd"/>
          </w:p>
        </w:tc>
        <w:tc>
          <w:tcPr>
            <w:tcW w:w="794" w:type="dxa"/>
            <w:shd w:val="clear" w:color="auto" w:fill="auto"/>
          </w:tcPr>
          <w:p w:rsidR="00A6043D" w:rsidRDefault="00A6043D" w:rsidP="009B6D78">
            <w:pPr>
              <w:pStyle w:val="G4bTableBody"/>
            </w:pPr>
            <w:r>
              <w:t>acetone</w:t>
            </w:r>
          </w:p>
        </w:tc>
        <w:tc>
          <w:tcPr>
            <w:tcW w:w="991" w:type="dxa"/>
            <w:shd w:val="clear" w:color="auto" w:fill="auto"/>
          </w:tcPr>
          <w:p w:rsidR="00A6043D" w:rsidRDefault="00A6043D" w:rsidP="009B6D78">
            <w:pPr>
              <w:pStyle w:val="G4bTableBody"/>
            </w:pPr>
            <w:r>
              <w:t>62</w:t>
            </w:r>
          </w:p>
        </w:tc>
        <w:tc>
          <w:tcPr>
            <w:tcW w:w="794" w:type="dxa"/>
            <w:shd w:val="clear" w:color="auto" w:fill="auto"/>
          </w:tcPr>
          <w:p w:rsidR="00A6043D" w:rsidRDefault="00A6043D" w:rsidP="009B6D78">
            <w:pPr>
              <w:pStyle w:val="G4bTableBody"/>
            </w:pPr>
            <w:r>
              <w:t>22</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6</w:t>
            </w:r>
          </w:p>
        </w:tc>
        <w:tc>
          <w:tcPr>
            <w:tcW w:w="993" w:type="dxa"/>
            <w:shd w:val="clear" w:color="auto" w:fill="auto"/>
          </w:tcPr>
          <w:p w:rsidR="00A6043D" w:rsidRDefault="00A6043D" w:rsidP="009B6D78">
            <w:pPr>
              <w:pStyle w:val="G4bTableBody"/>
            </w:pPr>
            <w:proofErr w:type="spellStart"/>
            <w:r>
              <w:t>AgOTf</w:t>
            </w:r>
            <w:proofErr w:type="spellEnd"/>
          </w:p>
        </w:tc>
        <w:tc>
          <w:tcPr>
            <w:tcW w:w="794" w:type="dxa"/>
            <w:shd w:val="clear" w:color="auto" w:fill="auto"/>
          </w:tcPr>
          <w:p w:rsidR="00A6043D" w:rsidRDefault="00A6043D" w:rsidP="009B6D78">
            <w:pPr>
              <w:pStyle w:val="G4bTableBody"/>
            </w:pPr>
            <w:r>
              <w:t>acetone</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40</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7</w:t>
            </w:r>
          </w:p>
        </w:tc>
        <w:tc>
          <w:tcPr>
            <w:tcW w:w="993" w:type="dxa"/>
            <w:shd w:val="clear" w:color="auto" w:fill="auto"/>
          </w:tcPr>
          <w:p w:rsidR="00A6043D" w:rsidRDefault="00A6043D" w:rsidP="009B6D78">
            <w:pPr>
              <w:pStyle w:val="G4bTableBody"/>
            </w:pPr>
            <w:proofErr w:type="spellStart"/>
            <w:r>
              <w:t>AgOTf</w:t>
            </w:r>
            <w:proofErr w:type="spellEnd"/>
            <w:r>
              <w:t>/</w:t>
            </w:r>
            <w:proofErr w:type="spellStart"/>
            <w:r>
              <w:t>PS</w:t>
            </w:r>
            <w:r>
              <w:rPr>
                <w:i/>
                <w:vertAlign w:val="superscript"/>
              </w:rPr>
              <w:t>c</w:t>
            </w:r>
            <w:proofErr w:type="spellEnd"/>
          </w:p>
        </w:tc>
        <w:tc>
          <w:tcPr>
            <w:tcW w:w="794" w:type="dxa"/>
            <w:shd w:val="clear" w:color="auto" w:fill="auto"/>
          </w:tcPr>
          <w:p w:rsidR="00A6043D" w:rsidRDefault="00A6043D" w:rsidP="009B6D78">
            <w:pPr>
              <w:pStyle w:val="G4bTableBody"/>
            </w:pPr>
            <w:r>
              <w:t>DCE</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80</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8</w:t>
            </w:r>
          </w:p>
        </w:tc>
        <w:tc>
          <w:tcPr>
            <w:tcW w:w="993" w:type="dxa"/>
            <w:shd w:val="clear" w:color="auto" w:fill="auto"/>
          </w:tcPr>
          <w:p w:rsidR="00A6043D" w:rsidRDefault="00A6043D" w:rsidP="009B6D78">
            <w:pPr>
              <w:pStyle w:val="G4bTableBody"/>
            </w:pPr>
            <w:proofErr w:type="spellStart"/>
            <w:r>
              <w:t>TfOH</w:t>
            </w:r>
            <w:r w:rsidRPr="006674F4">
              <w:rPr>
                <w:i/>
                <w:vertAlign w:val="superscript"/>
              </w:rPr>
              <w:t>d</w:t>
            </w:r>
            <w:proofErr w:type="spellEnd"/>
          </w:p>
        </w:tc>
        <w:tc>
          <w:tcPr>
            <w:tcW w:w="794" w:type="dxa"/>
            <w:shd w:val="clear" w:color="auto" w:fill="auto"/>
          </w:tcPr>
          <w:p w:rsidR="00A6043D" w:rsidRDefault="00A6043D" w:rsidP="009B6D78">
            <w:pPr>
              <w:pStyle w:val="G4bTableBody"/>
            </w:pPr>
            <w:r w:rsidRPr="00AA6633">
              <w:t>DCE</w:t>
            </w:r>
          </w:p>
        </w:tc>
        <w:tc>
          <w:tcPr>
            <w:tcW w:w="991" w:type="dxa"/>
            <w:shd w:val="clear" w:color="auto" w:fill="auto"/>
          </w:tcPr>
          <w:p w:rsidR="00A6043D" w:rsidRDefault="00A6043D" w:rsidP="009B6D78">
            <w:pPr>
              <w:pStyle w:val="G4bTableBody"/>
            </w:pPr>
            <w:r>
              <w:t>-</w:t>
            </w:r>
          </w:p>
        </w:tc>
        <w:tc>
          <w:tcPr>
            <w:tcW w:w="794" w:type="dxa"/>
            <w:shd w:val="clear" w:color="auto" w:fill="auto"/>
          </w:tcPr>
          <w:p w:rsidR="00A6043D" w:rsidRDefault="00A6043D" w:rsidP="009B6D78">
            <w:pPr>
              <w:pStyle w:val="G4bTableBody"/>
            </w:pPr>
            <w:r>
              <w:t>-</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9</w:t>
            </w:r>
          </w:p>
        </w:tc>
        <w:tc>
          <w:tcPr>
            <w:tcW w:w="993" w:type="dxa"/>
            <w:shd w:val="clear" w:color="auto" w:fill="auto"/>
          </w:tcPr>
          <w:p w:rsidR="00A6043D" w:rsidRDefault="00A6043D" w:rsidP="009B6D78">
            <w:pPr>
              <w:pStyle w:val="G4bTableBody"/>
            </w:pPr>
            <w:r>
              <w:t>[Ag(</w:t>
            </w:r>
            <w:proofErr w:type="spellStart"/>
            <w:r>
              <w:t>py</w:t>
            </w:r>
            <w:proofErr w:type="spellEnd"/>
            <w:r>
              <w:t>)</w:t>
            </w:r>
            <w:r w:rsidRPr="0053713F">
              <w:rPr>
                <w:vertAlign w:val="subscript"/>
              </w:rPr>
              <w:t>2</w:t>
            </w:r>
            <w:r>
              <w:t>]</w:t>
            </w:r>
            <w:proofErr w:type="spellStart"/>
            <w:r>
              <w:t>OTf</w:t>
            </w:r>
            <w:proofErr w:type="spellEnd"/>
          </w:p>
        </w:tc>
        <w:tc>
          <w:tcPr>
            <w:tcW w:w="794" w:type="dxa"/>
            <w:shd w:val="clear" w:color="auto" w:fill="auto"/>
          </w:tcPr>
          <w:p w:rsidR="00A6043D" w:rsidRDefault="00A6043D" w:rsidP="009B6D78">
            <w:pPr>
              <w:pStyle w:val="G4bTableBody"/>
            </w:pPr>
            <w:r>
              <w:t>DCE</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83</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10</w:t>
            </w:r>
          </w:p>
        </w:tc>
        <w:tc>
          <w:tcPr>
            <w:tcW w:w="993" w:type="dxa"/>
            <w:shd w:val="clear" w:color="auto" w:fill="auto"/>
          </w:tcPr>
          <w:p w:rsidR="00A6043D" w:rsidRDefault="00A6043D" w:rsidP="009B6D78">
            <w:pPr>
              <w:pStyle w:val="G4bTableBody"/>
            </w:pPr>
            <w:r>
              <w:t>[Ag(</w:t>
            </w:r>
            <w:proofErr w:type="spellStart"/>
            <w:r>
              <w:t>py</w:t>
            </w:r>
            <w:proofErr w:type="spellEnd"/>
            <w:r>
              <w:t>)</w:t>
            </w:r>
            <w:r w:rsidRPr="0053713F">
              <w:rPr>
                <w:vertAlign w:val="subscript"/>
              </w:rPr>
              <w:t>2</w:t>
            </w:r>
            <w:r>
              <w:t>]</w:t>
            </w:r>
            <w:proofErr w:type="spellStart"/>
            <w:r>
              <w:t>OTf</w:t>
            </w:r>
            <w:proofErr w:type="spellEnd"/>
          </w:p>
        </w:tc>
        <w:tc>
          <w:tcPr>
            <w:tcW w:w="794" w:type="dxa"/>
            <w:shd w:val="clear" w:color="auto" w:fill="auto"/>
          </w:tcPr>
          <w:p w:rsidR="00A6043D" w:rsidRDefault="00A6043D" w:rsidP="009B6D78">
            <w:pPr>
              <w:pStyle w:val="G4bTableBody"/>
            </w:pPr>
            <w:proofErr w:type="spellStart"/>
            <w:r>
              <w:t>MeCN</w:t>
            </w:r>
            <w:proofErr w:type="spellEnd"/>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83</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11</w:t>
            </w:r>
          </w:p>
        </w:tc>
        <w:tc>
          <w:tcPr>
            <w:tcW w:w="993" w:type="dxa"/>
            <w:shd w:val="clear" w:color="auto" w:fill="auto"/>
          </w:tcPr>
          <w:p w:rsidR="00A6043D" w:rsidRDefault="00A6043D" w:rsidP="009B6D78">
            <w:pPr>
              <w:pStyle w:val="G4bTableBody"/>
            </w:pPr>
            <w:r>
              <w:t>[Ag(</w:t>
            </w:r>
            <w:proofErr w:type="spellStart"/>
            <w:r>
              <w:t>py</w:t>
            </w:r>
            <w:proofErr w:type="spellEnd"/>
            <w:r>
              <w:t>)</w:t>
            </w:r>
            <w:r w:rsidRPr="0053713F">
              <w:rPr>
                <w:vertAlign w:val="subscript"/>
              </w:rPr>
              <w:t>2</w:t>
            </w:r>
            <w:r>
              <w:t>]</w:t>
            </w:r>
            <w:proofErr w:type="spellStart"/>
            <w:r>
              <w:t>OTf</w:t>
            </w:r>
            <w:proofErr w:type="spellEnd"/>
          </w:p>
        </w:tc>
        <w:tc>
          <w:tcPr>
            <w:tcW w:w="794" w:type="dxa"/>
            <w:shd w:val="clear" w:color="auto" w:fill="auto"/>
          </w:tcPr>
          <w:p w:rsidR="00A6043D" w:rsidRDefault="00A6043D" w:rsidP="009B6D78">
            <w:pPr>
              <w:pStyle w:val="G4bTableBody"/>
            </w:pPr>
            <w:r>
              <w:t>acetone</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87</w:t>
            </w:r>
          </w:p>
        </w:tc>
        <w:tc>
          <w:tcPr>
            <w:tcW w:w="794" w:type="dxa"/>
            <w:shd w:val="clear" w:color="auto" w:fill="auto"/>
          </w:tcPr>
          <w:p w:rsidR="00A6043D" w:rsidRDefault="00A6043D" w:rsidP="009B6D78">
            <w:pPr>
              <w:pStyle w:val="G4bTableBody"/>
            </w:pPr>
            <w:r>
              <w:t>-</w:t>
            </w:r>
          </w:p>
        </w:tc>
      </w:tr>
      <w:tr w:rsidR="00A6043D" w:rsidTr="009B6D78">
        <w:trPr>
          <w:trHeight w:val="21"/>
        </w:trPr>
        <w:tc>
          <w:tcPr>
            <w:tcW w:w="567" w:type="dxa"/>
            <w:shd w:val="clear" w:color="auto" w:fill="auto"/>
          </w:tcPr>
          <w:p w:rsidR="00A6043D" w:rsidRDefault="00A6043D" w:rsidP="009B6D78">
            <w:pPr>
              <w:pStyle w:val="G4bTableBody"/>
            </w:pPr>
            <w:r>
              <w:t>12</w:t>
            </w:r>
          </w:p>
        </w:tc>
        <w:tc>
          <w:tcPr>
            <w:tcW w:w="993" w:type="dxa"/>
            <w:shd w:val="clear" w:color="auto" w:fill="auto"/>
          </w:tcPr>
          <w:p w:rsidR="00A6043D" w:rsidRDefault="00A6043D" w:rsidP="009B6D78">
            <w:pPr>
              <w:pStyle w:val="G4bTableBody"/>
            </w:pPr>
            <w:r>
              <w:t>[Ag(</w:t>
            </w:r>
            <w:proofErr w:type="spellStart"/>
            <w:r>
              <w:t>py</w:t>
            </w:r>
            <w:proofErr w:type="spellEnd"/>
            <w:r>
              <w:t>)</w:t>
            </w:r>
            <w:r w:rsidRPr="0053713F">
              <w:rPr>
                <w:vertAlign w:val="subscript"/>
              </w:rPr>
              <w:t>2</w:t>
            </w:r>
            <w:r>
              <w:t>]</w:t>
            </w:r>
            <w:proofErr w:type="spellStart"/>
            <w:r>
              <w:t>OTf</w:t>
            </w:r>
            <w:proofErr w:type="spellEnd"/>
          </w:p>
        </w:tc>
        <w:tc>
          <w:tcPr>
            <w:tcW w:w="794" w:type="dxa"/>
            <w:shd w:val="clear" w:color="auto" w:fill="auto"/>
          </w:tcPr>
          <w:p w:rsidR="00A6043D" w:rsidRDefault="00A6043D" w:rsidP="009B6D78">
            <w:pPr>
              <w:pStyle w:val="G4bTableBody"/>
            </w:pPr>
            <w:r>
              <w:t>CH</w:t>
            </w:r>
            <w:r w:rsidRPr="0053713F">
              <w:rPr>
                <w:vertAlign w:val="subscript"/>
              </w:rPr>
              <w:t>2</w:t>
            </w:r>
            <w:r>
              <w:t>Cl</w:t>
            </w:r>
            <w:r w:rsidRPr="0053713F">
              <w:rPr>
                <w:vertAlign w:val="subscript"/>
              </w:rPr>
              <w:t>2</w:t>
            </w:r>
          </w:p>
        </w:tc>
        <w:tc>
          <w:tcPr>
            <w:tcW w:w="991" w:type="dxa"/>
            <w:shd w:val="clear" w:color="auto" w:fill="auto"/>
          </w:tcPr>
          <w:p w:rsidR="00A6043D" w:rsidRDefault="00A6043D" w:rsidP="009B6D78">
            <w:pPr>
              <w:pStyle w:val="G4bTableBody"/>
            </w:pPr>
            <w:r>
              <w:t>100</w:t>
            </w:r>
          </w:p>
        </w:tc>
        <w:tc>
          <w:tcPr>
            <w:tcW w:w="794" w:type="dxa"/>
            <w:shd w:val="clear" w:color="auto" w:fill="auto"/>
          </w:tcPr>
          <w:p w:rsidR="00A6043D" w:rsidRDefault="00A6043D" w:rsidP="009B6D78">
            <w:pPr>
              <w:pStyle w:val="G4bTableBody"/>
            </w:pPr>
            <w:r>
              <w:t>83</w:t>
            </w:r>
          </w:p>
        </w:tc>
        <w:tc>
          <w:tcPr>
            <w:tcW w:w="794" w:type="dxa"/>
            <w:shd w:val="clear" w:color="auto" w:fill="auto"/>
          </w:tcPr>
          <w:p w:rsidR="00A6043D" w:rsidRDefault="00A6043D" w:rsidP="009B6D78">
            <w:pPr>
              <w:pStyle w:val="G4bTableBody"/>
            </w:pPr>
            <w:r>
              <w:t>-</w:t>
            </w:r>
          </w:p>
        </w:tc>
      </w:tr>
    </w:tbl>
    <w:p w:rsidR="00A6043D" w:rsidRDefault="00A6043D" w:rsidP="00A6043D">
      <w:pPr>
        <w:pStyle w:val="G4cTableFootnote"/>
      </w:pPr>
      <w:r>
        <w:rPr>
          <w:i/>
          <w:vertAlign w:val="superscript"/>
        </w:rPr>
        <w:t>a</w:t>
      </w:r>
      <w:r>
        <w:t xml:space="preserve"> Substrate </w:t>
      </w:r>
      <w:r w:rsidRPr="005D2BF5">
        <w:rPr>
          <w:b/>
        </w:rPr>
        <w:t>1a</w:t>
      </w:r>
      <w:r>
        <w:t xml:space="preserve"> (80.2 mg, 0.4 </w:t>
      </w:r>
      <w:proofErr w:type="spellStart"/>
      <w:r>
        <w:t>mmol</w:t>
      </w:r>
      <w:proofErr w:type="spellEnd"/>
      <w:r>
        <w:t xml:space="preserve">), </w:t>
      </w:r>
      <w:proofErr w:type="spellStart"/>
      <w:r>
        <w:t>AgX</w:t>
      </w:r>
      <w:proofErr w:type="spellEnd"/>
      <w:r>
        <w:t xml:space="preserve"> (0.04 </w:t>
      </w:r>
      <w:proofErr w:type="spellStart"/>
      <w:r>
        <w:t>mmol</w:t>
      </w:r>
      <w:proofErr w:type="spellEnd"/>
      <w:r>
        <w:t xml:space="preserve">., 10 </w:t>
      </w:r>
      <w:proofErr w:type="spellStart"/>
      <w:r>
        <w:t>mol</w:t>
      </w:r>
      <w:proofErr w:type="spellEnd"/>
      <w:r>
        <w:t xml:space="preserve">%), solvent (as indicated, 1 mL), room temperature, 6 h. </w:t>
      </w:r>
      <w:proofErr w:type="spellStart"/>
      <w:r w:rsidRPr="00041150">
        <w:rPr>
          <w:i/>
          <w:vertAlign w:val="superscript"/>
        </w:rPr>
        <w:t>b</w:t>
      </w:r>
      <w:r>
        <w:t>Determined</w:t>
      </w:r>
      <w:proofErr w:type="spellEnd"/>
      <w:r>
        <w:t xml:space="preserve"> by </w:t>
      </w:r>
      <w:r w:rsidRPr="0053713F">
        <w:rPr>
          <w:vertAlign w:val="superscript"/>
        </w:rPr>
        <w:t>1</w:t>
      </w:r>
      <w:r>
        <w:t xml:space="preserve">H NMR spectroscopy, using 1,3,5-trimethoxybenzene as internal standard. </w:t>
      </w:r>
      <w:proofErr w:type="spellStart"/>
      <w:r>
        <w:rPr>
          <w:i/>
          <w:vertAlign w:val="superscript"/>
        </w:rPr>
        <w:t>c</w:t>
      </w:r>
      <w:r>
        <w:t>PS</w:t>
      </w:r>
      <w:proofErr w:type="spellEnd"/>
      <w:r>
        <w:t xml:space="preserve">=Proton </w:t>
      </w:r>
      <w:r w:rsidRPr="00AA6633">
        <w:t xml:space="preserve">sponge (5 </w:t>
      </w:r>
      <w:proofErr w:type="spellStart"/>
      <w:r w:rsidRPr="00AA6633">
        <w:t>mol</w:t>
      </w:r>
      <w:proofErr w:type="spellEnd"/>
      <w:r w:rsidRPr="00AA6633">
        <w:t>%),</w:t>
      </w:r>
      <w:r>
        <w:t xml:space="preserve"> 40 °C, 3 h. </w:t>
      </w:r>
      <w:r w:rsidRPr="00AA6633">
        <w:rPr>
          <w:i/>
          <w:vertAlign w:val="superscript"/>
        </w:rPr>
        <w:t>d</w:t>
      </w:r>
      <w:r w:rsidRPr="00AA6633">
        <w:t xml:space="preserve">10 </w:t>
      </w:r>
      <w:proofErr w:type="spellStart"/>
      <w:r w:rsidRPr="00AA6633">
        <w:t>mol</w:t>
      </w:r>
      <w:proofErr w:type="spellEnd"/>
      <w:r w:rsidRPr="00AA6633">
        <w:t>%.</w:t>
      </w:r>
    </w:p>
    <w:p w:rsidR="0080711F" w:rsidRDefault="00A6043D" w:rsidP="00A6043D">
      <w:pPr>
        <w:pStyle w:val="08ArticleText"/>
      </w:pPr>
      <w:proofErr w:type="gramStart"/>
      <w:r w:rsidRPr="00497531">
        <w:lastRenderedPageBreak/>
        <w:t>presence</w:t>
      </w:r>
      <w:proofErr w:type="gramEnd"/>
      <w:r w:rsidRPr="00497531">
        <w:t xml:space="preserve"> of 5</w:t>
      </w:r>
      <w:r>
        <w:t xml:space="preserve"> </w:t>
      </w:r>
      <w:proofErr w:type="spellStart"/>
      <w:r w:rsidRPr="00497531">
        <w:t>mol</w:t>
      </w:r>
      <w:proofErr w:type="spellEnd"/>
      <w:r w:rsidRPr="00497531">
        <w:t xml:space="preserve">% of </w:t>
      </w:r>
      <w:proofErr w:type="spellStart"/>
      <w:r w:rsidRPr="00497531">
        <w:t>TfOH</w:t>
      </w:r>
      <w:proofErr w:type="spellEnd"/>
      <w:r w:rsidRPr="00497531">
        <w:t>. With</w:t>
      </w:r>
      <w:r>
        <w:t xml:space="preserve"> this in mind, the </w:t>
      </w:r>
      <w:proofErr w:type="spellStart"/>
      <w:r>
        <w:t>AgOTf</w:t>
      </w:r>
      <w:proofErr w:type="spellEnd"/>
      <w:r>
        <w:t xml:space="preserve">-catalysed cyclisation of </w:t>
      </w:r>
      <w:r w:rsidRPr="009575DB">
        <w:rPr>
          <w:b/>
        </w:rPr>
        <w:t>1a</w:t>
      </w:r>
      <w:r>
        <w:t xml:space="preserve"> was performed in the presence of a non-coordinating base (proton sponge), which afforded </w:t>
      </w:r>
      <w:r w:rsidRPr="006674F4">
        <w:rPr>
          <w:b/>
        </w:rPr>
        <w:t>2a</w:t>
      </w:r>
      <w:r>
        <w:t xml:space="preserve"> exclusively with 80% conversion (entries 2 vs 7), showing that selective formation of the </w:t>
      </w:r>
      <w:r w:rsidRPr="00F62713">
        <w:rPr>
          <w:i/>
        </w:rPr>
        <w:t>exo</w:t>
      </w:r>
      <w:r>
        <w:t xml:space="preserve">-methylene product </w:t>
      </w:r>
      <w:r w:rsidRPr="00F62713">
        <w:rPr>
          <w:b/>
        </w:rPr>
        <w:t>2</w:t>
      </w:r>
      <w:r>
        <w:t xml:space="preserve"> can be attained by Ag-catalysis, so long as the attendant Brønsted acidity can be suppressed. Guided by this, [</w:t>
      </w:r>
      <w:proofErr w:type="gramStart"/>
      <w:r>
        <w:t>Ag(</w:t>
      </w:r>
      <w:proofErr w:type="spellStart"/>
      <w:proofErr w:type="gramEnd"/>
      <w:r>
        <w:t>py</w:t>
      </w:r>
      <w:proofErr w:type="spellEnd"/>
      <w:r>
        <w:t>)</w:t>
      </w:r>
      <w:r w:rsidRPr="00F83B89">
        <w:rPr>
          <w:vertAlign w:val="subscript"/>
        </w:rPr>
        <w:t>2</w:t>
      </w:r>
      <w:r>
        <w:t>][</w:t>
      </w:r>
      <w:proofErr w:type="spellStart"/>
      <w:r>
        <w:t>OTf</w:t>
      </w:r>
      <w:proofErr w:type="spellEnd"/>
      <w:r>
        <w:t>]</w:t>
      </w:r>
      <w:r w:rsidRPr="003D7EF0">
        <w:rPr>
          <w:vertAlign w:val="superscript"/>
        </w:rPr>
        <w:t>17</w:t>
      </w:r>
      <w:r>
        <w:t xml:space="preserve"> was subsequently prepared and evaluated as a catalyst. Pleasingly, the use of the pyridine-ligated silver salt afforded </w:t>
      </w:r>
      <w:r w:rsidRPr="00E543BA">
        <w:rPr>
          <w:b/>
        </w:rPr>
        <w:t>2a</w:t>
      </w:r>
      <w:r>
        <w:t xml:space="preserve"> as the sole product. Furthermore, the catalyst is not only air- and moisture-stable, but also readily soluble in a number of solvents, allowing consistently good results to be obtained across a number of different reaction media, with no </w:t>
      </w:r>
      <w:r w:rsidRPr="00F04CD5">
        <w:rPr>
          <w:highlight w:val="yellow"/>
        </w:rPr>
        <w:t>deleterious</w:t>
      </w:r>
      <w:r>
        <w:t xml:space="preserve"> effect on conversion or selectivity (Table 1, entries 9-12).</w:t>
      </w:r>
    </w:p>
    <w:p w:rsidR="00A6043D" w:rsidRDefault="00A6043D" w:rsidP="00A6043D">
      <w:pPr>
        <w:pStyle w:val="08ArticleText"/>
      </w:pPr>
      <w:r>
        <w:t xml:space="preserve">The scope of the new catalyst was investigated with a number of substrates (Table 2), and the results were compared with those previously achieved using cationic gold complexes. With </w:t>
      </w:r>
      <w:r w:rsidRPr="0057532E">
        <w:t>substrates containing alkyl substituents at the propargylic position (</w:t>
      </w:r>
      <w:r>
        <w:t>R</w:t>
      </w:r>
      <w:r w:rsidRPr="00D83798">
        <w:rPr>
          <w:vertAlign w:val="superscript"/>
        </w:rPr>
        <w:t>1</w:t>
      </w:r>
      <w:r>
        <w:t xml:space="preserve"> and/or R</w:t>
      </w:r>
      <w:r w:rsidRPr="0093763D">
        <w:rPr>
          <w:vertAlign w:val="superscript"/>
        </w:rPr>
        <w:t>2</w:t>
      </w:r>
      <w:r>
        <w:t xml:space="preserve"> = alkyl</w:t>
      </w:r>
      <w:r w:rsidRPr="0057532E">
        <w:t>),</w:t>
      </w:r>
      <w:r>
        <w:t xml:space="preserve"> very comparable results were attained using</w:t>
      </w:r>
      <w:r w:rsidRPr="0057532E">
        <w:t xml:space="preserve"> </w:t>
      </w:r>
      <w:r>
        <w:t>the silver catalyst at ambient temperature (</w:t>
      </w:r>
      <w:r w:rsidRPr="0057532E">
        <w:t>entries 1-</w:t>
      </w:r>
      <w:r>
        <w:t xml:space="preserve">5). On the other hand, substrates </w:t>
      </w:r>
      <w:r w:rsidRPr="0057532E">
        <w:rPr>
          <w:b/>
        </w:rPr>
        <w:t>1</w:t>
      </w:r>
      <w:r>
        <w:t xml:space="preserve"> (where n = 0</w:t>
      </w:r>
      <w:r w:rsidRPr="0057532E">
        <w:t>)</w:t>
      </w:r>
      <w:r>
        <w:t xml:space="preserve"> containing aryl substituents at the propargylic position (R</w:t>
      </w:r>
      <w:r w:rsidRPr="004D2FF1">
        <w:rPr>
          <w:vertAlign w:val="superscript"/>
        </w:rPr>
        <w:t>1</w:t>
      </w:r>
      <w:r>
        <w:t xml:space="preserve"> = Ar) or internal alkynes (R</w:t>
      </w:r>
      <w:r w:rsidRPr="004D2FF1">
        <w:rPr>
          <w:vertAlign w:val="superscript"/>
        </w:rPr>
        <w:t>3</w:t>
      </w:r>
      <w:r>
        <w:t xml:space="preserve"> ≠ H) were reported to be inert towards gold catalysis</w:t>
      </w:r>
      <w:r w:rsidRPr="0057532E">
        <w:t>.</w:t>
      </w:r>
      <w:r w:rsidRPr="00436298">
        <w:rPr>
          <w:vertAlign w:val="superscript"/>
        </w:rPr>
        <w:t>1</w:t>
      </w:r>
      <w:r w:rsidRPr="0057532E">
        <w:t xml:space="preserve"> </w:t>
      </w:r>
      <w:r>
        <w:t xml:space="preserve">Thus, we were surprised to detect </w:t>
      </w:r>
      <w:r w:rsidRPr="0057532E">
        <w:t xml:space="preserve">a low level of conversion in the </w:t>
      </w:r>
      <w:r>
        <w:t xml:space="preserve">cyclisation of the phenyl-substituted </w:t>
      </w:r>
      <w:r w:rsidRPr="0057532E">
        <w:rPr>
          <w:b/>
        </w:rPr>
        <w:t>1f</w:t>
      </w:r>
      <w:r w:rsidRPr="0057532E">
        <w:t xml:space="preserve"> to </w:t>
      </w:r>
      <w:r w:rsidRPr="0057532E">
        <w:rPr>
          <w:b/>
        </w:rPr>
        <w:t>2f</w:t>
      </w:r>
      <w:r w:rsidRPr="0057532E">
        <w:t xml:space="preserve"> (entry </w:t>
      </w:r>
      <w:r>
        <w:t>6</w:t>
      </w:r>
      <w:r w:rsidRPr="0057532E">
        <w:t>)</w:t>
      </w:r>
      <w:r>
        <w:t xml:space="preserve"> at an elevated temperature of 60 °C. Even</w:t>
      </w:r>
      <w:r w:rsidRPr="0057532E">
        <w:t xml:space="preserve"> more </w:t>
      </w:r>
      <w:r>
        <w:t xml:space="preserve">pleasingly, </w:t>
      </w:r>
      <w:r w:rsidRPr="0057532E">
        <w:t xml:space="preserve">good conversions can be obtained with substrates containing bromide and silyl substituents at the terminal alkyne position </w:t>
      </w:r>
      <w:r>
        <w:t>in good conversions</w:t>
      </w:r>
      <w:r w:rsidRPr="003808EF">
        <w:rPr>
          <w:vertAlign w:val="superscript"/>
        </w:rPr>
        <w:t>18</w:t>
      </w:r>
      <w:r>
        <w:t xml:space="preserve"> </w:t>
      </w:r>
      <w:r w:rsidRPr="0057532E">
        <w:t xml:space="preserve">(entries </w:t>
      </w:r>
      <w:r>
        <w:t>7</w:t>
      </w:r>
      <w:r w:rsidRPr="0057532E">
        <w:t xml:space="preserve"> and </w:t>
      </w:r>
      <w:r>
        <w:t>8</w:t>
      </w:r>
      <w:r w:rsidRPr="0057532E">
        <w:t>, respectively).</w:t>
      </w:r>
      <w:r>
        <w:t xml:space="preserve"> </w:t>
      </w:r>
    </w:p>
    <w:p w:rsidR="00A6043D" w:rsidRDefault="00A6043D" w:rsidP="00A6043D">
      <w:pPr>
        <w:pStyle w:val="08ArticleText"/>
      </w:pPr>
      <w:r>
        <w:tab/>
        <w:t>In comparison, 6-</w:t>
      </w:r>
      <w:r w:rsidRPr="00DD1D1F">
        <w:rPr>
          <w:i/>
        </w:rPr>
        <w:t>exo</w:t>
      </w:r>
      <w:r>
        <w:t>-</w:t>
      </w:r>
      <w:r w:rsidRPr="00594140">
        <w:rPr>
          <w:i/>
        </w:rPr>
        <w:t>dig</w:t>
      </w:r>
      <w:r>
        <w:t xml:space="preserve"> </w:t>
      </w:r>
      <w:proofErr w:type="spellStart"/>
      <w:r>
        <w:t>cyclisations</w:t>
      </w:r>
      <w:proofErr w:type="spellEnd"/>
      <w:r>
        <w:t xml:space="preserve"> with </w:t>
      </w:r>
      <w:proofErr w:type="spellStart"/>
      <w:r>
        <w:t>homopropargylic</w:t>
      </w:r>
      <w:proofErr w:type="spellEnd"/>
      <w:r>
        <w:t xml:space="preserve"> substrates (where n = 1) were equally facile at room temperature and the products can be isolated in good yields. Both alkyl and</w:t>
      </w:r>
    </w:p>
    <w:p w:rsidR="00A6043D" w:rsidRDefault="00A6043D" w:rsidP="00A6043D">
      <w:pPr>
        <w:pStyle w:val="G4aTableTitle"/>
        <w:pBdr>
          <w:bottom w:val="single" w:sz="6" w:space="2" w:color="auto"/>
        </w:pBdr>
        <w:rPr>
          <w:i/>
          <w:vertAlign w:val="superscript"/>
        </w:rPr>
      </w:pPr>
      <w:r w:rsidRPr="0057532E">
        <w:rPr>
          <w:b/>
        </w:rPr>
        <w:t>Table 2</w:t>
      </w:r>
      <w:r w:rsidRPr="0057532E">
        <w:t xml:space="preserve"> 5- and 6-</w:t>
      </w:r>
      <w:r w:rsidRPr="0057532E">
        <w:rPr>
          <w:i/>
        </w:rPr>
        <w:t>exo-dig</w:t>
      </w:r>
      <w:r w:rsidRPr="0057532E">
        <w:t xml:space="preserve"> </w:t>
      </w:r>
      <w:proofErr w:type="spellStart"/>
      <w:r w:rsidRPr="0057532E">
        <w:t>cyclisations</w:t>
      </w:r>
      <w:proofErr w:type="spellEnd"/>
      <w:r w:rsidRPr="0057532E">
        <w:t xml:space="preserve"> of (homo</w:t>
      </w:r>
      <w:proofErr w:type="gramStart"/>
      <w:r w:rsidRPr="0057532E">
        <w:t>)</w:t>
      </w:r>
      <w:proofErr w:type="spellStart"/>
      <w:r w:rsidRPr="0057532E">
        <w:t>propargylic</w:t>
      </w:r>
      <w:proofErr w:type="spellEnd"/>
      <w:proofErr w:type="gramEnd"/>
      <w:r w:rsidRPr="0057532E">
        <w:t xml:space="preserve"> </w:t>
      </w:r>
      <w:proofErr w:type="spellStart"/>
      <w:r w:rsidRPr="0057532E">
        <w:t>trichloroacetimidates.</w:t>
      </w:r>
      <w:r w:rsidRPr="0057532E">
        <w:rPr>
          <w:i/>
          <w:vertAlign w:val="superscript"/>
        </w:rPr>
        <w:t>a</w:t>
      </w:r>
      <w:proofErr w:type="spellEnd"/>
    </w:p>
    <w:p w:rsidR="00A6043D" w:rsidRDefault="00A6043D" w:rsidP="00A6043D">
      <w:pPr>
        <w:pStyle w:val="G2UncaptionedImage"/>
        <w:spacing w:after="0"/>
      </w:pPr>
      <w:r>
        <w:object w:dxaOrig="4089" w:dyaOrig="1272">
          <v:shape id="_x0000_i1026" type="#_x0000_t75" style="width:204.7pt;height:63.4pt" o:ole="">
            <v:imagedata r:id="rId18" o:title=""/>
          </v:shape>
          <o:OLEObject Type="Embed" ProgID="ChemDraw.Document.6.0" ShapeID="_x0000_i1026" DrawAspect="Content" ObjectID="_1502630776" r:id="rId19"/>
        </w:object>
      </w:r>
    </w:p>
    <w:tbl>
      <w:tblPr>
        <w:tblW w:w="4784" w:type="dxa"/>
        <w:tblLayout w:type="fixed"/>
        <w:tblCellMar>
          <w:left w:w="0" w:type="dxa"/>
          <w:right w:w="0" w:type="dxa"/>
        </w:tblCellMar>
        <w:tblLook w:val="0000" w:firstRow="0" w:lastRow="0" w:firstColumn="0" w:lastColumn="0" w:noHBand="0" w:noVBand="0"/>
      </w:tblPr>
      <w:tblGrid>
        <w:gridCol w:w="504"/>
        <w:gridCol w:w="1162"/>
        <w:gridCol w:w="293"/>
        <w:gridCol w:w="593"/>
        <w:gridCol w:w="425"/>
        <w:gridCol w:w="573"/>
        <w:gridCol w:w="642"/>
        <w:gridCol w:w="567"/>
        <w:gridCol w:w="25"/>
      </w:tblGrid>
      <w:tr w:rsidR="00A6043D" w:rsidTr="009B6D78">
        <w:trPr>
          <w:trHeight w:val="31"/>
        </w:trPr>
        <w:tc>
          <w:tcPr>
            <w:tcW w:w="504" w:type="dxa"/>
            <w:tcBorders>
              <w:top w:val="single" w:sz="4" w:space="0" w:color="auto"/>
            </w:tcBorders>
            <w:shd w:val="clear" w:color="auto" w:fill="auto"/>
            <w:vAlign w:val="center"/>
          </w:tcPr>
          <w:p w:rsidR="00A6043D" w:rsidRPr="00981B2D" w:rsidRDefault="00A6043D" w:rsidP="009B6D78">
            <w:pPr>
              <w:pStyle w:val="G4bTableBody"/>
              <w:jc w:val="left"/>
            </w:pPr>
            <w:r>
              <w:t>Entry</w:t>
            </w:r>
          </w:p>
        </w:tc>
        <w:tc>
          <w:tcPr>
            <w:tcW w:w="1162" w:type="dxa"/>
            <w:tcBorders>
              <w:top w:val="single" w:sz="4" w:space="0" w:color="auto"/>
            </w:tcBorders>
            <w:shd w:val="clear" w:color="auto" w:fill="auto"/>
            <w:vAlign w:val="center"/>
          </w:tcPr>
          <w:p w:rsidR="00A6043D" w:rsidRPr="00E96869" w:rsidRDefault="00A6043D" w:rsidP="009B6D78">
            <w:pPr>
              <w:pStyle w:val="G4bTableBody"/>
              <w:jc w:val="left"/>
            </w:pPr>
            <w:r>
              <w:t>R</w:t>
            </w:r>
            <w:r w:rsidRPr="00E96869">
              <w:rPr>
                <w:vertAlign w:val="superscript"/>
              </w:rPr>
              <w:t>1</w:t>
            </w:r>
            <w:r>
              <w:t>, R</w:t>
            </w:r>
            <w:r w:rsidRPr="00E96869">
              <w:rPr>
                <w:vertAlign w:val="superscript"/>
              </w:rPr>
              <w:t>2</w:t>
            </w:r>
            <w:r>
              <w:t>, R</w:t>
            </w:r>
            <w:r w:rsidRPr="00E96869">
              <w:rPr>
                <w:vertAlign w:val="superscript"/>
              </w:rPr>
              <w:t>3</w:t>
            </w:r>
            <w:r>
              <w:t xml:space="preserve"> </w:t>
            </w:r>
          </w:p>
        </w:tc>
        <w:tc>
          <w:tcPr>
            <w:tcW w:w="293" w:type="dxa"/>
            <w:tcBorders>
              <w:top w:val="single" w:sz="4" w:space="0" w:color="auto"/>
            </w:tcBorders>
            <w:vAlign w:val="center"/>
          </w:tcPr>
          <w:p w:rsidR="00A6043D" w:rsidRDefault="00A6043D" w:rsidP="009B6D78">
            <w:pPr>
              <w:pStyle w:val="G4bTableBody"/>
              <w:jc w:val="left"/>
            </w:pPr>
            <w:r>
              <w:t>n</w:t>
            </w:r>
          </w:p>
        </w:tc>
        <w:tc>
          <w:tcPr>
            <w:tcW w:w="593" w:type="dxa"/>
            <w:tcBorders>
              <w:top w:val="single" w:sz="4" w:space="0" w:color="auto"/>
            </w:tcBorders>
          </w:tcPr>
          <w:p w:rsidR="00A6043D" w:rsidRDefault="00A6043D" w:rsidP="009B6D78">
            <w:pPr>
              <w:pStyle w:val="G4bTableBody"/>
              <w:jc w:val="left"/>
            </w:pPr>
            <w:r>
              <w:t>solvent</w:t>
            </w:r>
          </w:p>
        </w:tc>
        <w:tc>
          <w:tcPr>
            <w:tcW w:w="425" w:type="dxa"/>
            <w:tcBorders>
              <w:top w:val="single" w:sz="4" w:space="0" w:color="auto"/>
            </w:tcBorders>
            <w:shd w:val="clear" w:color="auto" w:fill="auto"/>
            <w:vAlign w:val="center"/>
          </w:tcPr>
          <w:p w:rsidR="00A6043D" w:rsidRPr="00D868E3" w:rsidRDefault="00A6043D" w:rsidP="009B6D78">
            <w:pPr>
              <w:pStyle w:val="G4bTableBody"/>
              <w:jc w:val="left"/>
              <w:rPr>
                <w:vertAlign w:val="superscript"/>
              </w:rPr>
            </w:pPr>
            <w:r>
              <w:t>T/°C</w:t>
            </w:r>
          </w:p>
        </w:tc>
        <w:tc>
          <w:tcPr>
            <w:tcW w:w="573" w:type="dxa"/>
            <w:tcBorders>
              <w:top w:val="single" w:sz="4" w:space="0" w:color="auto"/>
            </w:tcBorders>
          </w:tcPr>
          <w:p w:rsidR="00A6043D" w:rsidRDefault="00A6043D" w:rsidP="009B6D78">
            <w:pPr>
              <w:pStyle w:val="G4bTableBody"/>
              <w:jc w:val="left"/>
            </w:pPr>
            <w:r>
              <w:t>t/h</w:t>
            </w:r>
          </w:p>
        </w:tc>
        <w:tc>
          <w:tcPr>
            <w:tcW w:w="642" w:type="dxa"/>
            <w:tcBorders>
              <w:top w:val="single" w:sz="4" w:space="0" w:color="auto"/>
            </w:tcBorders>
            <w:vAlign w:val="center"/>
          </w:tcPr>
          <w:p w:rsidR="00A6043D" w:rsidRDefault="00A6043D" w:rsidP="009B6D78">
            <w:pPr>
              <w:pStyle w:val="G4bTableBody"/>
              <w:jc w:val="left"/>
            </w:pPr>
            <w:r>
              <w:t>Product</w:t>
            </w:r>
          </w:p>
        </w:tc>
        <w:tc>
          <w:tcPr>
            <w:tcW w:w="567" w:type="dxa"/>
            <w:tcBorders>
              <w:top w:val="single" w:sz="4" w:space="0" w:color="auto"/>
            </w:tcBorders>
            <w:vAlign w:val="center"/>
          </w:tcPr>
          <w:p w:rsidR="00A6043D" w:rsidRPr="00D868E3" w:rsidRDefault="00A6043D" w:rsidP="009B6D78">
            <w:pPr>
              <w:pStyle w:val="G4bTableBody"/>
              <w:jc w:val="left"/>
              <w:rPr>
                <w:vertAlign w:val="superscript"/>
              </w:rPr>
            </w:pPr>
            <w:proofErr w:type="spellStart"/>
            <w:r>
              <w:t>Yield</w:t>
            </w:r>
            <w:r w:rsidRPr="00D83798">
              <w:rPr>
                <w:i/>
                <w:vertAlign w:val="superscript"/>
              </w:rPr>
              <w:t>b</w:t>
            </w:r>
            <w:proofErr w:type="spellEnd"/>
          </w:p>
        </w:tc>
        <w:tc>
          <w:tcPr>
            <w:tcW w:w="25" w:type="dxa"/>
            <w:tcBorders>
              <w:top w:val="single" w:sz="4" w:space="0" w:color="auto"/>
            </w:tcBorders>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1</w:t>
            </w:r>
          </w:p>
        </w:tc>
        <w:tc>
          <w:tcPr>
            <w:tcW w:w="1162" w:type="dxa"/>
            <w:shd w:val="clear" w:color="auto" w:fill="auto"/>
            <w:vAlign w:val="center"/>
          </w:tcPr>
          <w:p w:rsidR="00A6043D" w:rsidRDefault="00A6043D" w:rsidP="009B6D78">
            <w:pPr>
              <w:pStyle w:val="G4bTableBody"/>
              <w:jc w:val="left"/>
            </w:pPr>
            <w:r>
              <w:t xml:space="preserve">H, H, H </w:t>
            </w:r>
          </w:p>
        </w:tc>
        <w:tc>
          <w:tcPr>
            <w:tcW w:w="293" w:type="dxa"/>
            <w:vAlign w:val="center"/>
          </w:tcPr>
          <w:p w:rsidR="00A6043D" w:rsidRPr="009A18C7" w:rsidRDefault="00A6043D" w:rsidP="009B6D78">
            <w:pPr>
              <w:pStyle w:val="G4bTableBody"/>
              <w:jc w:val="left"/>
            </w:pPr>
            <w:r w:rsidRPr="009A18C7">
              <w:t>0</w:t>
            </w:r>
          </w:p>
        </w:tc>
        <w:tc>
          <w:tcPr>
            <w:tcW w:w="593" w:type="dxa"/>
          </w:tcPr>
          <w:p w:rsidR="00A6043D" w:rsidRPr="00A2099C" w:rsidRDefault="00A6043D" w:rsidP="009B6D78">
            <w:pPr>
              <w:pStyle w:val="G4bTableBody"/>
              <w:tabs>
                <w:tab w:val="left" w:pos="175"/>
              </w:tabs>
              <w:jc w:val="left"/>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sidRPr="009A18C7">
              <w:rPr>
                <w:b/>
              </w:rPr>
              <w:t>2a</w:t>
            </w:r>
          </w:p>
        </w:tc>
        <w:tc>
          <w:tcPr>
            <w:tcW w:w="567" w:type="dxa"/>
            <w:vAlign w:val="center"/>
          </w:tcPr>
          <w:p w:rsidR="00A6043D" w:rsidRDefault="00A6043D" w:rsidP="009B6D78">
            <w:pPr>
              <w:pStyle w:val="G4bTableBody"/>
              <w:jc w:val="left"/>
            </w:pPr>
            <w:r w:rsidRPr="008E73B7">
              <w:t>87 (67)</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2</w:t>
            </w:r>
          </w:p>
        </w:tc>
        <w:tc>
          <w:tcPr>
            <w:tcW w:w="1162" w:type="dxa"/>
            <w:shd w:val="clear" w:color="auto" w:fill="auto"/>
            <w:vAlign w:val="center"/>
          </w:tcPr>
          <w:p w:rsidR="00A6043D" w:rsidRDefault="00A6043D" w:rsidP="009B6D78">
            <w:pPr>
              <w:pStyle w:val="G4bTableBody"/>
              <w:jc w:val="left"/>
            </w:pPr>
            <w:r>
              <w:t>Me, H, H</w:t>
            </w:r>
          </w:p>
        </w:tc>
        <w:tc>
          <w:tcPr>
            <w:tcW w:w="293" w:type="dxa"/>
            <w:vAlign w:val="center"/>
          </w:tcPr>
          <w:p w:rsidR="00A6043D" w:rsidRPr="009A18C7" w:rsidRDefault="00A6043D" w:rsidP="009B6D78">
            <w:pPr>
              <w:pStyle w:val="G4bTableBody"/>
              <w:jc w:val="left"/>
            </w:pPr>
            <w:r>
              <w:t>0</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2b</w:t>
            </w:r>
          </w:p>
        </w:tc>
        <w:tc>
          <w:tcPr>
            <w:tcW w:w="567" w:type="dxa"/>
            <w:vAlign w:val="center"/>
          </w:tcPr>
          <w:p w:rsidR="00A6043D" w:rsidRDefault="00A6043D" w:rsidP="009B6D78">
            <w:pPr>
              <w:pStyle w:val="G4bTableBody"/>
              <w:jc w:val="left"/>
            </w:pPr>
            <w:r w:rsidRPr="008E73B7">
              <w:t>85 (74)</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3</w:t>
            </w:r>
          </w:p>
        </w:tc>
        <w:tc>
          <w:tcPr>
            <w:tcW w:w="1162" w:type="dxa"/>
            <w:shd w:val="clear" w:color="auto" w:fill="auto"/>
            <w:vAlign w:val="center"/>
          </w:tcPr>
          <w:p w:rsidR="00A6043D" w:rsidRDefault="00A6043D" w:rsidP="009B6D78">
            <w:pPr>
              <w:pStyle w:val="G4bTableBody"/>
              <w:jc w:val="left"/>
            </w:pPr>
            <w:r>
              <w:t xml:space="preserve">Et, H, H </w:t>
            </w:r>
          </w:p>
        </w:tc>
        <w:tc>
          <w:tcPr>
            <w:tcW w:w="293" w:type="dxa"/>
            <w:vAlign w:val="center"/>
          </w:tcPr>
          <w:p w:rsidR="00A6043D" w:rsidRPr="009A18C7" w:rsidRDefault="00A6043D" w:rsidP="009B6D78">
            <w:pPr>
              <w:pStyle w:val="G4bTableBody"/>
              <w:jc w:val="left"/>
            </w:pPr>
            <w:r w:rsidRPr="009A18C7">
              <w:t>0</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sidRPr="009A18C7">
              <w:rPr>
                <w:b/>
              </w:rPr>
              <w:t>2</w:t>
            </w:r>
            <w:r>
              <w:rPr>
                <w:b/>
              </w:rPr>
              <w:t>c</w:t>
            </w:r>
          </w:p>
        </w:tc>
        <w:tc>
          <w:tcPr>
            <w:tcW w:w="567" w:type="dxa"/>
            <w:vAlign w:val="center"/>
          </w:tcPr>
          <w:p w:rsidR="00A6043D" w:rsidRDefault="00A6043D" w:rsidP="009B6D78">
            <w:pPr>
              <w:pStyle w:val="G4bTableBody"/>
              <w:jc w:val="left"/>
            </w:pPr>
            <w:r w:rsidRPr="008E73B7">
              <w:t>&gt;99 (86)</w:t>
            </w:r>
          </w:p>
        </w:tc>
        <w:tc>
          <w:tcPr>
            <w:tcW w:w="25" w:type="dxa"/>
            <w:vAlign w:val="center"/>
          </w:tcPr>
          <w:p w:rsidR="00A6043D" w:rsidRDefault="00A6043D" w:rsidP="009B6D78">
            <w:pPr>
              <w:pStyle w:val="G4bTableBody"/>
              <w:jc w:val="left"/>
            </w:pPr>
          </w:p>
        </w:tc>
      </w:tr>
      <w:tr w:rsidR="00A6043D" w:rsidTr="009B6D78">
        <w:trPr>
          <w:trHeight w:val="74"/>
        </w:trPr>
        <w:tc>
          <w:tcPr>
            <w:tcW w:w="504" w:type="dxa"/>
            <w:shd w:val="clear" w:color="auto" w:fill="auto"/>
            <w:vAlign w:val="center"/>
          </w:tcPr>
          <w:p w:rsidR="00A6043D" w:rsidRDefault="00A6043D" w:rsidP="009B6D78">
            <w:pPr>
              <w:pStyle w:val="G4bTableBody"/>
              <w:jc w:val="left"/>
            </w:pPr>
            <w:r>
              <w:t>4</w:t>
            </w:r>
          </w:p>
        </w:tc>
        <w:tc>
          <w:tcPr>
            <w:tcW w:w="1162" w:type="dxa"/>
            <w:shd w:val="clear" w:color="auto" w:fill="auto"/>
            <w:vAlign w:val="center"/>
          </w:tcPr>
          <w:p w:rsidR="00A6043D" w:rsidRDefault="00A6043D" w:rsidP="009B6D78">
            <w:pPr>
              <w:pStyle w:val="G4bTableBody"/>
              <w:jc w:val="left"/>
            </w:pPr>
            <w:r w:rsidRPr="00E96869">
              <w:rPr>
                <w:i/>
              </w:rPr>
              <w:t>i</w:t>
            </w:r>
            <w:r>
              <w:t>-Pr, H, H</w:t>
            </w:r>
          </w:p>
        </w:tc>
        <w:tc>
          <w:tcPr>
            <w:tcW w:w="293" w:type="dxa"/>
            <w:vAlign w:val="center"/>
          </w:tcPr>
          <w:p w:rsidR="00A6043D" w:rsidRPr="009A18C7" w:rsidRDefault="00A6043D" w:rsidP="009B6D78">
            <w:pPr>
              <w:pStyle w:val="G4bTableBody"/>
              <w:jc w:val="left"/>
            </w:pPr>
            <w:r w:rsidRPr="009A18C7">
              <w:t>0</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sidRPr="009A18C7">
              <w:rPr>
                <w:b/>
              </w:rPr>
              <w:t>2</w:t>
            </w:r>
            <w:r>
              <w:rPr>
                <w:b/>
              </w:rPr>
              <w:t>d</w:t>
            </w:r>
          </w:p>
        </w:tc>
        <w:tc>
          <w:tcPr>
            <w:tcW w:w="567" w:type="dxa"/>
            <w:vAlign w:val="center"/>
          </w:tcPr>
          <w:p w:rsidR="00A6043D" w:rsidRDefault="00A6043D" w:rsidP="009B6D78">
            <w:pPr>
              <w:pStyle w:val="G4bTableBody"/>
              <w:jc w:val="left"/>
            </w:pPr>
            <w:r w:rsidRPr="008E73B7">
              <w:t>87 (82)</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5</w:t>
            </w:r>
          </w:p>
        </w:tc>
        <w:tc>
          <w:tcPr>
            <w:tcW w:w="1162" w:type="dxa"/>
            <w:shd w:val="clear" w:color="auto" w:fill="auto"/>
            <w:vAlign w:val="center"/>
          </w:tcPr>
          <w:p w:rsidR="00A6043D" w:rsidRDefault="00A6043D" w:rsidP="009B6D78">
            <w:pPr>
              <w:pStyle w:val="G4bTableBody"/>
              <w:jc w:val="left"/>
            </w:pPr>
            <w:r>
              <w:t xml:space="preserve">Me, Me, H </w:t>
            </w:r>
          </w:p>
        </w:tc>
        <w:tc>
          <w:tcPr>
            <w:tcW w:w="293" w:type="dxa"/>
            <w:vAlign w:val="center"/>
          </w:tcPr>
          <w:p w:rsidR="00A6043D" w:rsidRPr="009A18C7" w:rsidRDefault="00A6043D" w:rsidP="009B6D78">
            <w:pPr>
              <w:pStyle w:val="G4bTableBody"/>
              <w:jc w:val="left"/>
            </w:pPr>
            <w:r w:rsidRPr="009A18C7">
              <w:t>0</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sidRPr="009A18C7">
              <w:rPr>
                <w:b/>
              </w:rPr>
              <w:t>2</w:t>
            </w:r>
            <w:r>
              <w:rPr>
                <w:b/>
              </w:rPr>
              <w:t>e</w:t>
            </w:r>
          </w:p>
        </w:tc>
        <w:tc>
          <w:tcPr>
            <w:tcW w:w="567" w:type="dxa"/>
            <w:vAlign w:val="center"/>
          </w:tcPr>
          <w:p w:rsidR="00A6043D" w:rsidRDefault="00A6043D" w:rsidP="009B6D78">
            <w:pPr>
              <w:pStyle w:val="G4bTableBody"/>
              <w:jc w:val="left"/>
            </w:pPr>
            <w:r w:rsidRPr="008E73B7">
              <w:t>89 (79)</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6</w:t>
            </w:r>
          </w:p>
        </w:tc>
        <w:tc>
          <w:tcPr>
            <w:tcW w:w="1162" w:type="dxa"/>
            <w:shd w:val="clear" w:color="auto" w:fill="auto"/>
            <w:vAlign w:val="center"/>
          </w:tcPr>
          <w:p w:rsidR="00A6043D" w:rsidRDefault="00A6043D" w:rsidP="009B6D78">
            <w:pPr>
              <w:pStyle w:val="G4bTableBody"/>
              <w:jc w:val="left"/>
            </w:pPr>
            <w:r>
              <w:t xml:space="preserve">H, H, </w:t>
            </w:r>
            <w:proofErr w:type="spellStart"/>
            <w:r>
              <w:t>Ph</w:t>
            </w:r>
            <w:proofErr w:type="spellEnd"/>
            <w:r>
              <w:t xml:space="preserve"> </w:t>
            </w:r>
          </w:p>
        </w:tc>
        <w:tc>
          <w:tcPr>
            <w:tcW w:w="293" w:type="dxa"/>
            <w:vAlign w:val="center"/>
          </w:tcPr>
          <w:p w:rsidR="00A6043D" w:rsidRPr="009A18C7" w:rsidRDefault="00A6043D" w:rsidP="009B6D78">
            <w:pPr>
              <w:pStyle w:val="G4bTableBody"/>
              <w:jc w:val="left"/>
            </w:pPr>
            <w:r w:rsidRPr="009A18C7">
              <w:t>0</w:t>
            </w:r>
          </w:p>
        </w:tc>
        <w:tc>
          <w:tcPr>
            <w:tcW w:w="593" w:type="dxa"/>
          </w:tcPr>
          <w:p w:rsidR="00A6043D" w:rsidRPr="00A2099C" w:rsidRDefault="00A6043D" w:rsidP="009B6D78">
            <w:pPr>
              <w:pStyle w:val="G4bTableBody"/>
              <w:jc w:val="left"/>
            </w:pPr>
            <w:proofErr w:type="spellStart"/>
            <w:r w:rsidRPr="00A2099C">
              <w:t>MeCN</w:t>
            </w:r>
            <w:proofErr w:type="spellEnd"/>
          </w:p>
        </w:tc>
        <w:tc>
          <w:tcPr>
            <w:tcW w:w="425" w:type="dxa"/>
            <w:shd w:val="clear" w:color="auto" w:fill="auto"/>
            <w:vAlign w:val="center"/>
          </w:tcPr>
          <w:p w:rsidR="00A6043D" w:rsidRPr="00A2099C" w:rsidRDefault="00A6043D" w:rsidP="009B6D78">
            <w:pPr>
              <w:pStyle w:val="G4bTableBody"/>
              <w:jc w:val="left"/>
            </w:pPr>
            <w:r>
              <w:t>60</w:t>
            </w:r>
          </w:p>
        </w:tc>
        <w:tc>
          <w:tcPr>
            <w:tcW w:w="573" w:type="dxa"/>
          </w:tcPr>
          <w:p w:rsidR="00A6043D" w:rsidRPr="00A2099C" w:rsidRDefault="00A6043D" w:rsidP="009B6D78">
            <w:pPr>
              <w:pStyle w:val="G4bTableBody"/>
              <w:jc w:val="left"/>
            </w:pPr>
            <w:r>
              <w:t>7</w:t>
            </w:r>
          </w:p>
        </w:tc>
        <w:tc>
          <w:tcPr>
            <w:tcW w:w="642" w:type="dxa"/>
            <w:vAlign w:val="center"/>
          </w:tcPr>
          <w:p w:rsidR="00A6043D" w:rsidRPr="009A18C7" w:rsidRDefault="00A6043D" w:rsidP="009B6D78">
            <w:pPr>
              <w:pStyle w:val="G4bTableBody"/>
              <w:jc w:val="left"/>
              <w:rPr>
                <w:b/>
              </w:rPr>
            </w:pPr>
            <w:r w:rsidRPr="009A18C7">
              <w:rPr>
                <w:b/>
              </w:rPr>
              <w:t>2</w:t>
            </w:r>
            <w:r>
              <w:rPr>
                <w:b/>
              </w:rPr>
              <w:t>f</w:t>
            </w:r>
          </w:p>
        </w:tc>
        <w:tc>
          <w:tcPr>
            <w:tcW w:w="567" w:type="dxa"/>
            <w:vAlign w:val="center"/>
          </w:tcPr>
          <w:p w:rsidR="00A6043D" w:rsidRDefault="00A6043D" w:rsidP="009B6D78">
            <w:pPr>
              <w:pStyle w:val="G4bTableBody"/>
              <w:jc w:val="left"/>
            </w:pPr>
            <w:r>
              <w:t>29</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7</w:t>
            </w:r>
          </w:p>
        </w:tc>
        <w:tc>
          <w:tcPr>
            <w:tcW w:w="1162" w:type="dxa"/>
            <w:shd w:val="clear" w:color="auto" w:fill="auto"/>
            <w:vAlign w:val="center"/>
          </w:tcPr>
          <w:p w:rsidR="00A6043D" w:rsidRDefault="00A6043D" w:rsidP="009B6D78">
            <w:pPr>
              <w:pStyle w:val="G4bTableBody"/>
              <w:jc w:val="left"/>
            </w:pPr>
            <w:r>
              <w:t>H, H, SiMe</w:t>
            </w:r>
            <w:r w:rsidRPr="00F33B1E">
              <w:rPr>
                <w:vertAlign w:val="subscript"/>
              </w:rPr>
              <w:t>3</w:t>
            </w:r>
            <w:r>
              <w:t xml:space="preserve"> </w:t>
            </w:r>
          </w:p>
        </w:tc>
        <w:tc>
          <w:tcPr>
            <w:tcW w:w="293" w:type="dxa"/>
            <w:vAlign w:val="center"/>
          </w:tcPr>
          <w:p w:rsidR="00A6043D" w:rsidRPr="009A18C7" w:rsidRDefault="00A6043D" w:rsidP="009B6D78">
            <w:pPr>
              <w:pStyle w:val="G4bTableBody"/>
              <w:jc w:val="left"/>
            </w:pPr>
            <w:r w:rsidRPr="009A18C7">
              <w:t>0</w:t>
            </w:r>
          </w:p>
        </w:tc>
        <w:tc>
          <w:tcPr>
            <w:tcW w:w="593" w:type="dxa"/>
          </w:tcPr>
          <w:p w:rsidR="00A6043D" w:rsidRDefault="00A6043D" w:rsidP="009B6D78">
            <w:pPr>
              <w:pStyle w:val="G4bTableBody"/>
              <w:jc w:val="left"/>
              <w:rPr>
                <w:b/>
              </w:rPr>
            </w:pPr>
            <w:proofErr w:type="spellStart"/>
            <w:r w:rsidRPr="00A2099C">
              <w:t>MeCN</w:t>
            </w:r>
            <w:proofErr w:type="spellEnd"/>
          </w:p>
        </w:tc>
        <w:tc>
          <w:tcPr>
            <w:tcW w:w="425" w:type="dxa"/>
            <w:shd w:val="clear" w:color="auto" w:fill="auto"/>
            <w:vAlign w:val="center"/>
          </w:tcPr>
          <w:p w:rsidR="00A6043D" w:rsidRPr="00A2099C" w:rsidRDefault="00A6043D" w:rsidP="009B6D78">
            <w:pPr>
              <w:pStyle w:val="G4bTableBody"/>
              <w:jc w:val="left"/>
            </w:pPr>
            <w:r>
              <w:t>60</w:t>
            </w:r>
          </w:p>
        </w:tc>
        <w:tc>
          <w:tcPr>
            <w:tcW w:w="573" w:type="dxa"/>
          </w:tcPr>
          <w:p w:rsidR="00A6043D" w:rsidRPr="00A2099C" w:rsidRDefault="00A6043D" w:rsidP="009B6D78">
            <w:pPr>
              <w:pStyle w:val="G4bTableBody"/>
              <w:jc w:val="left"/>
            </w:pPr>
            <w:r>
              <w:t>7</w:t>
            </w:r>
          </w:p>
        </w:tc>
        <w:tc>
          <w:tcPr>
            <w:tcW w:w="642" w:type="dxa"/>
            <w:vAlign w:val="center"/>
          </w:tcPr>
          <w:p w:rsidR="00A6043D" w:rsidRPr="009A18C7" w:rsidRDefault="00A6043D" w:rsidP="009B6D78">
            <w:pPr>
              <w:pStyle w:val="G4bTableBody"/>
              <w:jc w:val="left"/>
              <w:rPr>
                <w:b/>
              </w:rPr>
            </w:pPr>
            <w:r w:rsidRPr="009A18C7">
              <w:rPr>
                <w:b/>
              </w:rPr>
              <w:t>2</w:t>
            </w:r>
            <w:r>
              <w:rPr>
                <w:b/>
              </w:rPr>
              <w:t>g</w:t>
            </w:r>
          </w:p>
        </w:tc>
        <w:tc>
          <w:tcPr>
            <w:tcW w:w="567" w:type="dxa"/>
            <w:vAlign w:val="center"/>
          </w:tcPr>
          <w:p w:rsidR="00A6043D" w:rsidRPr="00AA6633" w:rsidRDefault="00A6043D" w:rsidP="009B6D78">
            <w:pPr>
              <w:pStyle w:val="G4bTableBody"/>
              <w:jc w:val="left"/>
              <w:rPr>
                <w:highlight w:val="yellow"/>
              </w:rPr>
            </w:pPr>
            <w:r w:rsidRPr="008E73B7">
              <w:t>82 (72)</w:t>
            </w:r>
          </w:p>
        </w:tc>
        <w:tc>
          <w:tcPr>
            <w:tcW w:w="25" w:type="dxa"/>
            <w:vAlign w:val="center"/>
          </w:tcPr>
          <w:p w:rsidR="00A6043D" w:rsidRPr="00AA6633" w:rsidRDefault="00A6043D" w:rsidP="009B6D78">
            <w:pPr>
              <w:pStyle w:val="G4bTableBody"/>
              <w:jc w:val="left"/>
              <w:rPr>
                <w:highlight w:val="yellow"/>
              </w:rPr>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8</w:t>
            </w:r>
          </w:p>
        </w:tc>
        <w:tc>
          <w:tcPr>
            <w:tcW w:w="1162" w:type="dxa"/>
            <w:shd w:val="clear" w:color="auto" w:fill="auto"/>
            <w:vAlign w:val="center"/>
          </w:tcPr>
          <w:p w:rsidR="00A6043D" w:rsidRDefault="00A6043D" w:rsidP="009B6D78">
            <w:pPr>
              <w:pStyle w:val="G4bTableBody"/>
              <w:jc w:val="left"/>
            </w:pPr>
            <w:r>
              <w:t>H, H, Br</w:t>
            </w:r>
          </w:p>
        </w:tc>
        <w:tc>
          <w:tcPr>
            <w:tcW w:w="293" w:type="dxa"/>
            <w:vAlign w:val="center"/>
          </w:tcPr>
          <w:p w:rsidR="00A6043D" w:rsidRPr="009A18C7" w:rsidRDefault="00A6043D" w:rsidP="009B6D78">
            <w:pPr>
              <w:pStyle w:val="G4bTableBody"/>
              <w:jc w:val="left"/>
            </w:pPr>
            <w:r>
              <w:t>0</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2h</w:t>
            </w:r>
          </w:p>
        </w:tc>
        <w:tc>
          <w:tcPr>
            <w:tcW w:w="567" w:type="dxa"/>
            <w:vAlign w:val="center"/>
          </w:tcPr>
          <w:p w:rsidR="00A6043D" w:rsidRPr="000E7964" w:rsidRDefault="00A6043D" w:rsidP="009B6D78">
            <w:pPr>
              <w:pStyle w:val="G4bTableBody"/>
              <w:jc w:val="left"/>
              <w:rPr>
                <w:highlight w:val="yellow"/>
              </w:rPr>
            </w:pPr>
            <w:r w:rsidRPr="008E73B7">
              <w:t>77 (30)</w:t>
            </w:r>
          </w:p>
        </w:tc>
        <w:tc>
          <w:tcPr>
            <w:tcW w:w="25" w:type="dxa"/>
            <w:vAlign w:val="center"/>
          </w:tcPr>
          <w:p w:rsidR="00A6043D" w:rsidRPr="000E7964" w:rsidRDefault="00A6043D" w:rsidP="009B6D78">
            <w:pPr>
              <w:pStyle w:val="G4bTableBody"/>
              <w:jc w:val="left"/>
              <w:rPr>
                <w:highlight w:val="yellow"/>
              </w:rPr>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9</w:t>
            </w:r>
          </w:p>
        </w:tc>
        <w:tc>
          <w:tcPr>
            <w:tcW w:w="1162" w:type="dxa"/>
            <w:shd w:val="clear" w:color="auto" w:fill="auto"/>
            <w:vAlign w:val="center"/>
          </w:tcPr>
          <w:p w:rsidR="00A6043D" w:rsidRDefault="00A6043D" w:rsidP="009B6D78">
            <w:pPr>
              <w:pStyle w:val="G4bTableBody"/>
              <w:jc w:val="left"/>
            </w:pPr>
            <w:r>
              <w:t xml:space="preserve">H, H, H </w:t>
            </w:r>
          </w:p>
        </w:tc>
        <w:tc>
          <w:tcPr>
            <w:tcW w:w="293" w:type="dxa"/>
            <w:vAlign w:val="center"/>
          </w:tcPr>
          <w:p w:rsidR="00A6043D" w:rsidRPr="009A18C7" w:rsidRDefault="00A6043D" w:rsidP="009B6D78">
            <w:pPr>
              <w:pStyle w:val="G4bTableBody"/>
              <w:jc w:val="left"/>
            </w:pPr>
            <w:r w:rsidRPr="009A18C7">
              <w:t>1</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4</w:t>
            </w:r>
            <w:r w:rsidRPr="009A18C7">
              <w:rPr>
                <w:b/>
              </w:rPr>
              <w:t>a</w:t>
            </w:r>
          </w:p>
        </w:tc>
        <w:tc>
          <w:tcPr>
            <w:tcW w:w="567" w:type="dxa"/>
            <w:vAlign w:val="center"/>
          </w:tcPr>
          <w:p w:rsidR="00A6043D" w:rsidRDefault="00A6043D" w:rsidP="009B6D78">
            <w:pPr>
              <w:pStyle w:val="G4bTableBody"/>
              <w:jc w:val="left"/>
            </w:pPr>
            <w:r w:rsidRPr="008E73B7">
              <w:t>93 (76)</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10</w:t>
            </w:r>
          </w:p>
        </w:tc>
        <w:tc>
          <w:tcPr>
            <w:tcW w:w="1162" w:type="dxa"/>
            <w:shd w:val="clear" w:color="auto" w:fill="auto"/>
            <w:vAlign w:val="center"/>
          </w:tcPr>
          <w:p w:rsidR="00A6043D" w:rsidRDefault="00A6043D" w:rsidP="009B6D78">
            <w:pPr>
              <w:pStyle w:val="G4bTableBody"/>
              <w:jc w:val="left"/>
            </w:pPr>
            <w:r>
              <w:t>Me, H, H</w:t>
            </w:r>
          </w:p>
        </w:tc>
        <w:tc>
          <w:tcPr>
            <w:tcW w:w="293" w:type="dxa"/>
            <w:vAlign w:val="center"/>
          </w:tcPr>
          <w:p w:rsidR="00A6043D" w:rsidRDefault="00A6043D" w:rsidP="009B6D78">
            <w:pPr>
              <w:pStyle w:val="G4bTableBody"/>
              <w:jc w:val="left"/>
            </w:pPr>
            <w:r>
              <w:t>1</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4</w:t>
            </w:r>
            <w:r w:rsidRPr="009A18C7">
              <w:rPr>
                <w:b/>
              </w:rPr>
              <w:t>b</w:t>
            </w:r>
          </w:p>
        </w:tc>
        <w:tc>
          <w:tcPr>
            <w:tcW w:w="567" w:type="dxa"/>
            <w:vAlign w:val="center"/>
          </w:tcPr>
          <w:p w:rsidR="00A6043D" w:rsidRDefault="00A6043D" w:rsidP="009B6D78">
            <w:pPr>
              <w:pStyle w:val="G4bTableBody"/>
              <w:jc w:val="left"/>
            </w:pPr>
            <w:r w:rsidRPr="008E73B7">
              <w:t>97 (93)</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11</w:t>
            </w:r>
          </w:p>
        </w:tc>
        <w:tc>
          <w:tcPr>
            <w:tcW w:w="1162" w:type="dxa"/>
            <w:shd w:val="clear" w:color="auto" w:fill="auto"/>
            <w:vAlign w:val="center"/>
          </w:tcPr>
          <w:p w:rsidR="00A6043D" w:rsidRDefault="00A6043D" w:rsidP="009B6D78">
            <w:pPr>
              <w:pStyle w:val="G4bTableBody"/>
              <w:jc w:val="left"/>
            </w:pPr>
            <w:r>
              <w:t>Et, H, H</w:t>
            </w:r>
          </w:p>
        </w:tc>
        <w:tc>
          <w:tcPr>
            <w:tcW w:w="293" w:type="dxa"/>
            <w:vAlign w:val="center"/>
          </w:tcPr>
          <w:p w:rsidR="00A6043D" w:rsidRDefault="00A6043D" w:rsidP="009B6D78">
            <w:pPr>
              <w:pStyle w:val="G4bTableBody"/>
              <w:jc w:val="left"/>
            </w:pPr>
            <w:r>
              <w:t>1</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4</w:t>
            </w:r>
            <w:r w:rsidRPr="009A18C7">
              <w:rPr>
                <w:b/>
              </w:rPr>
              <w:t>c</w:t>
            </w:r>
          </w:p>
        </w:tc>
        <w:tc>
          <w:tcPr>
            <w:tcW w:w="567" w:type="dxa"/>
            <w:vAlign w:val="center"/>
          </w:tcPr>
          <w:p w:rsidR="00A6043D" w:rsidRDefault="00A6043D" w:rsidP="009B6D78">
            <w:pPr>
              <w:pStyle w:val="G4bTableBody"/>
              <w:jc w:val="left"/>
            </w:pPr>
            <w:r w:rsidRPr="008E73B7">
              <w:t>99 (91)</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12</w:t>
            </w:r>
          </w:p>
        </w:tc>
        <w:tc>
          <w:tcPr>
            <w:tcW w:w="1162" w:type="dxa"/>
            <w:shd w:val="clear" w:color="auto" w:fill="auto"/>
            <w:vAlign w:val="center"/>
          </w:tcPr>
          <w:p w:rsidR="00A6043D" w:rsidRDefault="00A6043D" w:rsidP="009B6D78">
            <w:pPr>
              <w:pStyle w:val="G4bTableBody"/>
              <w:jc w:val="left"/>
            </w:pPr>
            <w:proofErr w:type="spellStart"/>
            <w:r>
              <w:t>Ph</w:t>
            </w:r>
            <w:proofErr w:type="spellEnd"/>
            <w:r>
              <w:t>, H, H</w:t>
            </w:r>
          </w:p>
        </w:tc>
        <w:tc>
          <w:tcPr>
            <w:tcW w:w="293" w:type="dxa"/>
            <w:vAlign w:val="center"/>
          </w:tcPr>
          <w:p w:rsidR="00A6043D" w:rsidRDefault="00A6043D" w:rsidP="009B6D78">
            <w:pPr>
              <w:pStyle w:val="G4bTableBody"/>
              <w:jc w:val="left"/>
            </w:pPr>
            <w:r>
              <w:t>1</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4d</w:t>
            </w:r>
          </w:p>
        </w:tc>
        <w:tc>
          <w:tcPr>
            <w:tcW w:w="567" w:type="dxa"/>
            <w:vAlign w:val="center"/>
          </w:tcPr>
          <w:p w:rsidR="00A6043D" w:rsidRDefault="00A6043D" w:rsidP="009B6D78">
            <w:pPr>
              <w:pStyle w:val="G4bTableBody"/>
              <w:jc w:val="left"/>
            </w:pPr>
            <w:r w:rsidRPr="008E73B7">
              <w:t>94 (90)</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13</w:t>
            </w:r>
          </w:p>
        </w:tc>
        <w:tc>
          <w:tcPr>
            <w:tcW w:w="1162" w:type="dxa"/>
            <w:shd w:val="clear" w:color="auto" w:fill="auto"/>
            <w:vAlign w:val="center"/>
          </w:tcPr>
          <w:p w:rsidR="00A6043D" w:rsidRDefault="00A6043D" w:rsidP="009B6D78">
            <w:pPr>
              <w:pStyle w:val="G4bTableBody"/>
              <w:jc w:val="left"/>
            </w:pPr>
            <w:r>
              <w:t>4-ClC</w:t>
            </w:r>
            <w:r w:rsidRPr="009A18C7">
              <w:rPr>
                <w:vertAlign w:val="subscript"/>
              </w:rPr>
              <w:t>6</w:t>
            </w:r>
            <w:r>
              <w:t>H</w:t>
            </w:r>
            <w:r w:rsidRPr="009A18C7">
              <w:rPr>
                <w:vertAlign w:val="subscript"/>
              </w:rPr>
              <w:t>4</w:t>
            </w:r>
            <w:r>
              <w:t>, H, H</w:t>
            </w:r>
          </w:p>
        </w:tc>
        <w:tc>
          <w:tcPr>
            <w:tcW w:w="293" w:type="dxa"/>
            <w:vAlign w:val="center"/>
          </w:tcPr>
          <w:p w:rsidR="00A6043D" w:rsidRDefault="00A6043D" w:rsidP="009B6D78">
            <w:pPr>
              <w:pStyle w:val="G4bTableBody"/>
              <w:jc w:val="left"/>
            </w:pPr>
            <w:r>
              <w:t>1</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4e</w:t>
            </w:r>
          </w:p>
        </w:tc>
        <w:tc>
          <w:tcPr>
            <w:tcW w:w="567" w:type="dxa"/>
            <w:vAlign w:val="center"/>
          </w:tcPr>
          <w:p w:rsidR="00A6043D" w:rsidRDefault="00A6043D" w:rsidP="009B6D78">
            <w:pPr>
              <w:pStyle w:val="G4bTableBody"/>
              <w:jc w:val="left"/>
            </w:pPr>
            <w:r w:rsidRPr="008E73B7">
              <w:t>96 (87)</w:t>
            </w:r>
          </w:p>
        </w:tc>
        <w:tc>
          <w:tcPr>
            <w:tcW w:w="25" w:type="dxa"/>
            <w:vAlign w:val="center"/>
          </w:tcPr>
          <w:p w:rsidR="00A6043D" w:rsidRDefault="00A6043D" w:rsidP="009B6D78">
            <w:pPr>
              <w:pStyle w:val="G4bTableBody"/>
              <w:jc w:val="left"/>
            </w:pPr>
          </w:p>
        </w:tc>
      </w:tr>
      <w:tr w:rsidR="00A6043D" w:rsidTr="009B6D78">
        <w:trPr>
          <w:trHeight w:val="29"/>
        </w:trPr>
        <w:tc>
          <w:tcPr>
            <w:tcW w:w="504" w:type="dxa"/>
            <w:shd w:val="clear" w:color="auto" w:fill="auto"/>
            <w:vAlign w:val="center"/>
          </w:tcPr>
          <w:p w:rsidR="00A6043D" w:rsidRDefault="00A6043D" w:rsidP="009B6D78">
            <w:pPr>
              <w:pStyle w:val="G4bTableBody"/>
              <w:jc w:val="left"/>
            </w:pPr>
            <w:r>
              <w:t>14</w:t>
            </w:r>
          </w:p>
        </w:tc>
        <w:tc>
          <w:tcPr>
            <w:tcW w:w="1162" w:type="dxa"/>
            <w:shd w:val="clear" w:color="auto" w:fill="auto"/>
            <w:vAlign w:val="center"/>
          </w:tcPr>
          <w:p w:rsidR="00A6043D" w:rsidRDefault="00A6043D" w:rsidP="009B6D78">
            <w:pPr>
              <w:pStyle w:val="G4bTableBody"/>
              <w:jc w:val="left"/>
            </w:pPr>
            <w:r>
              <w:t>4-CF</w:t>
            </w:r>
            <w:r w:rsidRPr="009A18C7">
              <w:rPr>
                <w:vertAlign w:val="subscript"/>
              </w:rPr>
              <w:t>3</w:t>
            </w:r>
            <w:r>
              <w:t>C</w:t>
            </w:r>
            <w:r w:rsidRPr="009A18C7">
              <w:rPr>
                <w:vertAlign w:val="subscript"/>
              </w:rPr>
              <w:t>6</w:t>
            </w:r>
            <w:r>
              <w:t>H</w:t>
            </w:r>
            <w:r w:rsidRPr="009A18C7">
              <w:rPr>
                <w:vertAlign w:val="subscript"/>
              </w:rPr>
              <w:t>4</w:t>
            </w:r>
            <w:r>
              <w:t>, H, H</w:t>
            </w:r>
          </w:p>
        </w:tc>
        <w:tc>
          <w:tcPr>
            <w:tcW w:w="293" w:type="dxa"/>
            <w:vAlign w:val="center"/>
          </w:tcPr>
          <w:p w:rsidR="00A6043D" w:rsidRDefault="00A6043D" w:rsidP="009B6D78">
            <w:pPr>
              <w:pStyle w:val="G4bTableBody"/>
              <w:jc w:val="left"/>
            </w:pPr>
            <w:r>
              <w:t>1</w:t>
            </w:r>
          </w:p>
        </w:tc>
        <w:tc>
          <w:tcPr>
            <w:tcW w:w="593" w:type="dxa"/>
          </w:tcPr>
          <w:p w:rsidR="00A6043D" w:rsidRDefault="00A6043D" w:rsidP="009B6D78">
            <w:pPr>
              <w:pStyle w:val="G4bTableBody"/>
              <w:jc w:val="left"/>
              <w:rPr>
                <w:b/>
              </w:rPr>
            </w:pPr>
            <w:r w:rsidRPr="00A2099C">
              <w:t>acetone</w:t>
            </w:r>
          </w:p>
        </w:tc>
        <w:tc>
          <w:tcPr>
            <w:tcW w:w="425" w:type="dxa"/>
            <w:shd w:val="clear" w:color="auto" w:fill="auto"/>
            <w:vAlign w:val="center"/>
          </w:tcPr>
          <w:p w:rsidR="00A6043D" w:rsidRPr="00A2099C" w:rsidRDefault="00A6043D" w:rsidP="009B6D78">
            <w:pPr>
              <w:pStyle w:val="G4bTableBody"/>
              <w:jc w:val="left"/>
            </w:pPr>
            <w:r>
              <w:t>23</w:t>
            </w:r>
          </w:p>
        </w:tc>
        <w:tc>
          <w:tcPr>
            <w:tcW w:w="573" w:type="dxa"/>
          </w:tcPr>
          <w:p w:rsidR="00A6043D" w:rsidRPr="00A2099C" w:rsidRDefault="00A6043D" w:rsidP="009B6D78">
            <w:pPr>
              <w:pStyle w:val="G4bTableBody"/>
              <w:jc w:val="left"/>
            </w:pPr>
            <w:r w:rsidRPr="00A2099C">
              <w:t>6</w:t>
            </w:r>
          </w:p>
        </w:tc>
        <w:tc>
          <w:tcPr>
            <w:tcW w:w="642" w:type="dxa"/>
            <w:vAlign w:val="center"/>
          </w:tcPr>
          <w:p w:rsidR="00A6043D" w:rsidRPr="009A18C7" w:rsidRDefault="00A6043D" w:rsidP="009B6D78">
            <w:pPr>
              <w:pStyle w:val="G4bTableBody"/>
              <w:jc w:val="left"/>
              <w:rPr>
                <w:b/>
              </w:rPr>
            </w:pPr>
            <w:r>
              <w:rPr>
                <w:b/>
              </w:rPr>
              <w:t>4f</w:t>
            </w:r>
          </w:p>
        </w:tc>
        <w:tc>
          <w:tcPr>
            <w:tcW w:w="567" w:type="dxa"/>
            <w:vAlign w:val="center"/>
          </w:tcPr>
          <w:p w:rsidR="00A6043D" w:rsidRDefault="00A6043D" w:rsidP="009B6D78">
            <w:pPr>
              <w:pStyle w:val="G4bTableBody"/>
              <w:jc w:val="left"/>
            </w:pPr>
            <w:r w:rsidRPr="008E73B7">
              <w:t>73 (70)</w:t>
            </w:r>
          </w:p>
        </w:tc>
        <w:tc>
          <w:tcPr>
            <w:tcW w:w="25" w:type="dxa"/>
            <w:vAlign w:val="center"/>
          </w:tcPr>
          <w:p w:rsidR="00A6043D" w:rsidRDefault="00A6043D" w:rsidP="009B6D78">
            <w:pPr>
              <w:pStyle w:val="G4bTableBody"/>
              <w:jc w:val="left"/>
            </w:pPr>
          </w:p>
        </w:tc>
      </w:tr>
      <w:tr w:rsidR="00A6043D" w:rsidRPr="00C86A69" w:rsidTr="009B6D78">
        <w:trPr>
          <w:trHeight w:val="29"/>
        </w:trPr>
        <w:tc>
          <w:tcPr>
            <w:tcW w:w="504" w:type="dxa"/>
            <w:shd w:val="clear" w:color="auto" w:fill="auto"/>
            <w:vAlign w:val="center"/>
          </w:tcPr>
          <w:p w:rsidR="00A6043D" w:rsidRPr="00C86A69" w:rsidRDefault="00A6043D" w:rsidP="009B6D78">
            <w:pPr>
              <w:pStyle w:val="G4bTableBody"/>
              <w:jc w:val="left"/>
            </w:pPr>
            <w:r w:rsidRPr="00C86A69">
              <w:t>15</w:t>
            </w:r>
          </w:p>
        </w:tc>
        <w:tc>
          <w:tcPr>
            <w:tcW w:w="1162" w:type="dxa"/>
            <w:shd w:val="clear" w:color="auto" w:fill="auto"/>
            <w:vAlign w:val="center"/>
          </w:tcPr>
          <w:p w:rsidR="00A6043D" w:rsidRPr="00C86A69" w:rsidRDefault="00A6043D" w:rsidP="009B6D78">
            <w:pPr>
              <w:pStyle w:val="G4bTableBody"/>
              <w:jc w:val="left"/>
            </w:pPr>
            <w:r w:rsidRPr="00C86A69">
              <w:t xml:space="preserve">H, H, </w:t>
            </w:r>
            <w:proofErr w:type="spellStart"/>
            <w:r w:rsidRPr="00C86A69">
              <w:t>Ph</w:t>
            </w:r>
            <w:proofErr w:type="spellEnd"/>
            <w:r w:rsidRPr="00C86A69">
              <w:t xml:space="preserve"> </w:t>
            </w:r>
          </w:p>
        </w:tc>
        <w:tc>
          <w:tcPr>
            <w:tcW w:w="293" w:type="dxa"/>
            <w:vAlign w:val="center"/>
          </w:tcPr>
          <w:p w:rsidR="00A6043D" w:rsidRPr="00C86A69" w:rsidRDefault="00A6043D" w:rsidP="009B6D78">
            <w:pPr>
              <w:pStyle w:val="G4bTableBody"/>
              <w:jc w:val="left"/>
            </w:pPr>
            <w:r w:rsidRPr="00C86A69">
              <w:t>1</w:t>
            </w:r>
          </w:p>
        </w:tc>
        <w:tc>
          <w:tcPr>
            <w:tcW w:w="593" w:type="dxa"/>
          </w:tcPr>
          <w:p w:rsidR="00A6043D" w:rsidRPr="00C86A69" w:rsidRDefault="00A6043D" w:rsidP="009B6D78">
            <w:pPr>
              <w:pStyle w:val="G4bTableBody"/>
              <w:jc w:val="left"/>
            </w:pPr>
            <w:r w:rsidRPr="00C86A69">
              <w:t>acetone</w:t>
            </w:r>
          </w:p>
        </w:tc>
        <w:tc>
          <w:tcPr>
            <w:tcW w:w="425" w:type="dxa"/>
            <w:shd w:val="clear" w:color="auto" w:fill="auto"/>
            <w:vAlign w:val="center"/>
          </w:tcPr>
          <w:p w:rsidR="00A6043D" w:rsidRPr="00C86A69" w:rsidRDefault="00A6043D" w:rsidP="009B6D78">
            <w:pPr>
              <w:pStyle w:val="G4bTableBody"/>
              <w:jc w:val="left"/>
            </w:pPr>
            <w:r w:rsidRPr="00C86A69">
              <w:t>56</w:t>
            </w:r>
          </w:p>
        </w:tc>
        <w:tc>
          <w:tcPr>
            <w:tcW w:w="573" w:type="dxa"/>
          </w:tcPr>
          <w:p w:rsidR="00A6043D" w:rsidRPr="00C86A69" w:rsidRDefault="00A6043D" w:rsidP="009B6D78">
            <w:pPr>
              <w:pStyle w:val="G4bTableBody"/>
              <w:jc w:val="left"/>
              <w:rPr>
                <w:b/>
              </w:rPr>
            </w:pPr>
            <w:r w:rsidRPr="00C86A69">
              <w:rPr>
                <w:b/>
              </w:rPr>
              <w:t>7</w:t>
            </w:r>
          </w:p>
        </w:tc>
        <w:tc>
          <w:tcPr>
            <w:tcW w:w="642" w:type="dxa"/>
            <w:vAlign w:val="center"/>
          </w:tcPr>
          <w:p w:rsidR="00A6043D" w:rsidRPr="00C86A69" w:rsidRDefault="00A6043D" w:rsidP="009B6D78">
            <w:pPr>
              <w:pStyle w:val="G4bTableBody"/>
              <w:jc w:val="left"/>
              <w:rPr>
                <w:b/>
              </w:rPr>
            </w:pPr>
            <w:r w:rsidRPr="00C86A69">
              <w:rPr>
                <w:b/>
              </w:rPr>
              <w:t>4g</w:t>
            </w:r>
          </w:p>
        </w:tc>
        <w:tc>
          <w:tcPr>
            <w:tcW w:w="567" w:type="dxa"/>
            <w:vAlign w:val="center"/>
          </w:tcPr>
          <w:p w:rsidR="00A6043D" w:rsidRPr="00C86A69" w:rsidRDefault="00A6043D" w:rsidP="009B6D78">
            <w:pPr>
              <w:pStyle w:val="G4bTableBody"/>
              <w:jc w:val="left"/>
            </w:pPr>
            <w:r w:rsidRPr="00C86A69">
              <w:t>31</w:t>
            </w:r>
          </w:p>
        </w:tc>
        <w:tc>
          <w:tcPr>
            <w:tcW w:w="25" w:type="dxa"/>
            <w:vAlign w:val="center"/>
          </w:tcPr>
          <w:p w:rsidR="00A6043D" w:rsidRPr="00C86A69" w:rsidRDefault="00A6043D" w:rsidP="009B6D78">
            <w:pPr>
              <w:pStyle w:val="G4bTableBody"/>
              <w:jc w:val="left"/>
            </w:pPr>
          </w:p>
        </w:tc>
      </w:tr>
      <w:tr w:rsidR="00A6043D" w:rsidRPr="00C86A69" w:rsidTr="009B6D78">
        <w:trPr>
          <w:trHeight w:val="29"/>
        </w:trPr>
        <w:tc>
          <w:tcPr>
            <w:tcW w:w="504" w:type="dxa"/>
            <w:shd w:val="clear" w:color="auto" w:fill="auto"/>
            <w:vAlign w:val="center"/>
          </w:tcPr>
          <w:p w:rsidR="00A6043D" w:rsidRPr="00C86A69" w:rsidRDefault="00A6043D" w:rsidP="009B6D78">
            <w:pPr>
              <w:pStyle w:val="G4bTableBody"/>
              <w:jc w:val="left"/>
            </w:pPr>
            <w:r w:rsidRPr="00C86A69">
              <w:t>16</w:t>
            </w:r>
            <w:r w:rsidRPr="00C86A69">
              <w:rPr>
                <w:i/>
                <w:vertAlign w:val="superscript"/>
              </w:rPr>
              <w:t>c</w:t>
            </w:r>
          </w:p>
        </w:tc>
        <w:tc>
          <w:tcPr>
            <w:tcW w:w="1162" w:type="dxa"/>
            <w:shd w:val="clear" w:color="auto" w:fill="auto"/>
            <w:vAlign w:val="center"/>
          </w:tcPr>
          <w:p w:rsidR="00A6043D" w:rsidRPr="00C86A69" w:rsidRDefault="00A6043D" w:rsidP="009B6D78">
            <w:pPr>
              <w:pStyle w:val="G4bTableBody"/>
              <w:jc w:val="left"/>
            </w:pPr>
            <w:r w:rsidRPr="00C86A69">
              <w:t>H, H, SiMe</w:t>
            </w:r>
            <w:r w:rsidRPr="00C86A69">
              <w:rPr>
                <w:vertAlign w:val="subscript"/>
              </w:rPr>
              <w:t>3</w:t>
            </w:r>
            <w:r w:rsidRPr="00C86A69">
              <w:t xml:space="preserve"> </w:t>
            </w:r>
          </w:p>
        </w:tc>
        <w:tc>
          <w:tcPr>
            <w:tcW w:w="293" w:type="dxa"/>
            <w:vAlign w:val="center"/>
          </w:tcPr>
          <w:p w:rsidR="00A6043D" w:rsidRPr="00C86A69" w:rsidRDefault="00A6043D" w:rsidP="009B6D78">
            <w:pPr>
              <w:pStyle w:val="G4bTableBody"/>
              <w:jc w:val="left"/>
            </w:pPr>
            <w:r w:rsidRPr="00C86A69">
              <w:t>1</w:t>
            </w:r>
          </w:p>
        </w:tc>
        <w:tc>
          <w:tcPr>
            <w:tcW w:w="593" w:type="dxa"/>
          </w:tcPr>
          <w:p w:rsidR="00A6043D" w:rsidRPr="00C86A69" w:rsidRDefault="00A6043D" w:rsidP="009B6D78">
            <w:pPr>
              <w:pStyle w:val="G4bTableBody"/>
              <w:jc w:val="left"/>
              <w:rPr>
                <w:b/>
              </w:rPr>
            </w:pPr>
            <w:r w:rsidRPr="00C86A69">
              <w:t>acetone</w:t>
            </w:r>
          </w:p>
        </w:tc>
        <w:tc>
          <w:tcPr>
            <w:tcW w:w="425" w:type="dxa"/>
            <w:shd w:val="clear" w:color="auto" w:fill="auto"/>
            <w:vAlign w:val="center"/>
          </w:tcPr>
          <w:p w:rsidR="00A6043D" w:rsidRPr="00C86A69" w:rsidRDefault="00A6043D" w:rsidP="009B6D78">
            <w:pPr>
              <w:pStyle w:val="G4bTableBody"/>
              <w:jc w:val="left"/>
            </w:pPr>
            <w:r w:rsidRPr="00C86A69">
              <w:t>56</w:t>
            </w:r>
          </w:p>
        </w:tc>
        <w:tc>
          <w:tcPr>
            <w:tcW w:w="573" w:type="dxa"/>
          </w:tcPr>
          <w:p w:rsidR="00A6043D" w:rsidRPr="00C86A69" w:rsidRDefault="00A6043D" w:rsidP="009B6D78">
            <w:pPr>
              <w:pStyle w:val="G4bTableBody"/>
              <w:jc w:val="left"/>
            </w:pPr>
            <w:r w:rsidRPr="00C86A69">
              <w:t>8</w:t>
            </w:r>
          </w:p>
        </w:tc>
        <w:tc>
          <w:tcPr>
            <w:tcW w:w="642" w:type="dxa"/>
            <w:vAlign w:val="center"/>
          </w:tcPr>
          <w:p w:rsidR="00A6043D" w:rsidRPr="00C86A69" w:rsidRDefault="00A6043D" w:rsidP="009B6D78">
            <w:pPr>
              <w:pStyle w:val="G4bTableBody"/>
              <w:jc w:val="left"/>
              <w:rPr>
                <w:b/>
              </w:rPr>
            </w:pPr>
            <w:r w:rsidRPr="00C86A69">
              <w:rPr>
                <w:b/>
              </w:rPr>
              <w:t>4h</w:t>
            </w:r>
          </w:p>
        </w:tc>
        <w:tc>
          <w:tcPr>
            <w:tcW w:w="567" w:type="dxa"/>
            <w:vAlign w:val="center"/>
          </w:tcPr>
          <w:p w:rsidR="00A6043D" w:rsidRPr="00C86A69" w:rsidRDefault="00A6043D" w:rsidP="009B6D78">
            <w:pPr>
              <w:pStyle w:val="G4bTableBody"/>
              <w:jc w:val="left"/>
            </w:pPr>
            <w:r>
              <w:t>80 (71)</w:t>
            </w:r>
          </w:p>
        </w:tc>
        <w:tc>
          <w:tcPr>
            <w:tcW w:w="25" w:type="dxa"/>
            <w:vAlign w:val="center"/>
          </w:tcPr>
          <w:p w:rsidR="00A6043D" w:rsidRPr="00C86A69" w:rsidRDefault="00A6043D" w:rsidP="009B6D78">
            <w:pPr>
              <w:pStyle w:val="G4bTableBody"/>
              <w:jc w:val="left"/>
            </w:pPr>
          </w:p>
        </w:tc>
      </w:tr>
    </w:tbl>
    <w:p w:rsidR="00A6043D" w:rsidRDefault="00A6043D" w:rsidP="00A6043D">
      <w:pPr>
        <w:pStyle w:val="G4cTableFootnote"/>
      </w:pPr>
      <w:proofErr w:type="gramStart"/>
      <w:r>
        <w:rPr>
          <w:i/>
          <w:vertAlign w:val="superscript"/>
        </w:rPr>
        <w:t>a</w:t>
      </w:r>
      <w:proofErr w:type="gramEnd"/>
      <w:r>
        <w:t xml:space="preserve"> General reaction conditions: substrate </w:t>
      </w:r>
      <w:r w:rsidRPr="00306A0A">
        <w:rPr>
          <w:b/>
        </w:rPr>
        <w:t>1</w:t>
      </w:r>
      <w:r w:rsidRPr="00D868E3">
        <w:t xml:space="preserve"> </w:t>
      </w:r>
      <w:r w:rsidRPr="00306A0A">
        <w:t xml:space="preserve">(0.4 </w:t>
      </w:r>
      <w:proofErr w:type="spellStart"/>
      <w:r w:rsidRPr="00306A0A">
        <w:t>mmol</w:t>
      </w:r>
      <w:proofErr w:type="spellEnd"/>
      <w:r w:rsidRPr="00306A0A">
        <w:t xml:space="preserve">), </w:t>
      </w:r>
      <w:r>
        <w:t>[</w:t>
      </w:r>
      <w:r w:rsidRPr="00306A0A">
        <w:t>Ag</w:t>
      </w:r>
      <w:r>
        <w:t>(</w:t>
      </w:r>
      <w:proofErr w:type="spellStart"/>
      <w:r>
        <w:t>py</w:t>
      </w:r>
      <w:proofErr w:type="spellEnd"/>
      <w:r>
        <w:t>)</w:t>
      </w:r>
      <w:r w:rsidRPr="00306A0A">
        <w:rPr>
          <w:vertAlign w:val="subscript"/>
        </w:rPr>
        <w:t>2</w:t>
      </w:r>
      <w:r>
        <w:t>][</w:t>
      </w:r>
      <w:proofErr w:type="spellStart"/>
      <w:r>
        <w:t>OTf</w:t>
      </w:r>
      <w:proofErr w:type="spellEnd"/>
      <w:r>
        <w:t xml:space="preserve">] (0.04 </w:t>
      </w:r>
      <w:proofErr w:type="spellStart"/>
      <w:r>
        <w:t>mmol</w:t>
      </w:r>
      <w:proofErr w:type="spellEnd"/>
      <w:r w:rsidRPr="00306A0A">
        <w:t xml:space="preserve">, 10 </w:t>
      </w:r>
      <w:proofErr w:type="spellStart"/>
      <w:r w:rsidRPr="00306A0A">
        <w:t>mol</w:t>
      </w:r>
      <w:proofErr w:type="spellEnd"/>
      <w:r w:rsidRPr="00306A0A">
        <w:t xml:space="preserve">%), </w:t>
      </w:r>
      <w:r>
        <w:t>solvent (1 mL)</w:t>
      </w:r>
      <w:r w:rsidRPr="00306A0A">
        <w:t xml:space="preserve">. </w:t>
      </w:r>
      <w:proofErr w:type="spellStart"/>
      <w:r w:rsidRPr="00306A0A">
        <w:rPr>
          <w:i/>
          <w:vertAlign w:val="superscript"/>
        </w:rPr>
        <w:t>b</w:t>
      </w:r>
      <w:r w:rsidRPr="00306A0A">
        <w:t>Determined</w:t>
      </w:r>
      <w:proofErr w:type="spellEnd"/>
      <w:r w:rsidRPr="00306A0A">
        <w:t xml:space="preserve"> by </w:t>
      </w:r>
      <w:r w:rsidRPr="00306A0A">
        <w:rPr>
          <w:vertAlign w:val="superscript"/>
        </w:rPr>
        <w:t>1</w:t>
      </w:r>
      <w:r w:rsidRPr="00306A0A">
        <w:t>H NMR spectroscopy, using 1,3,5-trimetho</w:t>
      </w:r>
      <w:r>
        <w:t xml:space="preserve">xybenzene as internal standard. Isolated yields are indicated in parenthesis. </w:t>
      </w:r>
      <w:proofErr w:type="gramStart"/>
      <w:r>
        <w:rPr>
          <w:i/>
          <w:vertAlign w:val="superscript"/>
        </w:rPr>
        <w:t>c</w:t>
      </w:r>
      <w:r>
        <w:t>20</w:t>
      </w:r>
      <w:proofErr w:type="gramEnd"/>
      <w:r>
        <w:t xml:space="preserve"> </w:t>
      </w:r>
      <w:proofErr w:type="spellStart"/>
      <w:r>
        <w:t>mol</w:t>
      </w:r>
      <w:proofErr w:type="spellEnd"/>
      <w:r>
        <w:t>% catalyst used.</w:t>
      </w:r>
    </w:p>
    <w:p w:rsidR="00A6043D" w:rsidRDefault="00A6043D" w:rsidP="00A6043D">
      <w:pPr>
        <w:pStyle w:val="08ArticleText"/>
      </w:pPr>
      <w:proofErr w:type="gramStart"/>
      <w:r>
        <w:lastRenderedPageBreak/>
        <w:t>aryl</w:t>
      </w:r>
      <w:proofErr w:type="gramEnd"/>
      <w:r>
        <w:t xml:space="preserve"> substituents can be accommodated at R</w:t>
      </w:r>
      <w:r w:rsidRPr="00DE396A">
        <w:rPr>
          <w:vertAlign w:val="superscript"/>
        </w:rPr>
        <w:t>1</w:t>
      </w:r>
      <w:r>
        <w:rPr>
          <w:vertAlign w:val="superscript"/>
        </w:rPr>
        <w:t xml:space="preserve"> </w:t>
      </w:r>
      <w:r>
        <w:t>(Table 2, entries 9-14). Once again, c</w:t>
      </w:r>
      <w:r w:rsidRPr="00DE396A">
        <w:t>onversion</w:t>
      </w:r>
      <w:r>
        <w:t>s</w:t>
      </w:r>
      <w:r w:rsidRPr="00DE396A">
        <w:t xml:space="preserve"> of </w:t>
      </w:r>
      <w:r>
        <w:t xml:space="preserve">internal alkyne </w:t>
      </w:r>
      <w:r w:rsidRPr="00DE396A">
        <w:t>substrates</w:t>
      </w:r>
      <w:r>
        <w:t xml:space="preserve"> </w:t>
      </w:r>
      <w:r w:rsidRPr="00C86A69">
        <w:rPr>
          <w:b/>
        </w:rPr>
        <w:t>1g</w:t>
      </w:r>
      <w:r>
        <w:t xml:space="preserve"> and </w:t>
      </w:r>
      <w:r w:rsidRPr="00C86A69">
        <w:rPr>
          <w:b/>
        </w:rPr>
        <w:t>1h</w:t>
      </w:r>
      <w:r>
        <w:t xml:space="preserve"> were slow, which can</w:t>
      </w:r>
      <w:r w:rsidRPr="00DE396A">
        <w:t xml:space="preserve"> be </w:t>
      </w:r>
      <w:r>
        <w:t>improved by increasing catalyst loading</w:t>
      </w:r>
      <w:r w:rsidRPr="00DE396A">
        <w:t xml:space="preserve"> (entries </w:t>
      </w:r>
      <w:r>
        <w:t>15 and 16</w:t>
      </w:r>
      <w:r w:rsidRPr="00DE396A">
        <w:t>).</w:t>
      </w:r>
      <w:r w:rsidRPr="00C94D5F">
        <w:t xml:space="preserve"> </w:t>
      </w:r>
    </w:p>
    <w:p w:rsidR="00A6043D" w:rsidRDefault="00A6043D" w:rsidP="00A6043D">
      <w:pPr>
        <w:pStyle w:val="08ArticleText"/>
      </w:pPr>
      <w:r>
        <w:tab/>
        <w:t xml:space="preserve">The ability of the silver catalyst to promote reactions with internal alkynes is particularly noteworthy. It also provides a means of establishing the stereochemical pathway of the addition step. The products were obtained as the </w:t>
      </w:r>
      <w:r w:rsidRPr="00DE396A">
        <w:rPr>
          <w:i/>
        </w:rPr>
        <w:t>Z</w:t>
      </w:r>
      <w:r>
        <w:t>-isomer</w:t>
      </w:r>
      <w:r w:rsidRPr="00023CD7">
        <w:t xml:space="preserve"> </w:t>
      </w:r>
      <w:r>
        <w:t xml:space="preserve">exclusively, determined by NOE experiments performed on the trimethylsilyl-substituted product </w:t>
      </w:r>
      <w:r w:rsidRPr="00DE396A">
        <w:rPr>
          <w:b/>
        </w:rPr>
        <w:t>4h</w:t>
      </w:r>
      <w:r>
        <w:rPr>
          <w:b/>
        </w:rPr>
        <w:t xml:space="preserve"> </w:t>
      </w:r>
      <w:r>
        <w:t xml:space="preserve">(ESI). This is commensurate with a mechanism whereby the addition of the N-H bond occurs in an </w:t>
      </w:r>
      <w:r w:rsidRPr="007A338B">
        <w:rPr>
          <w:i/>
        </w:rPr>
        <w:t>exo</w:t>
      </w:r>
      <w:r>
        <w:t xml:space="preserve">-metallic fashion to a </w:t>
      </w:r>
      <w:r w:rsidRPr="00F25AAB">
        <w:rPr>
          <w:rFonts w:ascii="Symbol" w:hAnsi="Symbol"/>
        </w:rPr>
        <w:t></w:t>
      </w:r>
      <w:r>
        <w:t>-coordinated alkyne (Scheme 2). The putative (vinyl</w:t>
      </w:r>
      <w:proofErr w:type="gramStart"/>
      <w:r>
        <w:t>)silver</w:t>
      </w:r>
      <w:proofErr w:type="gramEnd"/>
      <w:r>
        <w:t xml:space="preserve"> complex then undergoes a </w:t>
      </w:r>
      <w:proofErr w:type="spellStart"/>
      <w:r>
        <w:t>protonolysis</w:t>
      </w:r>
      <w:proofErr w:type="spellEnd"/>
      <w:r>
        <w:t xml:space="preserve"> to afford an overall </w:t>
      </w:r>
      <w:r w:rsidRPr="00F32BFC">
        <w:rPr>
          <w:i/>
        </w:rPr>
        <w:t>anti</w:t>
      </w:r>
      <w:r>
        <w:t>-addition across the C≡C bond.</w:t>
      </w:r>
    </w:p>
    <w:p w:rsidR="00A6043D" w:rsidRDefault="00A6043D" w:rsidP="00A6043D">
      <w:pPr>
        <w:pStyle w:val="G1aFigureImage"/>
      </w:pPr>
      <w:r>
        <w:object w:dxaOrig="3809" w:dyaOrig="3446">
          <v:shape id="_x0000_i1027" type="#_x0000_t75" style="width:190.2pt;height:171.95pt" o:ole="">
            <v:imagedata r:id="rId20" o:title=""/>
          </v:shape>
          <o:OLEObject Type="Embed" ProgID="ChemDraw.Document.6.0" ShapeID="_x0000_i1027" DrawAspect="Content" ObjectID="_1502630777" r:id="rId21"/>
        </w:object>
      </w:r>
    </w:p>
    <w:p w:rsidR="00A6043D" w:rsidRDefault="00A6043D" w:rsidP="00A6043D">
      <w:pPr>
        <w:pStyle w:val="G1bFigureCaption"/>
      </w:pPr>
      <w:r>
        <w:rPr>
          <w:b/>
        </w:rPr>
        <w:t>Scheme 2</w:t>
      </w:r>
      <w:r>
        <w:t xml:space="preserve"> Proposed mechanisms leading to the observed stereoselectivity. </w:t>
      </w:r>
    </w:p>
    <w:p w:rsidR="00A6043D" w:rsidRDefault="00A6043D" w:rsidP="00A6043D">
      <w:pPr>
        <w:pStyle w:val="08ArticleText"/>
      </w:pPr>
      <w:r>
        <w:tab/>
        <w:t xml:space="preserve">The ability of one of the pyridine to dissociate from the metal during the reaction appears to be key to reactivity, as the reaction did not proceed when a chelating ligand was used, </w:t>
      </w:r>
      <w:r w:rsidRPr="00F25AAB">
        <w:rPr>
          <w:i/>
        </w:rPr>
        <w:t>i.e.</w:t>
      </w:r>
      <w:r>
        <w:t xml:space="preserve"> [(</w:t>
      </w:r>
      <w:proofErr w:type="spellStart"/>
      <w:r>
        <w:t>phen</w:t>
      </w:r>
      <w:proofErr w:type="spellEnd"/>
      <w:proofErr w:type="gramStart"/>
      <w:r>
        <w:t>)Ag</w:t>
      </w:r>
      <w:proofErr w:type="gramEnd"/>
      <w:r>
        <w:t>][</w:t>
      </w:r>
      <w:proofErr w:type="spellStart"/>
      <w:r>
        <w:t>OTf</w:t>
      </w:r>
      <w:proofErr w:type="spellEnd"/>
      <w:r>
        <w:t>] (</w:t>
      </w:r>
      <w:proofErr w:type="spellStart"/>
      <w:r>
        <w:t>phen</w:t>
      </w:r>
      <w:proofErr w:type="spellEnd"/>
      <w:r>
        <w:t xml:space="preserve"> = </w:t>
      </w:r>
      <w:proofErr w:type="spellStart"/>
      <w:r>
        <w:t>phenanthroline</w:t>
      </w:r>
      <w:proofErr w:type="spellEnd"/>
      <w:r>
        <w:t>, Table S1, ESI). Inherently, the dissociation of a pyridine is necessary to create a vacant coordination site for effective catalysis. In this case, we believe that the primary role of the liberated pyridine is to act as a Brønsted base to sequester triflic acid, thus preventing isomerisation to the aromatic heterocycles (</w:t>
      </w:r>
      <w:r w:rsidRPr="00712BB3">
        <w:rPr>
          <w:b/>
        </w:rPr>
        <w:t>3</w:t>
      </w:r>
      <w:r>
        <w:t xml:space="preserve">) and competitive side reactions, </w:t>
      </w:r>
      <w:r w:rsidRPr="00712BB3">
        <w:rPr>
          <w:i/>
        </w:rPr>
        <w:t>e.g.</w:t>
      </w:r>
      <w:r>
        <w:t xml:space="preserve"> proto-desilylation of the silyl-substituted substrates and products. It may also have additional roles in the proton-transfer processes, as indicated in Scheme 2.</w:t>
      </w:r>
    </w:p>
    <w:p w:rsidR="005C4499" w:rsidRDefault="005C4499" w:rsidP="005C4499">
      <w:pPr>
        <w:pStyle w:val="04AHeading"/>
      </w:pPr>
      <w:r>
        <w:t>Conclusions</w:t>
      </w:r>
    </w:p>
    <w:p w:rsidR="00A6043D" w:rsidRDefault="00A6043D" w:rsidP="00A6043D">
      <w:pPr>
        <w:pStyle w:val="08ArticleText"/>
      </w:pPr>
      <w:r>
        <w:t xml:space="preserve">The silver-catalysed intramolecular hydroamination addition of trichloroacetimidate to alkyne has been achieved for the first time, whereby the nature of the </w:t>
      </w:r>
      <w:proofErr w:type="spellStart"/>
      <w:r>
        <w:t>counteranion</w:t>
      </w:r>
      <w:proofErr w:type="spellEnd"/>
      <w:r>
        <w:t xml:space="preserve">, solvent and ligand were found to have profound effects on catalytic turnover and selectivity. </w:t>
      </w:r>
      <w:r w:rsidRPr="00A16501">
        <w:rPr>
          <w:highlight w:val="yellow"/>
        </w:rPr>
        <w:t>Encouragingly, the [</w:t>
      </w:r>
      <w:proofErr w:type="gramStart"/>
      <w:r w:rsidRPr="00A16501">
        <w:rPr>
          <w:highlight w:val="yellow"/>
        </w:rPr>
        <w:t>Ag(</w:t>
      </w:r>
      <w:proofErr w:type="spellStart"/>
      <w:proofErr w:type="gramEnd"/>
      <w:r w:rsidRPr="00A16501">
        <w:rPr>
          <w:highlight w:val="yellow"/>
        </w:rPr>
        <w:t>py</w:t>
      </w:r>
      <w:proofErr w:type="spellEnd"/>
      <w:r w:rsidRPr="00A16501">
        <w:rPr>
          <w:highlight w:val="yellow"/>
        </w:rPr>
        <w:t>)</w:t>
      </w:r>
      <w:r w:rsidRPr="00A16501">
        <w:rPr>
          <w:highlight w:val="yellow"/>
          <w:vertAlign w:val="subscript"/>
        </w:rPr>
        <w:t>2</w:t>
      </w:r>
      <w:r w:rsidRPr="00A16501">
        <w:rPr>
          <w:highlight w:val="yellow"/>
        </w:rPr>
        <w:t>][</w:t>
      </w:r>
      <w:proofErr w:type="spellStart"/>
      <w:r w:rsidRPr="00A16501">
        <w:rPr>
          <w:highlight w:val="yellow"/>
        </w:rPr>
        <w:t>OTf</w:t>
      </w:r>
      <w:proofErr w:type="spellEnd"/>
      <w:r w:rsidRPr="00A16501">
        <w:rPr>
          <w:highlight w:val="yellow"/>
        </w:rPr>
        <w:t>] complex is found to be highly effective</w:t>
      </w:r>
      <w:r>
        <w:t xml:space="preserve"> for the cyclisation of internal alkynes to afford vinyl-bromide and silane products, which had not been possible using gold catalysts. The potential applications of these </w:t>
      </w:r>
      <w:r w:rsidRPr="007B5B75">
        <w:rPr>
          <w:highlight w:val="yellow"/>
        </w:rPr>
        <w:t>intermediates for organic synthesis (</w:t>
      </w:r>
      <w:r w:rsidRPr="007B5B75">
        <w:rPr>
          <w:i/>
          <w:highlight w:val="yellow"/>
        </w:rPr>
        <w:t>e.g</w:t>
      </w:r>
      <w:r w:rsidRPr="007B5B75">
        <w:rPr>
          <w:highlight w:val="yellow"/>
        </w:rPr>
        <w:t xml:space="preserve">. </w:t>
      </w:r>
      <w:r w:rsidRPr="009C6BA9">
        <w:rPr>
          <w:i/>
          <w:highlight w:val="yellow"/>
        </w:rPr>
        <w:t>via</w:t>
      </w:r>
      <w:r w:rsidRPr="007B5B75">
        <w:rPr>
          <w:highlight w:val="yellow"/>
        </w:rPr>
        <w:t xml:space="preserve"> cross coupling chemistry)</w:t>
      </w:r>
      <w:r>
        <w:t xml:space="preserve"> is currently being investigated, and will be reported in due course.</w:t>
      </w:r>
    </w:p>
    <w:p w:rsidR="00A6043D" w:rsidRDefault="00A6043D" w:rsidP="00A6043D">
      <w:pPr>
        <w:pStyle w:val="08ArticleText"/>
      </w:pPr>
    </w:p>
    <w:p w:rsidR="005C4499" w:rsidRDefault="00A6043D" w:rsidP="003F4A2D">
      <w:pPr>
        <w:pStyle w:val="08ArticleText"/>
      </w:pPr>
      <w:r>
        <w:lastRenderedPageBreak/>
        <w:t xml:space="preserve">We thank the </w:t>
      </w:r>
      <w:r w:rsidRPr="00E543BA">
        <w:t>National University of Singapore for a Research Scholarship</w:t>
      </w:r>
      <w:r>
        <w:t xml:space="preserve"> to VHLW.</w:t>
      </w:r>
    </w:p>
    <w:p w:rsidR="00641DA1" w:rsidRPr="003725DA" w:rsidRDefault="00641DA1" w:rsidP="00641DA1">
      <w:pPr>
        <w:pStyle w:val="04AHeading"/>
      </w:pPr>
      <w:r>
        <w:t>Notes and references</w:t>
      </w:r>
    </w:p>
    <w:p w:rsidR="00A6043D" w:rsidRDefault="00A6043D" w:rsidP="00A6043D">
      <w:pPr>
        <w:pStyle w:val="N1AuthorAddresses"/>
      </w:pPr>
      <w:proofErr w:type="gramStart"/>
      <w:r>
        <w:rPr>
          <w:vertAlign w:val="superscript"/>
        </w:rPr>
        <w:t>a</w:t>
      </w:r>
      <w:proofErr w:type="gramEnd"/>
      <w:r>
        <w:t xml:space="preserve"> Department of Chemistry, Imperial College London, Exhibition Road, South Kensington, London SW7 2AZ, U.K; E-mail: mimi.hii@imperial.ac.uk</w:t>
      </w:r>
    </w:p>
    <w:p w:rsidR="00A6043D" w:rsidRDefault="00A6043D" w:rsidP="00A6043D">
      <w:pPr>
        <w:pStyle w:val="N1AuthorAddresses"/>
      </w:pPr>
      <w:proofErr w:type="gramStart"/>
      <w:r>
        <w:rPr>
          <w:vertAlign w:val="superscript"/>
        </w:rPr>
        <w:t>b</w:t>
      </w:r>
      <w:proofErr w:type="gramEnd"/>
      <w:r>
        <w:t xml:space="preserve"> Department of Chemistry, National University of Singapore, </w:t>
      </w:r>
      <w:r w:rsidRPr="00FC4D4C">
        <w:rPr>
          <w:bCs/>
        </w:rPr>
        <w:t>3 Science Drive 3, S</w:t>
      </w:r>
      <w:r>
        <w:rPr>
          <w:bCs/>
        </w:rPr>
        <w:t xml:space="preserve">ingapore </w:t>
      </w:r>
      <w:r w:rsidRPr="00FC4D4C">
        <w:rPr>
          <w:bCs/>
        </w:rPr>
        <w:t>117543</w:t>
      </w:r>
      <w:r w:rsidRPr="00FC4D4C">
        <w:t>.</w:t>
      </w:r>
      <w:r>
        <w:t xml:space="preserve"> </w:t>
      </w:r>
    </w:p>
    <w:p w:rsidR="00A6043D" w:rsidRDefault="00A6043D" w:rsidP="00A6043D">
      <w:pPr>
        <w:pStyle w:val="N2Footnotes"/>
      </w:pPr>
      <w:r w:rsidRPr="003628FE">
        <w:t>†</w:t>
      </w:r>
      <w:r w:rsidRPr="003628FE">
        <w:tab/>
      </w:r>
      <w:r w:rsidRPr="0031610B">
        <w:t>Electronic</w:t>
      </w:r>
      <w:r w:rsidRPr="003628FE">
        <w:t xml:space="preserve"> Supplementary Information (ESI) available: </w:t>
      </w:r>
      <w:r>
        <w:t xml:space="preserve">Experimental procedures, extensive optimisation tables and copies of </w:t>
      </w:r>
      <w:r w:rsidRPr="00092EAB">
        <w:rPr>
          <w:vertAlign w:val="superscript"/>
        </w:rPr>
        <w:t>1</w:t>
      </w:r>
      <w:r>
        <w:t xml:space="preserve">H and </w:t>
      </w:r>
      <w:r w:rsidRPr="00092EAB">
        <w:rPr>
          <w:vertAlign w:val="superscript"/>
        </w:rPr>
        <w:t>13</w:t>
      </w:r>
      <w:r>
        <w:t>C NMR spectra.</w:t>
      </w:r>
      <w:r w:rsidRPr="003628FE">
        <w:t xml:space="preserve"> See </w:t>
      </w:r>
      <w:r>
        <w:t>DOI: </w:t>
      </w:r>
      <w:r w:rsidRPr="00EA020E">
        <w:t>10.1039/</w:t>
      </w:r>
      <w:r w:rsidRPr="003628FE">
        <w:t>b000000x/</w:t>
      </w:r>
    </w:p>
    <w:p w:rsidR="00A6043D" w:rsidRDefault="00A6043D" w:rsidP="00A6043D">
      <w:pPr>
        <w:pStyle w:val="N3References"/>
      </w:pPr>
      <w:r>
        <w:t>1.</w:t>
      </w:r>
      <w:r>
        <w:tab/>
        <w:t xml:space="preserve">J. E. Kang, H. B. Kim, J. W. Lee and S. Shin, </w:t>
      </w:r>
      <w:r w:rsidRPr="0081730E">
        <w:rPr>
          <w:i/>
        </w:rPr>
        <w:t>Org. Lett.</w:t>
      </w:r>
      <w:r>
        <w:t xml:space="preserve">, 2006, </w:t>
      </w:r>
      <w:r w:rsidRPr="0081730E">
        <w:rPr>
          <w:b/>
        </w:rPr>
        <w:t>8</w:t>
      </w:r>
      <w:r>
        <w:t>, 3537-3540.</w:t>
      </w:r>
    </w:p>
    <w:p w:rsidR="00A6043D" w:rsidRDefault="00A6043D" w:rsidP="00A6043D">
      <w:pPr>
        <w:pStyle w:val="N3References"/>
      </w:pPr>
      <w:r>
        <w:t>2.</w:t>
      </w:r>
      <w:r>
        <w:tab/>
        <w:t xml:space="preserve">A. S. K. Hashmi, M. Rudolph, S. Schymura, J. Visus and W. Frey, </w:t>
      </w:r>
      <w:r w:rsidRPr="0081730E">
        <w:rPr>
          <w:i/>
        </w:rPr>
        <w:t>Eur. J. Org. Chem.</w:t>
      </w:r>
      <w:r>
        <w:t>, 2006, 4905-4909.</w:t>
      </w:r>
    </w:p>
    <w:p w:rsidR="00A6043D" w:rsidRDefault="00A6043D" w:rsidP="00A6043D">
      <w:pPr>
        <w:pStyle w:val="N3References"/>
      </w:pPr>
      <w:r>
        <w:t>3.</w:t>
      </w:r>
      <w:r>
        <w:tab/>
        <w:t xml:space="preserve">J. G. Taylor, N. Whittall and K. K. M. Hii, </w:t>
      </w:r>
      <w:r w:rsidRPr="0081730E">
        <w:rPr>
          <w:i/>
        </w:rPr>
        <w:t>Che</w:t>
      </w:r>
      <w:r>
        <w:rPr>
          <w:i/>
        </w:rPr>
        <w:t>m.</w:t>
      </w:r>
      <w:r w:rsidRPr="0081730E">
        <w:rPr>
          <w:i/>
        </w:rPr>
        <w:t xml:space="preserve"> Commun</w:t>
      </w:r>
      <w:r>
        <w:rPr>
          <w:i/>
        </w:rPr>
        <w:t>.</w:t>
      </w:r>
      <w:r>
        <w:t>, 2005, 5103-5105.</w:t>
      </w:r>
    </w:p>
    <w:p w:rsidR="00A6043D" w:rsidRDefault="00A6043D" w:rsidP="00A6043D">
      <w:pPr>
        <w:pStyle w:val="N3References"/>
      </w:pPr>
      <w:r>
        <w:t>4.</w:t>
      </w:r>
      <w:r>
        <w:tab/>
        <w:t xml:space="preserve">J. G. Taylor, N. Whittall and K. K. Hii, </w:t>
      </w:r>
      <w:r w:rsidRPr="0081730E">
        <w:rPr>
          <w:i/>
        </w:rPr>
        <w:t>Org. Lett.</w:t>
      </w:r>
      <w:r>
        <w:t xml:space="preserve">, 2006, </w:t>
      </w:r>
      <w:r w:rsidRPr="0081730E">
        <w:rPr>
          <w:b/>
        </w:rPr>
        <w:t>8</w:t>
      </w:r>
      <w:r>
        <w:t>, 3561-3564.</w:t>
      </w:r>
    </w:p>
    <w:p w:rsidR="00A6043D" w:rsidRDefault="00A6043D" w:rsidP="00A6043D">
      <w:pPr>
        <w:pStyle w:val="N3References"/>
      </w:pPr>
      <w:bookmarkStart w:id="1" w:name="_ENREF_5"/>
      <w:r>
        <w:t>5.</w:t>
      </w:r>
      <w:r>
        <w:tab/>
        <w:t xml:space="preserve">L. A. Adrio and K. K. Hii, </w:t>
      </w:r>
      <w:r w:rsidRPr="0081730E">
        <w:rPr>
          <w:i/>
        </w:rPr>
        <w:t>Che</w:t>
      </w:r>
      <w:r>
        <w:rPr>
          <w:i/>
        </w:rPr>
        <w:t>m.</w:t>
      </w:r>
      <w:r w:rsidRPr="0081730E">
        <w:rPr>
          <w:i/>
        </w:rPr>
        <w:t xml:space="preserve"> Commun</w:t>
      </w:r>
      <w:r>
        <w:rPr>
          <w:i/>
        </w:rPr>
        <w:t>.</w:t>
      </w:r>
      <w:r>
        <w:t>, 2008, 2325-2327.</w:t>
      </w:r>
      <w:bookmarkEnd w:id="1"/>
    </w:p>
    <w:p w:rsidR="00A6043D" w:rsidRDefault="00A6043D" w:rsidP="00A6043D">
      <w:pPr>
        <w:pStyle w:val="N3References"/>
      </w:pPr>
      <w:bookmarkStart w:id="2" w:name="_ENREF_6"/>
      <w:r>
        <w:t>6.</w:t>
      </w:r>
      <w:r>
        <w:tab/>
        <w:t xml:space="preserve">L. A. Adrio, L. S. Quek, J. G. Taylor and K. K. Hii, </w:t>
      </w:r>
      <w:r w:rsidRPr="0081730E">
        <w:rPr>
          <w:i/>
        </w:rPr>
        <w:t>Tetrahedron</w:t>
      </w:r>
      <w:r>
        <w:t xml:space="preserve">, 2009, </w:t>
      </w:r>
      <w:r w:rsidRPr="0081730E">
        <w:rPr>
          <w:b/>
        </w:rPr>
        <w:t>65</w:t>
      </w:r>
      <w:r>
        <w:t>, 10334-10338.</w:t>
      </w:r>
      <w:bookmarkEnd w:id="2"/>
    </w:p>
    <w:p w:rsidR="00A6043D" w:rsidRDefault="00A6043D" w:rsidP="00A6043D">
      <w:pPr>
        <w:pStyle w:val="N3References"/>
      </w:pPr>
      <w:bookmarkStart w:id="3" w:name="_ENREF_7"/>
      <w:r>
        <w:t>7.</w:t>
      </w:r>
      <w:r>
        <w:tab/>
        <w:t xml:space="preserve">J. L. Arbour, H. S. Rzepa, A. J. P. White and K. K. Hii, </w:t>
      </w:r>
      <w:r w:rsidRPr="0081730E">
        <w:rPr>
          <w:i/>
        </w:rPr>
        <w:t>Che</w:t>
      </w:r>
      <w:r>
        <w:rPr>
          <w:i/>
        </w:rPr>
        <w:t>m.</w:t>
      </w:r>
      <w:r w:rsidRPr="0081730E">
        <w:rPr>
          <w:i/>
        </w:rPr>
        <w:t xml:space="preserve"> Commun</w:t>
      </w:r>
      <w:r>
        <w:rPr>
          <w:i/>
        </w:rPr>
        <w:t>.</w:t>
      </w:r>
      <w:r>
        <w:t>, 2009, 7125-7127.</w:t>
      </w:r>
      <w:bookmarkEnd w:id="3"/>
    </w:p>
    <w:p w:rsidR="00A6043D" w:rsidRDefault="00A6043D" w:rsidP="00A6043D">
      <w:pPr>
        <w:pStyle w:val="N3References"/>
      </w:pPr>
      <w:bookmarkStart w:id="4" w:name="_ENREF_8"/>
      <w:r>
        <w:t>8.</w:t>
      </w:r>
      <w:r>
        <w:tab/>
        <w:t xml:space="preserve">L. A. Adrio and K. K. Hii, </w:t>
      </w:r>
      <w:r w:rsidRPr="0081730E">
        <w:rPr>
          <w:i/>
        </w:rPr>
        <w:t>Eur. J. Org. Chem.</w:t>
      </w:r>
      <w:r>
        <w:t>, 2011, 1852-1857.</w:t>
      </w:r>
      <w:bookmarkEnd w:id="4"/>
    </w:p>
    <w:p w:rsidR="00A6043D" w:rsidRDefault="00A6043D" w:rsidP="00A6043D">
      <w:pPr>
        <w:pStyle w:val="N3References"/>
      </w:pPr>
      <w:bookmarkStart w:id="5" w:name="_ENREF_9"/>
      <w:r>
        <w:t>9.</w:t>
      </w:r>
      <w:r>
        <w:tab/>
        <w:t xml:space="preserve">J. L. Arbour, H. S. Rzepa, J. Contreras-Garcia, L. A. Adrio, E. M. Barreiro and K. K. Hii, </w:t>
      </w:r>
      <w:r>
        <w:rPr>
          <w:i/>
        </w:rPr>
        <w:t>Chem—Eur. J.</w:t>
      </w:r>
      <w:r>
        <w:t xml:space="preserve">, 2012, </w:t>
      </w:r>
      <w:r w:rsidRPr="0081730E">
        <w:rPr>
          <w:b/>
        </w:rPr>
        <w:t>18</w:t>
      </w:r>
      <w:r>
        <w:t>, 11317-11324.</w:t>
      </w:r>
      <w:bookmarkEnd w:id="5"/>
    </w:p>
    <w:p w:rsidR="00A6043D" w:rsidRDefault="00A6043D" w:rsidP="00A6043D">
      <w:pPr>
        <w:pStyle w:val="N3References"/>
      </w:pPr>
      <w:bookmarkStart w:id="6" w:name="_ENREF_10"/>
      <w:r>
        <w:t>10.</w:t>
      </w:r>
      <w:r>
        <w:tab/>
        <w:t xml:space="preserve">Y. M. Luo, Z. G. Li and C. J. Li, </w:t>
      </w:r>
      <w:r w:rsidRPr="0081730E">
        <w:rPr>
          <w:i/>
        </w:rPr>
        <w:t>Org. Lett.</w:t>
      </w:r>
      <w:r>
        <w:t xml:space="preserve">, 2005, </w:t>
      </w:r>
      <w:r w:rsidRPr="0081730E">
        <w:rPr>
          <w:b/>
        </w:rPr>
        <w:t>7</w:t>
      </w:r>
      <w:r>
        <w:t>, 2675-2678.</w:t>
      </w:r>
      <w:bookmarkEnd w:id="6"/>
    </w:p>
    <w:p w:rsidR="00A6043D" w:rsidRDefault="00A6043D" w:rsidP="00A6043D">
      <w:pPr>
        <w:pStyle w:val="N3References"/>
      </w:pPr>
      <w:bookmarkStart w:id="7" w:name="_ENREF_11"/>
      <w:r>
        <w:t>11.</w:t>
      </w:r>
      <w:r>
        <w:tab/>
        <w:t xml:space="preserve">J. Sun and S. A. Kozmin, </w:t>
      </w:r>
      <w:r>
        <w:rPr>
          <w:i/>
        </w:rPr>
        <w:t>Angew.</w:t>
      </w:r>
      <w:r w:rsidRPr="0081730E">
        <w:rPr>
          <w:i/>
        </w:rPr>
        <w:t xml:space="preserve"> Chem</w:t>
      </w:r>
      <w:r>
        <w:rPr>
          <w:i/>
        </w:rPr>
        <w:t xml:space="preserve">. </w:t>
      </w:r>
      <w:r w:rsidRPr="0081730E">
        <w:rPr>
          <w:i/>
        </w:rPr>
        <w:t>Int</w:t>
      </w:r>
      <w:r>
        <w:rPr>
          <w:i/>
        </w:rPr>
        <w:t>.</w:t>
      </w:r>
      <w:r w:rsidRPr="0081730E">
        <w:rPr>
          <w:i/>
        </w:rPr>
        <w:t xml:space="preserve"> Ed</w:t>
      </w:r>
      <w:r>
        <w:rPr>
          <w:i/>
        </w:rPr>
        <w:t>.</w:t>
      </w:r>
      <w:r>
        <w:t xml:space="preserve">, 2006, </w:t>
      </w:r>
      <w:r w:rsidRPr="0081730E">
        <w:rPr>
          <w:b/>
        </w:rPr>
        <w:t>45</w:t>
      </w:r>
      <w:r>
        <w:t>, 4991-4993.</w:t>
      </w:r>
      <w:bookmarkEnd w:id="7"/>
    </w:p>
    <w:p w:rsidR="00A6043D" w:rsidRDefault="00A6043D" w:rsidP="00A6043D">
      <w:pPr>
        <w:pStyle w:val="N3References"/>
      </w:pPr>
      <w:bookmarkStart w:id="8" w:name="_ENREF_12"/>
      <w:r>
        <w:t>12.</w:t>
      </w:r>
      <w:r>
        <w:tab/>
        <w:t xml:space="preserve">N. Lingaiah, N. S. Babu, K. M. Reddy, P. S. S. Prasad and I. Suryanarayana, </w:t>
      </w:r>
      <w:r w:rsidRPr="0081730E">
        <w:rPr>
          <w:i/>
        </w:rPr>
        <w:t>Che</w:t>
      </w:r>
      <w:r>
        <w:rPr>
          <w:i/>
        </w:rPr>
        <w:t>m.</w:t>
      </w:r>
      <w:r w:rsidRPr="0081730E">
        <w:rPr>
          <w:i/>
        </w:rPr>
        <w:t xml:space="preserve"> Commun</w:t>
      </w:r>
      <w:r>
        <w:rPr>
          <w:i/>
        </w:rPr>
        <w:t>.</w:t>
      </w:r>
      <w:r>
        <w:t>, 2007, 278-279.</w:t>
      </w:r>
      <w:bookmarkEnd w:id="8"/>
    </w:p>
    <w:p w:rsidR="00A6043D" w:rsidRDefault="00A6043D" w:rsidP="00A6043D">
      <w:pPr>
        <w:pStyle w:val="N3References"/>
      </w:pPr>
      <w:bookmarkStart w:id="9" w:name="_ENREF_13"/>
      <w:r>
        <w:t>13.</w:t>
      </w:r>
      <w:r>
        <w:tab/>
        <w:t xml:space="preserve">J. M. Carney, P. J. Donoghue, W. M. Wuest, O. Wiest and P. Helquist, </w:t>
      </w:r>
      <w:r w:rsidRPr="0081730E">
        <w:rPr>
          <w:i/>
        </w:rPr>
        <w:t>Org. Lett.</w:t>
      </w:r>
      <w:r>
        <w:t xml:space="preserve">, 2008, </w:t>
      </w:r>
      <w:r w:rsidRPr="0081730E">
        <w:rPr>
          <w:b/>
        </w:rPr>
        <w:t>10</w:t>
      </w:r>
      <w:r>
        <w:t>, 3903-3906.</w:t>
      </w:r>
      <w:bookmarkEnd w:id="9"/>
    </w:p>
    <w:p w:rsidR="00A6043D" w:rsidRDefault="00A6043D" w:rsidP="00A6043D">
      <w:pPr>
        <w:pStyle w:val="N3References"/>
      </w:pPr>
      <w:bookmarkStart w:id="10" w:name="_ENREF_14"/>
      <w:r>
        <w:t>14.</w:t>
      </w:r>
      <w:r>
        <w:tab/>
        <w:t xml:space="preserve">H. Li, C. Wang, H. Huang, X. Xu and Y. Li, </w:t>
      </w:r>
      <w:r w:rsidRPr="0081730E">
        <w:rPr>
          <w:i/>
        </w:rPr>
        <w:t>Tetrahedron Lett.</w:t>
      </w:r>
      <w:r>
        <w:t xml:space="preserve">, 2011, </w:t>
      </w:r>
      <w:r w:rsidRPr="0081730E">
        <w:rPr>
          <w:b/>
        </w:rPr>
        <w:t>52</w:t>
      </w:r>
      <w:r>
        <w:t>, 1108-1111.</w:t>
      </w:r>
      <w:bookmarkEnd w:id="10"/>
    </w:p>
    <w:p w:rsidR="00A6043D" w:rsidRDefault="00A6043D" w:rsidP="00A6043D">
      <w:pPr>
        <w:pStyle w:val="N3References"/>
      </w:pPr>
      <w:bookmarkStart w:id="11" w:name="_ENREF_15"/>
      <w:r>
        <w:t>15.</w:t>
      </w:r>
      <w:r>
        <w:tab/>
        <w:t xml:space="preserve">X. Zhang, Y. Zhou, H. Wang, D. Guo, D. Ye, Y. Xu, H. Jiang and H. Liu, </w:t>
      </w:r>
      <w:r w:rsidRPr="0081730E">
        <w:rPr>
          <w:i/>
        </w:rPr>
        <w:t>Green Chem.</w:t>
      </w:r>
      <w:r>
        <w:t xml:space="preserve">, 2011, </w:t>
      </w:r>
      <w:r w:rsidRPr="0081730E">
        <w:rPr>
          <w:b/>
        </w:rPr>
        <w:t>13</w:t>
      </w:r>
      <w:r>
        <w:t>, 397-405.</w:t>
      </w:r>
      <w:bookmarkEnd w:id="11"/>
    </w:p>
    <w:p w:rsidR="00A6043D" w:rsidRDefault="00A6043D" w:rsidP="00A6043D">
      <w:pPr>
        <w:pStyle w:val="N3References"/>
      </w:pPr>
      <w:bookmarkStart w:id="12" w:name="_ENREF_16"/>
      <w:r>
        <w:t>16.</w:t>
      </w:r>
      <w:r>
        <w:tab/>
        <w:t xml:space="preserve">Y. Liu, G. Wu and Y. Cui, </w:t>
      </w:r>
      <w:r w:rsidRPr="0081730E">
        <w:rPr>
          <w:i/>
        </w:rPr>
        <w:t>Appl. Organomet. Chem.</w:t>
      </w:r>
      <w:r>
        <w:t xml:space="preserve">, 2013, </w:t>
      </w:r>
      <w:r w:rsidRPr="0081730E">
        <w:rPr>
          <w:b/>
        </w:rPr>
        <w:t>27</w:t>
      </w:r>
      <w:r>
        <w:t>, 206-208.</w:t>
      </w:r>
      <w:bookmarkEnd w:id="12"/>
    </w:p>
    <w:p w:rsidR="00A6043D" w:rsidRDefault="00A6043D" w:rsidP="00A6043D">
      <w:pPr>
        <w:pStyle w:val="N3References"/>
      </w:pPr>
      <w:bookmarkStart w:id="13" w:name="_ENREF_17"/>
      <w:r>
        <w:t>17.</w:t>
      </w:r>
      <w:r>
        <w:tab/>
        <w:t xml:space="preserve">C. Di Nicola, Effendy, F. Marchetti, C. Nervi, C. Pettinari, W. T. Robinson, A. N. Sobolev and A. H. White, </w:t>
      </w:r>
      <w:r w:rsidRPr="0081730E">
        <w:rPr>
          <w:i/>
        </w:rPr>
        <w:t>Dalton Trans.</w:t>
      </w:r>
      <w:r>
        <w:t xml:space="preserve">, 2010, </w:t>
      </w:r>
      <w:r w:rsidRPr="0081730E">
        <w:rPr>
          <w:b/>
        </w:rPr>
        <w:t>39</w:t>
      </w:r>
      <w:r>
        <w:t>, 908-922.</w:t>
      </w:r>
      <w:bookmarkEnd w:id="13"/>
    </w:p>
    <w:p w:rsidR="00A6043D" w:rsidRDefault="00A6043D" w:rsidP="00A6043D">
      <w:pPr>
        <w:pStyle w:val="N3References"/>
      </w:pPr>
      <w:bookmarkStart w:id="14" w:name="_ENREF_18"/>
      <w:r>
        <w:t>18.</w:t>
      </w:r>
      <w:r>
        <w:tab/>
        <w:t xml:space="preserve">The bromo-product </w:t>
      </w:r>
      <w:r w:rsidRPr="00202E2A">
        <w:rPr>
          <w:b/>
        </w:rPr>
        <w:t>2h</w:t>
      </w:r>
      <w:r>
        <w:t xml:space="preserve"> decomposes during the isolation procedure.</w:t>
      </w:r>
      <w:bookmarkEnd w:id="14"/>
    </w:p>
    <w:p w:rsidR="0080711F" w:rsidRDefault="0080711F" w:rsidP="00A6043D">
      <w:pPr>
        <w:pStyle w:val="N1AuthorAddresses"/>
      </w:pPr>
    </w:p>
    <w:sectPr w:rsidR="0080711F" w:rsidSect="00904722">
      <w:headerReference w:type="even" r:id="rId22"/>
      <w:headerReference w:type="default" r:id="rId23"/>
      <w:endnotePr>
        <w:numFmt w:val="decimal"/>
      </w:endnotePr>
      <w:type w:val="continuous"/>
      <w:pgSz w:w="11907" w:h="15593" w:code="123"/>
      <w:pgMar w:top="1021" w:right="907" w:bottom="1021" w:left="1077" w:header="227" w:footer="624" w:gutter="0"/>
      <w:lnNumType w:countBy="5" w:distance="57"/>
      <w:cols w:num="2" w:space="397"/>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BDD" w:rsidRPr="004C27D7" w:rsidRDefault="00D47BDD" w:rsidP="004C27D7">
      <w:pPr>
        <w:pStyle w:val="Footer"/>
        <w:rPr>
          <w:sz w:val="2"/>
          <w:szCs w:val="2"/>
        </w:rPr>
      </w:pPr>
    </w:p>
  </w:endnote>
  <w:endnote w:type="continuationSeparator" w:id="0">
    <w:p w:rsidR="00D47BDD" w:rsidRPr="004C27D7" w:rsidRDefault="00D47BDD" w:rsidP="004C27D7">
      <w:pPr>
        <w:pStyle w:val="Footer"/>
        <w:rPr>
          <w:sz w:val="2"/>
          <w:szCs w:val="2"/>
        </w:rPr>
      </w:pPr>
    </w:p>
  </w:endnote>
  <w:endnote w:type="continuationNotice" w:id="1">
    <w:p w:rsidR="00D47BDD" w:rsidRPr="004C27D7" w:rsidRDefault="00D47BDD">
      <w:pPr>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20000287" w:usb1="00000001" w:usb2="00000000" w:usb3="00000000" w:csb0="0000019F" w:csb1="00000000"/>
  </w:font>
  <w:font w:name="Pompei">
    <w:altName w:val="Times New Roman"/>
    <w:panose1 w:val="00000000000000000000"/>
    <w:charset w:val="00"/>
    <w:family w:val="roman"/>
    <w:notTrueType/>
    <w:pitch w:val="variable"/>
    <w:sig w:usb0="00000001" w:usb1="00000000" w:usb2="00000000" w:usb3="00000000" w:csb0="00000009" w:csb1="00000000"/>
  </w:font>
  <w:font w:name="Myriad Pro Light">
    <w:altName w:val="Arial"/>
    <w:panose1 w:val="00000000000000000000"/>
    <w:charset w:val="00"/>
    <w:family w:val="swiss"/>
    <w:notTrueType/>
    <w:pitch w:val="variable"/>
    <w:sig w:usb0="00000001" w:usb1="00000001" w:usb2="00000000" w:usb3="00000000" w:csb0="0000019F" w:csb1="00000000"/>
  </w:font>
  <w:font w:name="Myriad Condensed Web">
    <w:altName w:val="Franklin Gothic Medium Cond"/>
    <w:charset w:val="00"/>
    <w:family w:val="swiss"/>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embedRegular r:id="rId1" w:fontKey="{AC892D73-2346-42E1-8367-490A72166C7D}"/>
  </w:font>
  <w:font w:name="Calibri">
    <w:panose1 w:val="020F0502020204030204"/>
    <w:charset w:val="00"/>
    <w:family w:val="swiss"/>
    <w:pitch w:val="variable"/>
    <w:sig w:usb0="E10002FF" w:usb1="4000ACFF" w:usb2="00000009" w:usb3="00000000" w:csb0="0000019F" w:csb1="00000000"/>
    <w:embedRegular r:id="rId2" w:fontKey="{CF9E9CB6-7E68-4F6B-BB96-FB28FAD2B0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4BE" w:rsidRPr="004E5F6D" w:rsidRDefault="007D00AB" w:rsidP="00512C15">
    <w:pPr>
      <w:pStyle w:val="F1RunningFooter"/>
    </w:pPr>
    <w:r w:rsidRPr="000C02B6">
      <w:rPr>
        <w:b/>
      </w:rPr>
      <w:fldChar w:fldCharType="begin"/>
    </w:r>
    <w:r w:rsidR="005054BE" w:rsidRPr="000C02B6">
      <w:rPr>
        <w:b/>
      </w:rPr>
      <w:instrText xml:space="preserve"> PAGE </w:instrText>
    </w:r>
    <w:r w:rsidRPr="000C02B6">
      <w:rPr>
        <w:b/>
      </w:rPr>
      <w:fldChar w:fldCharType="separate"/>
    </w:r>
    <w:r w:rsidR="00B036F7">
      <w:rPr>
        <w:b/>
        <w:noProof/>
      </w:rPr>
      <w:t>2</w:t>
    </w:r>
    <w:r w:rsidRPr="000C02B6">
      <w:rPr>
        <w:b/>
      </w:rPr>
      <w:fldChar w:fldCharType="end"/>
    </w:r>
    <w:r w:rsidR="005054BE">
      <w:t xml:space="preserve">  </w:t>
    </w:r>
    <w:proofErr w:type="gramStart"/>
    <w:r w:rsidR="005054BE" w:rsidRPr="004E5F6D">
      <w:t>|</w:t>
    </w:r>
    <w:r w:rsidR="005054BE">
      <w:t xml:space="preserve">  </w:t>
    </w:r>
    <w:r w:rsidR="005054BE">
      <w:rPr>
        <w:i/>
      </w:rPr>
      <w:t>Journal</w:t>
    </w:r>
    <w:proofErr w:type="gramEnd"/>
    <w:r w:rsidR="005054BE">
      <w:rPr>
        <w:i/>
      </w:rPr>
      <w:t xml:space="preserve"> Name</w:t>
    </w:r>
    <w:r w:rsidR="005054BE" w:rsidRPr="004E5F6D">
      <w:t xml:space="preserve">, </w:t>
    </w:r>
    <w:r w:rsidR="005054BE">
      <w:t>[year]</w:t>
    </w:r>
    <w:r w:rsidR="005054BE" w:rsidRPr="004E5F6D">
      <w:t xml:space="preserve">, </w:t>
    </w:r>
    <w:r w:rsidR="005054BE">
      <w:rPr>
        <w:b/>
      </w:rPr>
      <w:t>[</w:t>
    </w:r>
    <w:proofErr w:type="spellStart"/>
    <w:r w:rsidR="005054BE">
      <w:rPr>
        <w:b/>
      </w:rPr>
      <w:t>vol</w:t>
    </w:r>
    <w:proofErr w:type="spellEnd"/>
    <w:r w:rsidR="005054BE">
      <w:rPr>
        <w:b/>
      </w:rPr>
      <w:t>]</w:t>
    </w:r>
    <w:r w:rsidR="005054BE" w:rsidRPr="004E5F6D">
      <w:t xml:space="preserve">, </w:t>
    </w:r>
    <w:r w:rsidR="005054BE">
      <w:t>00–00</w:t>
    </w:r>
    <w:r w:rsidR="005054BE">
      <w:rPr>
        <w:b/>
      </w:rPr>
      <w:tab/>
    </w:r>
    <w:r w:rsidR="005054BE" w:rsidRPr="00E26194">
      <w:rPr>
        <w:rStyle w:val="C1Gray"/>
        <w:lang w:val="en-GB"/>
      </w:rPr>
      <w:t>This journal is © The Royal Society of Chemistry [year]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4BE" w:rsidRPr="004E5F6D" w:rsidRDefault="005054BE" w:rsidP="00512C15">
    <w:pPr>
      <w:pStyle w:val="F1RunningFooter"/>
    </w:pPr>
    <w:r w:rsidRPr="00E26194">
      <w:rPr>
        <w:rStyle w:val="C1Gray"/>
        <w:lang w:val="en-GB"/>
      </w:rPr>
      <w:t>This journal is © The Royal Society of Chemistry [year]</w:t>
    </w:r>
    <w:r>
      <w:rPr>
        <w:b/>
      </w:rPr>
      <w:tab/>
    </w:r>
    <w:r>
      <w:rPr>
        <w:i/>
      </w:rPr>
      <w:t>Journal Name</w:t>
    </w:r>
    <w:r w:rsidRPr="004E5F6D">
      <w:t xml:space="preserve">, </w:t>
    </w:r>
    <w:r>
      <w:t>[year]</w:t>
    </w:r>
    <w:r w:rsidRPr="004E5F6D">
      <w:t xml:space="preserve">, </w:t>
    </w:r>
    <w:r>
      <w:rPr>
        <w:b/>
      </w:rPr>
      <w:t>[</w:t>
    </w:r>
    <w:proofErr w:type="spellStart"/>
    <w:r>
      <w:rPr>
        <w:b/>
      </w:rPr>
      <w:t>vol</w:t>
    </w:r>
    <w:proofErr w:type="spellEnd"/>
    <w:r>
      <w:rPr>
        <w:b/>
      </w:rPr>
      <w:t>]</w:t>
    </w:r>
    <w:r w:rsidRPr="004E5F6D">
      <w:t xml:space="preserve">, </w:t>
    </w:r>
    <w:r>
      <w:t>00–</w:t>
    </w:r>
    <w:proofErr w:type="gramStart"/>
    <w:r>
      <w:t xml:space="preserve">00  </w:t>
    </w:r>
    <w:r w:rsidRPr="004E5F6D">
      <w:t>|</w:t>
    </w:r>
    <w:proofErr w:type="gramEnd"/>
    <w:r>
      <w:t xml:space="preserve">  </w:t>
    </w:r>
    <w:r w:rsidR="007D00AB" w:rsidRPr="000C02B6">
      <w:rPr>
        <w:b/>
      </w:rPr>
      <w:fldChar w:fldCharType="begin"/>
    </w:r>
    <w:r w:rsidRPr="000C02B6">
      <w:rPr>
        <w:b/>
      </w:rPr>
      <w:instrText xml:space="preserve"> PAGE </w:instrText>
    </w:r>
    <w:r w:rsidR="007D00AB" w:rsidRPr="000C02B6">
      <w:rPr>
        <w:b/>
      </w:rPr>
      <w:fldChar w:fldCharType="separate"/>
    </w:r>
    <w:r w:rsidR="00B036F7">
      <w:rPr>
        <w:b/>
        <w:noProof/>
      </w:rPr>
      <w:t>3</w:t>
    </w:r>
    <w:r w:rsidR="007D00AB" w:rsidRPr="000C02B6">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4BE" w:rsidRPr="004E5F6D" w:rsidRDefault="005054BE" w:rsidP="008E64AC">
    <w:pPr>
      <w:pBdr>
        <w:top w:val="single" w:sz="6" w:space="1" w:color="auto"/>
      </w:pBdr>
      <w:tabs>
        <w:tab w:val="right" w:pos="9923"/>
      </w:tabs>
      <w:rPr>
        <w:rFonts w:ascii="Arial" w:hAnsi="Arial" w:cs="Arial"/>
        <w:sz w:val="17"/>
        <w:szCs w:val="17"/>
      </w:rPr>
    </w:pPr>
    <w:r w:rsidRPr="00D40D6C">
      <w:rPr>
        <w:rFonts w:ascii="Arial" w:hAnsi="Arial" w:cs="Arial"/>
        <w:color w:val="666666"/>
        <w:sz w:val="17"/>
        <w:szCs w:val="17"/>
      </w:rPr>
      <w:t xml:space="preserve">This journal </w:t>
    </w:r>
    <w:r>
      <w:rPr>
        <w:rFonts w:ascii="Arial" w:hAnsi="Arial" w:cs="Arial"/>
        <w:color w:val="666666"/>
        <w:sz w:val="17"/>
        <w:szCs w:val="17"/>
      </w:rPr>
      <w:t xml:space="preserve">is </w:t>
    </w:r>
    <w:r w:rsidRPr="00D40D6C">
      <w:rPr>
        <w:rFonts w:ascii="Arial" w:hAnsi="Arial" w:cs="Arial"/>
        <w:color w:val="666666"/>
        <w:sz w:val="17"/>
        <w:szCs w:val="17"/>
      </w:rPr>
      <w:t xml:space="preserve">© </w:t>
    </w:r>
    <w:r>
      <w:rPr>
        <w:rFonts w:ascii="Arial" w:hAnsi="Arial" w:cs="Arial"/>
        <w:color w:val="666666"/>
        <w:sz w:val="17"/>
        <w:szCs w:val="17"/>
      </w:rPr>
      <w:t xml:space="preserve">The </w:t>
    </w:r>
    <w:r w:rsidRPr="00D40D6C">
      <w:rPr>
        <w:rFonts w:ascii="Arial" w:hAnsi="Arial" w:cs="Arial"/>
        <w:color w:val="666666"/>
        <w:sz w:val="17"/>
        <w:szCs w:val="17"/>
      </w:rPr>
      <w:t>Royal Society of Chemistry</w:t>
    </w:r>
    <w:r>
      <w:rPr>
        <w:rFonts w:ascii="Arial" w:hAnsi="Arial" w:cs="Arial"/>
        <w:color w:val="666666"/>
        <w:sz w:val="17"/>
        <w:szCs w:val="17"/>
      </w:rPr>
      <w:t xml:space="preserve"> [year]</w:t>
    </w:r>
    <w:r>
      <w:rPr>
        <w:rFonts w:ascii="Arial" w:hAnsi="Arial" w:cs="Arial"/>
        <w:b/>
        <w:sz w:val="17"/>
        <w:szCs w:val="17"/>
      </w:rPr>
      <w:tab/>
    </w:r>
    <w:r w:rsidRPr="00F5304A">
      <w:rPr>
        <w:rFonts w:ascii="Arial" w:hAnsi="Arial" w:cs="Arial"/>
        <w:i/>
        <w:sz w:val="17"/>
        <w:szCs w:val="17"/>
      </w:rPr>
      <w:t>[journal]</w:t>
    </w:r>
    <w:r w:rsidRPr="004E5F6D">
      <w:rPr>
        <w:rFonts w:ascii="Arial" w:hAnsi="Arial" w:cs="Arial"/>
        <w:sz w:val="17"/>
        <w:szCs w:val="17"/>
      </w:rPr>
      <w:t xml:space="preserve">, </w:t>
    </w:r>
    <w:r>
      <w:rPr>
        <w:rFonts w:ascii="Arial" w:hAnsi="Arial" w:cs="Arial"/>
        <w:sz w:val="17"/>
        <w:szCs w:val="17"/>
      </w:rPr>
      <w:t>[year]</w:t>
    </w:r>
    <w:r w:rsidRPr="004E5F6D">
      <w:rPr>
        <w:rFonts w:ascii="Arial" w:hAnsi="Arial" w:cs="Arial"/>
        <w:sz w:val="17"/>
        <w:szCs w:val="17"/>
      </w:rPr>
      <w:t xml:space="preserve">, </w:t>
    </w:r>
    <w:r>
      <w:rPr>
        <w:rFonts w:ascii="Arial" w:hAnsi="Arial" w:cs="Arial"/>
        <w:b/>
        <w:sz w:val="17"/>
        <w:szCs w:val="17"/>
      </w:rPr>
      <w:t>[</w:t>
    </w:r>
    <w:proofErr w:type="spellStart"/>
    <w:r>
      <w:rPr>
        <w:rFonts w:ascii="Arial" w:hAnsi="Arial" w:cs="Arial"/>
        <w:b/>
        <w:sz w:val="17"/>
        <w:szCs w:val="17"/>
      </w:rPr>
      <w:t>vol</w:t>
    </w:r>
    <w:proofErr w:type="spellEnd"/>
    <w:r>
      <w:rPr>
        <w:rFonts w:ascii="Arial" w:hAnsi="Arial" w:cs="Arial"/>
        <w:b/>
        <w:sz w:val="17"/>
        <w:szCs w:val="17"/>
      </w:rPr>
      <w:t>]</w:t>
    </w:r>
    <w:r w:rsidRPr="004E5F6D">
      <w:rPr>
        <w:rFonts w:ascii="Arial" w:hAnsi="Arial" w:cs="Arial"/>
        <w:sz w:val="17"/>
        <w:szCs w:val="17"/>
      </w:rPr>
      <w:t xml:space="preserve">, </w:t>
    </w:r>
    <w:r>
      <w:rPr>
        <w:rFonts w:ascii="Arial" w:hAnsi="Arial" w:cs="Arial"/>
        <w:sz w:val="17"/>
        <w:szCs w:val="17"/>
      </w:rPr>
      <w:t>00–</w:t>
    </w:r>
    <w:proofErr w:type="gramStart"/>
    <w:r>
      <w:rPr>
        <w:rFonts w:ascii="Arial" w:hAnsi="Arial" w:cs="Arial"/>
        <w:sz w:val="17"/>
        <w:szCs w:val="17"/>
      </w:rPr>
      <w:t xml:space="preserve">00  </w:t>
    </w:r>
    <w:r w:rsidRPr="004E5F6D">
      <w:rPr>
        <w:rFonts w:ascii="Arial" w:hAnsi="Arial" w:cs="Arial"/>
        <w:sz w:val="17"/>
        <w:szCs w:val="17"/>
      </w:rPr>
      <w:t>|</w:t>
    </w:r>
    <w:proofErr w:type="gramEnd"/>
    <w:r>
      <w:rPr>
        <w:rFonts w:ascii="Arial" w:hAnsi="Arial" w:cs="Arial"/>
        <w:sz w:val="17"/>
        <w:szCs w:val="17"/>
      </w:rPr>
      <w:t xml:space="preserve">  </w:t>
    </w:r>
    <w:r w:rsidR="007D00AB" w:rsidRPr="000C02B6">
      <w:rPr>
        <w:rFonts w:ascii="Arial" w:hAnsi="Arial" w:cs="Arial"/>
        <w:b/>
        <w:sz w:val="17"/>
        <w:szCs w:val="17"/>
      </w:rPr>
      <w:fldChar w:fldCharType="begin"/>
    </w:r>
    <w:r w:rsidRPr="000C02B6">
      <w:rPr>
        <w:rFonts w:ascii="Arial" w:hAnsi="Arial" w:cs="Arial"/>
        <w:b/>
        <w:sz w:val="17"/>
        <w:szCs w:val="17"/>
      </w:rPr>
      <w:instrText xml:space="preserve"> PAGE </w:instrText>
    </w:r>
    <w:r w:rsidR="007D00AB" w:rsidRPr="000C02B6">
      <w:rPr>
        <w:rFonts w:ascii="Arial" w:hAnsi="Arial" w:cs="Arial"/>
        <w:b/>
        <w:sz w:val="17"/>
        <w:szCs w:val="17"/>
      </w:rPr>
      <w:fldChar w:fldCharType="separate"/>
    </w:r>
    <w:r w:rsidR="00B036F7">
      <w:rPr>
        <w:rFonts w:ascii="Arial" w:hAnsi="Arial" w:cs="Arial"/>
        <w:b/>
        <w:noProof/>
        <w:sz w:val="17"/>
        <w:szCs w:val="17"/>
      </w:rPr>
      <w:t>1</w:t>
    </w:r>
    <w:r w:rsidR="007D00AB" w:rsidRPr="000C02B6">
      <w:rPr>
        <w:rFonts w:ascii="Arial" w:hAnsi="Arial" w:cs="Arial"/>
        <w:b/>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BDD" w:rsidRDefault="00D47BDD">
      <w:r>
        <w:separator/>
      </w:r>
    </w:p>
  </w:footnote>
  <w:footnote w:type="continuationSeparator" w:id="0">
    <w:p w:rsidR="00D47BDD" w:rsidRDefault="00D47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4BE" w:rsidRDefault="005054BE" w:rsidP="00D216FB">
    <w:pPr>
      <w:spacing w:after="80"/>
      <w:jc w:val="center"/>
      <w:rPr>
        <w:rFonts w:ascii="Arial" w:hAnsi="Arial"/>
        <w:b/>
        <w:color w:val="000000"/>
        <w:sz w:val="12"/>
      </w:rPr>
    </w:pPr>
    <w:r>
      <w:rPr>
        <w:rFonts w:ascii="Arial" w:hAnsi="Arial"/>
        <w:b/>
        <w:color w:val="000000"/>
        <w:sz w:val="12"/>
      </w:rPr>
      <w:t>CREATED USING THE RSC ARTICLE TEMPLATE (VER. 3.0) - SEE WWW.RSC.ORG/ELECTRONICFILES FOR DETAILS</w:t>
    </w:r>
  </w:p>
  <w:p w:rsidR="005054BE" w:rsidRPr="00641DA1" w:rsidRDefault="005054BE" w:rsidP="008C11DC">
    <w:pPr>
      <w:pStyle w:val="H1RunningHeader"/>
      <w:rPr>
        <w:color w:val="000000"/>
        <w:lang w:val="fr-FR"/>
      </w:rPr>
    </w:pPr>
    <w:r w:rsidRPr="00641DA1">
      <w:rPr>
        <w:rStyle w:val="C1Gray"/>
      </w:rPr>
      <w:t xml:space="preserve">ARTICLE </w:t>
    </w:r>
    <w:r>
      <w:rPr>
        <w:rStyle w:val="C1Gray"/>
      </w:rPr>
      <w:t>TYPE</w:t>
    </w:r>
    <w:r w:rsidRPr="00641DA1">
      <w:rPr>
        <w:color w:val="000000"/>
        <w:lang w:val="fr-FR"/>
      </w:rPr>
      <w:tab/>
    </w:r>
    <w:r w:rsidRPr="00641DA1">
      <w:rPr>
        <w:rStyle w:val="C1Gray"/>
      </w:rPr>
      <w:t>www.rsc.org/xxxxxx</w:t>
    </w:r>
    <w:r w:rsidRPr="00641DA1">
      <w:rPr>
        <w:color w:val="000000"/>
        <w:lang w:val="fr-FR"/>
      </w:rPr>
      <w:t xml:space="preserve">  |  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4BE" w:rsidRDefault="005054BE" w:rsidP="00D216FB">
    <w:pPr>
      <w:spacing w:after="80"/>
      <w:jc w:val="center"/>
      <w:rPr>
        <w:rFonts w:ascii="Arial" w:hAnsi="Arial"/>
        <w:b/>
        <w:color w:val="000000"/>
        <w:sz w:val="12"/>
      </w:rPr>
    </w:pPr>
    <w:r>
      <w:rPr>
        <w:rFonts w:ascii="Arial" w:hAnsi="Arial"/>
        <w:b/>
        <w:color w:val="000000"/>
        <w:sz w:val="12"/>
      </w:rPr>
      <w:t xml:space="preserve">CREATED USING THE RSC </w:t>
    </w:r>
    <w:r w:rsidR="004C3EBE">
      <w:rPr>
        <w:rFonts w:ascii="Arial" w:hAnsi="Arial"/>
        <w:b/>
        <w:color w:val="000000"/>
        <w:sz w:val="12"/>
      </w:rPr>
      <w:t>COMMUNICATION</w:t>
    </w:r>
    <w:r>
      <w:rPr>
        <w:rFonts w:ascii="Arial" w:hAnsi="Arial"/>
        <w:b/>
        <w:color w:val="000000"/>
        <w:sz w:val="12"/>
      </w:rPr>
      <w:t xml:space="preserve"> TEMPLATE (VER. 3.</w:t>
    </w:r>
    <w:r w:rsidR="003B78DD">
      <w:rPr>
        <w:rFonts w:ascii="Arial" w:hAnsi="Arial"/>
        <w:b/>
        <w:color w:val="000000"/>
        <w:sz w:val="12"/>
      </w:rPr>
      <w:t>1</w:t>
    </w:r>
    <w:r>
      <w:rPr>
        <w:rFonts w:ascii="Arial" w:hAnsi="Arial"/>
        <w:b/>
        <w:color w:val="000000"/>
        <w:sz w:val="12"/>
      </w:rPr>
      <w:t>) - SEE WWW.RSC.ORG/ELECTRONICFILES FOR DETAILS</w:t>
    </w:r>
  </w:p>
  <w:p w:rsidR="005054BE" w:rsidRPr="00641DA1" w:rsidRDefault="005054BE" w:rsidP="00D216FB">
    <w:pPr>
      <w:pStyle w:val="H1RunningHeader"/>
      <w:rPr>
        <w:color w:val="000000"/>
        <w:lang w:val="fr-FR"/>
      </w:rPr>
    </w:pPr>
    <w:r w:rsidRPr="00641DA1">
      <w:rPr>
        <w:rStyle w:val="C1Gray"/>
      </w:rPr>
      <w:t xml:space="preserve">ARTICLE </w:t>
    </w:r>
    <w:r>
      <w:rPr>
        <w:rStyle w:val="C1Gray"/>
      </w:rPr>
      <w:t>TYPE</w:t>
    </w:r>
    <w:r w:rsidRPr="00641DA1">
      <w:rPr>
        <w:color w:val="000000"/>
        <w:lang w:val="fr-FR"/>
      </w:rPr>
      <w:tab/>
    </w:r>
    <w:r w:rsidRPr="00641DA1">
      <w:rPr>
        <w:rStyle w:val="C1Gray"/>
      </w:rPr>
      <w:t>www.rsc.org/</w:t>
    </w:r>
    <w:r>
      <w:rPr>
        <w:rStyle w:val="C1Gray"/>
      </w:rPr>
      <w:t>xxxxxx</w:t>
    </w:r>
    <w:r w:rsidRPr="00641DA1">
      <w:rPr>
        <w:color w:val="000000"/>
        <w:lang w:val="fr-FR"/>
      </w:rPr>
      <w:t xml:space="preserve">  |  </w:t>
    </w:r>
    <w:r>
      <w:rPr>
        <w:color w:val="000000"/>
        <w:lang w:val="fr-FR"/>
      </w:rPr>
      <w:t>XXXXXXXX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bottom w:val="single" w:sz="4" w:space="0" w:color="auto"/>
      </w:tblBorders>
      <w:tblLook w:val="04A0" w:firstRow="1" w:lastRow="0" w:firstColumn="1" w:lastColumn="0" w:noHBand="0" w:noVBand="1"/>
    </w:tblPr>
    <w:tblGrid>
      <w:gridCol w:w="4970"/>
      <w:gridCol w:w="4953"/>
    </w:tblGrid>
    <w:tr w:rsidR="007909CC" w:rsidRPr="00045511" w:rsidTr="007D3DCE">
      <w:tc>
        <w:tcPr>
          <w:tcW w:w="5069" w:type="dxa"/>
          <w:tcBorders>
            <w:bottom w:val="single" w:sz="4" w:space="0" w:color="auto"/>
          </w:tcBorders>
        </w:tcPr>
        <w:p w:rsidR="007909CC" w:rsidRPr="00BA7F22" w:rsidRDefault="009C6BA9" w:rsidP="007D3DCE">
          <w:pPr>
            <w:pStyle w:val="H1RunningHeader"/>
            <w:pBdr>
              <w:bottom w:val="none" w:sz="0" w:space="0" w:color="auto"/>
            </w:pBdr>
            <w:spacing w:line="440" w:lineRule="exact"/>
            <w:rPr>
              <w:rStyle w:val="C1Gray"/>
              <w:rFonts w:ascii="Pompei" w:hAnsi="Pompei"/>
              <w:color w:val="auto"/>
              <w:w w:val="100"/>
              <w:position w:val="4"/>
              <w:sz w:val="40"/>
              <w:szCs w:val="40"/>
              <w:lang w:val="en-GB"/>
            </w:rPr>
          </w:pPr>
          <w:r>
            <w:rPr>
              <w:rStyle w:val="C1Gray"/>
              <w:rFonts w:ascii="Pompei" w:hAnsi="Pompei"/>
              <w:color w:val="auto"/>
              <w:w w:val="100"/>
              <w:position w:val="4"/>
              <w:sz w:val="40"/>
              <w:szCs w:val="40"/>
              <w:lang w:val="en-GB"/>
            </w:rPr>
            <w:t>Chemical Communications</w:t>
          </w:r>
        </w:p>
        <w:p w:rsidR="007909CC" w:rsidRPr="00BA7F22" w:rsidRDefault="007909CC" w:rsidP="007D3DCE">
          <w:pPr>
            <w:pStyle w:val="H1RunningHeader"/>
            <w:pBdr>
              <w:bottom w:val="none" w:sz="0" w:space="0" w:color="auto"/>
            </w:pBdr>
            <w:spacing w:before="720" w:line="240" w:lineRule="exact"/>
            <w:rPr>
              <w:rStyle w:val="C1Gray"/>
              <w:rFonts w:ascii="Myriad Pro Light" w:hAnsi="Myriad Pro Light"/>
              <w:w w:val="100"/>
              <w:sz w:val="24"/>
              <w:szCs w:val="24"/>
              <w:lang w:val="en-GB"/>
            </w:rPr>
          </w:pPr>
          <w:r w:rsidRPr="00BA7F22">
            <w:rPr>
              <w:rStyle w:val="C1Gray"/>
              <w:rFonts w:ascii="Myriad Pro Light" w:hAnsi="Myriad Pro Light"/>
              <w:w w:val="100"/>
              <w:sz w:val="24"/>
              <w:szCs w:val="24"/>
              <w:lang w:val="en-GB"/>
            </w:rPr>
            <w:t>Cite this: DOI: 10.1039/c0xx00000x</w:t>
          </w:r>
        </w:p>
        <w:p w:rsidR="007909CC" w:rsidRPr="00BA7F22" w:rsidRDefault="007909CC" w:rsidP="007D3DCE">
          <w:pPr>
            <w:pStyle w:val="H1RunningHeader"/>
            <w:pBdr>
              <w:bottom w:val="none" w:sz="0" w:space="0" w:color="auto"/>
            </w:pBdr>
            <w:spacing w:before="220" w:after="60" w:line="240" w:lineRule="exact"/>
            <w:rPr>
              <w:rStyle w:val="C1Gray"/>
              <w:rFonts w:ascii="Myriad Pro Light" w:hAnsi="Myriad Pro Light"/>
              <w:w w:val="100"/>
              <w:sz w:val="24"/>
              <w:szCs w:val="24"/>
              <w:lang w:val="en-GB"/>
            </w:rPr>
          </w:pPr>
          <w:r w:rsidRPr="00BA7F22">
            <w:rPr>
              <w:rStyle w:val="C1Gray"/>
              <w:rFonts w:ascii="Myriad Pro Light" w:hAnsi="Myriad Pro Light"/>
              <w:w w:val="100"/>
              <w:sz w:val="24"/>
              <w:szCs w:val="24"/>
              <w:lang w:val="en-GB"/>
            </w:rPr>
            <w:t>www.rsc.org/xxxxxx</w:t>
          </w:r>
        </w:p>
      </w:tc>
      <w:tc>
        <w:tcPr>
          <w:tcW w:w="5070" w:type="dxa"/>
          <w:tcBorders>
            <w:bottom w:val="single" w:sz="4" w:space="0" w:color="auto"/>
          </w:tcBorders>
        </w:tcPr>
        <w:p w:rsidR="007909CC" w:rsidRPr="00BA7F22" w:rsidRDefault="007909CC" w:rsidP="007D3DCE">
          <w:pPr>
            <w:pStyle w:val="H1RunningHeader"/>
            <w:pBdr>
              <w:bottom w:val="none" w:sz="0" w:space="0" w:color="auto"/>
            </w:pBdr>
            <w:spacing w:before="20" w:line="240" w:lineRule="exact"/>
            <w:jc w:val="right"/>
            <w:rPr>
              <w:rFonts w:ascii="Times New Roman" w:hAnsi="Times New Roman" w:cs="Times New Roman"/>
              <w:color w:val="0000ED"/>
              <w:w w:val="100"/>
            </w:rPr>
          </w:pPr>
          <w:r w:rsidRPr="00BA7F22">
            <w:rPr>
              <w:rStyle w:val="C1Gray"/>
              <w:rFonts w:ascii="Myriad Pro Light" w:hAnsi="Myriad Pro Light"/>
              <w:color w:val="0000ED"/>
              <w:w w:val="100"/>
              <w:sz w:val="24"/>
              <w:szCs w:val="24"/>
              <w:lang w:val="en-GB"/>
            </w:rPr>
            <w:t>Dynamic Article Links</w:t>
          </w:r>
          <w:r w:rsidRPr="00BA7F22">
            <w:rPr>
              <w:w w:val="100"/>
            </w:rPr>
            <w:t xml:space="preserve"> </w:t>
          </w:r>
          <w:r w:rsidRPr="00BA7F22">
            <w:rPr>
              <w:rFonts w:ascii="Times New Roman" w:hAnsi="Times New Roman" w:cs="Times New Roman"/>
              <w:color w:val="0000ED"/>
              <w:w w:val="100"/>
              <w:sz w:val="24"/>
              <w:szCs w:val="24"/>
            </w:rPr>
            <w:t>►</w:t>
          </w:r>
        </w:p>
        <w:p w:rsidR="007909CC" w:rsidRPr="00BA7F22" w:rsidRDefault="009C6BA9" w:rsidP="007D3DCE">
          <w:pPr>
            <w:pStyle w:val="H1RunningHeader"/>
            <w:pBdr>
              <w:bottom w:val="none" w:sz="0" w:space="0" w:color="auto"/>
            </w:pBdr>
            <w:spacing w:before="1240" w:line="400" w:lineRule="exact"/>
            <w:jc w:val="right"/>
            <w:rPr>
              <w:rStyle w:val="C1Gray"/>
              <w:rFonts w:ascii="Pompei" w:hAnsi="Pompei"/>
              <w:color w:val="auto"/>
              <w:w w:val="100"/>
              <w:sz w:val="40"/>
              <w:szCs w:val="40"/>
              <w:lang w:val="en-GB"/>
            </w:rPr>
          </w:pPr>
          <w:r>
            <w:rPr>
              <w:rStyle w:val="C1Gray"/>
              <w:rFonts w:ascii="Myriad Condensed Web" w:hAnsi="Myriad Condensed Web"/>
              <w:b/>
              <w:color w:val="auto"/>
              <w:w w:val="100"/>
              <w:sz w:val="40"/>
              <w:szCs w:val="40"/>
              <w:lang w:val="en-GB"/>
            </w:rPr>
            <w:t>Communication</w:t>
          </w:r>
        </w:p>
      </w:tc>
    </w:tr>
  </w:tbl>
  <w:p w:rsidR="007909CC" w:rsidRPr="00171725" w:rsidRDefault="007909CC" w:rsidP="007909CC">
    <w:pPr>
      <w:pStyle w:val="Header"/>
      <w:spacing w:line="200" w:lineRule="exact"/>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1E" w:rsidRPr="00740342" w:rsidRDefault="0059351E" w:rsidP="0059351E">
    <w:pPr>
      <w:pStyle w:val="H1RunningHeader"/>
      <w:rPr>
        <w:sz w:val="48"/>
        <w:szCs w:val="4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1E" w:rsidRPr="00740342" w:rsidRDefault="0059351E" w:rsidP="0059351E">
    <w:pPr>
      <w:pStyle w:val="H1RunningHeader"/>
      <w:rPr>
        <w:sz w:val="48"/>
        <w:szCs w:val="4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8200842"/>
    <w:lvl w:ilvl="0">
      <w:start w:val="1"/>
      <w:numFmt w:val="decimal"/>
      <w:lvlText w:val="%1."/>
      <w:lvlJc w:val="left"/>
      <w:pPr>
        <w:tabs>
          <w:tab w:val="num" w:pos="1209"/>
        </w:tabs>
        <w:ind w:left="1209" w:hanging="360"/>
      </w:pPr>
    </w:lvl>
  </w:abstractNum>
  <w:abstractNum w:abstractNumId="1">
    <w:nsid w:val="FFFFFF7E"/>
    <w:multiLevelType w:val="singleLevel"/>
    <w:tmpl w:val="CF56D2CC"/>
    <w:lvl w:ilvl="0">
      <w:start w:val="1"/>
      <w:numFmt w:val="decimal"/>
      <w:lvlText w:val="%1."/>
      <w:lvlJc w:val="left"/>
      <w:pPr>
        <w:tabs>
          <w:tab w:val="num" w:pos="926"/>
        </w:tabs>
        <w:ind w:left="926" w:hanging="360"/>
      </w:pPr>
    </w:lvl>
  </w:abstractNum>
  <w:abstractNum w:abstractNumId="2">
    <w:nsid w:val="FFFFFF7F"/>
    <w:multiLevelType w:val="singleLevel"/>
    <w:tmpl w:val="938013B0"/>
    <w:lvl w:ilvl="0">
      <w:start w:val="1"/>
      <w:numFmt w:val="decimal"/>
      <w:lvlText w:val="%1."/>
      <w:lvlJc w:val="left"/>
      <w:pPr>
        <w:tabs>
          <w:tab w:val="num" w:pos="643"/>
        </w:tabs>
        <w:ind w:left="643" w:hanging="360"/>
      </w:pPr>
    </w:lvl>
  </w:abstractNum>
  <w:abstractNum w:abstractNumId="3">
    <w:nsid w:val="FFFFFF80"/>
    <w:multiLevelType w:val="singleLevel"/>
    <w:tmpl w:val="938C0E4E"/>
    <w:lvl w:ilvl="0">
      <w:start w:val="1"/>
      <w:numFmt w:val="bullet"/>
      <w:lvlText w:val=""/>
      <w:lvlJc w:val="left"/>
      <w:pPr>
        <w:tabs>
          <w:tab w:val="num" w:pos="1492"/>
        </w:tabs>
        <w:ind w:left="1492" w:hanging="360"/>
      </w:pPr>
      <w:rPr>
        <w:rFonts w:ascii="Symbol" w:hAnsi="Symbol" w:hint="default"/>
      </w:rPr>
    </w:lvl>
  </w:abstractNum>
  <w:abstractNum w:abstractNumId="4">
    <w:nsid w:val="FFFFFF81"/>
    <w:multiLevelType w:val="singleLevel"/>
    <w:tmpl w:val="71B25244"/>
    <w:lvl w:ilvl="0">
      <w:start w:val="1"/>
      <w:numFmt w:val="bullet"/>
      <w:lvlText w:val=""/>
      <w:lvlJc w:val="left"/>
      <w:pPr>
        <w:tabs>
          <w:tab w:val="num" w:pos="1209"/>
        </w:tabs>
        <w:ind w:left="1209" w:hanging="360"/>
      </w:pPr>
      <w:rPr>
        <w:rFonts w:ascii="Symbol" w:hAnsi="Symbol" w:hint="default"/>
      </w:rPr>
    </w:lvl>
  </w:abstractNum>
  <w:abstractNum w:abstractNumId="5">
    <w:nsid w:val="FFFFFF82"/>
    <w:multiLevelType w:val="singleLevel"/>
    <w:tmpl w:val="80803B96"/>
    <w:lvl w:ilvl="0">
      <w:start w:val="1"/>
      <w:numFmt w:val="bullet"/>
      <w:lvlText w:val=""/>
      <w:lvlJc w:val="left"/>
      <w:pPr>
        <w:tabs>
          <w:tab w:val="num" w:pos="926"/>
        </w:tabs>
        <w:ind w:left="926" w:hanging="360"/>
      </w:pPr>
      <w:rPr>
        <w:rFonts w:ascii="Symbol" w:hAnsi="Symbol" w:hint="default"/>
      </w:rPr>
    </w:lvl>
  </w:abstractNum>
  <w:abstractNum w:abstractNumId="6">
    <w:nsid w:val="FFFFFF83"/>
    <w:multiLevelType w:val="singleLevel"/>
    <w:tmpl w:val="2DDCAD58"/>
    <w:lvl w:ilvl="0">
      <w:start w:val="1"/>
      <w:numFmt w:val="bullet"/>
      <w:lvlText w:val=""/>
      <w:lvlJc w:val="left"/>
      <w:pPr>
        <w:tabs>
          <w:tab w:val="num" w:pos="643"/>
        </w:tabs>
        <w:ind w:left="643" w:hanging="360"/>
      </w:pPr>
      <w:rPr>
        <w:rFonts w:ascii="Symbol" w:hAnsi="Symbol" w:hint="default"/>
      </w:rPr>
    </w:lvl>
  </w:abstractNum>
  <w:abstractNum w:abstractNumId="7">
    <w:nsid w:val="FFFFFF88"/>
    <w:multiLevelType w:val="singleLevel"/>
    <w:tmpl w:val="0D62A6B8"/>
    <w:lvl w:ilvl="0">
      <w:start w:val="1"/>
      <w:numFmt w:val="decimal"/>
      <w:lvlText w:val="%1."/>
      <w:lvlJc w:val="left"/>
      <w:pPr>
        <w:tabs>
          <w:tab w:val="num" w:pos="360"/>
        </w:tabs>
        <w:ind w:left="360" w:hanging="360"/>
      </w:pPr>
    </w:lvl>
  </w:abstractNum>
  <w:abstractNum w:abstractNumId="8">
    <w:nsid w:val="FFFFFF89"/>
    <w:multiLevelType w:val="singleLevel"/>
    <w:tmpl w:val="7BC0EA5A"/>
    <w:lvl w:ilvl="0">
      <w:start w:val="1"/>
      <w:numFmt w:val="bullet"/>
      <w:lvlText w:val=""/>
      <w:lvlJc w:val="left"/>
      <w:pPr>
        <w:tabs>
          <w:tab w:val="num" w:pos="360"/>
        </w:tabs>
        <w:ind w:left="360" w:hanging="360"/>
      </w:pPr>
      <w:rPr>
        <w:rFonts w:ascii="Symbol" w:hAnsi="Symbol" w:hint="default"/>
      </w:rPr>
    </w:lvl>
  </w:abstractNum>
  <w:abstractNum w:abstractNumId="9">
    <w:nsid w:val="0D88403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DCD3B45"/>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4E77C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mirrorMargins/>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49" fillcolor="white">
      <v:fill color="white"/>
      <v:textbox inset="0,0,0,0"/>
    </o:shapedefaults>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quot;7_x000a_En9g¦VÝs'¬Ĕ0Îŋ¬:ðƃÉDēƺæMĵǱăWŗȨğaźɠļjƜʗřtƾˎŶ~ǡ̅ƒȃ̽ƯȥʹǌɈΫǩ¤ɪϢȅ®ʌКȢ¸ʯёȿÁˑ҈ɜË˴ҿɸÕ̖ӷʕß̸Ԯʲè͛եˏòͽ֜˫üΟה̈ąς؋̥ďϤق͂ęІٹ͞ĢЩڰͻĬыۨΘĶѭܟεĿҐݖϑŉҲލϮœӔ߅ЋŜӷ߼ЧŦԙ࠳фŰԻࡪѡŹ՞ࢢѾƃրࣙҚƍ֢ऐҷƖׅेӔƠקॿӱƪ؉শԍƳج৭ԪƽَਤՇǇٰੜդǐړઓրǚڵ૊֝ǤۗଁֺǭۺହחǷܜ୰׳ȁܾ஧ؐȊݡ௞حȔރఖيȞޥ్٦ȧ߈಄ڃȱߪ಻ڠȻࠌೲڽɄ࠯പۙɎࡑൡ۶ɘࡳ඘ܓɡ࢖ාܰɫࢸง݌ɵࣛ฾ݩɿࣽ๵ކʈटຬޣʒू໤޿ʜ।༛ߜʥআདྷ߹ʯ঩ྉࠕʹো࿁࠲˂৭࿸ࡏˌਐု࡬˖ਲၦ࢈˟੔႞ࢥ˩੷ვࣂ˳ઙᄌࣟ˼઻ᅃࣻ̆૞ᅻघ̐଀ᆲव̙ଢᇩ॒̣୅ሠ८̭୧ቘঋ̶உ኏ন̀஬዆৅͊௎ዽৡ͓௰ጵ৾͝ఓ፬ਛͧవᎣਸͰ౗Ꮪ੔ͺ౺ᐑੱ΄ಜᑉ઎΍ಾᒀફΗೡᒷેΡഃᓮ૤Ϊഥᔦଁδൈᕝଞξ൪ᖔ଺χඌᗋୗϑදᘃ୴ϛෑᘺஐϤෳᙱ஭Ϯถᚨொϸุᛠ௧Ё๛᜗ఃЋ๽ᝎఠЕຟចఽПໂួౚШ໤៴౶в༆ᠫಓм༩ᡢರхཋᢚ್я཭ᣑ೩љྐᤈആѢྲ᤿ണѬ࿔᥷ീѶ࿷᦮൜ѿမ᧥൹҉ျ᨜ඖғၞᩓඳҜႀ᪋ාҦႢ᫂෬ҰჅ᫹ฉҹყᬰฦӃᄉ᭨โӍᄬᮟ๟Ӗᅎᯖ๼ӠᅰᰍນӪᆓ᱅ີӳᆵᱼ໒ӽᇗᲳ໯ԇᇺᳪ༌Ԑሜᴢ༨ԚሾᵙཅԤቡᶐརԭኃ᷇ཾԷእ᷿ྛՁወḶྸՊዪṭ࿕ՔጌẤ࿱՞ጯỜဎէፑἓါձ፳Ὂ၈ջ᎖ᾁၤքᎸᾹႁ֎Ꮫ῰႞֘ᏽ‧Ⴛ֢ᐟ⁞თ֫ᑂₕჴֵᑤ⃍ᄑֿᒆ℄ᄮ׈ᒩ℻ᅊגᓋⅲᅧלᓭ↪ᆄץᔐ⇡ᆡׯᔲ∘ᆽ׹ᕔ≏ᇚ؂ᕷ⊇ᇷ،ᖙ⊾ሔؖᖻ⋵ሰ؟ᗞ⌬ቍةᘀ⍤ቪسᘢ⎛ኇؼᙅ⏒ኣنᙧ␉ዀِᚉ⑁ዝٙᚬ⑸ዺ٣ᛎ⒯጖٭ᛰⓦጳٶᜓ┞ፐڀ᜵╕፬ڊ᝗▌ᎉړ᝺◃Ꭶڝវ◻Ꮓڧើ☲Ꮯڰ១♩ᏼں᠃⚠ᐙۄᠥ⛗ᐶۍᡈ✏ᑒۗᡪ❆ᑯۡᢌ❽ᒌ۪᢯➴ᒩ۴ᣑ⟬ᓅ۾ᣳ⠣ᓢ܇ᤖ⡚ᓿܑᤸ⢑ᔜܛᥚ⣉ᔸܤ᥽⤀ᕕܮᦟ⤷ᕲܸᧂ⥮ᖏ݂᧤⦦ᖫ݋ᨆ⧝ᗈݕᨩ⨔ᗥݟᩋ⩋ᘂݨᩭ⪃ᘞݲ᪐⪺ᘻݼ᪲⫱ᙘޅ᫔⬨ᙵޏ᫷⭠ᚑޙᬙ⮗ᚮޢᬻ⯎ᛋެ᭞Ⰵᛨ޶ᮀⰽᜄ޿ᮢⱴᜡ߉ᯅⲫ᜾ߓᯧ"/>
    <w:docVar w:name="EN.Layout" w:val="砶¬섔섞섪센셆셐셚셤셮셸솂소솖솠솪솴솾쇈쇒쇜쇦쇰쇺숄숎수숢숬숶쉀쉊쉔쉞쉨쉲쉼슆슐슚스슮슸싂싌싖신싪싴싾쌈쌒쌜쌦쌰쌺썄썎썘썢썬썶쎀쎊쎔쎞쎨쎲쎼쏆쏐쏚쏤쏮쏸쐂쐌쐖쐠쐪쐴쐾쑈쑒쑜쑦쑰쑺쒄쒎쒘쒢쒬쒶쓀쓊쓔쓞쓨쓲쓼씆씐씚씤씮씸앂알앖애앪앴앾얈얒얜얦얰얺엄엎엘엢여엶였옊옔옞온옲옼왆왐왚왤왮외욂욌욖욠욪운욾웈웒웜웦웰웺위윎윘윢윬윶은읊읔읞읨읲일있잔잠재잸쟄쟐쟜쟨쟴저젌젘젤젰젼졈졔졠졬졸좄좐좜좨좴죀죌죘죤죰주줈줔줠줬줸쥄쥐쥜쥨쥴즀즌즘즤즰즼질짔짠짬째쨄쨐쨜쨨쨴쩀쩌쩘쩤쩰쩼쪈쪔쪢쪰쪾쫌쫚쫨쫶쬄쬒쬠쬮쬼쭊쭘쭦쭴쮂쮐쮞쮬쮺쯎쯚쯦쯲쯺찂찊찒찚찢찪찲찺챂챊챒챜챦챰챺첄첎처첢첬첶쳀쳊쳔쳞쳨쳲쳼촆촐촚촤촮촸쵂쵌쵖쵠쵪쵴쵾춈춒출춦춰춺췄췎췘췢췬췶츀츊츔츞츨츲츼칆칐칚칤칮칸캂캌캖캠캪캴캾컈컒컜컦컰컺켄켎켘켢켬켶콀콊코콞콨콲콼쾆쾐쾚쾤쾮쾸쿂쿌쿖쿠쿪쿴쿾퀈퀒퀜퀦퀲퀾큊큖큢큮큺킆킒킞킪킶탂탎탚탦탲탾턊턖턢턮턺텆텒텞텪텶톂톎톚톦톲톾퇊퇖퇢퇮퇺툆툒툞툪툶퉄퉒퉠퉮퉼튊튘튦튴틈틒틜틦티틺팄팎팘팢팬팶퍀퍊퍔퍞퍨퍲퍼펆펐펚펤펮편폂폌폖폠폪폴폾퐈퐒퐜퐦퐰퐺푄푎푘푤푰푼품풔풠풬풸퓄퓐퓜퓨퓴픀플픘픤픰피핈핖핤핲햀햎햜햪햸헆헔헢헶헼현혌혔혜혤혬혴혼홄홌화활홤홬홴홾횈횒횜횦횰횺후훎훘훢훬훶휀휊휔휞휨휲휼흆흐흚흤흮흸힂힌힖힠힪ힴힾ퟈ퟒퟜퟦퟰퟺ"/>
  </w:docVars>
  <w:rsids>
    <w:rsidRoot w:val="00A6043D"/>
    <w:rsid w:val="00001BBF"/>
    <w:rsid w:val="000073CD"/>
    <w:rsid w:val="000132B0"/>
    <w:rsid w:val="0001466E"/>
    <w:rsid w:val="000166DC"/>
    <w:rsid w:val="000173F5"/>
    <w:rsid w:val="00020950"/>
    <w:rsid w:val="000246F9"/>
    <w:rsid w:val="00025CC2"/>
    <w:rsid w:val="00042FAB"/>
    <w:rsid w:val="00045271"/>
    <w:rsid w:val="00045A67"/>
    <w:rsid w:val="000471E9"/>
    <w:rsid w:val="00057982"/>
    <w:rsid w:val="00065238"/>
    <w:rsid w:val="00065BFF"/>
    <w:rsid w:val="00072C21"/>
    <w:rsid w:val="000734A0"/>
    <w:rsid w:val="00081108"/>
    <w:rsid w:val="000958E8"/>
    <w:rsid w:val="000A7DBA"/>
    <w:rsid w:val="000B24AB"/>
    <w:rsid w:val="000B7545"/>
    <w:rsid w:val="000C0DC2"/>
    <w:rsid w:val="000C29C4"/>
    <w:rsid w:val="000C2BB7"/>
    <w:rsid w:val="000C605C"/>
    <w:rsid w:val="000C73AC"/>
    <w:rsid w:val="000E2372"/>
    <w:rsid w:val="000E2F8D"/>
    <w:rsid w:val="000F359A"/>
    <w:rsid w:val="000F5A24"/>
    <w:rsid w:val="001107BA"/>
    <w:rsid w:val="001108D6"/>
    <w:rsid w:val="00110E73"/>
    <w:rsid w:val="0012428D"/>
    <w:rsid w:val="001266E9"/>
    <w:rsid w:val="00127C07"/>
    <w:rsid w:val="00151CBD"/>
    <w:rsid w:val="00153182"/>
    <w:rsid w:val="001531BA"/>
    <w:rsid w:val="00162682"/>
    <w:rsid w:val="00165FFB"/>
    <w:rsid w:val="00170A98"/>
    <w:rsid w:val="00174FEF"/>
    <w:rsid w:val="00190CA1"/>
    <w:rsid w:val="001928DD"/>
    <w:rsid w:val="001936E9"/>
    <w:rsid w:val="001A0995"/>
    <w:rsid w:val="001A6533"/>
    <w:rsid w:val="001B2209"/>
    <w:rsid w:val="001B4549"/>
    <w:rsid w:val="002067F0"/>
    <w:rsid w:val="00225822"/>
    <w:rsid w:val="00233BD7"/>
    <w:rsid w:val="00236D7F"/>
    <w:rsid w:val="00237FA5"/>
    <w:rsid w:val="00240887"/>
    <w:rsid w:val="002544AE"/>
    <w:rsid w:val="00281257"/>
    <w:rsid w:val="002A1822"/>
    <w:rsid w:val="002B211E"/>
    <w:rsid w:val="002B655A"/>
    <w:rsid w:val="002B7EEE"/>
    <w:rsid w:val="002C10EF"/>
    <w:rsid w:val="002D0294"/>
    <w:rsid w:val="002D04D6"/>
    <w:rsid w:val="002F20EF"/>
    <w:rsid w:val="002F3718"/>
    <w:rsid w:val="002F7FB8"/>
    <w:rsid w:val="003017A5"/>
    <w:rsid w:val="003114A2"/>
    <w:rsid w:val="003115B8"/>
    <w:rsid w:val="003119A9"/>
    <w:rsid w:val="00314B02"/>
    <w:rsid w:val="00315BA1"/>
    <w:rsid w:val="0031610B"/>
    <w:rsid w:val="00321C36"/>
    <w:rsid w:val="0032556E"/>
    <w:rsid w:val="00334D45"/>
    <w:rsid w:val="00336344"/>
    <w:rsid w:val="00343E33"/>
    <w:rsid w:val="00350810"/>
    <w:rsid w:val="00357D83"/>
    <w:rsid w:val="003628FE"/>
    <w:rsid w:val="00370C94"/>
    <w:rsid w:val="0037307E"/>
    <w:rsid w:val="00373B58"/>
    <w:rsid w:val="00376048"/>
    <w:rsid w:val="00386335"/>
    <w:rsid w:val="003871C9"/>
    <w:rsid w:val="003B0EE4"/>
    <w:rsid w:val="003B4829"/>
    <w:rsid w:val="003B78DD"/>
    <w:rsid w:val="003C22B6"/>
    <w:rsid w:val="003C6397"/>
    <w:rsid w:val="003C7D33"/>
    <w:rsid w:val="003D0803"/>
    <w:rsid w:val="003D2B9A"/>
    <w:rsid w:val="003E2E49"/>
    <w:rsid w:val="003F2BBC"/>
    <w:rsid w:val="003F4A2D"/>
    <w:rsid w:val="003F516B"/>
    <w:rsid w:val="004147E6"/>
    <w:rsid w:val="0042585B"/>
    <w:rsid w:val="0043150C"/>
    <w:rsid w:val="0043352F"/>
    <w:rsid w:val="004407E4"/>
    <w:rsid w:val="00440A3C"/>
    <w:rsid w:val="00445505"/>
    <w:rsid w:val="00451324"/>
    <w:rsid w:val="004541B5"/>
    <w:rsid w:val="00456365"/>
    <w:rsid w:val="004623B6"/>
    <w:rsid w:val="00465501"/>
    <w:rsid w:val="004662B2"/>
    <w:rsid w:val="00467A6D"/>
    <w:rsid w:val="004747FF"/>
    <w:rsid w:val="004755C5"/>
    <w:rsid w:val="004768D5"/>
    <w:rsid w:val="0048194C"/>
    <w:rsid w:val="004870C6"/>
    <w:rsid w:val="004871B8"/>
    <w:rsid w:val="00490497"/>
    <w:rsid w:val="00491891"/>
    <w:rsid w:val="00492E9C"/>
    <w:rsid w:val="004A5F73"/>
    <w:rsid w:val="004A62CC"/>
    <w:rsid w:val="004C27D7"/>
    <w:rsid w:val="004C3EBE"/>
    <w:rsid w:val="004C4987"/>
    <w:rsid w:val="004C4EC6"/>
    <w:rsid w:val="004D01DE"/>
    <w:rsid w:val="004D23AE"/>
    <w:rsid w:val="004D37E5"/>
    <w:rsid w:val="004D6F66"/>
    <w:rsid w:val="004E1FDE"/>
    <w:rsid w:val="004E7316"/>
    <w:rsid w:val="005054BE"/>
    <w:rsid w:val="00506C50"/>
    <w:rsid w:val="005121CB"/>
    <w:rsid w:val="00512302"/>
    <w:rsid w:val="00512C15"/>
    <w:rsid w:val="00516730"/>
    <w:rsid w:val="00520633"/>
    <w:rsid w:val="00520FC1"/>
    <w:rsid w:val="005404D9"/>
    <w:rsid w:val="00540CC9"/>
    <w:rsid w:val="00544FE2"/>
    <w:rsid w:val="00561AF1"/>
    <w:rsid w:val="00563C56"/>
    <w:rsid w:val="005654E1"/>
    <w:rsid w:val="00571CD0"/>
    <w:rsid w:val="0059351E"/>
    <w:rsid w:val="005A2ED8"/>
    <w:rsid w:val="005B7CAC"/>
    <w:rsid w:val="005C4499"/>
    <w:rsid w:val="005C7D19"/>
    <w:rsid w:val="005D49A5"/>
    <w:rsid w:val="005D5CDB"/>
    <w:rsid w:val="005D5ED9"/>
    <w:rsid w:val="005E4040"/>
    <w:rsid w:val="005F7467"/>
    <w:rsid w:val="00602841"/>
    <w:rsid w:val="00605506"/>
    <w:rsid w:val="00606ACE"/>
    <w:rsid w:val="00607902"/>
    <w:rsid w:val="00613ECB"/>
    <w:rsid w:val="00626858"/>
    <w:rsid w:val="00631326"/>
    <w:rsid w:val="00641DA1"/>
    <w:rsid w:val="006431BA"/>
    <w:rsid w:val="00645243"/>
    <w:rsid w:val="006523E0"/>
    <w:rsid w:val="006763B3"/>
    <w:rsid w:val="00677018"/>
    <w:rsid w:val="006809F2"/>
    <w:rsid w:val="00684366"/>
    <w:rsid w:val="0069118F"/>
    <w:rsid w:val="00694F76"/>
    <w:rsid w:val="006956CB"/>
    <w:rsid w:val="006970A8"/>
    <w:rsid w:val="00697537"/>
    <w:rsid w:val="006B2CBF"/>
    <w:rsid w:val="006B5C87"/>
    <w:rsid w:val="006B670A"/>
    <w:rsid w:val="006B6BA7"/>
    <w:rsid w:val="006C7E5E"/>
    <w:rsid w:val="006D463A"/>
    <w:rsid w:val="006D67E4"/>
    <w:rsid w:val="006D6856"/>
    <w:rsid w:val="006F448E"/>
    <w:rsid w:val="007020C5"/>
    <w:rsid w:val="0071784E"/>
    <w:rsid w:val="0072442A"/>
    <w:rsid w:val="00727C41"/>
    <w:rsid w:val="00727F4C"/>
    <w:rsid w:val="007411B0"/>
    <w:rsid w:val="00742C74"/>
    <w:rsid w:val="00743B20"/>
    <w:rsid w:val="00763827"/>
    <w:rsid w:val="0076425B"/>
    <w:rsid w:val="0076495E"/>
    <w:rsid w:val="007657D1"/>
    <w:rsid w:val="00775019"/>
    <w:rsid w:val="00775AF2"/>
    <w:rsid w:val="00783484"/>
    <w:rsid w:val="007848F5"/>
    <w:rsid w:val="0078702C"/>
    <w:rsid w:val="007903BC"/>
    <w:rsid w:val="007909CC"/>
    <w:rsid w:val="00794A98"/>
    <w:rsid w:val="007964A9"/>
    <w:rsid w:val="007A30C0"/>
    <w:rsid w:val="007B5FF8"/>
    <w:rsid w:val="007C11F2"/>
    <w:rsid w:val="007D00AB"/>
    <w:rsid w:val="007D02CC"/>
    <w:rsid w:val="007D1C55"/>
    <w:rsid w:val="007D249E"/>
    <w:rsid w:val="007D7259"/>
    <w:rsid w:val="007F2863"/>
    <w:rsid w:val="007F4496"/>
    <w:rsid w:val="0080485A"/>
    <w:rsid w:val="00804D37"/>
    <w:rsid w:val="0080711F"/>
    <w:rsid w:val="008128EC"/>
    <w:rsid w:val="008240A1"/>
    <w:rsid w:val="00836B92"/>
    <w:rsid w:val="00846128"/>
    <w:rsid w:val="00852E43"/>
    <w:rsid w:val="0085460F"/>
    <w:rsid w:val="00856460"/>
    <w:rsid w:val="00873A20"/>
    <w:rsid w:val="00880904"/>
    <w:rsid w:val="00882401"/>
    <w:rsid w:val="00890AD5"/>
    <w:rsid w:val="00893C37"/>
    <w:rsid w:val="008A3AD4"/>
    <w:rsid w:val="008A6B8F"/>
    <w:rsid w:val="008B165D"/>
    <w:rsid w:val="008C11DC"/>
    <w:rsid w:val="008C1E0A"/>
    <w:rsid w:val="008C7328"/>
    <w:rsid w:val="008D6C30"/>
    <w:rsid w:val="008E0418"/>
    <w:rsid w:val="008E1520"/>
    <w:rsid w:val="008E64AC"/>
    <w:rsid w:val="008F03D4"/>
    <w:rsid w:val="008F22F7"/>
    <w:rsid w:val="008F4620"/>
    <w:rsid w:val="00904722"/>
    <w:rsid w:val="00905B5F"/>
    <w:rsid w:val="009101D8"/>
    <w:rsid w:val="00912A1A"/>
    <w:rsid w:val="00913CDF"/>
    <w:rsid w:val="00914D36"/>
    <w:rsid w:val="00921D8E"/>
    <w:rsid w:val="009241C3"/>
    <w:rsid w:val="0092547C"/>
    <w:rsid w:val="0092712D"/>
    <w:rsid w:val="00942BAB"/>
    <w:rsid w:val="00944BE2"/>
    <w:rsid w:val="00953E1E"/>
    <w:rsid w:val="009547D1"/>
    <w:rsid w:val="009717DD"/>
    <w:rsid w:val="00972233"/>
    <w:rsid w:val="0097415F"/>
    <w:rsid w:val="00982400"/>
    <w:rsid w:val="009923C9"/>
    <w:rsid w:val="009B2FFF"/>
    <w:rsid w:val="009B36CB"/>
    <w:rsid w:val="009B5C42"/>
    <w:rsid w:val="009B6032"/>
    <w:rsid w:val="009C28CE"/>
    <w:rsid w:val="009C36E9"/>
    <w:rsid w:val="009C6BA9"/>
    <w:rsid w:val="009E226E"/>
    <w:rsid w:val="009E6AA0"/>
    <w:rsid w:val="009F60F5"/>
    <w:rsid w:val="009F6DF0"/>
    <w:rsid w:val="009F71B5"/>
    <w:rsid w:val="00A05F83"/>
    <w:rsid w:val="00A11327"/>
    <w:rsid w:val="00A17E21"/>
    <w:rsid w:val="00A22430"/>
    <w:rsid w:val="00A248B7"/>
    <w:rsid w:val="00A25700"/>
    <w:rsid w:val="00A27F01"/>
    <w:rsid w:val="00A35D88"/>
    <w:rsid w:val="00A36F2C"/>
    <w:rsid w:val="00A456AE"/>
    <w:rsid w:val="00A46CB4"/>
    <w:rsid w:val="00A5119B"/>
    <w:rsid w:val="00A51333"/>
    <w:rsid w:val="00A55B05"/>
    <w:rsid w:val="00A6043D"/>
    <w:rsid w:val="00A71836"/>
    <w:rsid w:val="00A82005"/>
    <w:rsid w:val="00A87030"/>
    <w:rsid w:val="00A904DD"/>
    <w:rsid w:val="00A96428"/>
    <w:rsid w:val="00A96F94"/>
    <w:rsid w:val="00A978F1"/>
    <w:rsid w:val="00AA0BD2"/>
    <w:rsid w:val="00AA2AE0"/>
    <w:rsid w:val="00AA4F5C"/>
    <w:rsid w:val="00AA5CA9"/>
    <w:rsid w:val="00AE016C"/>
    <w:rsid w:val="00AE0E23"/>
    <w:rsid w:val="00AE1259"/>
    <w:rsid w:val="00AE219F"/>
    <w:rsid w:val="00AE51C1"/>
    <w:rsid w:val="00B036F7"/>
    <w:rsid w:val="00B04A68"/>
    <w:rsid w:val="00B05667"/>
    <w:rsid w:val="00B07539"/>
    <w:rsid w:val="00B12896"/>
    <w:rsid w:val="00B1460B"/>
    <w:rsid w:val="00B22CFF"/>
    <w:rsid w:val="00B25044"/>
    <w:rsid w:val="00B52C54"/>
    <w:rsid w:val="00B665F1"/>
    <w:rsid w:val="00B678DF"/>
    <w:rsid w:val="00B762BC"/>
    <w:rsid w:val="00B80726"/>
    <w:rsid w:val="00B80C57"/>
    <w:rsid w:val="00B917D3"/>
    <w:rsid w:val="00B92286"/>
    <w:rsid w:val="00B9768F"/>
    <w:rsid w:val="00BA7F22"/>
    <w:rsid w:val="00BB21D5"/>
    <w:rsid w:val="00BB37DA"/>
    <w:rsid w:val="00BD5DDA"/>
    <w:rsid w:val="00BE0932"/>
    <w:rsid w:val="00BE10E6"/>
    <w:rsid w:val="00BE3C42"/>
    <w:rsid w:val="00BF07DF"/>
    <w:rsid w:val="00C05187"/>
    <w:rsid w:val="00C27EFE"/>
    <w:rsid w:val="00C300F5"/>
    <w:rsid w:val="00C317AD"/>
    <w:rsid w:val="00C3777D"/>
    <w:rsid w:val="00C43D15"/>
    <w:rsid w:val="00C51158"/>
    <w:rsid w:val="00C54321"/>
    <w:rsid w:val="00C57E93"/>
    <w:rsid w:val="00C656AE"/>
    <w:rsid w:val="00C844C9"/>
    <w:rsid w:val="00C84725"/>
    <w:rsid w:val="00C92862"/>
    <w:rsid w:val="00CA16C4"/>
    <w:rsid w:val="00CA37B5"/>
    <w:rsid w:val="00CA4A53"/>
    <w:rsid w:val="00CA4EDE"/>
    <w:rsid w:val="00CA6279"/>
    <w:rsid w:val="00CA7F98"/>
    <w:rsid w:val="00CB2900"/>
    <w:rsid w:val="00CC0C65"/>
    <w:rsid w:val="00CC11C9"/>
    <w:rsid w:val="00CC1CD2"/>
    <w:rsid w:val="00CD5663"/>
    <w:rsid w:val="00CE3C1A"/>
    <w:rsid w:val="00CE4FD2"/>
    <w:rsid w:val="00CE6575"/>
    <w:rsid w:val="00CF184D"/>
    <w:rsid w:val="00D05967"/>
    <w:rsid w:val="00D11FE0"/>
    <w:rsid w:val="00D167DD"/>
    <w:rsid w:val="00D2054A"/>
    <w:rsid w:val="00D216FB"/>
    <w:rsid w:val="00D30ECA"/>
    <w:rsid w:val="00D353B9"/>
    <w:rsid w:val="00D40D6C"/>
    <w:rsid w:val="00D4158B"/>
    <w:rsid w:val="00D41593"/>
    <w:rsid w:val="00D47BDD"/>
    <w:rsid w:val="00D5548A"/>
    <w:rsid w:val="00D56E9B"/>
    <w:rsid w:val="00D601B1"/>
    <w:rsid w:val="00D829B8"/>
    <w:rsid w:val="00D8414B"/>
    <w:rsid w:val="00D9301C"/>
    <w:rsid w:val="00D93609"/>
    <w:rsid w:val="00D93A18"/>
    <w:rsid w:val="00D93EDC"/>
    <w:rsid w:val="00D94862"/>
    <w:rsid w:val="00DB12C8"/>
    <w:rsid w:val="00DC024E"/>
    <w:rsid w:val="00DC1947"/>
    <w:rsid w:val="00DC2383"/>
    <w:rsid w:val="00DD3786"/>
    <w:rsid w:val="00DD6806"/>
    <w:rsid w:val="00DD73E8"/>
    <w:rsid w:val="00DE1609"/>
    <w:rsid w:val="00DE21DA"/>
    <w:rsid w:val="00DE430E"/>
    <w:rsid w:val="00DE48DE"/>
    <w:rsid w:val="00DE5CCB"/>
    <w:rsid w:val="00DF50C7"/>
    <w:rsid w:val="00E025A6"/>
    <w:rsid w:val="00E07BD4"/>
    <w:rsid w:val="00E1279B"/>
    <w:rsid w:val="00E13EDF"/>
    <w:rsid w:val="00E140F2"/>
    <w:rsid w:val="00E15B29"/>
    <w:rsid w:val="00E22346"/>
    <w:rsid w:val="00E26194"/>
    <w:rsid w:val="00E37106"/>
    <w:rsid w:val="00E50371"/>
    <w:rsid w:val="00E53055"/>
    <w:rsid w:val="00E53FA0"/>
    <w:rsid w:val="00E540F9"/>
    <w:rsid w:val="00E54FF9"/>
    <w:rsid w:val="00E603CC"/>
    <w:rsid w:val="00E6425D"/>
    <w:rsid w:val="00E66051"/>
    <w:rsid w:val="00E70200"/>
    <w:rsid w:val="00E71E90"/>
    <w:rsid w:val="00E806BA"/>
    <w:rsid w:val="00E87FB0"/>
    <w:rsid w:val="00E91BD1"/>
    <w:rsid w:val="00EA020E"/>
    <w:rsid w:val="00EA2906"/>
    <w:rsid w:val="00EA2EF5"/>
    <w:rsid w:val="00EA5E4E"/>
    <w:rsid w:val="00EB032C"/>
    <w:rsid w:val="00EB3CBA"/>
    <w:rsid w:val="00EB402C"/>
    <w:rsid w:val="00ED32A9"/>
    <w:rsid w:val="00ED3A59"/>
    <w:rsid w:val="00ED5A6B"/>
    <w:rsid w:val="00EF34EC"/>
    <w:rsid w:val="00EF4201"/>
    <w:rsid w:val="00EF620B"/>
    <w:rsid w:val="00EF7B13"/>
    <w:rsid w:val="00F006CA"/>
    <w:rsid w:val="00F07F3A"/>
    <w:rsid w:val="00F13826"/>
    <w:rsid w:val="00F17465"/>
    <w:rsid w:val="00F24FCC"/>
    <w:rsid w:val="00F2680E"/>
    <w:rsid w:val="00F36BF7"/>
    <w:rsid w:val="00F41228"/>
    <w:rsid w:val="00F45D20"/>
    <w:rsid w:val="00F463A2"/>
    <w:rsid w:val="00F516D6"/>
    <w:rsid w:val="00F54FA0"/>
    <w:rsid w:val="00F55578"/>
    <w:rsid w:val="00F57F77"/>
    <w:rsid w:val="00F7067A"/>
    <w:rsid w:val="00F71AE3"/>
    <w:rsid w:val="00F7433F"/>
    <w:rsid w:val="00F841B1"/>
    <w:rsid w:val="00FA0C30"/>
    <w:rsid w:val="00FA186E"/>
    <w:rsid w:val="00FA71B5"/>
    <w:rsid w:val="00FB41C7"/>
    <w:rsid w:val="00FC3A76"/>
    <w:rsid w:val="00FC3A9F"/>
    <w:rsid w:val="00FD61C2"/>
    <w:rsid w:val="00FE5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5A2ED8"/>
    <w:rPr>
      <w:sz w:val="24"/>
    </w:rPr>
  </w:style>
  <w:style w:type="paragraph" w:styleId="Heading1">
    <w:name w:val="heading 1"/>
    <w:basedOn w:val="Normal"/>
    <w:next w:val="Normal"/>
    <w:rsid w:val="005A2ED8"/>
    <w:pPr>
      <w:keepNext/>
      <w:spacing w:before="240" w:after="60"/>
      <w:outlineLvl w:val="0"/>
    </w:pPr>
    <w:rPr>
      <w:rFonts w:ascii="Arial" w:hAnsi="Arial" w:cs="Arial"/>
      <w:b/>
      <w:bCs/>
      <w:kern w:val="32"/>
      <w:sz w:val="32"/>
      <w:szCs w:val="32"/>
    </w:rPr>
  </w:style>
  <w:style w:type="paragraph" w:styleId="Heading2">
    <w:name w:val="heading 2"/>
    <w:basedOn w:val="Normal"/>
    <w:next w:val="Normal"/>
    <w:rsid w:val="005A2ED8"/>
    <w:pPr>
      <w:keepNext/>
      <w:spacing w:before="240" w:after="60"/>
      <w:outlineLvl w:val="1"/>
    </w:pPr>
    <w:rPr>
      <w:rFonts w:ascii="Arial" w:hAnsi="Arial" w:cs="Arial"/>
      <w:b/>
      <w:bCs/>
      <w:i/>
      <w:iCs/>
      <w:sz w:val="28"/>
      <w:szCs w:val="28"/>
    </w:rPr>
  </w:style>
  <w:style w:type="paragraph" w:styleId="Heading3">
    <w:name w:val="heading 3"/>
    <w:basedOn w:val="Normal"/>
    <w:next w:val="Normal"/>
    <w:rsid w:val="005A2ED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PaperTitle">
    <w:name w:val="01 Paper Title"/>
    <w:qFormat/>
    <w:rsid w:val="00E50371"/>
    <w:pPr>
      <w:spacing w:after="180" w:line="360" w:lineRule="exact"/>
    </w:pPr>
    <w:rPr>
      <w:b/>
      <w:position w:val="7"/>
      <w:sz w:val="32"/>
      <w:szCs w:val="32"/>
    </w:rPr>
  </w:style>
  <w:style w:type="paragraph" w:customStyle="1" w:styleId="02PaperAuthors">
    <w:name w:val="02 Paper Authors"/>
    <w:qFormat/>
    <w:rsid w:val="009101D8"/>
    <w:pPr>
      <w:spacing w:line="240" w:lineRule="exact"/>
    </w:pPr>
    <w:rPr>
      <w:b/>
      <w:noProof/>
      <w:sz w:val="22"/>
      <w:szCs w:val="22"/>
    </w:rPr>
  </w:style>
  <w:style w:type="paragraph" w:customStyle="1" w:styleId="G1aFigureImage">
    <w:name w:val="G1a Figure Image"/>
    <w:next w:val="G1bFigureCaption"/>
    <w:qFormat/>
    <w:rsid w:val="00236D7F"/>
    <w:pPr>
      <w:shd w:val="solid" w:color="FFFFFF" w:fill="FFFFFF"/>
      <w:spacing w:before="160" w:after="40"/>
      <w:jc w:val="center"/>
    </w:pPr>
    <w:rPr>
      <w:sz w:val="18"/>
    </w:rPr>
  </w:style>
  <w:style w:type="paragraph" w:customStyle="1" w:styleId="03Abstract">
    <w:name w:val="03 Abstract"/>
    <w:qFormat/>
    <w:rsid w:val="00E50371"/>
    <w:pPr>
      <w:spacing w:after="200" w:line="240" w:lineRule="exact"/>
      <w:jc w:val="both"/>
    </w:pPr>
    <w:rPr>
      <w:b/>
      <w:sz w:val="18"/>
      <w:szCs w:val="18"/>
    </w:rPr>
  </w:style>
  <w:style w:type="paragraph" w:customStyle="1" w:styleId="04AHeading">
    <w:name w:val="04 A Heading"/>
    <w:next w:val="08ArticleText"/>
    <w:qFormat/>
    <w:rsid w:val="00E50371"/>
    <w:pPr>
      <w:spacing w:before="240" w:after="120" w:line="240" w:lineRule="exact"/>
    </w:pPr>
    <w:rPr>
      <w:b/>
      <w:sz w:val="22"/>
    </w:rPr>
  </w:style>
  <w:style w:type="paragraph" w:customStyle="1" w:styleId="08ArticleText">
    <w:name w:val="08 Article Text"/>
    <w:qFormat/>
    <w:rsid w:val="00E50371"/>
    <w:pPr>
      <w:widowControl w:val="0"/>
      <w:tabs>
        <w:tab w:val="left" w:pos="198"/>
      </w:tabs>
      <w:spacing w:line="230" w:lineRule="exact"/>
      <w:jc w:val="both"/>
    </w:pPr>
    <w:rPr>
      <w:sz w:val="18"/>
      <w:szCs w:val="18"/>
    </w:rPr>
  </w:style>
  <w:style w:type="paragraph" w:customStyle="1" w:styleId="N2Footnotes">
    <w:name w:val="N2 Footnotes"/>
    <w:qFormat/>
    <w:rsid w:val="00D5548A"/>
    <w:pPr>
      <w:tabs>
        <w:tab w:val="left" w:pos="142"/>
      </w:tabs>
      <w:spacing w:line="190" w:lineRule="exact"/>
      <w:jc w:val="both"/>
    </w:pPr>
    <w:rPr>
      <w:noProof/>
      <w:sz w:val="16"/>
    </w:rPr>
  </w:style>
  <w:style w:type="paragraph" w:customStyle="1" w:styleId="N3References">
    <w:name w:val="N3 References"/>
    <w:qFormat/>
    <w:rsid w:val="00D5548A"/>
    <w:pPr>
      <w:tabs>
        <w:tab w:val="left" w:pos="284"/>
      </w:tabs>
      <w:spacing w:line="190" w:lineRule="exact"/>
      <w:ind w:left="284" w:hanging="284"/>
      <w:jc w:val="both"/>
    </w:pPr>
    <w:rPr>
      <w:noProof/>
      <w:sz w:val="16"/>
    </w:rPr>
  </w:style>
  <w:style w:type="paragraph" w:customStyle="1" w:styleId="L1Receivedaccepteddates">
    <w:name w:val="L1 Received/accepted dates"/>
    <w:next w:val="Normal"/>
    <w:qFormat/>
    <w:rsid w:val="009101D8"/>
    <w:pPr>
      <w:spacing w:before="180" w:line="240" w:lineRule="exact"/>
    </w:pPr>
    <w:rPr>
      <w:b/>
      <w:i/>
      <w:noProof/>
      <w:sz w:val="18"/>
    </w:rPr>
  </w:style>
  <w:style w:type="paragraph" w:customStyle="1" w:styleId="L2DOI">
    <w:name w:val="L2 DOI"/>
    <w:next w:val="03Abstract"/>
    <w:qFormat/>
    <w:rsid w:val="007909CC"/>
    <w:pPr>
      <w:spacing w:after="240" w:line="240" w:lineRule="exact"/>
    </w:pPr>
    <w:rPr>
      <w:b/>
      <w:noProof/>
      <w:sz w:val="18"/>
      <w:szCs w:val="18"/>
    </w:rPr>
  </w:style>
  <w:style w:type="paragraph" w:customStyle="1" w:styleId="N1AuthorAddresses">
    <w:name w:val="N1 Author Addresses"/>
    <w:qFormat/>
    <w:rsid w:val="00D5548A"/>
    <w:pPr>
      <w:spacing w:line="190" w:lineRule="exact"/>
    </w:pPr>
    <w:rPr>
      <w:i/>
      <w:sz w:val="16"/>
    </w:rPr>
  </w:style>
  <w:style w:type="paragraph" w:customStyle="1" w:styleId="05BHeading">
    <w:name w:val="05 B Heading"/>
    <w:next w:val="08ArticleText"/>
    <w:qFormat/>
    <w:rsid w:val="00E50371"/>
    <w:pPr>
      <w:spacing w:before="120" w:after="120" w:line="200" w:lineRule="exact"/>
      <w:jc w:val="both"/>
    </w:pPr>
    <w:rPr>
      <w:b/>
      <w:sz w:val="18"/>
    </w:rPr>
  </w:style>
  <w:style w:type="paragraph" w:customStyle="1" w:styleId="06CHeading">
    <w:name w:val="06 C Heading"/>
    <w:next w:val="08ArticleText"/>
    <w:qFormat/>
    <w:rsid w:val="00E50371"/>
    <w:pPr>
      <w:spacing w:line="200" w:lineRule="exact"/>
      <w:jc w:val="both"/>
    </w:pPr>
    <w:rPr>
      <w:b/>
      <w:sz w:val="18"/>
    </w:rPr>
  </w:style>
  <w:style w:type="paragraph" w:customStyle="1" w:styleId="07DHeading">
    <w:name w:val="07 D Heading"/>
    <w:next w:val="08ArticleText"/>
    <w:qFormat/>
    <w:rsid w:val="00E50371"/>
    <w:pPr>
      <w:spacing w:line="200" w:lineRule="exact"/>
      <w:jc w:val="both"/>
    </w:pPr>
    <w:rPr>
      <w:i/>
      <w:sz w:val="18"/>
    </w:rPr>
  </w:style>
  <w:style w:type="paragraph" w:styleId="Header">
    <w:name w:val="header"/>
    <w:basedOn w:val="Normal"/>
    <w:rsid w:val="00D40D6C"/>
    <w:pPr>
      <w:tabs>
        <w:tab w:val="center" w:pos="4153"/>
        <w:tab w:val="right" w:pos="8306"/>
      </w:tabs>
    </w:pPr>
  </w:style>
  <w:style w:type="paragraph" w:styleId="Footer">
    <w:name w:val="footer"/>
    <w:basedOn w:val="Normal"/>
    <w:rsid w:val="00D40D6C"/>
    <w:pPr>
      <w:tabs>
        <w:tab w:val="center" w:pos="4153"/>
        <w:tab w:val="right" w:pos="8306"/>
      </w:tabs>
    </w:pPr>
  </w:style>
  <w:style w:type="character" w:styleId="LineNumber">
    <w:name w:val="line number"/>
    <w:basedOn w:val="DefaultParagraphFont"/>
    <w:rsid w:val="004E1FDE"/>
    <w:rPr>
      <w:rFonts w:ascii="Times New Roman" w:hAnsi="Times New Roman"/>
      <w:sz w:val="10"/>
    </w:rPr>
  </w:style>
  <w:style w:type="paragraph" w:customStyle="1" w:styleId="G1bFigureCaption">
    <w:name w:val="G1b Figure Caption"/>
    <w:basedOn w:val="Normal"/>
    <w:next w:val="08ArticleText"/>
    <w:qFormat/>
    <w:rsid w:val="00ED5A6B"/>
    <w:pPr>
      <w:shd w:val="solid" w:color="FFFFFF" w:fill="FFFFFF"/>
      <w:spacing w:before="40" w:after="160" w:line="190" w:lineRule="exact"/>
      <w:jc w:val="center"/>
    </w:pPr>
    <w:rPr>
      <w:sz w:val="16"/>
    </w:rPr>
  </w:style>
  <w:style w:type="paragraph" w:customStyle="1" w:styleId="G2UncaptionedImage">
    <w:name w:val="G2 Uncaptioned Image"/>
    <w:next w:val="08ArticleText"/>
    <w:qFormat/>
    <w:rsid w:val="00236D7F"/>
    <w:pPr>
      <w:shd w:val="solid" w:color="FFFFFF" w:fill="FFFFFF"/>
      <w:spacing w:before="160" w:after="160"/>
      <w:jc w:val="center"/>
    </w:pPr>
    <w:rPr>
      <w:sz w:val="18"/>
    </w:rPr>
  </w:style>
  <w:style w:type="paragraph" w:customStyle="1" w:styleId="G3SingleColumnEquation">
    <w:name w:val="G3 Single Column Equation"/>
    <w:next w:val="08ArticleText"/>
    <w:qFormat/>
    <w:rsid w:val="0069118F"/>
    <w:pPr>
      <w:tabs>
        <w:tab w:val="center" w:pos="2155"/>
        <w:tab w:val="right" w:pos="4706"/>
      </w:tabs>
      <w:spacing w:before="160" w:after="160"/>
    </w:pPr>
    <w:rPr>
      <w:sz w:val="18"/>
    </w:rPr>
  </w:style>
  <w:style w:type="paragraph" w:customStyle="1" w:styleId="G4aTableTitle">
    <w:name w:val="G4a Table Title"/>
    <w:qFormat/>
    <w:rsid w:val="00236D7F"/>
    <w:pPr>
      <w:keepNext/>
      <w:keepLines/>
      <w:pBdr>
        <w:bottom w:val="single" w:sz="6" w:space="1" w:color="auto"/>
      </w:pBdr>
      <w:spacing w:before="120" w:after="120" w:line="190" w:lineRule="exact"/>
    </w:pPr>
    <w:rPr>
      <w:sz w:val="16"/>
    </w:rPr>
  </w:style>
  <w:style w:type="paragraph" w:customStyle="1" w:styleId="G4cTableFootnote">
    <w:name w:val="G4c Table Footnote"/>
    <w:qFormat/>
    <w:rsid w:val="003F4A2D"/>
    <w:pPr>
      <w:keepLines/>
      <w:pBdr>
        <w:bottom w:val="single" w:sz="6" w:space="1" w:color="auto"/>
      </w:pBdr>
      <w:spacing w:before="120" w:after="60"/>
    </w:pPr>
    <w:rPr>
      <w:sz w:val="16"/>
    </w:rPr>
  </w:style>
  <w:style w:type="table" w:styleId="TableGrid">
    <w:name w:val="Table Grid"/>
    <w:basedOn w:val="TableNormal"/>
    <w:rsid w:val="00CD5663"/>
    <w:tblPr>
      <w:jc w:val="center"/>
      <w:tblCellMar>
        <w:left w:w="0" w:type="dxa"/>
        <w:right w:w="0" w:type="dxa"/>
      </w:tblCellMar>
    </w:tblPr>
    <w:trPr>
      <w:jc w:val="center"/>
    </w:trPr>
  </w:style>
  <w:style w:type="paragraph" w:customStyle="1" w:styleId="G4bTableBody">
    <w:name w:val="G4b Table Body"/>
    <w:qFormat/>
    <w:rsid w:val="003F4A2D"/>
    <w:pPr>
      <w:keepNext/>
      <w:keepLines/>
      <w:jc w:val="center"/>
    </w:pPr>
    <w:rPr>
      <w:sz w:val="16"/>
      <w:szCs w:val="16"/>
    </w:rPr>
  </w:style>
  <w:style w:type="paragraph" w:styleId="EndnoteText">
    <w:name w:val="endnote text"/>
    <w:basedOn w:val="Normal"/>
    <w:semiHidden/>
    <w:rsid w:val="004C27D7"/>
    <w:pPr>
      <w:spacing w:line="190" w:lineRule="exact"/>
      <w:ind w:left="284" w:hanging="284"/>
    </w:pPr>
    <w:rPr>
      <w:sz w:val="16"/>
    </w:rPr>
  </w:style>
  <w:style w:type="character" w:styleId="EndnoteReference">
    <w:name w:val="endnote reference"/>
    <w:basedOn w:val="DefaultParagraphFont"/>
    <w:semiHidden/>
    <w:rsid w:val="004C27D7"/>
    <w:rPr>
      <w:vertAlign w:val="superscript"/>
    </w:rPr>
  </w:style>
  <w:style w:type="paragraph" w:customStyle="1" w:styleId="RefOrdinal">
    <w:name w:val="RefOrdinal"/>
    <w:rsid w:val="008128EC"/>
    <w:rPr>
      <w:sz w:val="16"/>
      <w:szCs w:val="16"/>
    </w:rPr>
  </w:style>
  <w:style w:type="paragraph" w:customStyle="1" w:styleId="H1RunningHeader">
    <w:name w:val="H1 Running Header"/>
    <w:rsid w:val="00D216FB"/>
    <w:pPr>
      <w:pBdr>
        <w:bottom w:val="single" w:sz="4" w:space="2" w:color="auto"/>
      </w:pBdr>
      <w:tabs>
        <w:tab w:val="right" w:pos="9923"/>
      </w:tabs>
    </w:pPr>
    <w:rPr>
      <w:rFonts w:ascii="Myriad Pro" w:hAnsi="Myriad Pro" w:cs="Arial"/>
      <w:w w:val="108"/>
    </w:rPr>
  </w:style>
  <w:style w:type="character" w:customStyle="1" w:styleId="C1Gray">
    <w:name w:val="C1 Gray"/>
    <w:rsid w:val="00512C15"/>
    <w:rPr>
      <w:color w:val="666666"/>
      <w:lang w:val="fr-FR"/>
    </w:rPr>
  </w:style>
  <w:style w:type="paragraph" w:customStyle="1" w:styleId="F1RunningFooter">
    <w:name w:val="F1 Running Footer"/>
    <w:rsid w:val="00512C15"/>
    <w:pPr>
      <w:pBdr>
        <w:top w:val="single" w:sz="6" w:space="1" w:color="auto"/>
      </w:pBdr>
      <w:tabs>
        <w:tab w:val="right" w:pos="9923"/>
      </w:tabs>
    </w:pPr>
    <w:rPr>
      <w:rFonts w:ascii="Myriad Pro" w:hAnsi="Myriad Pro" w:cs="Arial"/>
      <w:w w:val="108"/>
      <w:sz w:val="17"/>
      <w:szCs w:val="17"/>
    </w:rPr>
  </w:style>
  <w:style w:type="character" w:styleId="PageNumber">
    <w:name w:val="page number"/>
    <w:basedOn w:val="DefaultParagraphFont"/>
    <w:rsid w:val="008C11DC"/>
  </w:style>
  <w:style w:type="paragraph" w:customStyle="1" w:styleId="09ListText">
    <w:name w:val="09 List Text"/>
    <w:basedOn w:val="08ArticleText"/>
    <w:qFormat/>
    <w:rsid w:val="0072442A"/>
    <w:pPr>
      <w:tabs>
        <w:tab w:val="clear" w:pos="198"/>
        <w:tab w:val="left" w:pos="284"/>
      </w:tabs>
      <w:ind w:left="284" w:hanging="28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5A2ED8"/>
    <w:rPr>
      <w:sz w:val="24"/>
    </w:rPr>
  </w:style>
  <w:style w:type="paragraph" w:styleId="Heading1">
    <w:name w:val="heading 1"/>
    <w:basedOn w:val="Normal"/>
    <w:next w:val="Normal"/>
    <w:rsid w:val="005A2ED8"/>
    <w:pPr>
      <w:keepNext/>
      <w:spacing w:before="240" w:after="60"/>
      <w:outlineLvl w:val="0"/>
    </w:pPr>
    <w:rPr>
      <w:rFonts w:ascii="Arial" w:hAnsi="Arial" w:cs="Arial"/>
      <w:b/>
      <w:bCs/>
      <w:kern w:val="32"/>
      <w:sz w:val="32"/>
      <w:szCs w:val="32"/>
    </w:rPr>
  </w:style>
  <w:style w:type="paragraph" w:styleId="Heading2">
    <w:name w:val="heading 2"/>
    <w:basedOn w:val="Normal"/>
    <w:next w:val="Normal"/>
    <w:rsid w:val="005A2ED8"/>
    <w:pPr>
      <w:keepNext/>
      <w:spacing w:before="240" w:after="60"/>
      <w:outlineLvl w:val="1"/>
    </w:pPr>
    <w:rPr>
      <w:rFonts w:ascii="Arial" w:hAnsi="Arial" w:cs="Arial"/>
      <w:b/>
      <w:bCs/>
      <w:i/>
      <w:iCs/>
      <w:sz w:val="28"/>
      <w:szCs w:val="28"/>
    </w:rPr>
  </w:style>
  <w:style w:type="paragraph" w:styleId="Heading3">
    <w:name w:val="heading 3"/>
    <w:basedOn w:val="Normal"/>
    <w:next w:val="Normal"/>
    <w:rsid w:val="005A2ED8"/>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PaperTitle">
    <w:name w:val="01 Paper Title"/>
    <w:qFormat/>
    <w:rsid w:val="00E50371"/>
    <w:pPr>
      <w:spacing w:after="180" w:line="360" w:lineRule="exact"/>
    </w:pPr>
    <w:rPr>
      <w:b/>
      <w:position w:val="7"/>
      <w:sz w:val="32"/>
      <w:szCs w:val="32"/>
    </w:rPr>
  </w:style>
  <w:style w:type="paragraph" w:customStyle="1" w:styleId="02PaperAuthors">
    <w:name w:val="02 Paper Authors"/>
    <w:qFormat/>
    <w:rsid w:val="009101D8"/>
    <w:pPr>
      <w:spacing w:line="240" w:lineRule="exact"/>
    </w:pPr>
    <w:rPr>
      <w:b/>
      <w:noProof/>
      <w:sz w:val="22"/>
      <w:szCs w:val="22"/>
    </w:rPr>
  </w:style>
  <w:style w:type="paragraph" w:customStyle="1" w:styleId="G1aFigureImage">
    <w:name w:val="G1a Figure Image"/>
    <w:next w:val="G1bFigureCaption"/>
    <w:qFormat/>
    <w:rsid w:val="00236D7F"/>
    <w:pPr>
      <w:shd w:val="solid" w:color="FFFFFF" w:fill="FFFFFF"/>
      <w:spacing w:before="160" w:after="40"/>
      <w:jc w:val="center"/>
    </w:pPr>
    <w:rPr>
      <w:sz w:val="18"/>
    </w:rPr>
  </w:style>
  <w:style w:type="paragraph" w:customStyle="1" w:styleId="03Abstract">
    <w:name w:val="03 Abstract"/>
    <w:qFormat/>
    <w:rsid w:val="00E50371"/>
    <w:pPr>
      <w:spacing w:after="200" w:line="240" w:lineRule="exact"/>
      <w:jc w:val="both"/>
    </w:pPr>
    <w:rPr>
      <w:b/>
      <w:sz w:val="18"/>
      <w:szCs w:val="18"/>
    </w:rPr>
  </w:style>
  <w:style w:type="paragraph" w:customStyle="1" w:styleId="04AHeading">
    <w:name w:val="04 A Heading"/>
    <w:next w:val="08ArticleText"/>
    <w:qFormat/>
    <w:rsid w:val="00E50371"/>
    <w:pPr>
      <w:spacing w:before="240" w:after="120" w:line="240" w:lineRule="exact"/>
    </w:pPr>
    <w:rPr>
      <w:b/>
      <w:sz w:val="22"/>
    </w:rPr>
  </w:style>
  <w:style w:type="paragraph" w:customStyle="1" w:styleId="08ArticleText">
    <w:name w:val="08 Article Text"/>
    <w:qFormat/>
    <w:rsid w:val="00E50371"/>
    <w:pPr>
      <w:widowControl w:val="0"/>
      <w:tabs>
        <w:tab w:val="left" w:pos="198"/>
      </w:tabs>
      <w:spacing w:line="230" w:lineRule="exact"/>
      <w:jc w:val="both"/>
    </w:pPr>
    <w:rPr>
      <w:sz w:val="18"/>
      <w:szCs w:val="18"/>
    </w:rPr>
  </w:style>
  <w:style w:type="paragraph" w:customStyle="1" w:styleId="N2Footnotes">
    <w:name w:val="N2 Footnotes"/>
    <w:qFormat/>
    <w:rsid w:val="00D5548A"/>
    <w:pPr>
      <w:tabs>
        <w:tab w:val="left" w:pos="142"/>
      </w:tabs>
      <w:spacing w:line="190" w:lineRule="exact"/>
      <w:jc w:val="both"/>
    </w:pPr>
    <w:rPr>
      <w:noProof/>
      <w:sz w:val="16"/>
    </w:rPr>
  </w:style>
  <w:style w:type="paragraph" w:customStyle="1" w:styleId="N3References">
    <w:name w:val="N3 References"/>
    <w:qFormat/>
    <w:rsid w:val="00D5548A"/>
    <w:pPr>
      <w:tabs>
        <w:tab w:val="left" w:pos="284"/>
      </w:tabs>
      <w:spacing w:line="190" w:lineRule="exact"/>
      <w:ind w:left="284" w:hanging="284"/>
      <w:jc w:val="both"/>
    </w:pPr>
    <w:rPr>
      <w:noProof/>
      <w:sz w:val="16"/>
    </w:rPr>
  </w:style>
  <w:style w:type="paragraph" w:customStyle="1" w:styleId="L1Receivedaccepteddates">
    <w:name w:val="L1 Received/accepted dates"/>
    <w:next w:val="Normal"/>
    <w:qFormat/>
    <w:rsid w:val="009101D8"/>
    <w:pPr>
      <w:spacing w:before="180" w:line="240" w:lineRule="exact"/>
    </w:pPr>
    <w:rPr>
      <w:b/>
      <w:i/>
      <w:noProof/>
      <w:sz w:val="18"/>
    </w:rPr>
  </w:style>
  <w:style w:type="paragraph" w:customStyle="1" w:styleId="L2DOI">
    <w:name w:val="L2 DOI"/>
    <w:next w:val="03Abstract"/>
    <w:qFormat/>
    <w:rsid w:val="007909CC"/>
    <w:pPr>
      <w:spacing w:after="240" w:line="240" w:lineRule="exact"/>
    </w:pPr>
    <w:rPr>
      <w:b/>
      <w:noProof/>
      <w:sz w:val="18"/>
      <w:szCs w:val="18"/>
    </w:rPr>
  </w:style>
  <w:style w:type="paragraph" w:customStyle="1" w:styleId="N1AuthorAddresses">
    <w:name w:val="N1 Author Addresses"/>
    <w:qFormat/>
    <w:rsid w:val="00D5548A"/>
    <w:pPr>
      <w:spacing w:line="190" w:lineRule="exact"/>
    </w:pPr>
    <w:rPr>
      <w:i/>
      <w:sz w:val="16"/>
    </w:rPr>
  </w:style>
  <w:style w:type="paragraph" w:customStyle="1" w:styleId="05BHeading">
    <w:name w:val="05 B Heading"/>
    <w:next w:val="08ArticleText"/>
    <w:qFormat/>
    <w:rsid w:val="00E50371"/>
    <w:pPr>
      <w:spacing w:before="120" w:after="120" w:line="200" w:lineRule="exact"/>
      <w:jc w:val="both"/>
    </w:pPr>
    <w:rPr>
      <w:b/>
      <w:sz w:val="18"/>
    </w:rPr>
  </w:style>
  <w:style w:type="paragraph" w:customStyle="1" w:styleId="06CHeading">
    <w:name w:val="06 C Heading"/>
    <w:next w:val="08ArticleText"/>
    <w:qFormat/>
    <w:rsid w:val="00E50371"/>
    <w:pPr>
      <w:spacing w:line="200" w:lineRule="exact"/>
      <w:jc w:val="both"/>
    </w:pPr>
    <w:rPr>
      <w:b/>
      <w:sz w:val="18"/>
    </w:rPr>
  </w:style>
  <w:style w:type="paragraph" w:customStyle="1" w:styleId="07DHeading">
    <w:name w:val="07 D Heading"/>
    <w:next w:val="08ArticleText"/>
    <w:qFormat/>
    <w:rsid w:val="00E50371"/>
    <w:pPr>
      <w:spacing w:line="200" w:lineRule="exact"/>
      <w:jc w:val="both"/>
    </w:pPr>
    <w:rPr>
      <w:i/>
      <w:sz w:val="18"/>
    </w:rPr>
  </w:style>
  <w:style w:type="paragraph" w:styleId="Header">
    <w:name w:val="header"/>
    <w:basedOn w:val="Normal"/>
    <w:rsid w:val="00D40D6C"/>
    <w:pPr>
      <w:tabs>
        <w:tab w:val="center" w:pos="4153"/>
        <w:tab w:val="right" w:pos="8306"/>
      </w:tabs>
    </w:pPr>
  </w:style>
  <w:style w:type="paragraph" w:styleId="Footer">
    <w:name w:val="footer"/>
    <w:basedOn w:val="Normal"/>
    <w:rsid w:val="00D40D6C"/>
    <w:pPr>
      <w:tabs>
        <w:tab w:val="center" w:pos="4153"/>
        <w:tab w:val="right" w:pos="8306"/>
      </w:tabs>
    </w:pPr>
  </w:style>
  <w:style w:type="character" w:styleId="LineNumber">
    <w:name w:val="line number"/>
    <w:basedOn w:val="DefaultParagraphFont"/>
    <w:rsid w:val="004E1FDE"/>
    <w:rPr>
      <w:rFonts w:ascii="Times New Roman" w:hAnsi="Times New Roman"/>
      <w:sz w:val="10"/>
    </w:rPr>
  </w:style>
  <w:style w:type="paragraph" w:customStyle="1" w:styleId="G1bFigureCaption">
    <w:name w:val="G1b Figure Caption"/>
    <w:basedOn w:val="Normal"/>
    <w:next w:val="08ArticleText"/>
    <w:qFormat/>
    <w:rsid w:val="00ED5A6B"/>
    <w:pPr>
      <w:shd w:val="solid" w:color="FFFFFF" w:fill="FFFFFF"/>
      <w:spacing w:before="40" w:after="160" w:line="190" w:lineRule="exact"/>
      <w:jc w:val="center"/>
    </w:pPr>
    <w:rPr>
      <w:sz w:val="16"/>
    </w:rPr>
  </w:style>
  <w:style w:type="paragraph" w:customStyle="1" w:styleId="G2UncaptionedImage">
    <w:name w:val="G2 Uncaptioned Image"/>
    <w:next w:val="08ArticleText"/>
    <w:qFormat/>
    <w:rsid w:val="00236D7F"/>
    <w:pPr>
      <w:shd w:val="solid" w:color="FFFFFF" w:fill="FFFFFF"/>
      <w:spacing w:before="160" w:after="160"/>
      <w:jc w:val="center"/>
    </w:pPr>
    <w:rPr>
      <w:sz w:val="18"/>
    </w:rPr>
  </w:style>
  <w:style w:type="paragraph" w:customStyle="1" w:styleId="G3SingleColumnEquation">
    <w:name w:val="G3 Single Column Equation"/>
    <w:next w:val="08ArticleText"/>
    <w:qFormat/>
    <w:rsid w:val="0069118F"/>
    <w:pPr>
      <w:tabs>
        <w:tab w:val="center" w:pos="2155"/>
        <w:tab w:val="right" w:pos="4706"/>
      </w:tabs>
      <w:spacing w:before="160" w:after="160"/>
    </w:pPr>
    <w:rPr>
      <w:sz w:val="18"/>
    </w:rPr>
  </w:style>
  <w:style w:type="paragraph" w:customStyle="1" w:styleId="G4aTableTitle">
    <w:name w:val="G4a Table Title"/>
    <w:qFormat/>
    <w:rsid w:val="00236D7F"/>
    <w:pPr>
      <w:keepNext/>
      <w:keepLines/>
      <w:pBdr>
        <w:bottom w:val="single" w:sz="6" w:space="1" w:color="auto"/>
      </w:pBdr>
      <w:spacing w:before="120" w:after="120" w:line="190" w:lineRule="exact"/>
    </w:pPr>
    <w:rPr>
      <w:sz w:val="16"/>
    </w:rPr>
  </w:style>
  <w:style w:type="paragraph" w:customStyle="1" w:styleId="G4cTableFootnote">
    <w:name w:val="G4c Table Footnote"/>
    <w:qFormat/>
    <w:rsid w:val="003F4A2D"/>
    <w:pPr>
      <w:keepLines/>
      <w:pBdr>
        <w:bottom w:val="single" w:sz="6" w:space="1" w:color="auto"/>
      </w:pBdr>
      <w:spacing w:before="120" w:after="60"/>
    </w:pPr>
    <w:rPr>
      <w:sz w:val="16"/>
    </w:rPr>
  </w:style>
  <w:style w:type="table" w:styleId="TableGrid">
    <w:name w:val="Table Grid"/>
    <w:basedOn w:val="TableNormal"/>
    <w:rsid w:val="00CD5663"/>
    <w:tblPr>
      <w:jc w:val="center"/>
      <w:tblCellMar>
        <w:left w:w="0" w:type="dxa"/>
        <w:right w:w="0" w:type="dxa"/>
      </w:tblCellMar>
    </w:tblPr>
    <w:trPr>
      <w:jc w:val="center"/>
    </w:trPr>
  </w:style>
  <w:style w:type="paragraph" w:customStyle="1" w:styleId="G4bTableBody">
    <w:name w:val="G4b Table Body"/>
    <w:qFormat/>
    <w:rsid w:val="003F4A2D"/>
    <w:pPr>
      <w:keepNext/>
      <w:keepLines/>
      <w:jc w:val="center"/>
    </w:pPr>
    <w:rPr>
      <w:sz w:val="16"/>
      <w:szCs w:val="16"/>
    </w:rPr>
  </w:style>
  <w:style w:type="paragraph" w:styleId="EndnoteText">
    <w:name w:val="endnote text"/>
    <w:basedOn w:val="Normal"/>
    <w:semiHidden/>
    <w:rsid w:val="004C27D7"/>
    <w:pPr>
      <w:spacing w:line="190" w:lineRule="exact"/>
      <w:ind w:left="284" w:hanging="284"/>
    </w:pPr>
    <w:rPr>
      <w:sz w:val="16"/>
    </w:rPr>
  </w:style>
  <w:style w:type="character" w:styleId="EndnoteReference">
    <w:name w:val="endnote reference"/>
    <w:basedOn w:val="DefaultParagraphFont"/>
    <w:semiHidden/>
    <w:rsid w:val="004C27D7"/>
    <w:rPr>
      <w:vertAlign w:val="superscript"/>
    </w:rPr>
  </w:style>
  <w:style w:type="paragraph" w:customStyle="1" w:styleId="RefOrdinal">
    <w:name w:val="RefOrdinal"/>
    <w:rsid w:val="008128EC"/>
    <w:rPr>
      <w:sz w:val="16"/>
      <w:szCs w:val="16"/>
    </w:rPr>
  </w:style>
  <w:style w:type="paragraph" w:customStyle="1" w:styleId="H1RunningHeader">
    <w:name w:val="H1 Running Header"/>
    <w:rsid w:val="00D216FB"/>
    <w:pPr>
      <w:pBdr>
        <w:bottom w:val="single" w:sz="4" w:space="2" w:color="auto"/>
      </w:pBdr>
      <w:tabs>
        <w:tab w:val="right" w:pos="9923"/>
      </w:tabs>
    </w:pPr>
    <w:rPr>
      <w:rFonts w:ascii="Myriad Pro" w:hAnsi="Myriad Pro" w:cs="Arial"/>
      <w:w w:val="108"/>
    </w:rPr>
  </w:style>
  <w:style w:type="character" w:customStyle="1" w:styleId="C1Gray">
    <w:name w:val="C1 Gray"/>
    <w:rsid w:val="00512C15"/>
    <w:rPr>
      <w:color w:val="666666"/>
      <w:lang w:val="fr-FR"/>
    </w:rPr>
  </w:style>
  <w:style w:type="paragraph" w:customStyle="1" w:styleId="F1RunningFooter">
    <w:name w:val="F1 Running Footer"/>
    <w:rsid w:val="00512C15"/>
    <w:pPr>
      <w:pBdr>
        <w:top w:val="single" w:sz="6" w:space="1" w:color="auto"/>
      </w:pBdr>
      <w:tabs>
        <w:tab w:val="right" w:pos="9923"/>
      </w:tabs>
    </w:pPr>
    <w:rPr>
      <w:rFonts w:ascii="Myriad Pro" w:hAnsi="Myriad Pro" w:cs="Arial"/>
      <w:w w:val="108"/>
      <w:sz w:val="17"/>
      <w:szCs w:val="17"/>
    </w:rPr>
  </w:style>
  <w:style w:type="character" w:styleId="PageNumber">
    <w:name w:val="page number"/>
    <w:basedOn w:val="DefaultParagraphFont"/>
    <w:rsid w:val="008C11DC"/>
  </w:style>
  <w:style w:type="paragraph" w:customStyle="1" w:styleId="09ListText">
    <w:name w:val="09 List Text"/>
    <w:basedOn w:val="08ArticleText"/>
    <w:qFormat/>
    <w:rsid w:val="0072442A"/>
    <w:pPr>
      <w:tabs>
        <w:tab w:val="clear" w:pos="198"/>
        <w:tab w:val="left" w:pos="284"/>
      </w:tabs>
      <w:ind w:left="284"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2.emf"/><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hii\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customTab1" label="RSC Tools">
        <group id="customGroup1" label="RSC Functions">
          <button id="Tools01" label="Apply Style" imageMso="AppointmentColor0" size="normal" onAction="ShowStylesDialog"/>
          <button id="Tools02" label="Insert Graphic" imageMso="AppointmentColor1" size="normal" onAction="ShowGraphicsDialog"/>
          <button id="Tools03" label="Table Tools" imageMso="AppointmentColor2" size="normal" onAction="ShowTablesDialog"/>
          <button id="Tools04" label="Toggle Nonprinting" imageMso="AppointmentColor3" size="normal" onAction="ShowNonPrintingChars"/>
          <button id="Tools05" label="Toggle Text Boundaries" imageMso="AppointmentColor4" size="normal" onAction="ShowBoundaries"/>
          <button id="Tools06" label="Help Window" imageMso="AppointmentColor5" size="normal" onAction="ShowHelpDialog"/>
          <!--button id="Style03" label="03 Abstract " imageMso="AppointmentColor2" size="normal" onAction="Abstract" />
					<button id="Style04" label="04 A Heading " imageMso="AppointmentColor3" size="normal" onAction="A_Heading" />
					<button id="Style05" label="05 B Heading " imageMso="AppointmentColor4" size="normal" onAction="B_Heading" />
					<button id="Style06" label="06 C Heading " imageMso="AppointmentColor5" size="normal" onAction="C_Heading" />
					<button id="Style07" label="07 D Heading " imageMso="AppointmentColor6" size="normal" onAction="D_Heading" />
					<button id="Style08" label="08 Article Text" imageMso="AppointmentColor7" size="normal" onAction="Article_Text" />
					<button id="Style09" label="09 List Text " imageMso="AppointmentColor8" size="normal" onAction="List_Text" />
					<button id="StyleG1a" label="G1a Figure Image " imageMso="AppointmentColor9" size="normal" onAction="Figure_Image" />
					<button id="StyleG1b" label="G1b Figure Caption " imageMso="AppointmentColor10" size="normal" onAction="Figure_Caption" />
					<button id="StyleG2" label="G2 Uncaptioned Image " imageMso="AppointmentColor0" size="normal" onAction="Uncaptioned_Image" />
					<button id="StyleG3" label="G3 Single Column Eqn" imageMso="AppointmentColor1" size="normal" onAction="Single_Column_Equation" />
					<button id="StyleG4a" label="G4a Table Title " imageMso="AppointmentColor2" size="normal" onAction="Table_Title" />
					<button id="StyleG4b" label="G4b Table Body " imageMso="AppointmentColor3" size="normal" onAction="Table_Body" />
					<button id="StyleG4c" label="G4b Table Footnote" imageMso="AppointmentColor4" size="normal" onAction="Table_Footnote" /-->
          <!-- dropDown id="Styles" showLabel="true" label="RSC Styles">
						<item id="Style01" label="01 Article Title" />
						<item id="Style02" label="02 Article Authors" />
					</dropDown -->
        </group>
        <!--group id="customGroup2" label="RSC Insert Graphics">
					<button id="InsGraph01" label="Figure or Scheme (1col) " imageMso="AppointmentColor0" size="normal" onAction="SingleColFig" />
					<button id="InsGraph02" label="Figure or Scheme (2col) " imageMso="AppointmentColor1" size="normal" onAction="DoubleColFig" />
					<button id="InsGraph03" label="Numbered Equation (1col) " imageMso="AppointmentColor2" size="normal" onAction="SingleColEqn" />
					<button id="InsGraph04" label="Tabular Matter (1col) " imageMso="AppointmentColor3" size="normal" onAction="SingleColTable" />
					<button id="InsGraph05" label="Tabular Matter (2col) " imageMso="AppointmentColor4" size="normal" onAction="SingleColTable" />
					<button id="InsGraph06" label="Uncaptioned Image (1col) " imageMso="AppointmentColor5" size="normal" onAction="SingleColBlock" />
					<button id="InsGraph07" label="Uncaptioned Image (2col) " imageMso="AppointmentColor6" size="normal" onAction="DoubleColBlock" />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4946B-F38E-4A9D-80E7-571EC3C44D10}">
  <ds:schemaRefs>
    <ds:schemaRef ds:uri="urn:schemas-microsoft-com.VSTO2008Demos.ControlsStorage"/>
  </ds:schemaRefs>
</ds:datastoreItem>
</file>

<file path=customXml/itemProps2.xml><?xml version="1.0" encoding="utf-8"?>
<ds:datastoreItem xmlns:ds="http://schemas.openxmlformats.org/officeDocument/2006/customXml" ds:itemID="{5651FFAC-6364-4C37-8A14-FDC7A4B4A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3</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RSC Communication Template (Version 3.2)</vt:lpstr>
    </vt:vector>
  </TitlesOfParts>
  <Company>Royal Society of Chemistry</Company>
  <LinksUpToDate>false</LinksUpToDate>
  <CharactersWithSpaces>11644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RSC Communication Template (Version 3.2)</dc:title>
  <dc:creator>Hii, Mimi</dc:creator>
  <dc:description>Design update</dc:description>
  <cp:lastModifiedBy>Blake, Kim A</cp:lastModifiedBy>
  <cp:revision>2</cp:revision>
  <cp:lastPrinted>2010-12-02T12:02:00Z</cp:lastPrinted>
  <dcterms:created xsi:type="dcterms:W3CDTF">2015-09-01T15:39:00Z</dcterms:created>
  <dcterms:modified xsi:type="dcterms:W3CDTF">2015-09-01T15:39:00Z</dcterms:modified>
</cp:coreProperties>
</file>