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A60353" w14:textId="77777777" w:rsidR="00AE5CC4" w:rsidRPr="001467AF" w:rsidRDefault="00AE5CC4" w:rsidP="00AE5CC4">
      <w:pPr>
        <w:pStyle w:val="Body1"/>
        <w:jc w:val="center"/>
        <w:rPr>
          <w:rFonts w:ascii="Arial" w:hAnsi="Arial" w:cs="Arial"/>
          <w:b/>
          <w:sz w:val="22"/>
          <w:szCs w:val="20"/>
          <w:lang w:val="en-GB"/>
        </w:rPr>
      </w:pPr>
      <w:bookmarkStart w:id="0" w:name="_Toc453175131"/>
      <w:bookmarkStart w:id="1" w:name="_GoBack"/>
      <w:r w:rsidRPr="001467AF">
        <w:rPr>
          <w:rFonts w:ascii="Arial" w:hAnsi="Arial" w:cs="Arial"/>
          <w:b/>
          <w:sz w:val="22"/>
          <w:szCs w:val="20"/>
          <w:lang w:val="en-GB"/>
        </w:rPr>
        <w:t>How effective are socially-targeted interventions at improving treatment outcomes when integrated into a TB program?</w:t>
      </w:r>
      <w:bookmarkEnd w:id="0"/>
    </w:p>
    <w:bookmarkEnd w:id="1"/>
    <w:p w14:paraId="1DDA45F2" w14:textId="77777777" w:rsidR="00AE5CC4" w:rsidRPr="001467AF" w:rsidRDefault="00AE5CC4" w:rsidP="00AE5CC4">
      <w:pPr>
        <w:pStyle w:val="Body1"/>
        <w:jc w:val="center"/>
        <w:rPr>
          <w:rFonts w:ascii="Arial" w:hAnsi="Arial" w:cs="Arial"/>
          <w:b/>
          <w:sz w:val="22"/>
          <w:szCs w:val="20"/>
          <w:lang w:val="en-GB"/>
        </w:rPr>
      </w:pPr>
    </w:p>
    <w:p w14:paraId="59BA10A1" w14:textId="77777777" w:rsidR="00AE5CC4" w:rsidRPr="001467AF" w:rsidRDefault="00AE5CC4" w:rsidP="00AE5CC4">
      <w:pPr>
        <w:jc w:val="center"/>
        <w:rPr>
          <w:rFonts w:ascii="Arial" w:hAnsi="Arial" w:cs="Arial"/>
          <w:sz w:val="20"/>
          <w:szCs w:val="20"/>
          <w:vertAlign w:val="superscript"/>
          <w:lang w:val="en-US"/>
        </w:rPr>
      </w:pPr>
      <w:r w:rsidRPr="001467AF">
        <w:rPr>
          <w:rFonts w:ascii="Arial" w:hAnsi="Arial" w:cs="Arial"/>
          <w:bCs/>
          <w:sz w:val="20"/>
          <w:szCs w:val="20"/>
          <w:lang w:val="en-US"/>
        </w:rPr>
        <w:t>Farrell L</w:t>
      </w:r>
      <w:r w:rsidRPr="001467AF">
        <w:rPr>
          <w:rFonts w:ascii="Arial" w:hAnsi="Arial" w:cs="Arial"/>
          <w:sz w:val="20"/>
          <w:szCs w:val="20"/>
          <w:vertAlign w:val="superscript"/>
          <w:lang w:val="en-US"/>
        </w:rPr>
        <w:t>1,2,3</w:t>
      </w:r>
      <w:r w:rsidRPr="001467AF">
        <w:rPr>
          <w:rFonts w:ascii="Arial" w:hAnsi="Arial" w:cs="Arial"/>
          <w:sz w:val="20"/>
          <w:szCs w:val="20"/>
          <w:lang w:val="en-US"/>
        </w:rPr>
        <w:t>, Williams S</w:t>
      </w:r>
      <w:r w:rsidRPr="001467AF">
        <w:rPr>
          <w:rFonts w:ascii="Arial" w:hAnsi="Arial" w:cs="Arial"/>
          <w:sz w:val="20"/>
          <w:szCs w:val="20"/>
          <w:vertAlign w:val="superscript"/>
          <w:lang w:val="en-US"/>
        </w:rPr>
        <w:t>1,2,3</w:t>
      </w:r>
      <w:r w:rsidRPr="001467AF">
        <w:rPr>
          <w:rFonts w:ascii="Arial" w:hAnsi="Arial" w:cs="Arial"/>
          <w:sz w:val="20"/>
          <w:szCs w:val="20"/>
          <w:lang w:val="en-US"/>
        </w:rPr>
        <w:t>, Bonadonna L</w:t>
      </w:r>
      <w:r w:rsidRPr="001467AF">
        <w:rPr>
          <w:rFonts w:ascii="Arial" w:hAnsi="Arial" w:cs="Arial"/>
          <w:sz w:val="20"/>
          <w:szCs w:val="20"/>
          <w:vertAlign w:val="superscript"/>
          <w:lang w:val="en-US"/>
        </w:rPr>
        <w:t>1,2</w:t>
      </w:r>
      <w:r w:rsidRPr="001467AF">
        <w:rPr>
          <w:rFonts w:ascii="Arial" w:hAnsi="Arial" w:cs="Arial"/>
          <w:sz w:val="20"/>
          <w:szCs w:val="20"/>
          <w:lang w:val="en-US"/>
        </w:rPr>
        <w:t xml:space="preserve">, </w:t>
      </w:r>
      <w:proofErr w:type="spellStart"/>
      <w:r w:rsidRPr="001467AF">
        <w:rPr>
          <w:rFonts w:ascii="Arial" w:hAnsi="Arial" w:cs="Arial"/>
          <w:sz w:val="20"/>
          <w:szCs w:val="20"/>
          <w:lang w:val="en-US"/>
        </w:rPr>
        <w:t>Datta</w:t>
      </w:r>
      <w:proofErr w:type="spellEnd"/>
      <w:r w:rsidRPr="001467AF">
        <w:rPr>
          <w:rFonts w:ascii="Arial" w:hAnsi="Arial" w:cs="Arial"/>
          <w:sz w:val="20"/>
          <w:szCs w:val="20"/>
          <w:lang w:val="en-US"/>
        </w:rPr>
        <w:t xml:space="preserve"> S</w:t>
      </w:r>
      <w:r w:rsidRPr="001467AF">
        <w:rPr>
          <w:rFonts w:ascii="Arial" w:hAnsi="Arial" w:cs="Arial"/>
          <w:sz w:val="20"/>
          <w:szCs w:val="20"/>
          <w:vertAlign w:val="superscript"/>
          <w:lang w:val="en-US"/>
        </w:rPr>
        <w:t>1,2,3</w:t>
      </w:r>
      <w:r w:rsidRPr="001467AF">
        <w:rPr>
          <w:rFonts w:ascii="Arial" w:hAnsi="Arial" w:cs="Arial"/>
          <w:sz w:val="20"/>
          <w:szCs w:val="20"/>
          <w:lang w:val="en-US"/>
        </w:rPr>
        <w:t>, Evans C</w:t>
      </w:r>
      <w:r w:rsidRPr="001467AF">
        <w:rPr>
          <w:rFonts w:ascii="Arial" w:hAnsi="Arial" w:cs="Arial"/>
          <w:sz w:val="20"/>
          <w:szCs w:val="20"/>
          <w:vertAlign w:val="superscript"/>
          <w:lang w:val="en-US"/>
        </w:rPr>
        <w:t>1,2,3</w:t>
      </w:r>
    </w:p>
    <w:p w14:paraId="521CE7C6" w14:textId="77777777" w:rsidR="00AE5CC4" w:rsidRPr="001467AF" w:rsidRDefault="00AE5CC4" w:rsidP="00AE5CC4">
      <w:pPr>
        <w:jc w:val="both"/>
        <w:rPr>
          <w:rFonts w:ascii="Arial" w:eastAsia="Times New Roman" w:hAnsi="Arial" w:cs="Arial"/>
          <w:b/>
          <w:bCs/>
          <w:sz w:val="20"/>
          <w:szCs w:val="20"/>
          <w:lang w:val="en-US"/>
        </w:rPr>
      </w:pPr>
    </w:p>
    <w:p w14:paraId="39F4775D" w14:textId="77777777" w:rsidR="00AE5CC4" w:rsidRPr="001467AF" w:rsidRDefault="00AE5CC4" w:rsidP="00AE5CC4">
      <w:pPr>
        <w:pStyle w:val="ListParagraph"/>
        <w:numPr>
          <w:ilvl w:val="0"/>
          <w:numId w:val="1"/>
        </w:numPr>
        <w:spacing w:after="0" w:line="240" w:lineRule="auto"/>
        <w:ind w:left="284" w:hanging="284"/>
        <w:jc w:val="both"/>
        <w:rPr>
          <w:rStyle w:val="apple-style-span"/>
          <w:rFonts w:ascii="Arial" w:hAnsi="Arial" w:cs="Arial"/>
          <w:sz w:val="20"/>
        </w:rPr>
      </w:pPr>
      <w:r w:rsidRPr="001467AF">
        <w:rPr>
          <w:rStyle w:val="apple-style-span"/>
          <w:rFonts w:ascii="Arial" w:hAnsi="Arial" w:cs="Arial"/>
          <w:sz w:val="20"/>
        </w:rPr>
        <w:t>Innovación Por la Salud Y Desarrollo (IPSYD), Asociación Benéfica PRISMA, Lima, Perú</w:t>
      </w:r>
    </w:p>
    <w:p w14:paraId="7293FBDB" w14:textId="77777777" w:rsidR="00AE5CC4" w:rsidRPr="001467AF" w:rsidRDefault="00AE5CC4" w:rsidP="00AE5CC4">
      <w:pPr>
        <w:pStyle w:val="ListParagraph"/>
        <w:numPr>
          <w:ilvl w:val="0"/>
          <w:numId w:val="1"/>
        </w:numPr>
        <w:spacing w:after="0" w:line="240" w:lineRule="auto"/>
        <w:ind w:left="284" w:hanging="284"/>
        <w:jc w:val="both"/>
        <w:rPr>
          <w:rStyle w:val="apple-style-span"/>
          <w:rFonts w:ascii="Arial" w:hAnsi="Arial" w:cs="Arial"/>
          <w:sz w:val="20"/>
          <w:lang w:val="en-US"/>
        </w:rPr>
      </w:pPr>
      <w:r w:rsidRPr="001467AF">
        <w:rPr>
          <w:rStyle w:val="apple-style-span"/>
          <w:rFonts w:ascii="Arial" w:hAnsi="Arial" w:cs="Arial"/>
          <w:sz w:val="20"/>
          <w:lang w:val="en-US"/>
        </w:rPr>
        <w:t xml:space="preserve">Innovation For Health And Development (IFHAD), Laboratory of Research and Development, Universidad Peruana </w:t>
      </w:r>
      <w:proofErr w:type="spellStart"/>
      <w:r w:rsidRPr="001467AF">
        <w:rPr>
          <w:rStyle w:val="apple-style-span"/>
          <w:rFonts w:ascii="Arial" w:hAnsi="Arial" w:cs="Arial"/>
          <w:sz w:val="20"/>
          <w:lang w:val="en-US"/>
        </w:rPr>
        <w:t>Cayetano</w:t>
      </w:r>
      <w:proofErr w:type="spellEnd"/>
      <w:r w:rsidRPr="001467AF">
        <w:rPr>
          <w:rStyle w:val="apple-style-span"/>
          <w:rFonts w:ascii="Arial" w:hAnsi="Arial" w:cs="Arial"/>
          <w:sz w:val="20"/>
          <w:lang w:val="en-US"/>
        </w:rPr>
        <w:t xml:space="preserve"> Heredia, Lima, </w:t>
      </w:r>
      <w:proofErr w:type="spellStart"/>
      <w:r w:rsidRPr="001467AF">
        <w:rPr>
          <w:rStyle w:val="apple-style-span"/>
          <w:rFonts w:ascii="Arial" w:hAnsi="Arial" w:cs="Arial"/>
          <w:sz w:val="20"/>
          <w:lang w:val="en-US"/>
        </w:rPr>
        <w:t>Perú</w:t>
      </w:r>
      <w:proofErr w:type="spellEnd"/>
      <w:r w:rsidRPr="001467AF">
        <w:rPr>
          <w:rStyle w:val="apple-style-span"/>
          <w:rFonts w:ascii="Arial" w:hAnsi="Arial" w:cs="Arial"/>
          <w:sz w:val="20"/>
          <w:lang w:val="en-US"/>
        </w:rPr>
        <w:t xml:space="preserve"> </w:t>
      </w:r>
    </w:p>
    <w:p w14:paraId="3231EEEE" w14:textId="77777777" w:rsidR="00AE5CC4" w:rsidRPr="001467AF" w:rsidRDefault="00AE5CC4" w:rsidP="00AE5CC4">
      <w:pPr>
        <w:pStyle w:val="ListParagraph"/>
        <w:numPr>
          <w:ilvl w:val="0"/>
          <w:numId w:val="1"/>
        </w:numPr>
        <w:spacing w:after="0" w:line="240" w:lineRule="auto"/>
        <w:ind w:left="284" w:hanging="284"/>
        <w:jc w:val="both"/>
        <w:rPr>
          <w:rStyle w:val="apple-style-span"/>
          <w:rFonts w:ascii="Arial" w:hAnsi="Arial" w:cs="Arial"/>
          <w:sz w:val="20"/>
          <w:lang w:val="en-US"/>
        </w:rPr>
      </w:pPr>
      <w:r w:rsidRPr="001467AF">
        <w:rPr>
          <w:rStyle w:val="apple-style-span"/>
          <w:rFonts w:ascii="Arial" w:hAnsi="Arial" w:cs="Arial"/>
          <w:sz w:val="20"/>
          <w:lang w:val="en-US"/>
        </w:rPr>
        <w:t xml:space="preserve">Infectious Diseases &amp; Immunity, Imperial College London, and </w:t>
      </w:r>
      <w:proofErr w:type="spellStart"/>
      <w:r w:rsidRPr="001467AF">
        <w:rPr>
          <w:rStyle w:val="apple-style-span"/>
          <w:rFonts w:ascii="Arial" w:hAnsi="Arial" w:cs="Arial"/>
          <w:sz w:val="20"/>
          <w:lang w:val="en-US"/>
        </w:rPr>
        <w:t>Wellcome</w:t>
      </w:r>
      <w:proofErr w:type="spellEnd"/>
      <w:r w:rsidRPr="001467AF">
        <w:rPr>
          <w:rStyle w:val="apple-style-span"/>
          <w:rFonts w:ascii="Arial" w:hAnsi="Arial" w:cs="Arial"/>
          <w:sz w:val="20"/>
          <w:lang w:val="en-US"/>
        </w:rPr>
        <w:t xml:space="preserve"> Trust Imperial College Centre for Global Health Research, London, UK</w:t>
      </w:r>
    </w:p>
    <w:p w14:paraId="40A7E95E" w14:textId="77777777" w:rsidR="00AE5CC4" w:rsidRPr="001467AF" w:rsidRDefault="00AE5CC4" w:rsidP="00AE5CC4">
      <w:pPr>
        <w:jc w:val="both"/>
        <w:rPr>
          <w:rFonts w:ascii="Arial" w:eastAsia="Times New Roman" w:hAnsi="Arial" w:cs="Arial"/>
          <w:b/>
          <w:bCs/>
          <w:sz w:val="20"/>
          <w:szCs w:val="20"/>
          <w:lang w:val="en-US"/>
        </w:rPr>
      </w:pPr>
    </w:p>
    <w:p w14:paraId="04B08AE0" w14:textId="77777777" w:rsidR="00AE5CC4" w:rsidRPr="001467AF" w:rsidRDefault="00AE5CC4" w:rsidP="00AE5CC4">
      <w:pPr>
        <w:jc w:val="both"/>
        <w:rPr>
          <w:rFonts w:ascii="Arial" w:eastAsia="Times New Roman" w:hAnsi="Arial" w:cs="Arial"/>
          <w:sz w:val="20"/>
          <w:szCs w:val="20"/>
          <w:lang w:val="en-US"/>
        </w:rPr>
      </w:pPr>
      <w:r w:rsidRPr="001467AF">
        <w:rPr>
          <w:rFonts w:ascii="Arial" w:eastAsia="Times New Roman" w:hAnsi="Arial" w:cs="Arial"/>
          <w:b/>
          <w:bCs/>
          <w:sz w:val="20"/>
          <w:szCs w:val="20"/>
          <w:lang w:val="en-US"/>
        </w:rPr>
        <w:t>Background. </w:t>
      </w:r>
      <w:r w:rsidRPr="001467AF">
        <w:rPr>
          <w:rFonts w:ascii="Arial" w:eastAsia="Times New Roman" w:hAnsi="Arial" w:cs="Arial"/>
          <w:sz w:val="20"/>
          <w:szCs w:val="20"/>
          <w:lang w:val="en-US"/>
        </w:rPr>
        <w:t>Alcohol misuse, homelessness and domestic violence are social determinants strongly associated with adverse TB treatment outcomes that include treatment failure, default and death. We performed a systematic literature review on the effectiveness of interventions addressing these social determinants for improving TB treatment outcomes.</w:t>
      </w:r>
    </w:p>
    <w:p w14:paraId="03CC710C" w14:textId="77777777" w:rsidR="00AE5CC4" w:rsidRPr="001467AF" w:rsidRDefault="00AE5CC4" w:rsidP="00AE5CC4">
      <w:pPr>
        <w:jc w:val="both"/>
        <w:rPr>
          <w:rFonts w:ascii="Arial" w:eastAsia="Times New Roman" w:hAnsi="Arial" w:cs="Arial"/>
          <w:sz w:val="20"/>
          <w:szCs w:val="20"/>
          <w:lang w:val="en-US"/>
        </w:rPr>
      </w:pPr>
      <w:r w:rsidRPr="001467AF">
        <w:rPr>
          <w:rFonts w:ascii="Arial" w:eastAsia="Times New Roman" w:hAnsi="Arial" w:cs="Arial"/>
          <w:sz w:val="20"/>
          <w:szCs w:val="20"/>
          <w:lang w:val="en-US"/>
        </w:rPr>
        <w:br/>
      </w:r>
      <w:r w:rsidRPr="001467AF">
        <w:rPr>
          <w:rFonts w:ascii="Arial" w:eastAsia="Times New Roman" w:hAnsi="Arial" w:cs="Arial"/>
          <w:b/>
          <w:sz w:val="20"/>
          <w:szCs w:val="20"/>
          <w:lang w:val="en-US"/>
        </w:rPr>
        <w:t>Methods.</w:t>
      </w:r>
      <w:r w:rsidRPr="001467AF">
        <w:rPr>
          <w:rFonts w:ascii="Arial" w:eastAsia="Times New Roman" w:hAnsi="Arial" w:cs="Arial"/>
          <w:sz w:val="20"/>
          <w:szCs w:val="20"/>
          <w:lang w:val="en-US"/>
        </w:rPr>
        <w:t xml:space="preserve"> Extensive online search of literature databases identified 55 publications that were reviewed and data extracted by one independent reviewer. Due to the small number of residual eligible studies we summarized these studies using a narrative approach and additionally reviewed secondary studies that included but did not exclusively focus on addressing these social determinants in order to improve TB treatment outcomes.</w:t>
      </w:r>
    </w:p>
    <w:p w14:paraId="55197947" w14:textId="77777777" w:rsidR="00AE5CC4" w:rsidRPr="001467AF" w:rsidRDefault="00AE5CC4" w:rsidP="00AE5CC4">
      <w:pPr>
        <w:jc w:val="both"/>
        <w:rPr>
          <w:rFonts w:ascii="Arial" w:eastAsia="Times New Roman" w:hAnsi="Arial" w:cs="Arial"/>
          <w:sz w:val="20"/>
          <w:szCs w:val="20"/>
          <w:lang w:val="en-US"/>
        </w:rPr>
      </w:pPr>
      <w:r w:rsidRPr="001467AF">
        <w:rPr>
          <w:rFonts w:ascii="Arial" w:eastAsia="Times New Roman" w:hAnsi="Arial" w:cs="Arial"/>
          <w:sz w:val="20"/>
          <w:szCs w:val="20"/>
          <w:lang w:val="en-US"/>
        </w:rPr>
        <w:br/>
      </w:r>
      <w:r w:rsidRPr="001467AF">
        <w:rPr>
          <w:rFonts w:ascii="Arial" w:eastAsia="Times New Roman" w:hAnsi="Arial" w:cs="Arial"/>
          <w:b/>
          <w:sz w:val="20"/>
          <w:szCs w:val="20"/>
          <w:lang w:val="en-US"/>
        </w:rPr>
        <w:t>Results.</w:t>
      </w:r>
      <w:r w:rsidRPr="001467AF">
        <w:rPr>
          <w:rFonts w:ascii="Arial" w:eastAsia="Times New Roman" w:hAnsi="Arial" w:cs="Arial"/>
          <w:sz w:val="20"/>
          <w:szCs w:val="20"/>
          <w:lang w:val="en-US"/>
        </w:rPr>
        <w:t xml:space="preserve"> Three primary studies evaluating the effectiveness of interventions aiming to improve TB outcomes amongst TB patients living with alcohol misuse met the inclusion criteria. In study one, a factorial </w:t>
      </w:r>
      <w:proofErr w:type="spellStart"/>
      <w:r w:rsidRPr="001467AF">
        <w:rPr>
          <w:rFonts w:ascii="Arial" w:eastAsia="Times New Roman" w:hAnsi="Arial" w:cs="Arial"/>
          <w:sz w:val="20"/>
          <w:szCs w:val="20"/>
          <w:lang w:val="en-US"/>
        </w:rPr>
        <w:t>randomised</w:t>
      </w:r>
      <w:proofErr w:type="spellEnd"/>
      <w:r w:rsidRPr="001467AF">
        <w:rPr>
          <w:rFonts w:ascii="Arial" w:eastAsia="Times New Roman" w:hAnsi="Arial" w:cs="Arial"/>
          <w:sz w:val="20"/>
          <w:szCs w:val="20"/>
          <w:lang w:val="en-US"/>
        </w:rPr>
        <w:t xml:space="preserve"> controlled design demonstrated that amongst those individuals more motivated to change, good TB outcomes were increased by naltrexone (92% versus 76% adjusted-P=0.04) and tended to increase by brief counselling intervention (88% versus 78% adjusted-P=0.2). In study two, a cluster </w:t>
      </w:r>
      <w:proofErr w:type="spellStart"/>
      <w:r w:rsidRPr="001467AF">
        <w:rPr>
          <w:rFonts w:ascii="Arial" w:eastAsia="Times New Roman" w:hAnsi="Arial" w:cs="Arial"/>
          <w:sz w:val="20"/>
          <w:szCs w:val="20"/>
          <w:lang w:val="en-US"/>
        </w:rPr>
        <w:t>randomised</w:t>
      </w:r>
      <w:proofErr w:type="spellEnd"/>
      <w:r w:rsidRPr="001467AF">
        <w:rPr>
          <w:rFonts w:ascii="Arial" w:eastAsia="Times New Roman" w:hAnsi="Arial" w:cs="Arial"/>
          <w:sz w:val="20"/>
          <w:szCs w:val="20"/>
          <w:lang w:val="en-US"/>
        </w:rPr>
        <w:t xml:space="preserve"> controlled trial detected no effect of brief counselling intervention versus health education leaflet on good TB outcomes (67% versus 75%, P=0.8). Study three showed that two indigenous ex-patients prevented default from treatment more effectively than one person from the public health program (15% versus 39%, P1/4 0.01). Secondary studies (n=3) included but did not exclusively focus on addressing together alcohol misuse, homelessness and domestic violence. These holistic interventions included more regular and structured service contact; monetary incentives in the form of vouchers and therapeutic interventions addressing alcohol and mental health issues. All of these interventions significantly improved TB outcomes.</w:t>
      </w:r>
    </w:p>
    <w:p w14:paraId="4D4E812B" w14:textId="77777777" w:rsidR="00AE5CC4" w:rsidRPr="001467AF" w:rsidRDefault="00AE5CC4" w:rsidP="00AE5CC4">
      <w:pPr>
        <w:jc w:val="both"/>
        <w:rPr>
          <w:rFonts w:ascii="Arial" w:hAnsi="Arial" w:cs="Arial"/>
          <w:sz w:val="20"/>
          <w:szCs w:val="20"/>
          <w:lang w:val="en-US"/>
        </w:rPr>
      </w:pPr>
      <w:r w:rsidRPr="001467AF">
        <w:rPr>
          <w:rFonts w:ascii="Arial" w:eastAsia="Times New Roman" w:hAnsi="Arial" w:cs="Arial"/>
          <w:sz w:val="20"/>
          <w:szCs w:val="20"/>
          <w:lang w:val="en-US"/>
        </w:rPr>
        <w:br/>
      </w:r>
      <w:r w:rsidRPr="001467AF">
        <w:rPr>
          <w:rFonts w:ascii="Arial" w:eastAsia="Times New Roman" w:hAnsi="Arial" w:cs="Arial"/>
          <w:b/>
          <w:bCs/>
          <w:sz w:val="20"/>
          <w:szCs w:val="20"/>
          <w:lang w:val="en-US"/>
        </w:rPr>
        <w:t>Conclusions: </w:t>
      </w:r>
      <w:r w:rsidRPr="001467AF">
        <w:rPr>
          <w:rFonts w:ascii="Arial" w:eastAsia="Times New Roman" w:hAnsi="Arial" w:cs="Arial"/>
          <w:sz w:val="20"/>
          <w:szCs w:val="20"/>
          <w:lang w:val="en-US"/>
        </w:rPr>
        <w:t>Findings from the three primary studies suggest that a patient's motivation to change, the characteristics of the treatment provider and how well the intervention is adapted to meet cultural needs and expectations affect service engagement positively and consequently TB outcomes. Secondary studies further support that a holistic approach to TB management improve TB outcomes as well as the broader wellbeing of the individual.</w:t>
      </w:r>
    </w:p>
    <w:p w14:paraId="57BE296F" w14:textId="77777777" w:rsidR="00E85376" w:rsidRPr="00AE5CC4" w:rsidRDefault="00E85376">
      <w:pPr>
        <w:rPr>
          <w:lang w:val="en-US"/>
        </w:rPr>
      </w:pPr>
    </w:p>
    <w:sectPr w:rsidR="00E85376" w:rsidRPr="00AE5C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ヒラギノ角ゴ Pro W3">
    <w:charset w:val="4E"/>
    <w:family w:val="auto"/>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311610"/>
    <w:multiLevelType w:val="hybridMultilevel"/>
    <w:tmpl w:val="BB568BEA"/>
    <w:lvl w:ilvl="0" w:tplc="33AEE63C">
      <w:start w:val="1"/>
      <w:numFmt w:val="decimal"/>
      <w:lvlText w:val="%1"/>
      <w:lvlJc w:val="left"/>
      <w:pPr>
        <w:ind w:left="360" w:hanging="360"/>
      </w:pPr>
      <w:rPr>
        <w:rFonts w:ascii="Arial" w:eastAsiaTheme="minorHAnsi" w:hAnsi="Arial" w:cs="Arial"/>
        <w:vertAlign w:val="superscrip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CC4"/>
    <w:rsid w:val="00AE5CC4"/>
    <w:rsid w:val="00E8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B234"/>
  <w15:chartTrackingRefBased/>
  <w15:docId w15:val="{832D7FF6-9C02-455E-893C-8411F08C7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5CC4"/>
    <w:pPr>
      <w:spacing w:after="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AE5CC4"/>
    <w:pPr>
      <w:spacing w:after="0" w:line="240" w:lineRule="auto"/>
      <w:outlineLvl w:val="0"/>
    </w:pPr>
    <w:rPr>
      <w:rFonts w:ascii="Times New Roman" w:eastAsia="ヒラギノ角ゴ Pro W3" w:hAnsi="Times New Roman" w:cs="Times New Roman"/>
      <w:color w:val="000000"/>
      <w:sz w:val="24"/>
      <w:szCs w:val="24"/>
      <w:lang w:eastAsia="en-GB"/>
    </w:rPr>
  </w:style>
  <w:style w:type="character" w:customStyle="1" w:styleId="apple-style-span">
    <w:name w:val="apple-style-span"/>
    <w:rsid w:val="00AE5CC4"/>
  </w:style>
  <w:style w:type="paragraph" w:styleId="ListParagraph">
    <w:name w:val="List Paragraph"/>
    <w:basedOn w:val="Normal"/>
    <w:uiPriority w:val="34"/>
    <w:qFormat/>
    <w:rsid w:val="00AE5CC4"/>
    <w:pPr>
      <w:spacing w:after="200"/>
      <w:ind w:left="720"/>
      <w:contextualSpacing/>
    </w:pPr>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Bonadonna</dc:creator>
  <cp:keywords/>
  <dc:description/>
  <cp:lastModifiedBy>Lily Bonadonna</cp:lastModifiedBy>
  <cp:revision>1</cp:revision>
  <dcterms:created xsi:type="dcterms:W3CDTF">2016-10-22T01:00:00Z</dcterms:created>
  <dcterms:modified xsi:type="dcterms:W3CDTF">2016-10-22T01:02:00Z</dcterms:modified>
</cp:coreProperties>
</file>