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1DAB" w:rsidRPr="00721DAB" w:rsidRDefault="00721DAB" w:rsidP="00721DAB">
      <w:pPr>
        <w:rPr>
          <w:b/>
        </w:rPr>
      </w:pPr>
      <w:bookmarkStart w:id="0" w:name="_GoBack"/>
      <w:r w:rsidRPr="00721DAB">
        <w:rPr>
          <w:b/>
        </w:rPr>
        <w:t>European Union initiatives in child immunization—the need for child centricity, e-health and holistic delivery</w:t>
      </w:r>
    </w:p>
    <w:bookmarkEnd w:id="0"/>
    <w:p w:rsidR="00721DAB" w:rsidRDefault="00721DAB" w:rsidP="00721DAB">
      <w:r>
        <w:t>Michael J. Rigby</w:t>
      </w:r>
      <w:r w:rsidRPr="00721DAB">
        <w:rPr>
          <w:vertAlign w:val="superscript"/>
        </w:rPr>
        <w:t>1</w:t>
      </w:r>
      <w:r>
        <w:t>, Catherine E. Chronaki</w:t>
      </w:r>
      <w:r>
        <w:rPr>
          <w:vertAlign w:val="superscript"/>
        </w:rPr>
        <w:t>2</w:t>
      </w:r>
      <w:r>
        <w:t xml:space="preserve">, </w:t>
      </w:r>
      <w:proofErr w:type="spellStart"/>
      <w:r>
        <w:t>Shalmali</w:t>
      </w:r>
      <w:proofErr w:type="spellEnd"/>
      <w:r>
        <w:t xml:space="preserve"> S. Deshpande</w:t>
      </w:r>
      <w:r w:rsidRPr="00721DAB">
        <w:rPr>
          <w:vertAlign w:val="superscript"/>
        </w:rPr>
        <w:t>1</w:t>
      </w:r>
      <w:r>
        <w:t>, Peter Altorjai</w:t>
      </w:r>
      <w:r w:rsidRPr="00721DAB">
        <w:rPr>
          <w:vertAlign w:val="superscript"/>
        </w:rPr>
        <w:t>3</w:t>
      </w:r>
      <w:r>
        <w:t>, Maria Brenner</w:t>
      </w:r>
      <w:r w:rsidRPr="00721DAB">
        <w:rPr>
          <w:vertAlign w:val="superscript"/>
        </w:rPr>
        <w:t>4</w:t>
      </w:r>
      <w:r>
        <w:t>, Mitch E. Blair</w:t>
      </w:r>
      <w:r w:rsidRPr="00721DAB">
        <w:rPr>
          <w:vertAlign w:val="superscript"/>
        </w:rPr>
        <w:t>1</w:t>
      </w:r>
    </w:p>
    <w:p w:rsidR="00721DAB" w:rsidRDefault="00721DAB" w:rsidP="00721DAB"/>
    <w:p w:rsidR="00721DAB" w:rsidRDefault="00721DAB" w:rsidP="00721DAB">
      <w:r>
        <w:t xml:space="preserve">1 </w:t>
      </w:r>
      <w:r>
        <w:tab/>
      </w:r>
      <w:r>
        <w:t>Faculty of Medicine, Imperial College London, London, UK 2 HL7 Foundation, Brussels, Belgium</w:t>
      </w:r>
    </w:p>
    <w:p w:rsidR="00721DAB" w:rsidRDefault="00721DAB" w:rsidP="00721DAB">
      <w:r>
        <w:t>3</w:t>
      </w:r>
      <w:r>
        <w:tab/>
        <w:t xml:space="preserve">European Academy of Paediatrics, </w:t>
      </w:r>
      <w:proofErr w:type="spellStart"/>
      <w:r>
        <w:t>Satigny</w:t>
      </w:r>
      <w:proofErr w:type="spellEnd"/>
      <w:r>
        <w:t>, Switzerland</w:t>
      </w:r>
    </w:p>
    <w:p w:rsidR="00721DAB" w:rsidRDefault="00721DAB" w:rsidP="00721DAB">
      <w:r>
        <w:t>4</w:t>
      </w:r>
      <w:r>
        <w:tab/>
        <w:t>School of Nursing and Midwifery, Trinity College Dublin, Dublin, Ireland</w:t>
      </w:r>
    </w:p>
    <w:p w:rsidR="00721DAB" w:rsidRDefault="00721DAB" w:rsidP="00721DAB"/>
    <w:p w:rsidR="00721DAB" w:rsidRDefault="00721DAB" w:rsidP="00721DAB">
      <w:r>
        <w:t xml:space="preserve">Correspondence: Michael J. Rigby, ‘Lavender Hill’, 6 </w:t>
      </w:r>
      <w:proofErr w:type="spellStart"/>
      <w:r>
        <w:t>Carrighill</w:t>
      </w:r>
      <w:proofErr w:type="spellEnd"/>
      <w:r>
        <w:t xml:space="preserve"> Lower, </w:t>
      </w:r>
      <w:proofErr w:type="spellStart"/>
      <w:r>
        <w:t>Calverstown</w:t>
      </w:r>
      <w:proofErr w:type="spellEnd"/>
      <w:r>
        <w:t xml:space="preserve">, Kilcullen, Co Kildare, R56 DT91, Ireland, Tel: þ353 (0) 45 485858, e-mail: m.rigby@imperial.ac.uk, </w:t>
      </w:r>
      <w:hyperlink r:id="rId4" w:history="1">
        <w:r w:rsidRPr="00163C52">
          <w:rPr>
            <w:rStyle w:val="Hyperlink"/>
          </w:rPr>
          <w:t>m.j.rigby@keele.ac.uk</w:t>
        </w:r>
      </w:hyperlink>
    </w:p>
    <w:p w:rsidR="00721DAB" w:rsidRDefault="00721DAB" w:rsidP="00721DAB"/>
    <w:p w:rsidR="00721DAB" w:rsidRDefault="00721DAB" w:rsidP="00721DAB">
      <w:r w:rsidRPr="00721DAB">
        <w:rPr>
          <w:b/>
        </w:rPr>
        <w:t xml:space="preserve">Background: </w:t>
      </w:r>
      <w:r w:rsidRPr="00721DAB">
        <w:t>Low</w:t>
      </w:r>
      <w:r>
        <w:t xml:space="preserve"> childhood immunization rates in Europe are causing concern and have triggered several EU initiatives. However, these are counter-factual as they make immunization a stand-alone issue and cut across best practice in integrated child health services. They also focus unduly on ‘anti-vax’ pressures, generalize ‘vaccine hesitancy’ and overlook practical difficulties and uncertainties encountered by parents in real world situations about presenting children for immunization. Meanwhile European </w:t>
      </w:r>
      <w:proofErr w:type="spellStart"/>
      <w:r>
        <w:t>expertize</w:t>
      </w:r>
      <w:proofErr w:type="spellEnd"/>
      <w:r>
        <w:t xml:space="preserve"> in child health electronic record systems and relevant standards are ignored despite their being a potentially sound foundation ripe for enhancement. </w:t>
      </w:r>
    </w:p>
    <w:p w:rsidR="00721DAB" w:rsidRDefault="00721DAB" w:rsidP="00721DAB">
      <w:r w:rsidRPr="00721DAB">
        <w:rPr>
          <w:b/>
        </w:rPr>
        <w:t>Methods:</w:t>
      </w:r>
      <w:r>
        <w:t xml:space="preserve"> Situation and literature reviews, and cohesion of two European research projects, led to shared investigation. As a result, two cross-sectoral expert workshops were held to consider digital health standards for harmonizing integrated preventive child health including immunization, and the work of other stakeholders such as the World Health Organisation and the European Centre for Disease Control. Results: Progress in child health information models and digital health standards was assessed, areas needing further standards development identified and desirable steps towards innovation in service delivery and record keeping agreed. Conclusion: The European Commission, member states and child health stakeholders should take an integrated approach to child health with immunization as a component. Service delivery should be sensitive to parental concerns and challenges, and the way child- and family-centric data are recorded and used should be enhanced. Services should be enabled by the International Patient Summary and related electronic health record standards and </w:t>
      </w:r>
      <w:proofErr w:type="gramStart"/>
      <w:r>
        <w:t>linkages, and</w:t>
      </w:r>
      <w:proofErr w:type="gramEnd"/>
      <w:r>
        <w:t xml:space="preserve"> evaluated to assess most effective systems and practice.</w:t>
      </w:r>
    </w:p>
    <w:p w:rsidR="00721DAB" w:rsidRDefault="00721DAB" w:rsidP="00721DAB"/>
    <w:p w:rsidR="00721DAB" w:rsidRPr="00721DAB" w:rsidRDefault="00721DAB" w:rsidP="00721DAB">
      <w:pPr>
        <w:rPr>
          <w:b/>
        </w:rPr>
      </w:pPr>
      <w:r w:rsidRPr="00721DAB">
        <w:rPr>
          <w:b/>
        </w:rPr>
        <w:t>Introduction</w:t>
      </w:r>
    </w:p>
    <w:p w:rsidR="00721DAB" w:rsidRDefault="00721DAB" w:rsidP="00721DAB">
      <w:r>
        <w:t>I</w:t>
      </w:r>
      <w:r>
        <w:t xml:space="preserve">mmunization rates for children in Europe are lower than desirable—though comparable up-to-date rates are hard </w:t>
      </w:r>
      <w:r>
        <w:t>to obtain</w:t>
      </w:r>
      <w:r>
        <w:t xml:space="preserve"> even from the World Health Organisation (WHO) European Health Information Gateway (https://gateway.euro.who.int/en/). Taking measles vaccination as a tracer, in 2016 (the latest data) Italy and Romania were at 85% and 86%, respectively, and another 14 EU countries at or below 95%, resulting in an EU 28 coverage of 93.6%, below the 53 nations WHO European Region achievement</w:t>
      </w:r>
      <w:r>
        <w:t xml:space="preserve"> </w:t>
      </w:r>
      <w:r>
        <w:t>of 94.3%.</w:t>
      </w:r>
    </w:p>
    <w:p w:rsidR="00721DAB" w:rsidRDefault="00721DAB" w:rsidP="00721DAB">
      <w:r>
        <w:lastRenderedPageBreak/>
        <w:t>Soft data are emerging about individual outbreaks of vaccine- preventable illnesses,1 and various suggested responses range from compulsory immunization to exclusion of non-vaccinated children from schools, kindergartens and other facilities.2 Clearly, a focussed and effective immunization policy and programme leading to higher elective immunization are far preferable to compulsion or sanctions, both for the individual child and for the population.</w:t>
      </w:r>
    </w:p>
    <w:p w:rsidR="00721DAB" w:rsidRDefault="00721DAB" w:rsidP="00721DAB">
      <w:r>
        <w:t>Much popular commentary, including amongst health policy- makers, focuses on ‘vaccine hesitancy’ and the anti-vaccine movement (‘anti-</w:t>
      </w:r>
      <w:proofErr w:type="spellStart"/>
      <w:r>
        <w:t>vaxers</w:t>
      </w:r>
      <w:proofErr w:type="spellEnd"/>
      <w:r>
        <w:t>’), as though these were the sole influences on individual parents, when in fact ‘vaccine hesitancy’ and non- immunization are caused by many other factors which should also be considered.3–5 Recently, a WHO European Health Observatory study presented overviews of all 28 EU countries’ child and adult immunization situations and reported the facilitators and barriers as perceived in each country.6 Meanwhile, European Union (EU) bodies have proposed several initiatives to address the problem of</w:t>
      </w:r>
      <w:r>
        <w:t xml:space="preserve"> </w:t>
      </w:r>
      <w:r>
        <w:t>low immunization, all isolated one from another and treating immunization as a stand-alone issue.</w:t>
      </w:r>
    </w:p>
    <w:p w:rsidR="00721DAB" w:rsidRDefault="00721DAB" w:rsidP="00721DAB">
      <w:r>
        <w:t>Remarkably, given the EU’s major interest in Information and Communication Technologies (ICTs) in health, the WHO’s interest in Digital Health and the focus of the European Centre for Disease Control (ECDC) on promotion of Immunization Information Systems (IISs), e-health approaches and these specific initiatives are not significantly included in the EU immunization discussions. Nor is deep understanding of the fundamentally important child- centric and family approach to child health in an integrated way, with immunization treated as one important aspect.</w:t>
      </w:r>
    </w:p>
    <w:p w:rsidR="00721DAB" w:rsidRDefault="00721DAB" w:rsidP="00721DAB"/>
    <w:p w:rsidR="00721DAB" w:rsidRPr="00721DAB" w:rsidRDefault="00721DAB" w:rsidP="00721DAB">
      <w:pPr>
        <w:rPr>
          <w:b/>
        </w:rPr>
      </w:pPr>
      <w:r w:rsidRPr="00721DAB">
        <w:rPr>
          <w:b/>
        </w:rPr>
        <w:t>Methods</w:t>
      </w:r>
    </w:p>
    <w:p w:rsidR="00721DAB" w:rsidRDefault="00721DAB" w:rsidP="00721DAB">
      <w:r>
        <w:t>Two separate EU Horizon 2020 projects came together to consider the issues impeding the optimal use of e-health in primary and preventive services for children in Europe, taking immunization as an important ‘use-case’. The Models of Child Health Appraised (MOCHA) project (www.childhealthservicemodels.eu) ran from 2015 to 2018, aimed at assessing all aspects of primary healthcare for children in all EU and European Economic Area (EEA) countries. The MOCHA methodology comprised expert researchers in 20 institutions leading specific packages of work, and field experts in each EU country supplying data to answer policy research questions. Included was a work-stream examining the current and potential role of e-health in supporting primary and preventive child health care.7</w:t>
      </w:r>
    </w:p>
    <w:p w:rsidR="00721DAB" w:rsidRDefault="00721DAB" w:rsidP="00721DAB">
      <w:r>
        <w:t xml:space="preserve">  </w:t>
      </w:r>
    </w:p>
    <w:p w:rsidR="00721DAB" w:rsidRDefault="00721DAB" w:rsidP="00721DAB">
      <w:r>
        <w:t xml:space="preserve">The Trillium II project, running from 2015 to 2019 (https://tril lium2.eu), promotes adoption of an International Patient Summary (IPS) as the means of transmitting unambiguous patient data across settings. With </w:t>
      </w:r>
      <w:proofErr w:type="spellStart"/>
      <w:r>
        <w:t>MedCom</w:t>
      </w:r>
      <w:proofErr w:type="spellEnd"/>
      <w:r>
        <w:t xml:space="preserve"> (Denmark) as the administrative coordinator and the HL7 Foundation as the Scientific Coordinator, it is a wide-ranging technical consortium, and works closely with the </w:t>
      </w:r>
      <w:proofErr w:type="spellStart"/>
      <w:r>
        <w:t>Comite</w:t>
      </w:r>
      <w:proofErr w:type="spellEnd"/>
      <w:r>
        <w:t xml:space="preserve">´    </w:t>
      </w:r>
      <w:proofErr w:type="spellStart"/>
      <w:r>
        <w:t>Europe´an</w:t>
      </w:r>
      <w:proofErr w:type="spellEnd"/>
      <w:r>
        <w:t xml:space="preserve">   de   Normalisation</w:t>
      </w:r>
      <w:proofErr w:type="gramStart"/>
      <w:r>
        <w:t xml:space="preserve">   (</w:t>
      </w:r>
      <w:proofErr w:type="gramEnd"/>
      <w:r>
        <w:t>CEN)   and   its   Health Informatics Technical Committee (TC251), the International Standards Organization and global bodies responsible for approving standard health datasets. The IPS is considered as an Electronic Health Record extract including at a minimum clinical problems and conditions, allergies, immunization and medication.</w:t>
      </w:r>
    </w:p>
    <w:p w:rsidR="00721DAB" w:rsidRDefault="00721DAB" w:rsidP="00721DAB">
      <w:r>
        <w:t xml:space="preserve">The common interest was in moving towards an agreed format for the summary of a child’s record, transferrable within Europe and outside, including immunization information. The MOCHA project included as sub-tasks the identification of relevant standard datasets and of omissions in those, relevant to child primary and preventive care </w:t>
      </w:r>
      <w:proofErr w:type="gramStart"/>
      <w:r>
        <w:t>and also</w:t>
      </w:r>
      <w:proofErr w:type="gramEnd"/>
      <w:r>
        <w:t xml:space="preserve"> liaison with relevant health data standards </w:t>
      </w:r>
      <w:r>
        <w:lastRenderedPageBreak/>
        <w:t>bodies in Europe. The Trillium II project responded positively to this challenge even though not included specifically in its work-plan, recognizing that it had not given any focus to the unique issues of datasets for children’s health or the specific issues of their communication. Moreover, added importance was recognized as children are not able to represent their own interests or needs to the same degree as most adults, hence the record (and thus by implication the patient summary) acts the child’s advocate.8</w:t>
      </w:r>
    </w:p>
    <w:p w:rsidR="00721DAB" w:rsidRDefault="00721DAB" w:rsidP="00721DAB">
      <w:r>
        <w:t>The two projects therefore commenced active collaboration during 2018, including the signing of a mutual research accord. Together they recognized the importance of understanding the specific datasets, processes and communication issues of child health which needed codifying. Given the breadth of preventive child health they agreed on immunization as an important priority topic yet one with apparently simple and clear content and boundaries, while also being one which was the subject of a lot of concerned attention including initiatives by European bodies such as the Council of Europe and the European Commission.</w:t>
      </w:r>
    </w:p>
    <w:p w:rsidR="00721DAB" w:rsidRDefault="00721DAB" w:rsidP="00721DAB">
      <w:r>
        <w:t xml:space="preserve">However, important though immunization is, it should not stand-alone—for children it should be part of a holistic approach to the child; for adults as part of occupational health for key workers and travel health and primary care for travellers; and as part of integrated care for those with chronic conditions or frailty. Consideration of immunization in isolation breaks this integration, and for children loses knowledge and intelligence about individuals, families and their specific circumstances. </w:t>
      </w:r>
      <w:proofErr w:type="gramStart"/>
      <w:r>
        <w:t>Thus</w:t>
      </w:r>
      <w:proofErr w:type="gramEnd"/>
      <w:r>
        <w:t xml:space="preserve"> children’s immunization delivery and recording needs horizontal integration with the rest of child health, and vertical integration into adulthood, adding to its value as a use-case subject for the IPS in childhood.</w:t>
      </w:r>
    </w:p>
    <w:p w:rsidR="00721DAB" w:rsidRDefault="00721DAB" w:rsidP="00721DAB">
      <w:r>
        <w:t>To progress this study, the following steps were taken:</w:t>
      </w:r>
    </w:p>
    <w:p w:rsidR="00721DAB" w:rsidRDefault="00721DAB" w:rsidP="00721DAB">
      <w:r>
        <w:t>i.</w:t>
      </w:r>
      <w:r>
        <w:tab/>
        <w:t>The MOCHA study shared its knowledge of the current state of e-health for children in Europe.</w:t>
      </w:r>
    </w:p>
    <w:p w:rsidR="00721DAB" w:rsidRDefault="00721DAB" w:rsidP="00721DAB">
      <w:r>
        <w:t>ii.</w:t>
      </w:r>
      <w:r>
        <w:tab/>
        <w:t>Trillium II sought collaboration of its partners and contacts.</w:t>
      </w:r>
    </w:p>
    <w:p w:rsidR="00721DAB" w:rsidRDefault="00721DAB" w:rsidP="00721DAB">
      <w:r>
        <w:t>iii.</w:t>
      </w:r>
      <w:r>
        <w:tab/>
        <w:t>Recent and ongoing European initiatives and organizational studies were identified and reviewed.</w:t>
      </w:r>
    </w:p>
    <w:p w:rsidR="00721DAB" w:rsidRDefault="00721DAB" w:rsidP="00721DAB">
      <w:r>
        <w:t>iv.</w:t>
      </w:r>
      <w:r>
        <w:tab/>
        <w:t>Immunization-related findings of a literature review within the MOCHA project were drawn down.</w:t>
      </w:r>
    </w:p>
    <w:p w:rsidR="00721DAB" w:rsidRDefault="00721DAB" w:rsidP="00721DAB">
      <w:r>
        <w:t>v.</w:t>
      </w:r>
      <w:r>
        <w:tab/>
        <w:t>Contact was made with the WHO Regional Office for Europe and with the ECDC.</w:t>
      </w:r>
    </w:p>
    <w:p w:rsidR="00721DAB" w:rsidRDefault="00721DAB" w:rsidP="00721DAB">
      <w:r>
        <w:t>vi.</w:t>
      </w:r>
      <w:r>
        <w:tab/>
        <w:t>A study plan including an expert workshop and a stakeholder workshop was framed.</w:t>
      </w:r>
    </w:p>
    <w:p w:rsidR="00721DAB" w:rsidRDefault="00721DAB" w:rsidP="00721DAB">
      <w:r>
        <w:t>Thus, an opportunistic and focussed expert subject review was undertaken. The subsequent analysis is reported here.</w:t>
      </w:r>
    </w:p>
    <w:p w:rsidR="00721DAB" w:rsidRDefault="00721DAB" w:rsidP="00721DAB"/>
    <w:p w:rsidR="00721DAB" w:rsidRPr="00721DAB" w:rsidRDefault="00721DAB" w:rsidP="00721DAB">
      <w:pPr>
        <w:rPr>
          <w:b/>
        </w:rPr>
      </w:pPr>
      <w:r w:rsidRPr="00721DAB">
        <w:rPr>
          <w:b/>
        </w:rPr>
        <w:t>Results</w:t>
      </w:r>
    </w:p>
    <w:p w:rsidR="00721DAB" w:rsidRDefault="00721DAB" w:rsidP="00721DAB">
      <w:r>
        <w:t xml:space="preserve">First, to ensure the subject was </w:t>
      </w:r>
      <w:proofErr w:type="spellStart"/>
      <w:r>
        <w:t>analyzed</w:t>
      </w:r>
      <w:proofErr w:type="spellEnd"/>
      <w:r>
        <w:t xml:space="preserve"> within an understanding of organizationally expressed concerns, current professional and</w:t>
      </w:r>
      <w:r>
        <w:t xml:space="preserve"> </w:t>
      </w:r>
      <w:r>
        <w:t>political institutional policies regarding prioritization of child immunization were assessed.</w:t>
      </w:r>
    </w:p>
    <w:p w:rsidR="00721DAB" w:rsidRDefault="00721DAB" w:rsidP="00721DAB"/>
    <w:p w:rsidR="00721DAB" w:rsidRPr="00721DAB" w:rsidRDefault="00721DAB" w:rsidP="00721DAB">
      <w:pPr>
        <w:rPr>
          <w:b/>
        </w:rPr>
      </w:pPr>
      <w:r w:rsidRPr="00721DAB">
        <w:rPr>
          <w:b/>
        </w:rPr>
        <w:lastRenderedPageBreak/>
        <w:t>The WHO child health policy backdrop</w:t>
      </w:r>
    </w:p>
    <w:p w:rsidR="00721DAB" w:rsidRDefault="00721DAB" w:rsidP="00721DAB">
      <w:r>
        <w:t>Health systems and healthcare delivery are national competencies; therefore, the EU role is limited. However, clear policy is available from the WHO Regional Office for Europe, which collaborates with the European Commission. The WHO 2005 European Strategy for Child and Adolescent Health and Development,9 with its life-course approach, was re-endorsed in 2015 by Investing in Children: the European Child and Adolescent Health Strategy 2015–2020.10 Immunization is firmly embedded as an integral part of each stage of the child life-course; it is not stand-alone. Also in 2015 WHO produced the European Vaccine Action Plan (EVAP) 2015–2020, which stated  (Objective 4) that strong immunization  systems are  an integral part of a well-functioning health system.11 Globally, WHO issued recommendations on the value of home-based (or parent held) records, and they were explicitly to contain holistic information about the child, including development and immunization.12 WHO and MOCHA jointly identified that 22 of   the 30 EU and EEA countries had a form of home-based record; of which 20 (90.9%) were fully comprehensive.13</w:t>
      </w:r>
    </w:p>
    <w:p w:rsidR="00721DAB" w:rsidRDefault="00721DAB" w:rsidP="00721DAB"/>
    <w:p w:rsidR="00721DAB" w:rsidRPr="00721DAB" w:rsidRDefault="00721DAB" w:rsidP="00721DAB">
      <w:pPr>
        <w:rPr>
          <w:b/>
        </w:rPr>
      </w:pPr>
      <w:r w:rsidRPr="00721DAB">
        <w:rPr>
          <w:b/>
        </w:rPr>
        <w:t>European Council</w:t>
      </w:r>
    </w:p>
    <w:p w:rsidR="00721DAB" w:rsidRDefault="00721DAB" w:rsidP="00721DAB">
      <w:r>
        <w:t xml:space="preserve">In 2011, the European Council provided conclusions encouraging childhood immunization, without mentioning overall child health.14 They made one reference to registers, and one to the ECDC, but did not mention e-health or computers. In 2018, the </w:t>
      </w:r>
      <w:proofErr w:type="gramStart"/>
      <w:r>
        <w:t>Council  issued</w:t>
      </w:r>
      <w:proofErr w:type="gramEnd"/>
      <w:r>
        <w:t xml:space="preserve"> their Recommendation on Strengthened Cooperation against  Vaccine Preventable Diseases, which sought European cooperation on issues including countering false information, ensuring better sharing of immunization good practices and addressing supply problems for vaccines.15 Similar topics to 2011 were (mis)information, vaccine supply, and one mention each of registers and of  ECDC as an information  source. There was now strong mention    of digital health, but in a non-specific way. This Recommendation also proposed the introduction of a European Vaccination Card, but the details were not specified; however, this idea had been foreseen earlier from officials’ ideas for a children’s health passport;16 this idea was itself based on a scheme already implemented for dogs, cats and ferrets.17 Yet again, immunization was divorced from integrated child health, small pet animals were the precedent and the justification was inter-state movements.</w:t>
      </w:r>
    </w:p>
    <w:p w:rsidR="00721DAB" w:rsidRDefault="00721DAB" w:rsidP="00721DAB"/>
    <w:p w:rsidR="00721DAB" w:rsidRPr="00721DAB" w:rsidRDefault="00721DAB" w:rsidP="00721DAB">
      <w:pPr>
        <w:rPr>
          <w:b/>
        </w:rPr>
      </w:pPr>
      <w:r w:rsidRPr="00721DAB">
        <w:rPr>
          <w:b/>
        </w:rPr>
        <w:t>European Commission and the WHO European Health Observatory</w:t>
      </w:r>
    </w:p>
    <w:p w:rsidR="00721DAB" w:rsidRDefault="00721DAB" w:rsidP="00721DAB">
      <w:r>
        <w:t xml:space="preserve">The Commission recently commissioned from the WHO European Health Observatory a comprehensive assessment of vaccination services in the EU.6 This comprises an overview and literature re- view, reports from each of the 28 EU states and an analysis of barriers and facilitators. Hesitancy and related issues feature large, as does vaccine supply. The report advocates a whole system approach to </w:t>
      </w:r>
      <w:proofErr w:type="gramStart"/>
      <w:r>
        <w:t>immunization, but</w:t>
      </w:r>
      <w:proofErr w:type="gramEnd"/>
      <w:r>
        <w:t xml:space="preserve"> does not consider a whole child approach to child health. Surprisingly in the digital age, the only references to computerized records are in country reports and are brief. Neither e-health, the work of ECDC on computerized IISs, nor their Technical Report18 is mentioned.</w:t>
      </w:r>
    </w:p>
    <w:p w:rsidR="00721DAB" w:rsidRDefault="00721DAB" w:rsidP="00721DAB"/>
    <w:p w:rsidR="00721DAB" w:rsidRPr="00721DAB" w:rsidRDefault="00721DAB" w:rsidP="00721DAB">
      <w:pPr>
        <w:rPr>
          <w:b/>
        </w:rPr>
      </w:pPr>
      <w:r w:rsidRPr="00721DAB">
        <w:rPr>
          <w:b/>
        </w:rPr>
        <w:t>Recent commissioned studies on vaccine hesitancy</w:t>
      </w:r>
    </w:p>
    <w:p w:rsidR="00721DAB" w:rsidRDefault="00721DAB" w:rsidP="00721DAB">
      <w:r>
        <w:t xml:space="preserve">Two studies have recently been commissioned on vaccine hesitance—by the European Commission19 and (for 15 EU and 3 non-EU countries) by the European Academy of Paediatrics </w:t>
      </w:r>
      <w:r>
        <w:lastRenderedPageBreak/>
        <w:t>Research in Ambulatory Settings Network.20 Both addressed vaccine hesitancy in a knowledge and belief construct, from adult citizen and health professional viewpoints. However, neither explicitly assessed</w:t>
      </w:r>
      <w:r>
        <w:t xml:space="preserve"> </w:t>
      </w:r>
      <w:r>
        <w:t>‘hesitancy’ in the context of other practical issues for parents, where the child’s overall health may be confounding if not over-riding, together with difficulties of access and out-of-pocket cost. True vac- cine hesitancy, though important, is not the same as reason for non- immunization, which is not systematically recorded and little researched.3,5</w:t>
      </w:r>
    </w:p>
    <w:p w:rsidR="00721DAB" w:rsidRDefault="00721DAB" w:rsidP="00721DAB"/>
    <w:p w:rsidR="00721DAB" w:rsidRPr="00721DAB" w:rsidRDefault="00721DAB" w:rsidP="00721DAB">
      <w:pPr>
        <w:rPr>
          <w:b/>
        </w:rPr>
      </w:pPr>
      <w:r w:rsidRPr="00721DAB">
        <w:rPr>
          <w:b/>
        </w:rPr>
        <w:t>Expert Panel on Effective Ways of Investing in Health</w:t>
      </w:r>
    </w:p>
    <w:p w:rsidR="00721DAB" w:rsidRDefault="00721DAB" w:rsidP="00721DAB">
      <w:r>
        <w:t xml:space="preserve">In September 2018, the EU’s Expert Panel on Effective Ways of Investing in Health produced a document on Vaccination Programmes and Health Systems.21 Important elements, additional to information and communication about vaccination and vaccine supply, included recognition of the potential barrier caused by actual cost to parents of vaccination services such as transport costs and loss of parental pay, and access problems due to clashes with child care and other commitments. This report was the first of the recent European organizational studies systematically to highlight these real-world barriers, as opposed to ‘hesitancy’.  The </w:t>
      </w:r>
      <w:proofErr w:type="gramStart"/>
      <w:r>
        <w:t>report  also</w:t>
      </w:r>
      <w:proofErr w:type="gramEnd"/>
      <w:r>
        <w:t xml:space="preserve"> recognized the pivotal role of primary care health professionals in supporting and encouraging families to avail of vaccination for their children, and recognized the potential contribution of other professionals including community pharmacists. It did refer to computerized systems which record at a population level.  However, the only e-health citation was one paper from the USA, with no mention of the ECDC technical briefing and design guide.19,22</w:t>
      </w:r>
    </w:p>
    <w:p w:rsidR="00721DAB" w:rsidRDefault="00721DAB" w:rsidP="00721DAB">
      <w:r>
        <w:t xml:space="preserve">The Recommendations of the Panel are important in starting an integrated dialogue, as shown in the analysis presented in figure 1. The role of health systems, primary care and different professions is drawn in. However, there is no recognition of the need for standards and innovation in e-health, despite in passing specifying its core role, or of the important work by ECDC (including identification  </w:t>
      </w:r>
      <w:r>
        <w:t xml:space="preserve"> </w:t>
      </w:r>
      <w:r>
        <w:t>of the need for data standards).19</w:t>
      </w:r>
    </w:p>
    <w:p w:rsidR="00721DAB" w:rsidRDefault="00721DAB" w:rsidP="00721DAB"/>
    <w:p w:rsidR="00721DAB" w:rsidRPr="00721DAB" w:rsidRDefault="00721DAB" w:rsidP="00721DAB">
      <w:pPr>
        <w:rPr>
          <w:b/>
        </w:rPr>
      </w:pPr>
      <w:r w:rsidRPr="00721DAB">
        <w:rPr>
          <w:b/>
        </w:rPr>
        <w:t>Prior analyses by the MOCHA project</w:t>
      </w:r>
    </w:p>
    <w:p w:rsidR="00721DAB" w:rsidRDefault="00721DAB" w:rsidP="00721DAB">
      <w:r>
        <w:t>Having assessed these current and recent policy and situation assessment documents from European bodies, the review then considered the evidence found by the e-health work-strand of the MOCHA project. Two aspects were reviewed.</w:t>
      </w:r>
    </w:p>
    <w:p w:rsidR="00721DAB" w:rsidRDefault="00721DAB" w:rsidP="00721DAB">
      <w:r>
        <w:t>First, the MOCHA team had undertaken a systematic literature review of publications on electronic record use or design for child- ren’s primary care (excluding hospital systems). From an extensive search only 28 items had met the inclusion criteria, of which only three were related to immunization systems. One was recent and local.23 while two were systematic reviews24,25—all were positive (the full review is still in process of write-up).</w:t>
      </w:r>
    </w:p>
    <w:p w:rsidR="00721DAB" w:rsidRDefault="00721DAB" w:rsidP="00721DAB">
      <w:r>
        <w:t>However, prior knowledge and opportunistic searches produced older material. This showed that within Europe there was early</w:t>
      </w:r>
      <w:r>
        <w:t xml:space="preserve"> </w:t>
      </w:r>
      <w:r>
        <w:t xml:space="preserve">innovation in utilizing computers for immunization scheduling at the child population level, with over 50 years’ experience. A computer-based child immunization scheme was running in West Sussex, England in 1963,26 and evaluated as successful including cost-effectiveness;27 this was then replicated and built on opportunistically to include health screening.28 This progressed by 1987 to a national system for all child health functions for children in the UK.29 Other countries have followed in similar lines, but this has  not reached the published literature. There has also been domain amnesia, with this early work in the UK (and elsewhere) </w:t>
      </w:r>
      <w:r>
        <w:lastRenderedPageBreak/>
        <w:t>being for- gotten and not re-discovered. For instance, the recent UK paper25 repeated the findings of 1963 and 197026,29 without citing them or that experience.</w:t>
      </w:r>
    </w:p>
    <w:p w:rsidR="00721DAB" w:rsidRDefault="00721DAB" w:rsidP="00721DAB">
      <w:r>
        <w:t>Second, the review assessed the field evidence obtained by the MOCHA project for each EU and EEA country. This included assessment of the extent of use of primary care EHR systems and of case-based child public health systems. It also had assessed from in- country scrutiny of child aspects of national e-health strategies that there was no reference in these to use of international data stand- ards.7,30–33 Particularly relevant for this review was the analysis of whether child public health record systems were proactive in scheduling immunization appointments and advising health professionals of children falling behind schedule—as shown in figure 2.</w:t>
      </w:r>
    </w:p>
    <w:p w:rsidR="00721DAB" w:rsidRDefault="00721DAB" w:rsidP="00721DAB">
      <w:r>
        <w:t>It also assessed the format and use of unique identifiers, and whether these are allocated at birth or later (with risk of duplication and impaired linkage).34 These findings had a close alignment with the concurrent ECDC country review findings.19</w:t>
      </w:r>
    </w:p>
    <w:p w:rsidR="00721DAB" w:rsidRDefault="00721DAB" w:rsidP="00721DAB"/>
    <w:p w:rsidR="00721DAB" w:rsidRPr="00721DAB" w:rsidRDefault="00721DAB" w:rsidP="00721DAB">
      <w:pPr>
        <w:rPr>
          <w:b/>
        </w:rPr>
      </w:pPr>
      <w:r w:rsidRPr="00721DAB">
        <w:rPr>
          <w:b/>
        </w:rPr>
        <w:t>Synthesis of interim findings and action planning</w:t>
      </w:r>
    </w:p>
    <w:p w:rsidR="00721DAB" w:rsidRDefault="00721DAB" w:rsidP="00721DAB">
      <w:r>
        <w:t>At this point, the review team synthesized the collated evidence, and identified silo thinking and lack of context awareness, best practice or informed use of modern e-health approaches despite the European (and WHO) wider espousal of these technologies. Current institutional policy initiatives lacked awareness of the importance of an integrated holistic approach to child health, and with the important exception of the Expert Panel report they naively and wrongly equated non-immunization with hesitancy. The e-health literature was seriously inadequate, as few national policy initiatives had been published in the scientific press. Institutional and sectoral memory had forgotten the early initiatives in Europe and their successes in boosting immunization rates, and the story of their demise (primarily for reasons of political whim, policy fashion or changes in professional roles) was largely undocumented. Immunization initiatives gave little attention to the holism necessary in child health, or to the case-level professional primary care know- ledge of individual families and children. Only ECDC gave any meaningful consideration of e-health, and then in a single topic manner.</w:t>
      </w:r>
    </w:p>
    <w:p w:rsidR="00721DAB" w:rsidRDefault="00721DAB" w:rsidP="00721DAB">
      <w:r>
        <w:t xml:space="preserve"> </w:t>
      </w:r>
    </w:p>
    <w:p w:rsidR="00721DAB" w:rsidRDefault="00721DAB" w:rsidP="00721DAB"/>
    <w:p w:rsidR="00721DAB" w:rsidRDefault="00721DAB" w:rsidP="00721DAB">
      <w:r>
        <w:t xml:space="preserve"> </w:t>
      </w:r>
    </w:p>
    <w:p w:rsidR="00721DAB" w:rsidRDefault="00721DAB" w:rsidP="00721DAB">
      <w:r>
        <w:t>Figure 1 Key points drawn from the Expert Panel’s recommendations on immunization</w:t>
      </w:r>
    </w:p>
    <w:p w:rsidR="00721DAB" w:rsidRDefault="00721DAB" w:rsidP="00721DAB">
      <w:r>
        <w:t xml:space="preserve"> </w:t>
      </w:r>
    </w:p>
    <w:p w:rsidR="00721DAB" w:rsidRDefault="00721DAB" w:rsidP="00721DAB"/>
    <w:p w:rsidR="00721DAB" w:rsidRDefault="00721DAB" w:rsidP="00721DAB">
      <w:r>
        <w:t xml:space="preserve"> </w:t>
      </w:r>
    </w:p>
    <w:p w:rsidR="00721DAB" w:rsidRDefault="00721DAB" w:rsidP="00721DAB">
      <w:r>
        <w:t>Figure 2 Functionality and data exchange of case-level child public health systems in Europe. Source: Models of Child Health Appraised project</w:t>
      </w:r>
    </w:p>
    <w:p w:rsidR="00721DAB" w:rsidRDefault="00721DAB" w:rsidP="00721DAB"/>
    <w:p w:rsidR="00721DAB" w:rsidRDefault="00721DAB" w:rsidP="00721DAB">
      <w:r>
        <w:t xml:space="preserve"> </w:t>
      </w:r>
    </w:p>
    <w:p w:rsidR="00721DAB" w:rsidRDefault="00721DAB" w:rsidP="00721DAB">
      <w:r>
        <w:t xml:space="preserve">As for the e-health world, not least the International Patient Summary and standards bodies, there had been little consideration of children as subjects with different data needs and system </w:t>
      </w:r>
      <w:r>
        <w:lastRenderedPageBreak/>
        <w:t>functionality requirements. Just one example of the disconnect between approaches was that all were united in their disregard of the importance of knowing ‘reason for non-immunization’. There is no standard for recording this, or indeed recognition of its importance for the professional staff working with families, and for public health and policy analysts seeking to break down barriers. A parent not being able to take time off work to attend a daytime immunization appointment, or concern over whether immunization would exacerbate a concurrent health issue in the child, are very different from cognitive vaccine hesitancy. The review team therefore moved into proactive mode, and organized two invitational workshops at European level, to identify further evidence and consider the next steps needed to make integrated progress on e-health approaches.</w:t>
      </w:r>
    </w:p>
    <w:p w:rsidR="00721DAB" w:rsidRDefault="00721DAB" w:rsidP="00721DAB"/>
    <w:p w:rsidR="00721DAB" w:rsidRPr="00721DAB" w:rsidRDefault="00721DAB" w:rsidP="00721DAB">
      <w:pPr>
        <w:rPr>
          <w:b/>
        </w:rPr>
      </w:pPr>
      <w:r w:rsidRPr="00721DAB">
        <w:rPr>
          <w:b/>
        </w:rPr>
        <w:t>Integrational immunization data standards and systems workshops</w:t>
      </w:r>
    </w:p>
    <w:p w:rsidR="00721DAB" w:rsidRDefault="00721DAB" w:rsidP="00721DAB">
      <w:r>
        <w:t xml:space="preserve">The team needed to gather further evidence on data systems and standards in support of integrated healthy childhood. One </w:t>
      </w:r>
      <w:proofErr w:type="gramStart"/>
      <w:r>
        <w:t>particular concern</w:t>
      </w:r>
      <w:proofErr w:type="gramEnd"/>
      <w:r>
        <w:t xml:space="preserve"> was that there was little use of international data standards in the child EHRs, reported in the MOCHA study, without which data exchange between systems is highly jeopardized. Moreover, in the implementation of patient summaries to enable patients’ rights to cross-border care, patient summaries for children are not addressed.</w:t>
      </w:r>
    </w:p>
    <w:p w:rsidR="00721DAB" w:rsidRDefault="00721DAB" w:rsidP="00721DAB">
      <w:r>
        <w:t xml:space="preserve">Therefore, the two projects co-organized two expert workshops in late 2018. The first was held in the Brussels office of the CEN, the European standards body. Attendance comprised 21 experts—from the two host projects, WHO, CEN Technical Committee 251 responsible for health </w:t>
      </w:r>
      <w:proofErr w:type="gramStart"/>
      <w:r>
        <w:t>informatics,  European</w:t>
      </w:r>
      <w:proofErr w:type="gramEnd"/>
      <w:r>
        <w:t xml:space="preserve">  Commission  Health and CONNECT Directorates, World Family Doctors  (WONCA) and managers of the national electronic immunization record systems of Luxembourg, the Netherlands and Portugal. After considering core issues, the workshop heard about </w:t>
      </w:r>
      <w:proofErr w:type="gramStart"/>
      <w:r>
        <w:t>the  International</w:t>
      </w:r>
      <w:proofErr w:type="gramEnd"/>
      <w:r>
        <w:t xml:space="preserve"> Patient Summary standards developed in collaboration by CEN TC/251 and HL7, the child immunization e-health policies of eight sample countries, then identified key issues needing discussion with wider stakeholders.34 The most important issues are shown  in  figure 3.</w:t>
      </w:r>
    </w:p>
    <w:p w:rsidR="00721DAB" w:rsidRDefault="00721DAB" w:rsidP="00721DAB">
      <w:r>
        <w:t xml:space="preserve"> </w:t>
      </w:r>
    </w:p>
    <w:p w:rsidR="00721DAB" w:rsidRDefault="00721DAB" w:rsidP="00721DAB">
      <w:r>
        <w:t>In November, a follow-on workshop was hosted by the WHO Regional Office for Europe in Copenhagen, with wider technical stakeholders.35 Twenty-eight participants represented among others WHO, ECDC, Vaccines Europe, European Academy of Paediatrics and the International Health Terminology Standards Development Organization. The outcome was to seek greater integration of work on electronic child health records, including children’s health items within the International Patient Summary. Health and vaccine literacy, and the autonomy of the older child,36 were also highlighted.</w:t>
      </w:r>
    </w:p>
    <w:p w:rsidR="00721DAB" w:rsidRDefault="00721DAB" w:rsidP="00721DAB"/>
    <w:p w:rsidR="00721DAB" w:rsidRPr="00721DAB" w:rsidRDefault="00721DAB" w:rsidP="00721DAB">
      <w:pPr>
        <w:rPr>
          <w:b/>
        </w:rPr>
      </w:pPr>
      <w:r w:rsidRPr="00721DAB">
        <w:rPr>
          <w:b/>
        </w:rPr>
        <w:t>Overall outcome</w:t>
      </w:r>
    </w:p>
    <w:p w:rsidR="00721DAB" w:rsidRDefault="00721DAB" w:rsidP="00721DAB">
      <w:r>
        <w:t xml:space="preserve">The outcome of this phase of the expert review was thus the identification of next steps needed to promote immunization within holistic, child-centric, preventive child health services, in an efficient and sensitive manner using e-health support appropriately and innovatively. The issues identified from the situation review need cross-sectoral and cross-stakeholder consideration </w:t>
      </w:r>
      <w:proofErr w:type="gramStart"/>
      <w:r>
        <w:t>so as to</w:t>
      </w:r>
      <w:proofErr w:type="gramEnd"/>
      <w:r>
        <w:t xml:space="preserve"> promote informed and effective approaches to strengthening child immunization in Europe. The evidence and its analysis show the need for an integrated policy approach, and for funding to support its enablement.</w:t>
      </w:r>
    </w:p>
    <w:p w:rsidR="00721DAB" w:rsidRDefault="00721DAB" w:rsidP="00721DAB"/>
    <w:p w:rsidR="00721DAB" w:rsidRPr="00721DAB" w:rsidRDefault="00721DAB" w:rsidP="00721DAB">
      <w:pPr>
        <w:rPr>
          <w:b/>
        </w:rPr>
      </w:pPr>
      <w:r w:rsidRPr="00721DAB">
        <w:rPr>
          <w:b/>
        </w:rPr>
        <w:t>Discussion</w:t>
      </w:r>
    </w:p>
    <w:p w:rsidR="00721DAB" w:rsidRDefault="00721DAB" w:rsidP="00721DAB">
      <w:r>
        <w:t>The trend within the European Commission and other bodies of treating childhood immunization as a stand-alone entity cuts across WHO policy and established good child preventive health care practice. The recent report of the Expert Panel on Effective Ways of Investing in Health is welcome in starting to break this cycle. An effective policy will treat families and children individually, recognizing that many have problems of immunization access due to out-of-pocket cost, practical access, other caring duties or employment. For older children, a better understanding of consent and autonomy is needed.5,36</w:t>
      </w:r>
    </w:p>
    <w:p w:rsidR="00721DAB" w:rsidRDefault="00721DAB" w:rsidP="00721DAB">
      <w:r>
        <w:t>Indeed, ‘vaccine hesitancy’ as a concept is a form of group-speak maligning many who face access difficulties, or have genuine concerns related to other health issues.3–5 Over-emphasis on anti-vaccine campaigners will only give them publicity, and enable conspiracy theories about authoritarian attempts to control citizens’ lives and suspicion of the profit motives of ‘big pharma’. Tackling a mindset head-on is confrontational, and a befriending and influencing approach is more constructive and effective.37</w:t>
      </w:r>
    </w:p>
    <w:p w:rsidR="00721DAB" w:rsidRDefault="00721DAB" w:rsidP="00721DAB">
      <w:r>
        <w:t xml:space="preserve"> </w:t>
      </w:r>
    </w:p>
    <w:p w:rsidR="00721DAB" w:rsidRDefault="00721DAB" w:rsidP="00721DAB"/>
    <w:p w:rsidR="00721DAB" w:rsidRDefault="00721DAB" w:rsidP="00721DAB">
      <w:r>
        <w:t xml:space="preserve"> </w:t>
      </w:r>
    </w:p>
    <w:p w:rsidR="00721DAB" w:rsidRDefault="00721DAB" w:rsidP="00721DAB">
      <w:r>
        <w:t>Figure 3 September 2018 workshop issues and action needs</w:t>
      </w:r>
    </w:p>
    <w:p w:rsidR="00721DAB" w:rsidRDefault="00721DAB" w:rsidP="00721DAB"/>
    <w:p w:rsidR="00721DAB" w:rsidRDefault="00721DAB" w:rsidP="00721DAB">
      <w:r>
        <w:t xml:space="preserve"> </w:t>
      </w:r>
    </w:p>
    <w:p w:rsidR="00721DAB" w:rsidRDefault="00721DAB" w:rsidP="00721DAB">
      <w:r>
        <w:t xml:space="preserve">Changing the approach to promoting and protecting the holistic health of each individual child should help change the focus and nature of the debate. New delivery modalities should be consider- ed—in some countries a nurse can administer a vaccine; in Portugal, a pharmacist can on provision of a medical prescription, giving opportunity to attend an outlet of choice within retail hours.35 Nurses as well as doctors should be involved in the support of the child and family—a competent health visitor or equivalent will know each family as a case and be able to address their issues and anxieties. Nursing education </w:t>
      </w:r>
      <w:proofErr w:type="gramStart"/>
      <w:r>
        <w:t>with regard to</w:t>
      </w:r>
      <w:proofErr w:type="gramEnd"/>
      <w:r>
        <w:t xml:space="preserve"> children is also hugely varied, and there is scope for exchange of good practice.38</w:t>
      </w:r>
    </w:p>
    <w:p w:rsidR="00721DAB" w:rsidRDefault="00721DAB" w:rsidP="00721DAB">
      <w:r>
        <w:t>However, it is the lack of any informed consideration by policy reviews, or researchers, of the informed and targeted use of e-health systems which is most surprising, given the commitment of the European Commission to e-health initiatives and the positive public espousal by WHO of digital health. This lack of consideration and understanding is matched by the very limited approaches by the e- health sector and standards bodies to identify the needs and issues of</w:t>
      </w:r>
      <w:r>
        <w:t xml:space="preserve"> </w:t>
      </w:r>
      <w:r>
        <w:t>child health informatics, despite children forming one-fifth of the population and a group which is heavily dependent on society to provide effective services. This review shows that the current situation is a sad story of silo thinking, and disenfranchisement of the child population, their parents and health professionals seeking to support them.</w:t>
      </w:r>
    </w:p>
    <w:p w:rsidR="00721DAB" w:rsidRDefault="00721DAB" w:rsidP="00721DAB">
      <w:r>
        <w:t xml:space="preserve">Properly designed and used, e-health can enable integrated child health and integrated records to be brought together through e-health. This is the enabler which so many policy advocates are overlooking, yet which fits well with overall European Commission values. The European </w:t>
      </w:r>
      <w:r>
        <w:lastRenderedPageBreak/>
        <w:t xml:space="preserve">Immunization Card proposal is, </w:t>
      </w:r>
      <w:proofErr w:type="gramStart"/>
      <w:r>
        <w:t>in regard to</w:t>
      </w:r>
      <w:proofErr w:type="gramEnd"/>
      <w:r>
        <w:t xml:space="preserve"> children, a distraction as it only applies to cross- border moves, and disregards immunization delivery issues and the holistic child health summary.</w:t>
      </w:r>
    </w:p>
    <w:p w:rsidR="00721DAB" w:rsidRDefault="00721DAB" w:rsidP="00721DAB">
      <w:r>
        <w:t xml:space="preserve">From this review, the steps needed to progress children’s immunization in a holistic child health care context have been </w:t>
      </w:r>
      <w:proofErr w:type="spellStart"/>
      <w:r>
        <w:t>iden</w:t>
      </w:r>
      <w:proofErr w:type="spellEnd"/>
      <w:r>
        <w:t xml:space="preserve">- </w:t>
      </w:r>
      <w:proofErr w:type="spellStart"/>
      <w:r>
        <w:t>tified</w:t>
      </w:r>
      <w:proofErr w:type="spellEnd"/>
      <w:r>
        <w:t>, and now need supportive action. Interface with home-based records, and investment in standards, are key. Furthermore,</w:t>
      </w:r>
      <w:r>
        <w:t xml:space="preserve"> </w:t>
      </w:r>
      <w:r>
        <w:t>inclusion in the latest e-health ideas such as citizen portals (as in Denmark, Latvia, Finland and Hungary) should be assessed. Immunization is not a stand-alone topic, but an integral part of preventive child health and should be treated as such and captured in integrated systems.</w:t>
      </w:r>
    </w:p>
    <w:p w:rsidR="00721DAB" w:rsidRDefault="00721DAB" w:rsidP="00721DAB"/>
    <w:p w:rsidR="00721DAB" w:rsidRPr="00721DAB" w:rsidRDefault="00721DAB" w:rsidP="00721DAB">
      <w:pPr>
        <w:rPr>
          <w:b/>
        </w:rPr>
      </w:pPr>
      <w:r w:rsidRPr="00721DAB">
        <w:rPr>
          <w:b/>
        </w:rPr>
        <w:t>Funding</w:t>
      </w:r>
    </w:p>
    <w:p w:rsidR="00721DAB" w:rsidRDefault="00721DAB" w:rsidP="00721DAB">
      <w:r>
        <w:t>There was no funding received for production of this analysis from previously published material.</w:t>
      </w:r>
    </w:p>
    <w:p w:rsidR="00721DAB" w:rsidRDefault="00721DAB" w:rsidP="00721DAB">
      <w:r>
        <w:t>Conflicts of interest: None declared.</w:t>
      </w:r>
    </w:p>
    <w:p w:rsidR="00721DAB" w:rsidRDefault="00721DAB" w:rsidP="00721DAB"/>
    <w:p w:rsidR="00721DAB" w:rsidRDefault="00721DAB" w:rsidP="00721DAB"/>
    <w:p w:rsidR="00721DAB" w:rsidRDefault="00721DAB" w:rsidP="00721DAB"/>
    <w:p w:rsidR="00721DAB" w:rsidRPr="00721DAB" w:rsidRDefault="00721DAB" w:rsidP="00721DAB">
      <w:pPr>
        <w:rPr>
          <w:b/>
        </w:rPr>
      </w:pPr>
      <w:r w:rsidRPr="00721DAB">
        <w:rPr>
          <w:b/>
        </w:rPr>
        <w:t>References</w:t>
      </w:r>
    </w:p>
    <w:p w:rsidR="00721DAB" w:rsidRDefault="00721DAB" w:rsidP="00721DAB">
      <w:r>
        <w:t>1</w:t>
      </w:r>
      <w:r>
        <w:tab/>
        <w:t xml:space="preserve">Gold M. Parents Wanted Their Unvaccinated Children in School, </w:t>
      </w:r>
      <w:proofErr w:type="gramStart"/>
      <w:r>
        <w:t>But</w:t>
      </w:r>
      <w:proofErr w:type="gramEnd"/>
      <w:r>
        <w:t xml:space="preserve"> a Judge Said No. New York: New York Times, 2019.</w:t>
      </w:r>
    </w:p>
    <w:p w:rsidR="00721DAB" w:rsidRDefault="00721DAB" w:rsidP="00721DAB">
      <w:r>
        <w:t>2</w:t>
      </w:r>
      <w:r>
        <w:tab/>
        <w:t>Scally D. Non-vaccinated Children May Be Excluded from German State Schools. Dublin: Irish Times, 2019.</w:t>
      </w:r>
    </w:p>
    <w:p w:rsidR="00721DAB" w:rsidRDefault="00721DAB" w:rsidP="00721DAB">
      <w:r>
        <w:t>3</w:t>
      </w:r>
      <w:r>
        <w:tab/>
        <w:t xml:space="preserve">Brewer NT, Chapman GB, Rothman AJ, et al. Increasing vaccination: putting psychological science into action. </w:t>
      </w:r>
      <w:proofErr w:type="spellStart"/>
      <w:r>
        <w:t>Psychol</w:t>
      </w:r>
      <w:proofErr w:type="spellEnd"/>
      <w:r>
        <w:t xml:space="preserve"> Sci Public Interest </w:t>
      </w:r>
      <w:proofErr w:type="gramStart"/>
      <w:r>
        <w:t>2017;18:149</w:t>
      </w:r>
      <w:proofErr w:type="gramEnd"/>
      <w:r>
        <w:t>–07.</w:t>
      </w:r>
    </w:p>
    <w:p w:rsidR="00721DAB" w:rsidRDefault="00721DAB" w:rsidP="00721DAB">
      <w:r>
        <w:t>4</w:t>
      </w:r>
      <w:r>
        <w:tab/>
        <w:t xml:space="preserve">Roland D, Ellis C, Blair ME. Assisting healthcare professionals in understanding drivers and barriers to improving pre-school immunisation uptake. Community </w:t>
      </w:r>
      <w:proofErr w:type="spellStart"/>
      <w:r>
        <w:t>Pract</w:t>
      </w:r>
      <w:proofErr w:type="spellEnd"/>
      <w:r>
        <w:t xml:space="preserve"> </w:t>
      </w:r>
      <w:proofErr w:type="gramStart"/>
      <w:r>
        <w:t>2013;86:28</w:t>
      </w:r>
      <w:proofErr w:type="gramEnd"/>
      <w:r>
        <w:t>–31.</w:t>
      </w:r>
    </w:p>
    <w:p w:rsidR="00721DAB" w:rsidRDefault="00721DAB" w:rsidP="00721DAB">
      <w:r>
        <w:t>5</w:t>
      </w:r>
      <w:r>
        <w:tab/>
        <w:t xml:space="preserve">Bedford H, </w:t>
      </w:r>
      <w:proofErr w:type="spellStart"/>
      <w:r>
        <w:t>Attwell</w:t>
      </w:r>
      <w:proofErr w:type="spellEnd"/>
      <w:r>
        <w:t xml:space="preserve"> K, </w:t>
      </w:r>
      <w:proofErr w:type="spellStart"/>
      <w:r>
        <w:t>Danchin</w:t>
      </w:r>
      <w:proofErr w:type="spellEnd"/>
      <w:r>
        <w:t xml:space="preserve"> M, et al. Vaccine hesitancy, refusal and access barriers: the need for clarity in terminology. Vaccine </w:t>
      </w:r>
      <w:proofErr w:type="gramStart"/>
      <w:r>
        <w:t>2018;36:6556</w:t>
      </w:r>
      <w:proofErr w:type="gramEnd"/>
      <w:r>
        <w:t>–8.</w:t>
      </w:r>
    </w:p>
    <w:p w:rsidR="00721DAB" w:rsidRDefault="00721DAB" w:rsidP="00721DAB">
      <w:r>
        <w:t>6</w:t>
      </w:r>
      <w:r>
        <w:tab/>
      </w:r>
      <w:proofErr w:type="spellStart"/>
      <w:r>
        <w:t>Rechel</w:t>
      </w:r>
      <w:proofErr w:type="spellEnd"/>
      <w:r>
        <w:t xml:space="preserve"> B, Richardson E, McKee M, editors. The Organization and Delivery of Vaccination Services in the European Union. London: European Observatory on Health Systems and Policies, 2018.</w:t>
      </w:r>
    </w:p>
    <w:p w:rsidR="00721DAB" w:rsidRDefault="00721DAB" w:rsidP="00721DAB">
      <w:r>
        <w:t>7</w:t>
      </w:r>
      <w:r>
        <w:tab/>
        <w:t xml:space="preserve">Rigby M, </w:t>
      </w:r>
      <w:proofErr w:type="spellStart"/>
      <w:r>
        <w:t>Ku¨hne</w:t>
      </w:r>
      <w:proofErr w:type="spellEnd"/>
      <w:r>
        <w:t xml:space="preserve"> G, Deshpande S. e-Health as the enabler of primary care for children. In: M Blair, M Rigby, D Alexander., editors. Issues and Opportunities in Primary Health Care for Children in Europe: The Final Summarised Results of the Models of Child Health Appraised (MOCHA) Project. Bingley: Emerald Publishing,</w:t>
      </w:r>
    </w:p>
    <w:p w:rsidR="00721DAB" w:rsidRDefault="00721DAB" w:rsidP="00721DAB">
      <w:r>
        <w:t>2019. Available at: https://www.emeraldinsight.com/doi/book/10.1108/ 9781789733518 (14 October 2019, date last accessed).</w:t>
      </w:r>
    </w:p>
    <w:p w:rsidR="00721DAB" w:rsidRDefault="00721DAB" w:rsidP="00721DAB">
      <w:r>
        <w:t>8</w:t>
      </w:r>
      <w:r>
        <w:tab/>
        <w:t>Rigby M. Information as the patient’s advocate. In: M Rigby, editor. Vision and Value in Health Information. Oxford: Radcliffe Medical Press, 2004; 57–67. ISBN 1-85775-863-3.</w:t>
      </w:r>
    </w:p>
    <w:p w:rsidR="00721DAB" w:rsidRDefault="00721DAB" w:rsidP="00721DAB">
      <w:r>
        <w:lastRenderedPageBreak/>
        <w:t>9</w:t>
      </w:r>
      <w:r>
        <w:tab/>
        <w:t>World Health Organisation Regional Office for Europe. European Strategy for Child and Adolescent Health and Development. Copenhagen: WHO Regional Office for Europe, 2005. Available at: www.euro.who.int/ data/assets/</w:t>
      </w:r>
      <w:proofErr w:type="spellStart"/>
      <w:r>
        <w:t>pdf_file</w:t>
      </w:r>
      <w:proofErr w:type="spellEnd"/>
      <w:r>
        <w:t>/0020/79400/ E87710.pdf.</w:t>
      </w:r>
    </w:p>
    <w:p w:rsidR="00721DAB" w:rsidRDefault="00721DAB" w:rsidP="00721DAB">
      <w:r>
        <w:t>10</w:t>
      </w:r>
      <w:r>
        <w:tab/>
        <w:t>World Health Organisation Regional Office for Europe. Investing in Children: The European Child and Adolescent Health Strategy 2015–2020. Copenhagen: WHO,</w:t>
      </w:r>
    </w:p>
    <w:p w:rsidR="00721DAB" w:rsidRDefault="00721DAB" w:rsidP="00721DAB">
      <w:r>
        <w:t xml:space="preserve"> </w:t>
      </w:r>
    </w:p>
    <w:p w:rsidR="00721DAB" w:rsidRDefault="00721DAB" w:rsidP="00721DAB">
      <w:r>
        <w:t>2015. Available at: www.euro.who.int/ data/assets/</w:t>
      </w:r>
      <w:proofErr w:type="spellStart"/>
      <w:r>
        <w:t>pdf_file</w:t>
      </w:r>
      <w:proofErr w:type="spellEnd"/>
      <w:r>
        <w:t>/0010/253729/ 64wd12e_InvestCAHstrategy_140440.pdf.</w:t>
      </w:r>
    </w:p>
    <w:p w:rsidR="00721DAB" w:rsidRDefault="00721DAB" w:rsidP="00721DAB">
      <w:r>
        <w:t>11</w:t>
      </w:r>
      <w:r>
        <w:tab/>
        <w:t xml:space="preserve">World Health Organisation Regional Office for Europe. European Vaccine Action Plan (EVAP) 2015–2020. Copenhagen: WHO, 2015. Available at: http://www.euro.who. int/ </w:t>
      </w:r>
      <w:proofErr w:type="gramStart"/>
      <w:r>
        <w:t>data/assets/</w:t>
      </w:r>
      <w:proofErr w:type="spellStart"/>
      <w:r>
        <w:t>pdf_file</w:t>
      </w:r>
      <w:proofErr w:type="spellEnd"/>
      <w:r>
        <w:t>/0007/255679/WHO_EVAP_UK_v30_WEBx.pdf?ua</w:t>
      </w:r>
      <w:proofErr w:type="gramEnd"/>
      <w:r>
        <w:t>¼1 (14 October 2019, date last accessed).</w:t>
      </w:r>
    </w:p>
    <w:p w:rsidR="00721DAB" w:rsidRDefault="00721DAB" w:rsidP="00721DAB">
      <w:r>
        <w:t>12</w:t>
      </w:r>
      <w:r>
        <w:tab/>
        <w:t xml:space="preserve">World Health Organisation. WHO Recommendations on Home-based Records for Maternal, New-born and Child </w:t>
      </w:r>
      <w:proofErr w:type="gramStart"/>
      <w:r>
        <w:t>Health.</w:t>
      </w:r>
      <w:proofErr w:type="gramEnd"/>
      <w:r>
        <w:t xml:space="preserve"> Geneva: WHO, 2018. Available at: http:// </w:t>
      </w:r>
      <w:proofErr w:type="gramStart"/>
      <w:r>
        <w:t>apps.who.int/iris/bitstream/handle/10665/274277/9789241550352-eng.pdf?ua</w:t>
      </w:r>
      <w:proofErr w:type="gramEnd"/>
      <w:r>
        <w:t>¼1</w:t>
      </w:r>
    </w:p>
    <w:p w:rsidR="00721DAB" w:rsidRDefault="00721DAB" w:rsidP="00721DAB">
      <w:r>
        <w:t>(14 October 2019, date last accessed).</w:t>
      </w:r>
    </w:p>
    <w:p w:rsidR="00721DAB" w:rsidRDefault="00721DAB" w:rsidP="00721DAB">
      <w:r>
        <w:t>13</w:t>
      </w:r>
      <w:r>
        <w:tab/>
        <w:t xml:space="preserve">Deshpande S, Rigby M, Alexander D, et al. </w:t>
      </w:r>
      <w:proofErr w:type="gramStart"/>
      <w:r>
        <w:t>Home Based</w:t>
      </w:r>
      <w:proofErr w:type="gramEnd"/>
      <w:r>
        <w:t xml:space="preserve"> Records; Report from the MOCHA Project, 2018. Available at: http://www.childhealthservicemodels.eu/wp-content/uploads/ R15-Home-Based-Records-Report.pdf (19 June 2019, date last accessed).</w:t>
      </w:r>
    </w:p>
    <w:p w:rsidR="00721DAB" w:rsidRDefault="00721DAB" w:rsidP="00721DAB">
      <w:r>
        <w:t>14</w:t>
      </w:r>
      <w:r>
        <w:tab/>
        <w:t>Council of the European Union. Council Conclusions on Childhood Immunisation: Successes and Challenges of European Childhood Immunisation and the Way Forward (2011/C 202/02). Official Journal of the European Union, 2011. Available at: https://eur-lex.europa.eu/legal-content/EN/TXT/PDF/?uri¼ CELEX: 52011XG0708(</w:t>
      </w:r>
      <w:proofErr w:type="gramStart"/>
      <w:r>
        <w:t>02)&amp;</w:t>
      </w:r>
      <w:proofErr w:type="gramEnd"/>
      <w:r>
        <w:t>from¼EN (12 June 2019, date last accessed).</w:t>
      </w:r>
    </w:p>
    <w:p w:rsidR="00721DAB" w:rsidRDefault="00721DAB" w:rsidP="00721DAB">
      <w:r>
        <w:t>15</w:t>
      </w:r>
      <w:r>
        <w:tab/>
        <w:t>Council of the European Union. Council Recommendation on Strengthened Cooperation Against Vaccine Preventable Diseases 2018/0115 (NLE). Available at: https://eur-lex.europa.eu/legal-content/EN/TXT/PDF/?uri¼CELEX:52018DC0244 &amp;from¼en (14 October 2019, date last accessed).</w:t>
      </w:r>
    </w:p>
    <w:p w:rsidR="00721DAB" w:rsidRDefault="00721DAB" w:rsidP="00721DAB">
      <w:r>
        <w:t>16</w:t>
      </w:r>
      <w:r>
        <w:tab/>
        <w:t>Vaccines Today. EU considers ‘vaccination passport’ for kids. Available at: https:// www.vaccinestoday.eu/stories/eu-considers-vaccination-passport-for-kids/ (5 June 2019, date last accessed).</w:t>
      </w:r>
    </w:p>
    <w:p w:rsidR="00721DAB" w:rsidRDefault="00721DAB" w:rsidP="00721DAB">
      <w:r>
        <w:t>17</w:t>
      </w:r>
      <w:r>
        <w:tab/>
        <w:t>European Commission. Movement of Pets; EU Legislation. Available at: https://ec. europa.eu/food/animals/pet-movement/</w:t>
      </w:r>
      <w:proofErr w:type="spellStart"/>
      <w:r>
        <w:t>eu-legislation_en</w:t>
      </w:r>
      <w:proofErr w:type="spellEnd"/>
      <w:r>
        <w:t xml:space="preserve"> (5 June 2019, date last accessed).</w:t>
      </w:r>
    </w:p>
    <w:p w:rsidR="00721DAB" w:rsidRDefault="00721DAB" w:rsidP="00721DAB">
      <w:r>
        <w:t>18</w:t>
      </w:r>
      <w:r>
        <w:tab/>
        <w:t xml:space="preserve">Olsson K, </w:t>
      </w:r>
      <w:proofErr w:type="spellStart"/>
      <w:r>
        <w:t>Gianfredi</w:t>
      </w:r>
      <w:proofErr w:type="spellEnd"/>
      <w:r>
        <w:t xml:space="preserve"> V, </w:t>
      </w:r>
      <w:proofErr w:type="spellStart"/>
      <w:r>
        <w:t>Derrough</w:t>
      </w:r>
      <w:proofErr w:type="spellEnd"/>
      <w:r>
        <w:t xml:space="preserve"> T. ECDC Technical Report—Immunisation Information systems in the EU and EEA. Stockholm: European Centre for Disease Control, 2017.</w:t>
      </w:r>
    </w:p>
    <w:p w:rsidR="00721DAB" w:rsidRDefault="00721DAB" w:rsidP="00721DAB">
      <w:r>
        <w:t>19</w:t>
      </w:r>
      <w:r>
        <w:tab/>
        <w:t xml:space="preserve">Larson H, de </w:t>
      </w:r>
      <w:proofErr w:type="spellStart"/>
      <w:r>
        <w:t>Figueiredo</w:t>
      </w:r>
      <w:proofErr w:type="spellEnd"/>
      <w:r>
        <w:t xml:space="preserve"> A, </w:t>
      </w:r>
      <w:proofErr w:type="spellStart"/>
      <w:r>
        <w:t>Karafillakis</w:t>
      </w:r>
      <w:proofErr w:type="spellEnd"/>
      <w:r>
        <w:t xml:space="preserve"> E, et al. State of Vaccine Confidence in the EU 2018. Luxemburg: London School of Hygiene and Tropical Medicine, London for the European Commission. Available at: https://ec.europa.eu/health/sites/health/ files/vaccination/docs/2018_vaccine_confidence_en.pdf (14 October 2019, date last accessed).</w:t>
      </w:r>
    </w:p>
    <w:p w:rsidR="00721DAB" w:rsidRDefault="00721DAB" w:rsidP="00721DAB">
      <w:r>
        <w:t>20</w:t>
      </w:r>
      <w:r>
        <w:tab/>
        <w:t>http://eapaediatrics.eu/wp-content/uploads/2019/01/Vaccination-Hesitancy-Study- Last.pdf (5 June 2019, date last accessed).</w:t>
      </w:r>
    </w:p>
    <w:p w:rsidR="00721DAB" w:rsidRDefault="00721DAB" w:rsidP="00721DAB">
      <w:r>
        <w:lastRenderedPageBreak/>
        <w:t>21</w:t>
      </w:r>
      <w:r>
        <w:tab/>
        <w:t>Expert Panel on Effective Ways of Investing in Health. Programmes and Health Systems in the European Union, Brussels, 2018. Available at: https://ec.europa.eu/ health/expert_panel/sites/expertpanel/files/020_vaccinationpgms_en.pdf (14 October 2019, date last accessed).</w:t>
      </w:r>
    </w:p>
    <w:p w:rsidR="00721DAB" w:rsidRDefault="00721DAB" w:rsidP="00721DAB">
      <w:r>
        <w:t>22</w:t>
      </w:r>
      <w:r>
        <w:tab/>
        <w:t xml:space="preserve">European Centre for Disease Control. Technical Report—Designing and Implementing an Immunisation Information </w:t>
      </w:r>
      <w:proofErr w:type="spellStart"/>
      <w:r>
        <w:t>Aystem</w:t>
      </w:r>
      <w:proofErr w:type="spellEnd"/>
      <w:r>
        <w:t>: A Handbook for those Involved in the Design, Implementation or Management of Immunisation Information Systems. Stockholm: ECDC. Available at: http://ecdc.europa.eu/sites/portal/files/documents/ designing-implementing-immunisation-information-system_0.pdf (14 October 2019, date last accessed).</w:t>
      </w:r>
    </w:p>
    <w:p w:rsidR="00721DAB" w:rsidRDefault="00721DAB" w:rsidP="00721DAB">
      <w:r>
        <w:t>23</w:t>
      </w:r>
      <w:r>
        <w:tab/>
        <w:t xml:space="preserve">Atchison C, </w:t>
      </w:r>
      <w:proofErr w:type="spellStart"/>
      <w:r>
        <w:t>Zvoc</w:t>
      </w:r>
      <w:proofErr w:type="spellEnd"/>
      <w:r>
        <w:t xml:space="preserve"> M, Balakrishnan R. The evaluation of a standardized call/recall system for childhood immunizations in Wandsworth, England. J Community Health </w:t>
      </w:r>
      <w:proofErr w:type="gramStart"/>
      <w:r>
        <w:t>2013;38:581</w:t>
      </w:r>
      <w:proofErr w:type="gramEnd"/>
      <w:r>
        <w:t>–7.</w:t>
      </w:r>
    </w:p>
    <w:p w:rsidR="00721DAB" w:rsidRDefault="00721DAB" w:rsidP="00721DAB">
      <w:r>
        <w:t>24</w:t>
      </w:r>
      <w:r>
        <w:tab/>
        <w:t xml:space="preserve">Jacobson Vann JC, </w:t>
      </w:r>
      <w:proofErr w:type="spellStart"/>
      <w:r>
        <w:t>Szilagyi</w:t>
      </w:r>
      <w:proofErr w:type="spellEnd"/>
      <w:r>
        <w:t xml:space="preserve"> P. Patient reminder and recall systems to improve immunization rates (Review). Cochrane Database </w:t>
      </w:r>
      <w:proofErr w:type="spellStart"/>
      <w:r>
        <w:t>Syst</w:t>
      </w:r>
      <w:proofErr w:type="spellEnd"/>
      <w:r>
        <w:t xml:space="preserve"> Rev 2005;3:CD003941.</w:t>
      </w:r>
    </w:p>
    <w:p w:rsidR="00721DAB" w:rsidRDefault="00721DAB" w:rsidP="00721DAB">
      <w:r>
        <w:t>25</w:t>
      </w:r>
      <w:r>
        <w:tab/>
        <w:t xml:space="preserve">Maria </w:t>
      </w:r>
      <w:proofErr w:type="spellStart"/>
      <w:r>
        <w:t>Dumit</w:t>
      </w:r>
      <w:proofErr w:type="spellEnd"/>
      <w:r>
        <w:t xml:space="preserve"> E, </w:t>
      </w:r>
      <w:proofErr w:type="spellStart"/>
      <w:r>
        <w:t>Novillo</w:t>
      </w:r>
      <w:proofErr w:type="spellEnd"/>
      <w:r>
        <w:t xml:space="preserve">-Ortiz D, Contreras M, et al. The use of eHealth with immunizations: an overview of systematic reviews. Vaccine </w:t>
      </w:r>
      <w:proofErr w:type="gramStart"/>
      <w:r>
        <w:t>2018;36:7923</w:t>
      </w:r>
      <w:proofErr w:type="gramEnd"/>
      <w:r>
        <w:t>–8.</w:t>
      </w:r>
    </w:p>
    <w:p w:rsidR="00721DAB" w:rsidRDefault="00721DAB" w:rsidP="00721DAB">
      <w:r>
        <w:t>26</w:t>
      </w:r>
      <w:r>
        <w:tab/>
        <w:t xml:space="preserve">Galloway T. </w:t>
      </w:r>
      <w:proofErr w:type="spellStart"/>
      <w:r>
        <w:t>McL</w:t>
      </w:r>
      <w:proofErr w:type="spellEnd"/>
      <w:r>
        <w:t xml:space="preserve">: management of vaccination and immunisation procedures by electronic computer. Med Off </w:t>
      </w:r>
      <w:proofErr w:type="gramStart"/>
      <w:r>
        <w:t>1963;109:232</w:t>
      </w:r>
      <w:proofErr w:type="gramEnd"/>
      <w:r>
        <w:t>.</w:t>
      </w:r>
    </w:p>
    <w:p w:rsidR="00721DAB" w:rsidRDefault="00721DAB" w:rsidP="00721DAB">
      <w:r>
        <w:t>27</w:t>
      </w:r>
      <w:r>
        <w:tab/>
        <w:t xml:space="preserve">Saunders J. Results and costs of a computer-assisted immunisation scheme. Br J </w:t>
      </w:r>
      <w:proofErr w:type="spellStart"/>
      <w:r>
        <w:t>Prev</w:t>
      </w:r>
      <w:proofErr w:type="spellEnd"/>
      <w:r>
        <w:t xml:space="preserve"> Soc Med </w:t>
      </w:r>
      <w:proofErr w:type="gramStart"/>
      <w:r>
        <w:t>1970;24:187</w:t>
      </w:r>
      <w:proofErr w:type="gramEnd"/>
      <w:r>
        <w:t>–91.</w:t>
      </w:r>
    </w:p>
    <w:p w:rsidR="00721DAB" w:rsidRDefault="00721DAB" w:rsidP="00721DAB">
      <w:r>
        <w:t>28</w:t>
      </w:r>
      <w:r>
        <w:tab/>
        <w:t xml:space="preserve">Chesham I, Rigby MJ, Shelmerdine HR. Paediatric screening. Health Soc </w:t>
      </w:r>
      <w:proofErr w:type="spellStart"/>
      <w:r>
        <w:t>Serv</w:t>
      </w:r>
      <w:proofErr w:type="spellEnd"/>
      <w:r>
        <w:t xml:space="preserve"> J</w:t>
      </w:r>
    </w:p>
    <w:p w:rsidR="00721DAB" w:rsidRDefault="00721DAB" w:rsidP="00721DAB">
      <w:proofErr w:type="gramStart"/>
      <w:r>
        <w:t>1975;85:293</w:t>
      </w:r>
      <w:proofErr w:type="gramEnd"/>
      <w:r>
        <w:t>–4.</w:t>
      </w:r>
    </w:p>
    <w:p w:rsidR="00721DAB" w:rsidRDefault="00721DAB" w:rsidP="00721DAB">
      <w:r>
        <w:t>29</w:t>
      </w:r>
      <w:r>
        <w:tab/>
        <w:t>Rigby MJ. The National Child Health Computer System. In: A Macfarlane, editor.</w:t>
      </w:r>
    </w:p>
    <w:p w:rsidR="00721DAB" w:rsidRDefault="00721DAB" w:rsidP="00721DAB">
      <w:r>
        <w:t>Progress in Child Health, Vol. 3. London: Churchill Livingstone, 1987.</w:t>
      </w:r>
    </w:p>
    <w:p w:rsidR="00721DAB" w:rsidRDefault="00721DAB" w:rsidP="00721DAB">
      <w:r>
        <w:t>30</w:t>
      </w:r>
      <w:r>
        <w:tab/>
      </w:r>
      <w:proofErr w:type="spellStart"/>
      <w:r>
        <w:t>Ku¨hne</w:t>
      </w:r>
      <w:proofErr w:type="spellEnd"/>
      <w:r>
        <w:t xml:space="preserve"> G, Rigby M. Description and Analysis of Current Child Health Electronic Record Keeping Across Europe. Available at: http://www.childhealthservicemodels. eu/wp-content/uploads/2015/09/Description-and-analysis-of-current-child-health- electronic-records.pdf (14 October 2019, date last accessed).</w:t>
      </w:r>
    </w:p>
    <w:p w:rsidR="00721DAB" w:rsidRDefault="00721DAB" w:rsidP="00721DAB">
      <w:r>
        <w:t xml:space="preserve"> </w:t>
      </w:r>
    </w:p>
    <w:p w:rsidR="00721DAB" w:rsidRDefault="00721DAB" w:rsidP="00721DAB"/>
    <w:p w:rsidR="00721DAB" w:rsidRDefault="00721DAB" w:rsidP="00721DAB">
      <w:r>
        <w:t xml:space="preserve"> </w:t>
      </w:r>
    </w:p>
    <w:p w:rsidR="00721DAB" w:rsidRDefault="00721DAB" w:rsidP="00721DAB">
      <w:r>
        <w:t>31</w:t>
      </w:r>
      <w:r>
        <w:tab/>
        <w:t xml:space="preserve">Rigby M, </w:t>
      </w:r>
      <w:proofErr w:type="spellStart"/>
      <w:r>
        <w:t>Ku¨hne</w:t>
      </w:r>
      <w:proofErr w:type="spellEnd"/>
      <w:r>
        <w:t xml:space="preserve"> G, Greenfield R, et al. Extent of use of electronic records in Children’s Primary Care and Public Health in Europe. Stud Health </w:t>
      </w:r>
      <w:proofErr w:type="spellStart"/>
      <w:r>
        <w:t>Technol</w:t>
      </w:r>
      <w:proofErr w:type="spellEnd"/>
      <w:r>
        <w:t xml:space="preserve"> Inform. </w:t>
      </w:r>
      <w:proofErr w:type="gramStart"/>
      <w:r>
        <w:t>2018;247:930</w:t>
      </w:r>
      <w:proofErr w:type="gramEnd"/>
      <w:r>
        <w:t>–4.</w:t>
      </w:r>
    </w:p>
    <w:p w:rsidR="00721DAB" w:rsidRDefault="00721DAB" w:rsidP="00721DAB">
      <w:r>
        <w:t>32</w:t>
      </w:r>
      <w:r>
        <w:tab/>
        <w:t xml:space="preserve">Rigby M, </w:t>
      </w:r>
      <w:proofErr w:type="spellStart"/>
      <w:r>
        <w:t>Ku¨hne</w:t>
      </w:r>
      <w:proofErr w:type="spellEnd"/>
      <w:r>
        <w:t xml:space="preserve"> G, Deshpande S. e-Health as the enabler of primary care for children. In: M Blair, M Rigby, D Alexander, editors. Issues and Opportunities in Primary Health Care for Children in Europe: The Final Summarised Results of the Models of Child Health Appraised (MOCHA) Project. Bingley: Emerald Publishing, 2019. Available at: https://www.emeraldinsight.com/doi/full/10.1108/978-1-78973-</w:t>
      </w:r>
    </w:p>
    <w:p w:rsidR="00721DAB" w:rsidRDefault="00721DAB" w:rsidP="00721DAB">
      <w:r>
        <w:t>351-820191017 (14 October 2019, date last accessed).</w:t>
      </w:r>
    </w:p>
    <w:p w:rsidR="00721DAB" w:rsidRDefault="00721DAB" w:rsidP="00721DAB">
      <w:r>
        <w:lastRenderedPageBreak/>
        <w:t>33</w:t>
      </w:r>
      <w:r>
        <w:tab/>
        <w:t xml:space="preserve">Rigby M, </w:t>
      </w:r>
      <w:proofErr w:type="spellStart"/>
      <w:r>
        <w:t>Ku¨hne</w:t>
      </w:r>
      <w:proofErr w:type="spellEnd"/>
      <w:r>
        <w:t xml:space="preserve"> G, Deshpande S, et al. Future Achievable Potential Models of Child Health Electronic Record Systems to Support Care Delivery. Available at: http://www. childhealthservicemodels.eu/wp-content/uploads/Deliverable-WP8-D13-Potential- Models-of-EHRs-v2-2.pdf.</w:t>
      </w:r>
    </w:p>
    <w:p w:rsidR="00721DAB" w:rsidRDefault="00721DAB" w:rsidP="00721DAB">
      <w:r>
        <w:t>34</w:t>
      </w:r>
      <w:r>
        <w:tab/>
        <w:t>Models of Child Health Appraised (MOCHA). Trillium II-MOCHA Meeting. ‘Digital Health Policies for Children’s Health’ Workshop, 17th &amp; 18th September</w:t>
      </w:r>
    </w:p>
    <w:p w:rsidR="00721DAB" w:rsidRDefault="00721DAB" w:rsidP="00721DAB">
      <w:r>
        <w:t xml:space="preserve"> </w:t>
      </w:r>
    </w:p>
    <w:p w:rsidR="00721DAB" w:rsidRDefault="00721DAB" w:rsidP="00721DAB">
      <w:r>
        <w:t>2018, CEN Brussels. Available at: http://www.childhealthservicemodels.eu/wp-con tent/uploads/Trillium-MOCHA-report-PDF.pdf.</w:t>
      </w:r>
    </w:p>
    <w:p w:rsidR="00721DAB" w:rsidRDefault="00721DAB" w:rsidP="00721DAB">
      <w:r>
        <w:t>35</w:t>
      </w:r>
      <w:r>
        <w:tab/>
        <w:t>Models of Child Health Appraised (MOCHA). Trillium II-MOCHA Stakeholder Consultation Meeting—Digital Health Policies for Children’s Health: Focus on Immunisation. Available at: http://www.childhealthservicemodels.eu/wp-content/ uploads/22.11.18-Trillium-II-MOCHA-Stakeholder-meeting-report-v4.pdf.</w:t>
      </w:r>
    </w:p>
    <w:p w:rsidR="00721DAB" w:rsidRDefault="00721DAB" w:rsidP="00721DAB">
      <w:r>
        <w:t>36</w:t>
      </w:r>
      <w:r>
        <w:tab/>
      </w:r>
      <w:proofErr w:type="spellStart"/>
      <w:r>
        <w:t>Martakis</w:t>
      </w:r>
      <w:proofErr w:type="spellEnd"/>
      <w:r>
        <w:t xml:space="preserve"> K, Alexander D, </w:t>
      </w:r>
      <w:proofErr w:type="spellStart"/>
      <w:r>
        <w:t>Schloemer</w:t>
      </w:r>
      <w:proofErr w:type="spellEnd"/>
      <w:r>
        <w:t xml:space="preserve"> T, et al. Human papillomavirus vaccination and respect for children’s developing autonomy: results from </w:t>
      </w:r>
      <w:proofErr w:type="gramStart"/>
      <w:r>
        <w:t>an</w:t>
      </w:r>
      <w:proofErr w:type="gramEnd"/>
      <w:r>
        <w:t xml:space="preserve"> European Union wide study. J Child Health Care </w:t>
      </w:r>
      <w:proofErr w:type="gramStart"/>
      <w:r>
        <w:t>2019;23:343</w:t>
      </w:r>
      <w:proofErr w:type="gramEnd"/>
      <w:r>
        <w:t>.</w:t>
      </w:r>
    </w:p>
    <w:p w:rsidR="00721DAB" w:rsidRDefault="00721DAB" w:rsidP="00721DAB">
      <w:r>
        <w:t>37</w:t>
      </w:r>
      <w:r>
        <w:tab/>
        <w:t>Clear J. Why Facts Don’t Change Our Minds. Available at: https://jamesclear.com/ why-facts-</w:t>
      </w:r>
      <w:proofErr w:type="spellStart"/>
      <w:r>
        <w:t>dont</w:t>
      </w:r>
      <w:proofErr w:type="spellEnd"/>
      <w:r>
        <w:t>-change-minds (5 June 2019, date last accessed).</w:t>
      </w:r>
    </w:p>
    <w:p w:rsidR="00074A3E" w:rsidRDefault="00721DAB" w:rsidP="00721DAB">
      <w:r>
        <w:t>38</w:t>
      </w:r>
      <w:r>
        <w:tab/>
      </w:r>
      <w:proofErr w:type="spellStart"/>
      <w:r>
        <w:t>Montanana</w:t>
      </w:r>
      <w:proofErr w:type="spellEnd"/>
      <w:r>
        <w:t xml:space="preserve"> OE, Larkin P. Nurses’ Preparedness for Practice—MOCHA Project Internal Deliverable. Available at: http://www.childhealthservicemodels.eu/wp-con tent/uploads/D2.10-Nurses-preparedness-for-practice.pdf (14 October 2019, date last accessed).</w:t>
      </w:r>
    </w:p>
    <w:sectPr w:rsidR="00074A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DAB"/>
    <w:rsid w:val="00074A3E"/>
    <w:rsid w:val="00721D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B0C8DF"/>
  <w15:chartTrackingRefBased/>
  <w15:docId w15:val="{9DE4D085-2B1B-4223-9DA9-36D67BBA3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21DAB"/>
    <w:rPr>
      <w:color w:val="0563C1" w:themeColor="hyperlink"/>
      <w:u w:val="single"/>
    </w:rPr>
  </w:style>
  <w:style w:type="character" w:styleId="UnresolvedMention">
    <w:name w:val="Unresolved Mention"/>
    <w:basedOn w:val="DefaultParagraphFont"/>
    <w:uiPriority w:val="99"/>
    <w:semiHidden/>
    <w:unhideWhenUsed/>
    <w:rsid w:val="00721D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j.rigby@keele.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12</Pages>
  <Words>5242</Words>
  <Characters>29882</Characters>
  <Application>Microsoft Office Word</Application>
  <DocSecurity>0</DocSecurity>
  <Lines>249</Lines>
  <Paragraphs>70</Paragraphs>
  <ScaleCrop>false</ScaleCrop>
  <Company/>
  <LinksUpToDate>false</LinksUpToDate>
  <CharactersWithSpaces>35054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BlairPA</dc:creator>
  <cp:keywords/>
  <dc:description/>
  <cp:lastModifiedBy>BlairPA</cp:lastModifiedBy>
  <cp:revision>1</cp:revision>
  <dcterms:created xsi:type="dcterms:W3CDTF">2019-11-28T13:40:00Z</dcterms:created>
  <dcterms:modified xsi:type="dcterms:W3CDTF">2019-11-28T13:49:00Z</dcterms:modified>
</cp:coreProperties>
</file>