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BF97A6" w14:textId="1A259BE1" w:rsidR="00D139F5" w:rsidRPr="009B7609" w:rsidRDefault="00D139F5" w:rsidP="00D139F5">
      <w:pPr>
        <w:pStyle w:val="Heading1"/>
        <w:spacing w:line="480" w:lineRule="auto"/>
        <w:ind w:firstLine="720"/>
        <w:jc w:val="center"/>
        <w:rPr>
          <w:sz w:val="36"/>
        </w:rPr>
      </w:pPr>
      <w:r w:rsidRPr="009B7609">
        <w:rPr>
          <w:sz w:val="28"/>
          <w:szCs w:val="24"/>
        </w:rPr>
        <w:t>Cell-free protein synthesis as a prototyping platform for mammalian Synthetic Biology</w:t>
      </w:r>
    </w:p>
    <w:p w14:paraId="4C298290" w14:textId="68066161" w:rsidR="00D139F5" w:rsidRDefault="00D139F5" w:rsidP="00D139F5">
      <w:pPr>
        <w:spacing w:line="480" w:lineRule="auto"/>
        <w:jc w:val="center"/>
        <w:rPr>
          <w:sz w:val="24"/>
          <w:szCs w:val="24"/>
        </w:rPr>
      </w:pPr>
      <w:r>
        <w:rPr>
          <w:sz w:val="24"/>
          <w:szCs w:val="24"/>
        </w:rPr>
        <w:t>Margarita B. Kopniczky</w:t>
      </w:r>
      <w:r>
        <w:rPr>
          <w:sz w:val="24"/>
          <w:szCs w:val="24"/>
          <w:vertAlign w:val="superscript"/>
        </w:rPr>
        <w:t>1</w:t>
      </w:r>
      <w:r>
        <w:rPr>
          <w:sz w:val="24"/>
          <w:szCs w:val="24"/>
        </w:rPr>
        <w:t>, Caoimhe Canavan</w:t>
      </w:r>
      <w:r>
        <w:rPr>
          <w:sz w:val="24"/>
          <w:szCs w:val="24"/>
          <w:vertAlign w:val="superscript"/>
        </w:rPr>
        <w:t>1</w:t>
      </w:r>
      <w:r>
        <w:rPr>
          <w:sz w:val="24"/>
          <w:szCs w:val="24"/>
        </w:rPr>
        <w:t>, David W. McClymont</w:t>
      </w:r>
      <w:r>
        <w:rPr>
          <w:sz w:val="24"/>
          <w:szCs w:val="24"/>
          <w:vertAlign w:val="superscript"/>
        </w:rPr>
        <w:t>1,2</w:t>
      </w:r>
      <w:r>
        <w:rPr>
          <w:sz w:val="24"/>
          <w:szCs w:val="24"/>
        </w:rPr>
        <w:t>, Michael A. Crone</w:t>
      </w:r>
      <w:r>
        <w:rPr>
          <w:sz w:val="24"/>
          <w:szCs w:val="24"/>
          <w:vertAlign w:val="superscript"/>
        </w:rPr>
        <w:t>1</w:t>
      </w:r>
      <w:r w:rsidR="006742CA">
        <w:rPr>
          <w:sz w:val="24"/>
          <w:szCs w:val="24"/>
          <w:vertAlign w:val="superscript"/>
        </w:rPr>
        <w:t>,3</w:t>
      </w:r>
      <w:r>
        <w:rPr>
          <w:sz w:val="24"/>
          <w:szCs w:val="24"/>
        </w:rPr>
        <w:t>, Lorna Suckling</w:t>
      </w:r>
      <w:r>
        <w:rPr>
          <w:sz w:val="24"/>
          <w:szCs w:val="24"/>
          <w:vertAlign w:val="superscript"/>
        </w:rPr>
        <w:t>2</w:t>
      </w:r>
      <w:r>
        <w:rPr>
          <w:sz w:val="24"/>
          <w:szCs w:val="24"/>
        </w:rPr>
        <w:t>, Bruno Goetzmann</w:t>
      </w:r>
      <w:r>
        <w:rPr>
          <w:sz w:val="24"/>
          <w:szCs w:val="24"/>
          <w:vertAlign w:val="superscript"/>
        </w:rPr>
        <w:t>1</w:t>
      </w:r>
      <w:r>
        <w:rPr>
          <w:sz w:val="24"/>
          <w:szCs w:val="24"/>
        </w:rPr>
        <w:t>, Velia Siciliano</w:t>
      </w:r>
      <w:r>
        <w:rPr>
          <w:sz w:val="24"/>
          <w:szCs w:val="24"/>
          <w:vertAlign w:val="superscript"/>
        </w:rPr>
        <w:t>1</w:t>
      </w:r>
      <w:r>
        <w:rPr>
          <w:sz w:val="24"/>
          <w:szCs w:val="24"/>
        </w:rPr>
        <w:t>, James T. MacDonald</w:t>
      </w:r>
      <w:r>
        <w:rPr>
          <w:sz w:val="24"/>
          <w:szCs w:val="24"/>
          <w:vertAlign w:val="superscript"/>
        </w:rPr>
        <w:t>1</w:t>
      </w:r>
      <w:r>
        <w:rPr>
          <w:sz w:val="24"/>
          <w:szCs w:val="24"/>
        </w:rPr>
        <w:t>, Kirsten Jensen</w:t>
      </w:r>
      <w:r>
        <w:rPr>
          <w:sz w:val="24"/>
          <w:szCs w:val="24"/>
          <w:vertAlign w:val="superscript"/>
        </w:rPr>
        <w:t>1,2</w:t>
      </w:r>
      <w:r w:rsidR="006742CA">
        <w:rPr>
          <w:sz w:val="24"/>
          <w:szCs w:val="24"/>
          <w:vertAlign w:val="superscript"/>
        </w:rPr>
        <w:t>,3</w:t>
      </w:r>
      <w:r>
        <w:rPr>
          <w:sz w:val="24"/>
          <w:szCs w:val="24"/>
        </w:rPr>
        <w:t xml:space="preserve"> and Paul S. Freemont</w:t>
      </w:r>
      <w:r>
        <w:rPr>
          <w:sz w:val="24"/>
          <w:szCs w:val="24"/>
          <w:vertAlign w:val="superscript"/>
        </w:rPr>
        <w:t>1,2</w:t>
      </w:r>
      <w:r w:rsidR="006742CA">
        <w:rPr>
          <w:sz w:val="24"/>
          <w:szCs w:val="24"/>
          <w:vertAlign w:val="superscript"/>
        </w:rPr>
        <w:t>,3</w:t>
      </w:r>
    </w:p>
    <w:p w14:paraId="6F829E2F" w14:textId="77777777" w:rsidR="00D139F5" w:rsidRDefault="00D139F5" w:rsidP="00D139F5">
      <w:pPr>
        <w:spacing w:after="0" w:line="480" w:lineRule="auto"/>
        <w:jc w:val="center"/>
        <w:rPr>
          <w:sz w:val="24"/>
          <w:szCs w:val="24"/>
        </w:rPr>
      </w:pPr>
      <w:r>
        <w:rPr>
          <w:sz w:val="24"/>
          <w:szCs w:val="24"/>
          <w:vertAlign w:val="superscript"/>
        </w:rPr>
        <w:t>1</w:t>
      </w:r>
      <w:r w:rsidRPr="00E15678">
        <w:rPr>
          <w:sz w:val="24"/>
          <w:szCs w:val="24"/>
        </w:rPr>
        <w:t>Section of Structural and Synthetic Biology</w:t>
      </w:r>
      <w:r>
        <w:rPr>
          <w:sz w:val="24"/>
          <w:szCs w:val="24"/>
        </w:rPr>
        <w:t xml:space="preserve">, </w:t>
      </w:r>
      <w:r w:rsidRPr="00E15678">
        <w:rPr>
          <w:sz w:val="24"/>
          <w:szCs w:val="24"/>
        </w:rPr>
        <w:t>Department of Infectious Disease</w:t>
      </w:r>
      <w:r>
        <w:rPr>
          <w:sz w:val="24"/>
          <w:szCs w:val="24"/>
        </w:rPr>
        <w:t>, Imperial College London, London, SW7 2AZ, UK</w:t>
      </w:r>
    </w:p>
    <w:p w14:paraId="47135B1D" w14:textId="576F1D5A" w:rsidR="00D139F5" w:rsidRPr="006742CA" w:rsidRDefault="00D139F5" w:rsidP="00AC5AAA">
      <w:pPr>
        <w:spacing w:after="0" w:line="480" w:lineRule="auto"/>
        <w:jc w:val="center"/>
        <w:rPr>
          <w:sz w:val="24"/>
          <w:szCs w:val="24"/>
        </w:rPr>
      </w:pPr>
      <w:r>
        <w:rPr>
          <w:sz w:val="24"/>
          <w:szCs w:val="24"/>
          <w:vertAlign w:val="superscript"/>
        </w:rPr>
        <w:t>2</w:t>
      </w:r>
      <w:r>
        <w:rPr>
          <w:sz w:val="24"/>
          <w:szCs w:val="24"/>
        </w:rPr>
        <w:t xml:space="preserve">London </w:t>
      </w:r>
      <w:proofErr w:type="spellStart"/>
      <w:r w:rsidR="00EA58E7">
        <w:rPr>
          <w:sz w:val="24"/>
          <w:szCs w:val="24"/>
        </w:rPr>
        <w:t>Biof</w:t>
      </w:r>
      <w:r>
        <w:rPr>
          <w:sz w:val="24"/>
          <w:szCs w:val="24"/>
        </w:rPr>
        <w:t>oundry</w:t>
      </w:r>
      <w:proofErr w:type="spellEnd"/>
      <w:r>
        <w:rPr>
          <w:sz w:val="24"/>
          <w:szCs w:val="24"/>
        </w:rPr>
        <w:t xml:space="preserve">, </w:t>
      </w:r>
      <w:r w:rsidR="009235D5" w:rsidRPr="009235D5">
        <w:rPr>
          <w:sz w:val="24"/>
          <w:szCs w:val="24"/>
        </w:rPr>
        <w:t>Imperial College Translation &amp; Innovation Hub</w:t>
      </w:r>
      <w:r w:rsidR="009235D5">
        <w:rPr>
          <w:sz w:val="24"/>
          <w:szCs w:val="24"/>
        </w:rPr>
        <w:t xml:space="preserve">, </w:t>
      </w:r>
      <w:r w:rsidR="009235D5" w:rsidRPr="009235D5">
        <w:rPr>
          <w:sz w:val="24"/>
          <w:szCs w:val="24"/>
        </w:rPr>
        <w:t xml:space="preserve">White City Campus, 80 </w:t>
      </w:r>
      <w:r w:rsidR="009235D5" w:rsidRPr="006742CA">
        <w:rPr>
          <w:sz w:val="24"/>
          <w:szCs w:val="24"/>
        </w:rPr>
        <w:t>Wood Lane, London W12 0BZ, UK</w:t>
      </w:r>
    </w:p>
    <w:p w14:paraId="32043F8A" w14:textId="77777777" w:rsidR="006742CA" w:rsidRPr="006742CA" w:rsidRDefault="006742CA" w:rsidP="006742CA">
      <w:pPr>
        <w:spacing w:after="120" w:line="360" w:lineRule="auto"/>
        <w:jc w:val="center"/>
        <w:rPr>
          <w:rFonts w:eastAsia="Arial" w:cstheme="minorHAnsi"/>
          <w:sz w:val="24"/>
          <w:szCs w:val="24"/>
        </w:rPr>
      </w:pPr>
      <w:r w:rsidRPr="006742CA">
        <w:rPr>
          <w:rFonts w:eastAsia="Arial" w:cstheme="minorHAnsi"/>
          <w:sz w:val="24"/>
          <w:szCs w:val="24"/>
          <w:vertAlign w:val="superscript"/>
        </w:rPr>
        <w:t>3</w:t>
      </w:r>
      <w:r w:rsidRPr="006742CA">
        <w:rPr>
          <w:rFonts w:eastAsia="Arial" w:cstheme="minorHAnsi"/>
          <w:sz w:val="24"/>
          <w:szCs w:val="24"/>
        </w:rPr>
        <w:t>UK Dementia Research Institute Care Research and Technology Centre, Imperial College London, Hammersmith Campus, Du Cane Road, London, W12 0NN</w:t>
      </w:r>
    </w:p>
    <w:p w14:paraId="5CC5F992" w14:textId="77777777" w:rsidR="006742CA" w:rsidRPr="00AC5AAA" w:rsidRDefault="006742CA" w:rsidP="00AC5AAA">
      <w:pPr>
        <w:spacing w:after="0" w:line="480" w:lineRule="auto"/>
        <w:jc w:val="center"/>
        <w:rPr>
          <w:sz w:val="24"/>
          <w:szCs w:val="24"/>
        </w:rPr>
      </w:pPr>
    </w:p>
    <w:p w14:paraId="4C9B3144" w14:textId="77777777" w:rsidR="00D139F5" w:rsidRDefault="00D139F5" w:rsidP="00D139F5">
      <w:pPr>
        <w:pStyle w:val="Heading2"/>
        <w:spacing w:line="480" w:lineRule="auto"/>
        <w:rPr>
          <w:smallCaps w:val="0"/>
          <w:sz w:val="24"/>
          <w:szCs w:val="24"/>
        </w:rPr>
      </w:pPr>
      <w:r>
        <w:rPr>
          <w:smallCaps w:val="0"/>
          <w:sz w:val="24"/>
          <w:szCs w:val="24"/>
        </w:rPr>
        <w:t>Abstract</w:t>
      </w:r>
    </w:p>
    <w:p w14:paraId="78BDD8D0" w14:textId="37E8B1E0" w:rsidR="00D139F5" w:rsidRDefault="00D139F5" w:rsidP="00D139F5">
      <w:pPr>
        <w:spacing w:line="480" w:lineRule="auto"/>
        <w:rPr>
          <w:sz w:val="24"/>
          <w:szCs w:val="24"/>
        </w:rPr>
      </w:pPr>
      <w:bookmarkStart w:id="0" w:name="_gjdgxs" w:colFirst="0" w:colLast="0"/>
      <w:bookmarkEnd w:id="0"/>
      <w:r>
        <w:rPr>
          <w:sz w:val="24"/>
          <w:szCs w:val="24"/>
        </w:rPr>
        <w:t xml:space="preserve">The field of mammalian synthetic biology is expanding quickly and technologies for engineering large synthetic gene circuits are increasingly accessible. However, for mammalian cell engineering, traditional tissue culture methods are slow and cumbersome, and are not suited for high-throughput characterisation measurements. Here we have utilised mammalian Cell-Free Protein Synthesis (CFPS) assays using HeLa cell extracts and liquid handling automation as an alternative to tissue culture and flow cytometry-based measurements. Our CFPS assays take a few hours and we have established optimised protocols for small-volume reactions using automated acoustic liquid handling technology. As a proof-of-concept, we characterised diverse types of genetic regulation in CFPS including T7 constitutive promoter variants, </w:t>
      </w:r>
      <w:r w:rsidR="00FA1047">
        <w:rPr>
          <w:sz w:val="24"/>
          <w:szCs w:val="24"/>
        </w:rPr>
        <w:t>i</w:t>
      </w:r>
      <w:r w:rsidR="00FA1047" w:rsidRPr="00FA1047">
        <w:rPr>
          <w:sz w:val="24"/>
          <w:szCs w:val="24"/>
        </w:rPr>
        <w:t xml:space="preserve">nternal </w:t>
      </w:r>
      <w:r w:rsidR="00FA1047">
        <w:rPr>
          <w:sz w:val="24"/>
          <w:szCs w:val="24"/>
        </w:rPr>
        <w:t>r</w:t>
      </w:r>
      <w:r w:rsidR="00FA1047" w:rsidRPr="00FA1047">
        <w:rPr>
          <w:sz w:val="24"/>
          <w:szCs w:val="24"/>
        </w:rPr>
        <w:t xml:space="preserve">ibosomal </w:t>
      </w:r>
      <w:r w:rsidR="00FA1047">
        <w:rPr>
          <w:sz w:val="24"/>
          <w:szCs w:val="24"/>
        </w:rPr>
        <w:t>e</w:t>
      </w:r>
      <w:r w:rsidR="00FA1047" w:rsidRPr="00FA1047">
        <w:rPr>
          <w:sz w:val="24"/>
          <w:szCs w:val="24"/>
        </w:rPr>
        <w:t xml:space="preserve">ntry </w:t>
      </w:r>
      <w:r w:rsidR="00FA1047">
        <w:rPr>
          <w:sz w:val="24"/>
          <w:szCs w:val="24"/>
        </w:rPr>
        <w:t>s</w:t>
      </w:r>
      <w:r w:rsidR="00FA1047" w:rsidRPr="00FA1047">
        <w:rPr>
          <w:sz w:val="24"/>
          <w:szCs w:val="24"/>
        </w:rPr>
        <w:t>ite</w:t>
      </w:r>
      <w:r w:rsidR="00FA1047">
        <w:rPr>
          <w:sz w:val="24"/>
          <w:szCs w:val="24"/>
        </w:rPr>
        <w:t>s</w:t>
      </w:r>
      <w:r w:rsidR="00FA1047" w:rsidRPr="00FA1047">
        <w:rPr>
          <w:sz w:val="24"/>
          <w:szCs w:val="24"/>
        </w:rPr>
        <w:t xml:space="preserve"> (I</w:t>
      </w:r>
      <w:r w:rsidRPr="00FA1047">
        <w:rPr>
          <w:sz w:val="24"/>
          <w:szCs w:val="24"/>
        </w:rPr>
        <w:t>RES</w:t>
      </w:r>
      <w:r w:rsidR="00FA1047" w:rsidRPr="00FA1047">
        <w:rPr>
          <w:sz w:val="24"/>
          <w:szCs w:val="24"/>
        </w:rPr>
        <w:t>)</w:t>
      </w:r>
      <w:r>
        <w:rPr>
          <w:sz w:val="24"/>
          <w:szCs w:val="24"/>
        </w:rPr>
        <w:t xml:space="preserve"> constitutive translation-</w:t>
      </w:r>
      <w:r>
        <w:rPr>
          <w:sz w:val="24"/>
          <w:szCs w:val="24"/>
        </w:rPr>
        <w:lastRenderedPageBreak/>
        <w:t xml:space="preserve">initiation sequence variants, CRISPR/dCas9-mediated </w:t>
      </w:r>
      <w:r w:rsidR="00FA1047">
        <w:rPr>
          <w:sz w:val="24"/>
          <w:szCs w:val="24"/>
        </w:rPr>
        <w:t>t</w:t>
      </w:r>
      <w:r>
        <w:rPr>
          <w:sz w:val="24"/>
          <w:szCs w:val="24"/>
        </w:rPr>
        <w:t xml:space="preserve">ranscription repression and L7Ae-mediated translation repression.  Our data shows simple regulatory elements for use in mammalian cells can be quickly prototyped in a CFPS model system. </w:t>
      </w:r>
    </w:p>
    <w:p w14:paraId="26339EF9" w14:textId="77777777" w:rsidR="00D139F5" w:rsidRPr="004E330D" w:rsidRDefault="00D139F5" w:rsidP="00D139F5">
      <w:pPr>
        <w:spacing w:line="480" w:lineRule="auto"/>
        <w:rPr>
          <w:b/>
          <w:sz w:val="24"/>
          <w:szCs w:val="24"/>
        </w:rPr>
      </w:pPr>
      <w:r w:rsidRPr="004E330D">
        <w:rPr>
          <w:b/>
          <w:sz w:val="24"/>
          <w:szCs w:val="24"/>
        </w:rPr>
        <w:t>Key words</w:t>
      </w:r>
    </w:p>
    <w:p w14:paraId="3FEFA5E3" w14:textId="0759D870" w:rsidR="008F5D00" w:rsidRDefault="00D139F5" w:rsidP="00D139F5">
      <w:pPr>
        <w:spacing w:line="480" w:lineRule="auto"/>
        <w:rPr>
          <w:sz w:val="24"/>
          <w:szCs w:val="24"/>
        </w:rPr>
      </w:pPr>
      <w:r w:rsidRPr="00D00920">
        <w:rPr>
          <w:sz w:val="24"/>
          <w:szCs w:val="24"/>
        </w:rPr>
        <w:t>Cell-free, automation, high-throughput, prototyping</w:t>
      </w:r>
      <w:r w:rsidR="00AD5566" w:rsidRPr="00D00920">
        <w:rPr>
          <w:sz w:val="24"/>
          <w:szCs w:val="24"/>
        </w:rPr>
        <w:t>.</w:t>
      </w:r>
    </w:p>
    <w:p w14:paraId="1CD0F2BE" w14:textId="77777777" w:rsidR="00A52D2B" w:rsidRDefault="00A52D2B" w:rsidP="00D139F5">
      <w:pPr>
        <w:spacing w:line="480" w:lineRule="auto"/>
        <w:rPr>
          <w:sz w:val="24"/>
          <w:szCs w:val="24"/>
        </w:rPr>
      </w:pPr>
    </w:p>
    <w:p w14:paraId="32DEEB58" w14:textId="01915828" w:rsidR="00D139F5" w:rsidRDefault="00D139F5" w:rsidP="00D139F5">
      <w:pPr>
        <w:spacing w:line="480" w:lineRule="auto"/>
        <w:rPr>
          <w:sz w:val="24"/>
          <w:szCs w:val="24"/>
        </w:rPr>
      </w:pPr>
      <w:r>
        <w:rPr>
          <w:sz w:val="24"/>
          <w:szCs w:val="24"/>
        </w:rPr>
        <w:t>Synthetic Biology aims to engineer biological systems at the genetic level, with predictable ‘human-defined’ functions. A long-standing goal is to break down complex genetic systems into interchangeable parts that can carry out high-level biological functions in a predictable fashion</w:t>
      </w:r>
      <w:r w:rsidR="00686F87">
        <w:rPr>
          <w:sz w:val="24"/>
          <w:szCs w:val="24"/>
        </w:rPr>
        <w:fldChar w:fldCharType="begin" w:fldLock="1"/>
      </w:r>
      <w:r w:rsidR="00705239">
        <w:rPr>
          <w:sz w:val="24"/>
          <w:szCs w:val="24"/>
        </w:rPr>
        <w:instrText>ADDIN CSL_CITATION {"citationItems":[{"id":"ITEM-1","itemData":{"DOI":"10.1038/nrm2698","ISSN":"1471-0080","PMID":"19461664","abstract":"Synthetic biology is a research field that combines the investigative nature of biology with the constructive nature of engineering. Efforts in synthetic biology have largely focused on the creation and perfection of genetic devices and small modules that are constructed from these devices. But to view cells as true 'programmable' entities, it is now essential to develop effective strategies for assembling devices and modules into intricate, customizable larger scale systems. The ability to create such systems will result in innovative approaches to a wide range of applications, such as bioremediation, sustainable energy production and biomedical therapies.","author":[{"dropping-particle":"","family":"M Purnick","given":"Priscilla E","non-dropping-particle":"","parse-names":false,"suffix":""},{"dropping-particle":"","family":"Weiss","given":"Ron","non-dropping-particle":"","parse-names":false,"suffix":""}],"container-title":"Nature reviews. Molecular cell biology","id":"ITEM-1","issue":"6","issued":{"date-parts":[["2009","6"]]},"page":"410-22","publisher":"Nature Publishing Group","title":"The second wave of synthetic biology: from modules to systems.","type":"article-journal","volume":"10"},"uris":["http://www.mendeley.com/documents/?uuid=3f161309-a042-4c8b-a6ec-8ee04197fdd5"]}],"mendeley":{"formattedCitation":"&lt;sup&gt;1&lt;/sup&gt;","plainTextFormattedCitation":"1","previouslyFormattedCitation":"&lt;sup&gt;1&lt;/sup&gt;"},"properties":{"noteIndex":0},"schema":"https://github.com/citation-style-language/schema/raw/master/csl-citation.json"}</w:instrText>
      </w:r>
      <w:r w:rsidR="00686F87">
        <w:rPr>
          <w:sz w:val="24"/>
          <w:szCs w:val="24"/>
        </w:rPr>
        <w:fldChar w:fldCharType="separate"/>
      </w:r>
      <w:r w:rsidR="000A7047" w:rsidRPr="000A7047">
        <w:rPr>
          <w:noProof/>
          <w:sz w:val="24"/>
          <w:szCs w:val="24"/>
          <w:vertAlign w:val="superscript"/>
        </w:rPr>
        <w:t>1</w:t>
      </w:r>
      <w:r w:rsidR="00686F87">
        <w:rPr>
          <w:sz w:val="24"/>
          <w:szCs w:val="24"/>
        </w:rPr>
        <w:fldChar w:fldCharType="end"/>
      </w:r>
      <w:r>
        <w:rPr>
          <w:sz w:val="24"/>
          <w:szCs w:val="24"/>
        </w:rPr>
        <w:t>. The importance of well-characterised parts, mathematical modelling tools and design automation software have led to these features becoming significant in the field</w:t>
      </w:r>
      <w:r w:rsidR="00686F87" w:rsidRPr="0019690F">
        <w:rPr>
          <w:sz w:val="24"/>
          <w:szCs w:val="24"/>
        </w:rPr>
        <w:t xml:space="preserve"> </w:t>
      </w:r>
      <w:r w:rsidR="00686F87" w:rsidRPr="0019690F">
        <w:rPr>
          <w:sz w:val="24"/>
          <w:szCs w:val="24"/>
        </w:rPr>
        <w:fldChar w:fldCharType="begin" w:fldLock="1"/>
      </w:r>
      <w:r w:rsidR="00705239">
        <w:rPr>
          <w:sz w:val="24"/>
          <w:szCs w:val="24"/>
        </w:rPr>
        <w:instrText>ADDIN CSL_CITATION {"citationItems":[{"id":"ITEM-1","itemData":{"DOI":"10.1042/BST20160347","ISSN":"0300-5127","author":[{"dropping-particle":"","family":"Myers","given":"Chris J.","non-dropping-particle":"","parse-names":false,"suffix":""},{"dropping-particle":"","family":"Beal","given":"Jacob","non-dropping-particle":"","parse-names":false,"suffix":""},{"dropping-particle":"","family":"Gorochowski","given":"Thomas E.","non-dropping-particle":"","parse-names":false,"suffix":""},{"dropping-particle":"","family":"Kuwahara","given":"Hiroyuki","non-dropping-particle":"","parse-names":false,"suffix":""},{"dropping-particle":"","family":"Madsen","given":"Curtis","non-dropping-particle":"","parse-names":false,"suffix":""},{"dropping-particle":"","family":"McLaughlin","given":"James Alastair","non-dropping-particle":"","parse-names":false,"suffix":""},{"dropping-particle":"","family":"Mısırlı","given":"Göksel","non-dropping-particle":"","parse-names":false,"suffix":""},{"dropping-particle":"","family":"Nguyen","given":"Tramy","non-dropping-particle":"","parse-names":false,"suffix":""},{"dropping-particle":"","family":"Oberortner","given":"Ernst","non-dropping-particle":"","parse-names":false,"suffix":""},{"dropping-particle":"","family":"Samineni","given":"Meher","non-dropping-particle":"","parse-names":false,"suffix":""},{"dropping-particle":"","family":"Wipat","given":"Anil","non-dropping-particle":"","parse-names":false,"suffix":""},{"dropping-particle":"","family":"Zhang","given":"Michael","non-dropping-particle":"","parse-names":false,"suffix":""},{"dropping-particle":"","family":"Zundel","given":"Zach","non-dropping-particle":"","parse-names":false,"suffix":""}],"container-title":"Biochemical Society Transactions","id":"ITEM-1","issue":"3","issued":{"date-parts":[["2017","6","15"]]},"page":"793-803","title":"A standard-enabled workflow for synthetic biology","type":"article-journal","volume":"45"},"uris":["http://www.mendeley.com/documents/?uuid=4735e9ba-54d0-3f97-b677-c343612d1855"]},{"id":"ITEM-2","itemData":{"DOI":"10.1016/j.cbpa.2017.08.005","abstract":"Bio-design automation (BDA) is an emerging field focused on computer-aided design, engineering principles, and automated manufacturing of biological systems. Here we discuss some outstanding challenges for bio-design that can be addressed by developing new tools for combinatorial engineering, equipment interfacing, next-generation sequencing, and workflow integration. These four areas, while not an exhaustive list of those that need to be addressed, could yield advances in bio-design, laboratory automation, and biometrology.","author":[{"dropping-particle":"","family":"Appleton","given":"Evan","non-dropping-particle":"","parse-names":false,"suffix":""},{"dropping-particle":"","family":"Densmore","given":"Douglas","non-dropping-particle":"","parse-names":false,"suffix":""},{"dropping-particle":"","family":"Madsen","given":"Curtis","non-dropping-particle":"","parse-names":false,"suffix":""},{"dropping-particle":"","family":"Roehner","given":"Nicholas","non-dropping-particle":"","parse-names":false,"suffix":""},{"dropping-particle":"","family":"Ellis","given":"Tom","non-dropping-particle":"","parse-names":false,"suffix":""},{"dropping-particle":"","family":"Jewett","given":"Michael","non-dropping-particle":"","parse-names":false,"suffix":""}],"container-title":"Current Opinion in Chemical Biology","id":"ITEM-2","issued":{"date-parts":[["2017"]]},"page":"111-118","title":"Needs and opportunities in bio-design automation: four areas for focus","type":"article-journal","volume":"40"},"uris":["http://www.mendeley.com/documents/?uuid=a1e41443-277d-373e-bbb1-d96670a5aef2"]}],"mendeley":{"formattedCitation":"&lt;sup&gt;2,3&lt;/sup&gt;","plainTextFormattedCitation":"2,3","previouslyFormattedCitation":"&lt;sup&gt;2,3&lt;/sup&gt;"},"properties":{"noteIndex":0},"schema":"https://github.com/citation-style-language/schema/raw/master/csl-citation.json"}</w:instrText>
      </w:r>
      <w:r w:rsidR="00686F87" w:rsidRPr="0019690F">
        <w:rPr>
          <w:sz w:val="24"/>
          <w:szCs w:val="24"/>
        </w:rPr>
        <w:fldChar w:fldCharType="separate"/>
      </w:r>
      <w:r w:rsidR="000A7047" w:rsidRPr="000A7047">
        <w:rPr>
          <w:noProof/>
          <w:sz w:val="24"/>
          <w:szCs w:val="24"/>
          <w:vertAlign w:val="superscript"/>
        </w:rPr>
        <w:t>2,3</w:t>
      </w:r>
      <w:r w:rsidR="00686F87" w:rsidRPr="0019690F">
        <w:rPr>
          <w:sz w:val="24"/>
          <w:szCs w:val="24"/>
        </w:rPr>
        <w:fldChar w:fldCharType="end"/>
      </w:r>
      <w:r>
        <w:rPr>
          <w:sz w:val="24"/>
          <w:szCs w:val="24"/>
        </w:rPr>
        <w:t>. Some of the most complex genetic designs to date have been realised using engineering design principles</w:t>
      </w:r>
      <w:r w:rsidR="00686F87" w:rsidRPr="0019690F">
        <w:rPr>
          <w:sz w:val="24"/>
          <w:szCs w:val="24"/>
        </w:rPr>
        <w:fldChar w:fldCharType="begin" w:fldLock="1"/>
      </w:r>
      <w:r w:rsidR="00705239">
        <w:rPr>
          <w:sz w:val="24"/>
          <w:szCs w:val="24"/>
        </w:rPr>
        <w:instrText>ADDIN CSL_CITATION {"citationItems":[{"id":"ITEM-1","itemData":{"DOI":"10.1021/acssynbio.7b00154","author":[{"dropping-particle":"","family":"Bhatia","given":"Swapnil P.","non-dropping-particle":"","parse-names":false,"suffix":""},{"dropping-particle":"","family":"Smanski","given":"Michael J.","non-dropping-particle":"","parse-names":false,"suffix":""},{"dropping-particle":"","family":"Voigt","given":"Christopher A.","non-dropping-particle":"","parse-names":false,"suffix":""},{"dropping-particle":"","family":"Densmore","given":"Douglas M.","non-dropping-particle":"","parse-names":false,"suffix":""}],"container-title":"ACS Synthetic Biology","id":"ITEM-1","issue":"11","issued":{"date-parts":[["2017","11","17"]]},"page":"2130-2135","publisher":"American Chemical Society","title":"Genetic Design via Combinatorial Constraint Specification","type":"article-journal","volume":"6"},"uris":["http://www.mendeley.com/documents/?uuid=e9f18696-1a4c-4c31-8aee-811f692b8aa5"]}],"mendeley":{"formattedCitation":"&lt;sup&gt;4&lt;/sup&gt;","plainTextFormattedCitation":"4","previouslyFormattedCitation":"&lt;sup&gt;4&lt;/sup&gt;"},"properties":{"noteIndex":0},"schema":"https://github.com/citation-style-language/schema/raw/master/csl-citation.json"}</w:instrText>
      </w:r>
      <w:r w:rsidR="00686F87" w:rsidRPr="0019690F">
        <w:rPr>
          <w:sz w:val="24"/>
          <w:szCs w:val="24"/>
        </w:rPr>
        <w:fldChar w:fldCharType="separate"/>
      </w:r>
      <w:r w:rsidR="000A7047" w:rsidRPr="000A7047">
        <w:rPr>
          <w:noProof/>
          <w:sz w:val="24"/>
          <w:szCs w:val="24"/>
          <w:vertAlign w:val="superscript"/>
        </w:rPr>
        <w:t>4</w:t>
      </w:r>
      <w:r w:rsidR="00686F87" w:rsidRPr="0019690F">
        <w:rPr>
          <w:sz w:val="24"/>
          <w:szCs w:val="24"/>
        </w:rPr>
        <w:fldChar w:fldCharType="end"/>
      </w:r>
      <w:r>
        <w:rPr>
          <w:sz w:val="24"/>
          <w:szCs w:val="24"/>
        </w:rPr>
        <w:t>. However, rational forward-engineering is not yet fully established and the validity of the approach has been subject to debate</w:t>
      </w:r>
      <w:r w:rsidR="00686F87" w:rsidRPr="0019690F">
        <w:rPr>
          <w:sz w:val="24"/>
          <w:szCs w:val="24"/>
        </w:rPr>
        <w:fldChar w:fldCharType="begin" w:fldLock="1"/>
      </w:r>
      <w:r w:rsidR="00705239">
        <w:rPr>
          <w:sz w:val="24"/>
          <w:szCs w:val="24"/>
        </w:rPr>
        <w:instrText>ADDIN CSL_CITATION {"citationItems":[{"id":"ITEM-1","itemData":{"DOI":"10.1039/c5ib00239g","ISSN":"1757-9694","abstract":"The engineering ideal of synthetic biology presupposes that organisms are composed of standard, interchangeable parts with a predictive behaviour. In one word, organisms are literally recognized as machines. Yet living objects are the result of evolutionary processes without any purposiveness, not of a design by external agents. Biological components show massive overlapping and functional degeneracy, standard-free complexity, intrinsic variation and context dependent performances. However, although organisms are not full-fledged machines, synthetic biologists may still be eager for machine-like behaviours from artificially modified biosystems. Insight, innovation, integration Synthetic biology (SB) includes an attempt to apply engineering principles to biotechnology. Although spectacular progress in metabolic engineering has taken place in the last decade, efforts to predictably modify organisms have only yielded limited successes. In the present article, we analyze one of the most popular paradigms of SynBio: the assumption that cells are machines. We focus on the differences between man-made machines and living systems and firmly conclude that cells are not machines, which has important theoretical and practical implications for the current development of SB. We suggest that further progress within the SB framework will be achieved by abandoning the bio-machine paradigm and by using an alliance between engineering and evolution as a guiding tool.","author":[{"dropping-particle":"","family":"Porcar","given":"M","non-dropping-particle":"","parse-names":false,"suffix":""},{"dropping-particle":"","family":"Peretó","given":"J","non-dropping-particle":"","parse-names":false,"suffix":""}],"container-title":"Integr. Biol. Integr. Biol","id":"ITEM-1","issued":{"date-parts":[["2016"]]},"page":"451-455","title":"Nature versus design: synthetic biology or how to build a biological non-machine","type":"article-journal","volume":"8"},"uris":["http://www.mendeley.com/documents/?uuid=85c0cb25-e01c-4e57-bc56-428ed57a600f"]}],"mendeley":{"formattedCitation":"&lt;sup&gt;5&lt;/sup&gt;","plainTextFormattedCitation":"5","previouslyFormattedCitation":"&lt;sup&gt;5&lt;/sup&gt;"},"properties":{"noteIndex":0},"schema":"https://github.com/citation-style-language/schema/raw/master/csl-citation.json"}</w:instrText>
      </w:r>
      <w:r w:rsidR="00686F87" w:rsidRPr="0019690F">
        <w:rPr>
          <w:sz w:val="24"/>
          <w:szCs w:val="24"/>
        </w:rPr>
        <w:fldChar w:fldCharType="separate"/>
      </w:r>
      <w:r w:rsidR="000A7047" w:rsidRPr="000A7047">
        <w:rPr>
          <w:noProof/>
          <w:sz w:val="24"/>
          <w:szCs w:val="24"/>
          <w:vertAlign w:val="superscript"/>
        </w:rPr>
        <w:t>5</w:t>
      </w:r>
      <w:r w:rsidR="00686F87" w:rsidRPr="0019690F">
        <w:rPr>
          <w:sz w:val="24"/>
          <w:szCs w:val="24"/>
        </w:rPr>
        <w:fldChar w:fldCharType="end"/>
      </w:r>
      <w:r>
        <w:rPr>
          <w:sz w:val="24"/>
          <w:szCs w:val="24"/>
        </w:rPr>
        <w:t>. Semi-rational design has become an increasingly popular alternative, where a diverse set of variants of the target system are generated and directed evolution is used to screen for suitable genetic architectures</w:t>
      </w:r>
      <w:r w:rsidR="00686F87" w:rsidRPr="0019690F">
        <w:rPr>
          <w:sz w:val="24"/>
          <w:szCs w:val="24"/>
        </w:rPr>
        <w:fldChar w:fldCharType="begin" w:fldLock="1"/>
      </w:r>
      <w:r w:rsidR="00705239">
        <w:rPr>
          <w:sz w:val="24"/>
          <w:szCs w:val="24"/>
        </w:rPr>
        <w:instrText>ADDIN CSL_CITATION {"citationItems":[{"id":"ITEM-1","itemData":{"DOI":"10.1016/J.TIBTECH.2015.12.004","ISSN":"0167-7799","abstract":"Biotechnology is the manufacturing technology of the future. However, engineering biology is complex, and many possible genetic designs must be evaluated to find cells that produce high levels of a desired drug or chemical. Recent advances have enabled the design and construction of billions of genetic variants per day, but evaluation capacity remains limited to thousands of variants per day. Here we evaluate biological engineering through the lens of the design–build–test cycle framework and highlight the role that multiplexing has had in transforming the design and build steps. We describe a multiplexed solution to the ‘test’ step that is enabled by new research. Achieving a multiplexed test step will permit a fully multiplexed engineering cycle and boost the throughput of biobased product development by up to a millionfold.","author":[{"dropping-particle":"","family":"Rogers","given":"Jameson K.","non-dropping-particle":"","parse-names":false,"suffix":""},{"dropping-particle":"","family":"Church","given":"George M.","non-dropping-particle":"","parse-names":false,"suffix":""}],"container-title":"Trends in Biotechnology","id":"ITEM-1","issue":"3","issued":{"date-parts":[["2016","3","1"]]},"page":"198-206","publisher":"Elsevier Current Trends","title":"Multiplexed engineering in biology","type":"article-journal","volume":"34"},"uris":["http://www.mendeley.com/documents/?uuid=26d8ba7e-8837-3e3c-a912-1ec63c1fd715"]}],"mendeley":{"formattedCitation":"&lt;sup&gt;6&lt;/sup&gt;","plainTextFormattedCitation":"6","previouslyFormattedCitation":"&lt;sup&gt;6&lt;/sup&gt;"},"properties":{"noteIndex":0},"schema":"https://github.com/citation-style-language/schema/raw/master/csl-citation.json"}</w:instrText>
      </w:r>
      <w:r w:rsidR="00686F87" w:rsidRPr="0019690F">
        <w:rPr>
          <w:sz w:val="24"/>
          <w:szCs w:val="24"/>
        </w:rPr>
        <w:fldChar w:fldCharType="separate"/>
      </w:r>
      <w:r w:rsidR="000A7047" w:rsidRPr="000A7047">
        <w:rPr>
          <w:noProof/>
          <w:sz w:val="24"/>
          <w:szCs w:val="24"/>
          <w:vertAlign w:val="superscript"/>
        </w:rPr>
        <w:t>6</w:t>
      </w:r>
      <w:r w:rsidR="00686F87" w:rsidRPr="0019690F">
        <w:rPr>
          <w:sz w:val="24"/>
          <w:szCs w:val="24"/>
        </w:rPr>
        <w:fldChar w:fldCharType="end"/>
      </w:r>
      <w:r>
        <w:rPr>
          <w:sz w:val="24"/>
          <w:szCs w:val="24"/>
        </w:rPr>
        <w:t>.</w:t>
      </w:r>
    </w:p>
    <w:p w14:paraId="2CF7564D" w14:textId="7232069E" w:rsidR="00D139F5" w:rsidRDefault="00D139F5" w:rsidP="00D139F5">
      <w:pPr>
        <w:spacing w:line="480" w:lineRule="auto"/>
        <w:rPr>
          <w:sz w:val="24"/>
          <w:szCs w:val="24"/>
        </w:rPr>
      </w:pPr>
      <w:r>
        <w:rPr>
          <w:sz w:val="24"/>
          <w:szCs w:val="24"/>
        </w:rPr>
        <w:t xml:space="preserve">In order to enable both approaches, the importance of reliable measurement methods and automation has been recognised </w:t>
      </w:r>
      <w:r w:rsidR="006F1D40" w:rsidRPr="0019690F">
        <w:rPr>
          <w:sz w:val="24"/>
          <w:szCs w:val="24"/>
        </w:rPr>
        <w:fldChar w:fldCharType="begin" w:fldLock="1"/>
      </w:r>
      <w:r w:rsidR="00705239">
        <w:rPr>
          <w:sz w:val="24"/>
          <w:szCs w:val="24"/>
        </w:rPr>
        <w:instrText>ADDIN CSL_CITATION {"citationItems":[{"id":"ITEM-1","itemData":{"DOI":"10.1016/j.nbt.2017.05.001","abstract":"A B S T R A C T The contribution of life sciences to the Knowledge-Based Bioeconomy (KBBE) asks for the transition of contemporary, gene-based biotechnology from being a trial-and-error endeavour to becoming an authentic branch of engineering. One requisite to this end is the need for standards to measure and represent accurately biological functions, along with languages for data description and exchange. However, the inherent complexity of biological systems and the lack of quantitative tradition in the field have largely curbed this enterprise. Fortunately, the onset of systems and synthetic biology has emphasized the need for standards not only to manage omics data, but also to increase reproducibility and provide the means of engineering living systems in earnest. Some domains of biotechnology can be easily standardized (e.g. physical composition of DNA sequences, tools for genome editing, languages to encode workflows), while others might be standardized with some dedicated research (e.g. biological metrology, operative systems for bio-programming cells) and finally others will require a considerable effort, e.g. defining the rules that allow functional composition of biological activities. Despite difficulties, these are worthy attempts, as the history of technology shows that those who set/adopt standards gain a competitive advantage over those who do not.","author":[{"dropping-particle":"","family":"Lorenzo","given":"Víctor","non-dropping-particle":"De","parse-names":false,"suffix":""},{"dropping-particle":"","family":"Schmidt","given":"Markus","non-dropping-particle":"","parse-names":false,"suffix":""}],"container-title":"New BIOTECHNOLOGY","id":"ITEM-1","issued":{"date-parts":[["2018"]]},"page":"170-180","title":"Biological standards for the Knowledge-Based BioEconomy: What is at stake","type":"article-journal","volume":"40"},"uris":["http://www.mendeley.com/documents/?uuid=48775a75-fb0a-33d1-913b-249030847be5"]}],"mendeley":{"formattedCitation":"&lt;sup&gt;7&lt;/sup&gt;","plainTextFormattedCitation":"7","previouslyFormattedCitation":"&lt;sup&gt;7&lt;/sup&gt;"},"properties":{"noteIndex":0},"schema":"https://github.com/citation-style-language/schema/raw/master/csl-citation.json"}</w:instrText>
      </w:r>
      <w:r w:rsidR="006F1D40" w:rsidRPr="0019690F">
        <w:rPr>
          <w:sz w:val="24"/>
          <w:szCs w:val="24"/>
        </w:rPr>
        <w:fldChar w:fldCharType="separate"/>
      </w:r>
      <w:r w:rsidR="000A7047" w:rsidRPr="000A7047">
        <w:rPr>
          <w:noProof/>
          <w:sz w:val="24"/>
          <w:szCs w:val="24"/>
          <w:vertAlign w:val="superscript"/>
        </w:rPr>
        <w:t>7</w:t>
      </w:r>
      <w:r w:rsidR="006F1D40" w:rsidRPr="0019690F">
        <w:rPr>
          <w:sz w:val="24"/>
          <w:szCs w:val="24"/>
        </w:rPr>
        <w:fldChar w:fldCharType="end"/>
      </w:r>
      <w:r>
        <w:rPr>
          <w:sz w:val="24"/>
          <w:szCs w:val="24"/>
        </w:rPr>
        <w:t>. Although plate readers are commonly used to characterise gene circuits, critical sample preparation and measurement settings are rarely reported</w:t>
      </w:r>
      <w:r w:rsidRPr="00044056">
        <w:rPr>
          <w:color w:val="FF0000"/>
          <w:sz w:val="24"/>
          <w:szCs w:val="24"/>
        </w:rPr>
        <w:t xml:space="preserve"> </w:t>
      </w:r>
      <w:r w:rsidR="006F1D40" w:rsidRPr="0019690F">
        <w:rPr>
          <w:sz w:val="24"/>
          <w:szCs w:val="24"/>
        </w:rPr>
        <w:fldChar w:fldCharType="begin" w:fldLock="1"/>
      </w:r>
      <w:r w:rsidR="00705239">
        <w:rPr>
          <w:sz w:val="24"/>
          <w:szCs w:val="24"/>
        </w:rPr>
        <w:instrText>ADDIN CSL_CITATION {"citationItems":[{"id":"ITEM-1","itemData":{"DOI":"10.1021/acssynbio.6b00198","ISSN":"2161-5063","abstract":"Plate-reader assays are commonly conducted to quantify the performance of synthetic biological systems. However, on the basis of a survey of 100 publications, we find that most publications do not report critical experimental settings of plate reader assays, suggesting widespread issues in their reproducibility. Specifically, critical plate reader settings, including shaking time and covering method, either vary between laboratories or are not reported by the publications. Here, we demonstrate that the settings of plate reader assays have a significant impact on bacterial growth, recombinant gene expression, and biofilm formation. Furthermore, we show that the plate reader settings affect the apparent activity, sensitivity, and chemical kinetics of synthetic constructs, as well as alter the apparent effectiveness of antibiotics. Our results suggest the critical need for consistent reporting of plate reader protocols to ensure the reproducibility of the protocols. In addition, our work provides data for th...","author":[{"dropping-particle":"","family":"Chavez","given":"Michael","non-dropping-particle":"","parse-names":false,"suffix":""},{"dropping-particle":"","family":"Ho","given":"Jonathan","non-dropping-particle":"","parse-names":false,"suffix":""},{"dropping-particle":"","family":"Tan","given":"Cheemeng","non-dropping-particle":"","parse-names":false,"suffix":""}],"container-title":"ACS Synthetic Biology","id":"ITEM-1","issue":"2","issued":{"date-parts":[["2017","2","17"]]},"page":"375-380","publisher":"American Chemical Society","title":"Reproducibility of High-Throughput Plate-Reader Experiments in Synthetic Biology","type":"article-journal","volume":"6"},"uris":["http://www.mendeley.com/documents/?uuid=51977333-3915-46f6-b9d7-f2b1a4345558"]}],"mendeley":{"formattedCitation":"&lt;sup&gt;8&lt;/sup&gt;","plainTextFormattedCitation":"8","previouslyFormattedCitation":"&lt;sup&gt;8&lt;/sup&gt;"},"properties":{"noteIndex":0},"schema":"https://github.com/citation-style-language/schema/raw/master/csl-citation.json"}</w:instrText>
      </w:r>
      <w:r w:rsidR="006F1D40" w:rsidRPr="0019690F">
        <w:rPr>
          <w:sz w:val="24"/>
          <w:szCs w:val="24"/>
        </w:rPr>
        <w:fldChar w:fldCharType="separate"/>
      </w:r>
      <w:r w:rsidR="000A7047" w:rsidRPr="000A7047">
        <w:rPr>
          <w:noProof/>
          <w:sz w:val="24"/>
          <w:szCs w:val="24"/>
          <w:vertAlign w:val="superscript"/>
        </w:rPr>
        <w:t>8</w:t>
      </w:r>
      <w:r w:rsidR="006F1D40" w:rsidRPr="0019690F">
        <w:rPr>
          <w:sz w:val="24"/>
          <w:szCs w:val="24"/>
        </w:rPr>
        <w:fldChar w:fldCharType="end"/>
      </w:r>
      <w:r>
        <w:rPr>
          <w:sz w:val="24"/>
          <w:szCs w:val="24"/>
        </w:rPr>
        <w:t xml:space="preserve">. Furthermore, results obtained in arbitrary units using undocumented plate reader settings are not comparable between experiments and across labs. Therefore, efforts towards better measurement practices and unit conversion from arbitrary units are currently being </w:t>
      </w:r>
      <w:r>
        <w:rPr>
          <w:sz w:val="24"/>
          <w:szCs w:val="24"/>
        </w:rPr>
        <w:lastRenderedPageBreak/>
        <w:t>promoted in order to ensure reproducibility across labs</w:t>
      </w:r>
      <w:r w:rsidR="006F1D40" w:rsidRPr="0019690F">
        <w:rPr>
          <w:sz w:val="24"/>
          <w:szCs w:val="24"/>
        </w:rPr>
        <w:fldChar w:fldCharType="begin" w:fldLock="1"/>
      </w:r>
      <w:r w:rsidR="00705239">
        <w:rPr>
          <w:sz w:val="24"/>
          <w:szCs w:val="24"/>
        </w:rPr>
        <w:instrText>ADDIN CSL_CITATION {"citationItems":[{"id":"ITEM-1","itemData":{"DOI":"10.1371/journal.pone.0150182","ISSN":"1932-6203","author":[{"dropping-particle":"","family":"Beal","given":"Jacob","non-dropping-particle":"","parse-names":false,"suffix":""},{"dropping-particle":"","family":"Haddock-Angelli","given":"Traci","non-dropping-particle":"","parse-names":false,"suffix":""},{"dropping-particle":"","family":"Gershater","given":"Markus","non-dropping-particle":"","parse-names":false,"suffix":""},{"dropping-particle":"","family":"Mora","given":"Kim","non-dropping-particle":"de","parse-names":false,"suffix":""},{"dropping-particle":"","family":"Lizarazo","given":"Meagan","non-dropping-particle":"","parse-names":false,"suffix":""},{"dropping-particle":"","family":"Hollenhorst","given":"Jim","non-dropping-particle":"","parse-names":false,"suffix":""},{"dropping-particle":"","family":"Rettberg","given":"Randy","non-dropping-particle":"","parse-names":false,"suffix":""},{"dropping-particle":"","family":"Contributors","given":"iGEM Interlab Study","non-dropping-particle":"","parse-names":false,"suffix":""}],"container-title":"PLOS ONE","editor":[{"dropping-particle":"","family":"Jones","given":"D. Dafydd","non-dropping-particle":"","parse-names":false,"suffix":""}],"id":"ITEM-1","issue":"3","issued":{"date-parts":[["2016","3","3"]]},"page":"e0150182","publisher":"Public Library of Science","title":"Reproducibility of Fluorescent Expression from Engineered Biological Constructs in E. coli","type":"article-journal","volume":"11"},"uris":["http://www.mendeley.com/documents/?uuid=06b6ed42-183b-3fba-b759-4024c6f82630"]}],"mendeley":{"formattedCitation":"&lt;sup&gt;9&lt;/sup&gt;","plainTextFormattedCitation":"9","previouslyFormattedCitation":"&lt;sup&gt;9&lt;/sup&gt;"},"properties":{"noteIndex":0},"schema":"https://github.com/citation-style-language/schema/raw/master/csl-citation.json"}</w:instrText>
      </w:r>
      <w:r w:rsidR="006F1D40" w:rsidRPr="0019690F">
        <w:rPr>
          <w:sz w:val="24"/>
          <w:szCs w:val="24"/>
        </w:rPr>
        <w:fldChar w:fldCharType="separate"/>
      </w:r>
      <w:r w:rsidR="000A7047" w:rsidRPr="000A7047">
        <w:rPr>
          <w:noProof/>
          <w:sz w:val="24"/>
          <w:szCs w:val="24"/>
          <w:vertAlign w:val="superscript"/>
        </w:rPr>
        <w:t>9</w:t>
      </w:r>
      <w:r w:rsidR="006F1D40" w:rsidRPr="0019690F">
        <w:rPr>
          <w:sz w:val="24"/>
          <w:szCs w:val="24"/>
        </w:rPr>
        <w:fldChar w:fldCharType="end"/>
      </w:r>
      <w:r>
        <w:rPr>
          <w:sz w:val="24"/>
          <w:szCs w:val="24"/>
        </w:rPr>
        <w:t>. Automation implicitly permits precise definition of liquid handling steps and thus increases reproducibility and reduces human error. Furthermore, automation makes it easier to test large numbers of replicates giving more accurate estimates of experimental error. Wider use of automation is also becoming accessible as biological foundries and ‘cloud-labs’ are being established across institutions worldwide</w:t>
      </w:r>
      <w:r w:rsidR="006F1D40" w:rsidRPr="0019690F">
        <w:rPr>
          <w:sz w:val="24"/>
          <w:szCs w:val="24"/>
        </w:rPr>
        <w:fldChar w:fldCharType="begin" w:fldLock="1"/>
      </w:r>
      <w:r w:rsidR="00705239">
        <w:rPr>
          <w:sz w:val="24"/>
          <w:szCs w:val="24"/>
        </w:rPr>
        <w:instrText>ADDIN CSL_CITATION {"citationItems":[{"id":"ITEM-1","itemData":{"DOI":"10.1016/j.ymben.2017.06.003","ISSN":"10967176","author":[{"dropping-particle":"","family":"Chao","given":"Ran","non-dropping-particle":"","parse-names":false,"suffix":""},{"dropping-particle":"","family":"Mishra","given":"Shekhar","non-dropping-particle":"","parse-names":false,"suffix":""},{"dropping-particle":"","family":"Si","given":"Tong","non-dropping-particle":"","parse-names":false,"suffix":""},{"dropping-particle":"","family":"Zhao","given":"Huimin","non-dropping-particle":"","parse-names":false,"suffix":""}],"container-title":"Metabolic Engineering","id":"ITEM-1","issued":{"date-parts":[["2017","7"]]},"page":"98-108","title":"Engineering biological systems using automated biofoundries","type":"article-journal","volume":"42"},"uris":["http://www.mendeley.com/documents/?uuid=76f086ae-83ed-332e-8381-44a20ad98876"]}],"mendeley":{"formattedCitation":"&lt;sup&gt;10&lt;/sup&gt;","plainTextFormattedCitation":"10","previouslyFormattedCitation":"&lt;sup&gt;10&lt;/sup&gt;"},"properties":{"noteIndex":0},"schema":"https://github.com/citation-style-language/schema/raw/master/csl-citation.json"}</w:instrText>
      </w:r>
      <w:r w:rsidR="006F1D40" w:rsidRPr="0019690F">
        <w:rPr>
          <w:sz w:val="24"/>
          <w:szCs w:val="24"/>
        </w:rPr>
        <w:fldChar w:fldCharType="separate"/>
      </w:r>
      <w:r w:rsidR="000A7047" w:rsidRPr="000A7047">
        <w:rPr>
          <w:noProof/>
          <w:sz w:val="24"/>
          <w:szCs w:val="24"/>
          <w:vertAlign w:val="superscript"/>
        </w:rPr>
        <w:t>10</w:t>
      </w:r>
      <w:r w:rsidR="006F1D40" w:rsidRPr="0019690F">
        <w:rPr>
          <w:sz w:val="24"/>
          <w:szCs w:val="24"/>
        </w:rPr>
        <w:fldChar w:fldCharType="end"/>
      </w:r>
      <w:r>
        <w:rPr>
          <w:sz w:val="24"/>
          <w:szCs w:val="24"/>
        </w:rPr>
        <w:t xml:space="preserve">, however robust measurement methods on automation platforms are still lacking and </w:t>
      </w:r>
      <w:r w:rsidRPr="00044056">
        <w:rPr>
          <w:sz w:val="24"/>
          <w:szCs w:val="24"/>
        </w:rPr>
        <w:t>further developments for genetic circuit testing are needed.</w:t>
      </w:r>
    </w:p>
    <w:p w14:paraId="27B69ED1" w14:textId="2BDCD3FC" w:rsidR="00D139F5" w:rsidRDefault="00D139F5" w:rsidP="00D139F5">
      <w:pPr>
        <w:spacing w:line="480" w:lineRule="auto"/>
        <w:rPr>
          <w:sz w:val="24"/>
          <w:szCs w:val="24"/>
        </w:rPr>
      </w:pPr>
      <w:r>
        <w:rPr>
          <w:sz w:val="24"/>
          <w:szCs w:val="24"/>
        </w:rPr>
        <w:t xml:space="preserve">Cell-free protein synthesis (CFPS) has been proposed as a useful prototyping method, as measurements </w:t>
      </w:r>
      <w:r>
        <w:rPr>
          <w:i/>
          <w:sz w:val="24"/>
          <w:szCs w:val="24"/>
        </w:rPr>
        <w:t>in vitro</w:t>
      </w:r>
      <w:r>
        <w:rPr>
          <w:sz w:val="24"/>
          <w:szCs w:val="24"/>
        </w:rPr>
        <w:t xml:space="preserve"> have been shown to have direct relevance to </w:t>
      </w:r>
      <w:r>
        <w:rPr>
          <w:i/>
          <w:sz w:val="24"/>
          <w:szCs w:val="24"/>
        </w:rPr>
        <w:t xml:space="preserve">in vivo </w:t>
      </w:r>
      <w:r w:rsidRPr="00044056">
        <w:rPr>
          <w:sz w:val="24"/>
          <w:szCs w:val="24"/>
        </w:rPr>
        <w:t>data</w:t>
      </w:r>
      <w:r w:rsidR="006F1D40">
        <w:rPr>
          <w:sz w:val="24"/>
          <w:szCs w:val="24"/>
        </w:rPr>
        <w:fldChar w:fldCharType="begin" w:fldLock="1"/>
      </w:r>
      <w:r w:rsidR="00705239">
        <w:rPr>
          <w:sz w:val="24"/>
          <w:szCs w:val="24"/>
        </w:rPr>
        <w:instrText>ADDIN CSL_CITATION {"citationItems":[{"id":"ITEM-1","itemData":{"DOI":"10.1093/nar/gkt052","author":[{"dropping-particle":"","family":"Chappell","given":"James","non-dropping-particle":"","parse-names":false,"suffix":""},{"dropping-particle":"","family":"Jensen","given":"Kirsten","non-dropping-particle":"","parse-names":false,"suffix":""},{"dropping-particle":"","family":"Freemont","given":"Paul S","non-dropping-particle":"","parse-names":false,"suffix":""}],"id":"ITEM-1","issue":"5","issued":{"date-parts":[["2013"]]},"page":"3471-3481","title":"Validation of an entirely in vitro approach for rapid prototyping of DNA regulatory elements for synthetic biology","type":"article-journal","volume":"41"},"uris":["http://www.mendeley.com/documents/?uuid=461f230e-fec8-4a30-b278-38cdc99506fa"]},{"id":"ITEM-2","itemData":{"DOI":"10.1101/cshperspect.a023853","PMID":"27742731","author":[{"dropping-particle":"","family":"Perez","given":"Jessica G","non-dropping-particle":"","parse-names":false,"suffix":""},{"dropping-particle":"","family":"Stark","given":"Jessica C","non-dropping-particle":"","parse-names":false,"suffix":""},{"dropping-particle":"","family":"Jewett","given":"Michael C","non-dropping-particle":"","parse-names":false,"suffix":""}],"container-title":"Cold Spring Harbor perspectives in biology","id":"ITEM-2","issue":"12","issued":{"date-parts":[["2016"]]},"page":"a023853","publisher":"Cold Spring Harbor Laboratory Press","title":"Cell-Free Synthetic Biology: Engineering Beyond the Cell","type":"article-journal","volume":"8"},"uris":["http://www.mendeley.com/documents/?uuid=04671c8b-754e-4008-a5c1-05fc644825c5"]}],"mendeley":{"formattedCitation":"&lt;sup&gt;11,12&lt;/sup&gt;","plainTextFormattedCitation":"11,12","previouslyFormattedCitation":"&lt;sup&gt;11,12&lt;/sup&gt;"},"properties":{"noteIndex":0},"schema":"https://github.com/citation-style-language/schema/raw/master/csl-citation.json"}</w:instrText>
      </w:r>
      <w:r w:rsidR="006F1D40">
        <w:rPr>
          <w:sz w:val="24"/>
          <w:szCs w:val="24"/>
        </w:rPr>
        <w:fldChar w:fldCharType="separate"/>
      </w:r>
      <w:r w:rsidR="000A7047" w:rsidRPr="000A7047">
        <w:rPr>
          <w:noProof/>
          <w:sz w:val="24"/>
          <w:szCs w:val="24"/>
          <w:vertAlign w:val="superscript"/>
        </w:rPr>
        <w:t>11,12</w:t>
      </w:r>
      <w:r w:rsidR="006F1D40">
        <w:rPr>
          <w:sz w:val="24"/>
          <w:szCs w:val="24"/>
        </w:rPr>
        <w:fldChar w:fldCharType="end"/>
      </w:r>
      <w:r>
        <w:rPr>
          <w:sz w:val="24"/>
          <w:szCs w:val="24"/>
        </w:rPr>
        <w:t xml:space="preserve">. </w:t>
      </w:r>
      <w:r w:rsidRPr="00044056">
        <w:rPr>
          <w:sz w:val="24"/>
          <w:szCs w:val="24"/>
        </w:rPr>
        <w:t>CFPS systems can be classified according to their originating cell-type (e.g. bacterial, yeast, mammalian) and reaction type (e.g. batch or continuous) and have many advantages over traditional cell-based methods including cost, speed, throughput and automatability</w:t>
      </w:r>
      <w:r>
        <w:rPr>
          <w:sz w:val="24"/>
          <w:szCs w:val="24"/>
        </w:rPr>
        <w:t>. There are several alternative approaches to CFPS automation, including reactions run in microchips</w:t>
      </w:r>
      <w:r w:rsidR="00261B9A" w:rsidRPr="0019690F">
        <w:rPr>
          <w:sz w:val="24"/>
          <w:szCs w:val="24"/>
        </w:rPr>
        <w:fldChar w:fldCharType="begin" w:fldLock="1"/>
      </w:r>
      <w:r w:rsidR="00705239">
        <w:rPr>
          <w:sz w:val="24"/>
          <w:szCs w:val="24"/>
        </w:rPr>
        <w:instrText>ADDIN CSL_CITATION {"citationItems":[{"id":"ITEM-1","itemData":{"DOI":"10.2494/photopolymer.28.719","ISSN":"0914-9244","author":[{"dropping-particle":"","family":"Ueno","given":"Shingo","non-dropping-particle":"","parse-names":false,"suffix":""},{"dropping-particle":"","family":"Hirai","given":"Tatsunori","non-dropping-particle":"","parse-names":false,"suffix":""},{"dropping-particle":"","family":"Sato","given":"Shusuke","non-dropping-particle":"","parse-names":false,"suffix":""},{"dropping-particle":"","family":"Biyani","given":"Manish","non-dropping-particle":"","parse-names":false,"suffix":""},{"dropping-particle":"","family":"Kuramochi","given":"Hiromi","non-dropping-particle":"","parse-names":false,"suffix":""},{"dropping-particle":"","family":"Iizuka","given":"Ryo","non-dropping-particle":"","parse-names":false,"suffix":""},{"dropping-particle":"","family":"Akagi","given":"Takanori","non-dropping-particle":"","parse-names":false,"suffix":""},{"dropping-particle":"","family":"Funatsu","given":"Takashi","non-dropping-particle":"","parse-names":false,"suffix":""},{"dropping-particle":"","family":"Ichiki","given":"Takanori","non-dropping-particle":"","parse-names":false,"suffix":""}],"container-title":"Journal of Photopolymer Science and Technology","id":"ITEM-1","issue":"5","issued":{"date-parts":[["2015","6","22"]]},"page":"719-725","publisher":"The Society of Photopolymer Science and Technology(SPST)","title":"In situ Synthesis and Immobilization of Enzyme Molecules on Microreactor Array Chips","type":"article-journal","volume":"28"},"uris":["http://www.mendeley.com/documents/?uuid=ce1b216c-e709-3b8d-993a-e28326f49f43"]}],"mendeley":{"formattedCitation":"&lt;sup&gt;13&lt;/sup&gt;","plainTextFormattedCitation":"13","previouslyFormattedCitation":"&lt;sup&gt;13&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13</w:t>
      </w:r>
      <w:r w:rsidR="00261B9A" w:rsidRPr="0019690F">
        <w:rPr>
          <w:sz w:val="24"/>
          <w:szCs w:val="24"/>
        </w:rPr>
        <w:fldChar w:fldCharType="end"/>
      </w:r>
      <w:r>
        <w:rPr>
          <w:sz w:val="24"/>
          <w:szCs w:val="24"/>
        </w:rPr>
        <w:t>, microfluidic chambers</w:t>
      </w:r>
      <w:r w:rsidR="00261B9A" w:rsidRPr="0019690F">
        <w:rPr>
          <w:sz w:val="24"/>
          <w:szCs w:val="24"/>
        </w:rPr>
        <w:fldChar w:fldCharType="begin" w:fldLock="1"/>
      </w:r>
      <w:r w:rsidR="00705239">
        <w:rPr>
          <w:sz w:val="24"/>
          <w:szCs w:val="24"/>
        </w:rPr>
        <w:instrText>ADDIN CSL_CITATION {"citationItems":[{"id":"ITEM-1","itemData":{"DOI":"10.1002/bit.25668","ISSN":"00063592","author":[{"dropping-particle":"","family":"Jackson","given":"Kirsten","non-dropping-particle":"","parse-names":false,"suffix":""},{"dropping-particle":"","family":"Jin","given":"Shouguang","non-dropping-particle":"","parse-names":false,"suffix":""},{"dropping-particle":"","family":"Fan","given":"Z. Hugh","non-dropping-particle":"","parse-names":false,"suffix":""}],"container-title":"Biotechnology and Bioengineering","id":"ITEM-1","issue":"12","issued":{"date-parts":[["2015","12","1"]]},"page":"2459-2467","title":"Optimization of a miniaturized fluid array device for cell-free protein synthesis","type":"article-journal","volume":"112"},"uris":["http://www.mendeley.com/documents/?uuid=14da6fcb-9bb1-4046-b5ab-d00625536af2"]},{"id":"ITEM-2","itemData":{"DOI":"10.7554/eLife.09771","ISSN":"2050-084X","abstract":"While complex dynamic biological networks control gene expression in all living organisms, the forward engineering of comparable synthetic networks remains challenging. The current paradigm of characterizing synthetic networks in cells results in lengthy design-build-test cycles, minimal data collection, and poor quantitative characterization. Cell-free systems are appealing alternative environments, but it remains questionable whether biological networks behave similarly in cell-free systems and in cells. We characterized in a cell-free system the ‘repressilator’, a three-node synthetic oscillator. We then engineered novel three, four, and five-gene ring architectures, from characterization of circuit components to rapid analysis of complete networks. When implemented in cells, our novel 3-node networks produced population-wide oscillations and 95% of 5-node oscillator cells oscillated for up to 72 hr. Oscillation periods in cells matched the cell-free system results for all networks tested. An alternate forward engineering paradigm using cell-free systems can thus accurately capture cellular behavior.","author":[{"dropping-particle":"","family":"Niederholtmeyer","given":"Henrike","non-dropping-particle":"","parse-names":false,"suffix":""},{"dropping-particle":"","family":"Sun","given":"Zachary Z","non-dropping-particle":"","parse-names":false,"suffix":""},{"dropping-particle":"","family":"Hori","given":"Yutaka","non-dropping-particle":"","parse-names":false,"suffix":""},{"dropping-particle":"","family":"Yeung","given":"Enoch","non-dropping-particle":"","parse-names":false,"suffix":""},{"dropping-particle":"","family":"Verpoorte","given":"Amanda","non-dropping-particle":"","parse-names":false,"suffix":""},{"dropping-particle":"","family":"Murray","given":"Richard M","non-dropping-particle":"","parse-names":false,"suffix":""},{"dropping-particle":"","family":"Maerkl","given":"Sebastian J","non-dropping-particle":"","parse-names":false,"suffix":""},{"dropping-particle":"","family":"Fe","given":"Polytechnique","non-dropping-particle":"","parse-names":false,"suffix":""}],"container-title":"eLife","id":"ITEM-2","issued":{"date-parts":[["2015","10","5"]]},"publisher":"eLife Sciences Publications Limited","title":"Rapid cell-free forward engineering of novel genetic ring oscillators","type":"article-journal","volume":"4"},"uris":["http://www.mendeley.com/documents/?uuid=5b639f79-f111-4319-9d33-6ee5aa379904"]}],"mendeley":{"formattedCitation":"&lt;sup&gt;14,15&lt;/sup&gt;","plainTextFormattedCitation":"14,15","previouslyFormattedCitation":"&lt;sup&gt;14,15&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14,15</w:t>
      </w:r>
      <w:r w:rsidR="00261B9A" w:rsidRPr="0019690F">
        <w:rPr>
          <w:sz w:val="24"/>
          <w:szCs w:val="24"/>
        </w:rPr>
        <w:fldChar w:fldCharType="end"/>
      </w:r>
      <w:r>
        <w:rPr>
          <w:sz w:val="24"/>
          <w:szCs w:val="24"/>
        </w:rPr>
        <w:t xml:space="preserve"> and even on paper</w:t>
      </w:r>
      <w:r w:rsidR="00261B9A" w:rsidRPr="0019690F">
        <w:rPr>
          <w:sz w:val="24"/>
          <w:szCs w:val="24"/>
        </w:rPr>
        <w:fldChar w:fldCharType="begin" w:fldLock="1"/>
      </w:r>
      <w:r w:rsidR="00705239">
        <w:rPr>
          <w:sz w:val="24"/>
          <w:szCs w:val="24"/>
        </w:rPr>
        <w:instrText>ADDIN CSL_CITATION {"citationItems":[{"id":"ITEM-1","itemData":{"DOI":"10.1016/j.cell.2014.10.004","ISSN":"0092-8674","author":[{"dropping-particle":"","family":"Pardee","given":"Keith","non-dropping-particle":"","parse-names":false,"suffix":""},{"dropping-particle":"","family":"Green","given":"Alexander A","non-dropping-particle":"","parse-names":false,"suffix":""},{"dropping-particle":"","family":"Ferrante","given":"Tom","non-dropping-particle":"","parse-names":false,"suffix":""},{"dropping-particle":"","family":"Cameron","given":"D Ewen","non-dropping-particle":"","parse-names":false,"suffix":""},{"dropping-particle":"","family":"Daleykeyser","given":"Ajay","non-dropping-particle":"","parse-names":false,"suffix":""},{"dropping-particle":"","family":"Yin","given":"Peng","non-dropping-particle":"","parse-names":false,"suffix":""}],"container-title":"Cell","id":"ITEM-1","issued":{"date-parts":[["2014"]]},"page":"1-15","publisher":"Elsevier Inc.","title":"Paper-based synthetic gene networks","type":"article-journal"},"uris":["http://www.mendeley.com/documents/?uuid=97db0124-a3c8-4395-98ba-5916ebf3a8ad"]}],"mendeley":{"formattedCitation":"&lt;sup&gt;16&lt;/sup&gt;","plainTextFormattedCitation":"16","previouslyFormattedCitation":"&lt;sup&gt;16&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16</w:t>
      </w:r>
      <w:r w:rsidR="00261B9A" w:rsidRPr="0019690F">
        <w:rPr>
          <w:sz w:val="24"/>
          <w:szCs w:val="24"/>
        </w:rPr>
        <w:fldChar w:fldCharType="end"/>
      </w:r>
      <w:r>
        <w:rPr>
          <w:sz w:val="24"/>
          <w:szCs w:val="24"/>
        </w:rPr>
        <w:t>. Acoustic liquid handling with microplates is an increasingly popular choice as high-throughput transfers of small volumes (</w:t>
      </w:r>
      <w:proofErr w:type="spellStart"/>
      <w:r>
        <w:rPr>
          <w:sz w:val="24"/>
          <w:szCs w:val="24"/>
        </w:rPr>
        <w:t>nL</w:t>
      </w:r>
      <w:proofErr w:type="spellEnd"/>
      <w:r>
        <w:rPr>
          <w:sz w:val="24"/>
          <w:szCs w:val="24"/>
        </w:rPr>
        <w:t xml:space="preserve"> range) can be achieved with multiple assays performed simultaneously </w:t>
      </w:r>
      <w:r w:rsidR="00261B9A" w:rsidRPr="0019690F">
        <w:rPr>
          <w:sz w:val="24"/>
          <w:szCs w:val="24"/>
        </w:rPr>
        <w:fldChar w:fldCharType="begin" w:fldLock="1"/>
      </w:r>
      <w:r w:rsidR="00705239">
        <w:rPr>
          <w:sz w:val="24"/>
          <w:szCs w:val="24"/>
        </w:rPr>
        <w:instrText>ADDIN CSL_CITATION {"citationItems":[{"id":"ITEM-1","itemData":{"DOI":"10.1073/pnas.1715806115","ISSN":"1091-6490","PMID":"29666238","abstract":"Native cell-free transcription-translation systems offer a rapid route to characterize the regulatory elements (promoters, transcription factors) for gene expression from nonmodel microbial hosts, which can be difficult to assess through traditional in vivo approaches. One such host, Bacillus megaterium, is a giant Gram-positive bacterium with potential biotechnology applications, although many of its regulatory elements remain uncharacterized. Here, we have developed a rapid automated platform for measuring and modeling in vitro cell-free reactions and have applied this to B. megaterium to quantify a range of ribosome binding site variants and previously uncharacterized endogenous constitutive and inducible promoters. To provide quantitative models for cell-free systems, we have also applied a Bayesian approach to infer ordinary differential equation model parameters by simultaneously using time-course data from multiple experimental conditions. Using this modeling framework, we were able to infer previously unknown transcription factor binding affinities and quantify the sharing of cell-free transcription-translation resources (energy, ribosomes, RNA polymerases, nucleotides, and amino acids) using a promoter competition experiment. This allows insights into resource limiting-factors in batch cell-free synthesis mode. Our combined automated and modeling platform allows for the rapid acquisition and model-based analysis of cell-free transcription-translation data from uncharacterized microbial cell hosts, as well as resource competition within cell-free systems, which potentially can be applied to a range of cell-free synthetic biology and biotechnology applications.","author":[{"dropping-particle":"","family":"Moore","given":"Simon J","non-dropping-particle":"","parse-names":false,"suffix":""},{"dropping-particle":"","family":"MacDonald","given":"James T","non-dropping-particle":"","parse-names":false,"suffix":""},{"dropping-particle":"","family":"Wienecke","given":"Sarah","non-dropping-particle":"","parse-names":false,"suffix":""},{"dropping-particle":"","family":"Ishwarbhai","given":"Alka","non-dropping-particle":"","parse-names":false,"suffix":""},{"dropping-particle":"","family":"Tsipa","given":"Argyro","non-dropping-particle":"","parse-names":false,"suffix":""},{"dropping-particle":"","family":"Aw","given":"Rochelle","non-dropping-particle":"","parse-names":false,"suffix":""},{"dropping-particle":"","family":"Kylilis","given":"Nicolas","non-dropping-particle":"","parse-names":false,"suffix":""},{"dropping-particle":"","family":"Bell","given":"David J","non-dropping-particle":"","parse-names":false,"suffix":""},{"dropping-particle":"","family":"McClymont","given":"David W","non-dropping-particle":"","parse-names":false,"suffix":""},{"dropping-particle":"","family":"Jensen","given":"Kirsten","non-dropping-particle":"","parse-names":false,"suffix":""},{"dropping-particle":"","family":"Polizzi","given":"Karen M","non-dropping-particle":"","parse-names":false,"suffix":""},{"dropping-particle":"","family":"Biedendieck","given":"Rebekka","non-dropping-particle":"","parse-names":false,"suffix":""},{"dropping-particle":"","family":"Freemont","given":"Paul S","non-dropping-particle":"","parse-names":false,"suffix":""}],"container-title":"Proceedings of the National Academy of Sciences of the United States of America","id":"ITEM-1","issue":"19","issued":{"date-parts":[["2018","5","8"]]},"page":"E4340-E4349","publisher":"National Academy of Sciences","title":"Rapid acquisition and model-based analysis of cell-free transcription-translation reactions from nonmodel bacteria.","type":"article-journal","volume":"115"},"uris":["http://www.mendeley.com/documents/?uuid=cc5b94d2-d68a-363c-9d6c-1616485a1c5e"]}],"mendeley":{"formattedCitation":"&lt;sup&gt;17&lt;/sup&gt;","plainTextFormattedCitation":"17","previouslyFormattedCitation":"&lt;sup&gt;17&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17</w:t>
      </w:r>
      <w:r w:rsidR="00261B9A" w:rsidRPr="0019690F">
        <w:rPr>
          <w:sz w:val="24"/>
          <w:szCs w:val="24"/>
        </w:rPr>
        <w:fldChar w:fldCharType="end"/>
      </w:r>
      <w:r>
        <w:rPr>
          <w:sz w:val="24"/>
          <w:szCs w:val="24"/>
        </w:rPr>
        <w:t>. Furthermore, CFPS can accept linear as well as plasmid DNA allowing PCR products to be tested directly</w:t>
      </w:r>
      <w:r w:rsidR="00261B9A" w:rsidRPr="0019690F">
        <w:rPr>
          <w:sz w:val="24"/>
          <w:szCs w:val="24"/>
        </w:rPr>
        <w:fldChar w:fldCharType="begin" w:fldLock="1"/>
      </w:r>
      <w:r w:rsidR="00705239">
        <w:rPr>
          <w:sz w:val="24"/>
          <w:szCs w:val="24"/>
        </w:rPr>
        <w:instrText>ADDIN CSL_CITATION {"citationItems":[{"id":"ITEM-1","itemData":{"DOI":"10.1021/sb400131a","ISSN":"2161-5063","PMID":"24303785","abstract":"Accelerating the pace of synthetic biology experiments requires new approaches for rapid prototyping of circuits from individual DNA regulatory elements. However, current testing standards require days to weeks due to cloning and in vivo transformation. In this work, we first characterized methods to protect linear DNA strands from exonuclease degradation in an Escherichia coli based transcription-translation cell-free system (TX-TL), as well as mechanisms of degradation. This enabled the use of linear DNA PCR products in TX-TL. We then compared expression levels and binding dynamics of different promoters on linear DNA and plasmid DNA. We also demonstrated assembly technology to rapidly build circuits entirely in vitro from separate parts. Using this strategy, we prototyped a four component genetic switch in under 8 h entirely in vitro. Rapid in vitro assembly has future applications for prototyping multiple component circuits if combined with predictive computational models.","author":[{"dropping-particle":"","family":"Sun","given":"Zachary Z.","non-dropping-particle":"","parse-names":false,"suffix":""},{"dropping-particle":"","family":"Yeung","given":"Enoch","non-dropping-particle":"","parse-names":false,"suffix":""},{"dropping-particle":"","family":"Hayes","given":"Clarmyra A.","non-dropping-particle":"","parse-names":false,"suffix":""},{"dropping-particle":"","family":"Noireaux","given":"Vincent","non-dropping-particle":"","parse-names":false,"suffix":""},{"dropping-particle":"","family":"Murray","given":"Richard M.","non-dropping-particle":"","parse-names":false,"suffix":""}],"container-title":"ACS synthetic biology","id":"ITEM-1","issue":"6","issued":{"date-parts":[["2014","6","20"]]},"page":"387-97","publisher":"American Chemical Society","title":"Linear DNA for rapid prototyping of synthetic biological circuits in an Escherichia coli based TX-TL cell-free system.","type":"article-journal","volume":"3"},"uris":["http://www.mendeley.com/documents/?uuid=f3a2d7b1-49a6-4610-aa5e-34ccb2bcd1fa"]}],"mendeley":{"formattedCitation":"&lt;sup&gt;18&lt;/sup&gt;","plainTextFormattedCitation":"18","previouslyFormattedCitation":"&lt;sup&gt;18&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18</w:t>
      </w:r>
      <w:r w:rsidR="00261B9A" w:rsidRPr="0019690F">
        <w:rPr>
          <w:sz w:val="24"/>
          <w:szCs w:val="24"/>
        </w:rPr>
        <w:fldChar w:fldCharType="end"/>
      </w:r>
      <w:r>
        <w:rPr>
          <w:sz w:val="24"/>
          <w:szCs w:val="24"/>
        </w:rPr>
        <w:t>. The precise control over the components and the simplicity of the reaction (no cell division, no adaptation) also provide additional advantages for mathematical modelling in terms of model parameterisation</w:t>
      </w:r>
      <w:r w:rsidR="00261B9A">
        <w:rPr>
          <w:sz w:val="24"/>
          <w:szCs w:val="24"/>
        </w:rPr>
        <w:fldChar w:fldCharType="begin" w:fldLock="1"/>
      </w:r>
      <w:r w:rsidR="00705239">
        <w:rPr>
          <w:sz w:val="24"/>
          <w:szCs w:val="24"/>
        </w:rPr>
        <w:instrText>ADDIN CSL_CITATION {"citationItems":[{"id":"ITEM-1","itemData":{"DOI":"10.1073/pnas.1715806115","ISSN":"1091-6490","PMID":"29666238","abstract":"Native cell-free transcription-translation systems offer a rapid route to characterize the regulatory elements (promoters, transcription factors) for gene expression from nonmodel microbial hosts, which can be difficult to assess through traditional in vivo approaches. One such host, Bacillus megaterium, is a giant Gram-positive bacterium with potential biotechnology applications, although many of its regulatory elements remain uncharacterized. Here, we have developed a rapid automated platform for measuring and modeling in vitro cell-free reactions and have applied this to B. megaterium to quantify a range of ribosome binding site variants and previously uncharacterized endogenous constitutive and inducible promoters. To provide quantitative models for cell-free systems, we have also applied a Bayesian approach to infer ordinary differential equation model parameters by simultaneously using time-course data from multiple experimental conditions. Using this modeling framework, we were able to infer previously unknown transcription factor binding affinities and quantify the sharing of cell-free transcription-translation resources (energy, ribosomes, RNA polymerases, nucleotides, and amino acids) using a promoter competition experiment. This allows insights into resource limiting-factors in batch cell-free synthesis mode. Our combined automated and modeling platform allows for the rapid acquisition and model-based analysis of cell-free transcription-translation data from uncharacterized microbial cell hosts, as well as resource competition within cell-free systems, which potentially can be applied to a range of cell-free synthetic biology and biotechnology applications.","author":[{"dropping-particle":"","family":"Moore","given":"Simon J","non-dropping-particle":"","parse-names":false,"suffix":""},{"dropping-particle":"","family":"MacDonald","given":"James T","non-dropping-particle":"","parse-names":false,"suffix":""},{"dropping-particle":"","family":"Wienecke","given":"Sarah","non-dropping-particle":"","parse-names":false,"suffix":""},{"dropping-particle":"","family":"Ishwarbhai","given":"Alka","non-dropping-particle":"","parse-names":false,"suffix":""},{"dropping-particle":"","family":"Tsipa","given":"Argyro","non-dropping-particle":"","parse-names":false,"suffix":""},{"dropping-particle":"","family":"Aw","given":"Rochelle","non-dropping-particle":"","parse-names":false,"suffix":""},{"dropping-particle":"","family":"Kylilis","given":"Nicolas","non-dropping-particle":"","parse-names":false,"suffix":""},{"dropping-particle":"","family":"Bell","given":"David J","non-dropping-particle":"","parse-names":false,"suffix":""},{"dropping-particle":"","family":"McClymont","given":"David W","non-dropping-particle":"","parse-names":false,"suffix":""},{"dropping-particle":"","family":"Jensen","given":"Kirsten","non-dropping-particle":"","parse-names":false,"suffix":""},{"dropping-particle":"","family":"Polizzi","given":"Karen M","non-dropping-particle":"","parse-names":false,"suffix":""},{"dropping-particle":"","family":"Biedendieck","given":"Rebekka","non-dropping-particle":"","parse-names":false,"suffix":""},{"dropping-particle":"","family":"Freemont","given":"Paul S","non-dropping-particle":"","parse-names":false,"suffix":""}],"container-title":"Proceedings of the National Academy of Sciences of the United States of America","id":"ITEM-1","issue":"19","issued":{"date-parts":[["2018","5","8"]]},"page":"E4340-E4349","publisher":"National Academy of Sciences","title":"Rapid acquisition and model-based analysis of cell-free transcription-translation reactions from nonmodel bacteria.","type":"article-journal","volume":"115"},"uris":["http://www.mendeley.com/documents/?uuid=cc5b94d2-d68a-363c-9d6c-1616485a1c5e"]}],"mendeley":{"formattedCitation":"&lt;sup&gt;17&lt;/sup&gt;","plainTextFormattedCitation":"17","previouslyFormattedCitation":"&lt;sup&gt;17&lt;/sup&gt;"},"properties":{"noteIndex":0},"schema":"https://github.com/citation-style-language/schema/raw/master/csl-citation.json"}</w:instrText>
      </w:r>
      <w:r w:rsidR="00261B9A">
        <w:rPr>
          <w:sz w:val="24"/>
          <w:szCs w:val="24"/>
        </w:rPr>
        <w:fldChar w:fldCharType="separate"/>
      </w:r>
      <w:r w:rsidR="000A7047" w:rsidRPr="000A7047">
        <w:rPr>
          <w:noProof/>
          <w:sz w:val="24"/>
          <w:szCs w:val="24"/>
          <w:vertAlign w:val="superscript"/>
        </w:rPr>
        <w:t>17</w:t>
      </w:r>
      <w:r w:rsidR="00261B9A">
        <w:rPr>
          <w:sz w:val="24"/>
          <w:szCs w:val="24"/>
        </w:rPr>
        <w:fldChar w:fldCharType="end"/>
      </w:r>
      <w:r>
        <w:rPr>
          <w:sz w:val="24"/>
          <w:szCs w:val="24"/>
        </w:rPr>
        <w:t>.</w:t>
      </w:r>
    </w:p>
    <w:p w14:paraId="23F77F69" w14:textId="16D7274C" w:rsidR="00D139F5" w:rsidRDefault="00D139F5" w:rsidP="00D139F5">
      <w:pPr>
        <w:spacing w:line="480" w:lineRule="auto"/>
        <w:rPr>
          <w:sz w:val="24"/>
          <w:szCs w:val="24"/>
        </w:rPr>
      </w:pPr>
      <w:r>
        <w:rPr>
          <w:sz w:val="24"/>
          <w:szCs w:val="24"/>
        </w:rPr>
        <w:t>Various mammalian CFPS systems have been developed including CHO cell, HeLa cell and Rabbit Reticulocyte extracts</w:t>
      </w:r>
      <w:r w:rsidR="00261B9A" w:rsidRPr="0019690F">
        <w:rPr>
          <w:sz w:val="24"/>
          <w:szCs w:val="24"/>
        </w:rPr>
        <w:fldChar w:fldCharType="begin" w:fldLock="1"/>
      </w:r>
      <w:r w:rsidR="00705239">
        <w:rPr>
          <w:sz w:val="24"/>
          <w:szCs w:val="24"/>
        </w:rPr>
        <w:instrText>ADDIN CSL_CITATION {"citationItems":[{"id":"ITEM-1","itemData":{"DOI":"10.2144/000114327","ISSN":"1940-9818","PMID":"26345507","abstract":"Cell-free protein synthesis (CFPS) allows researchers to rapidly generate functional proteins independent of cell culture. Although advances in eukaryotic lysates have increased the amount of protein that can be produced, the nuances of different translation systems lead to variability in protein production. To help overcome this problem, we have compared the relative yield and template requirements for three commonly used commercial cell-free translation systems: wheat germ extract (WGE), rabbit reticulocyte lysate (RRL), and HeLa cell lysate (HCL). Our results provide a general guide for researchers interested in using cell-free translation to generate recombinant protein for biomedical applications.","author":[{"dropping-particle":"","family":"Hartsough","given":"Emily M","non-dropping-particle":"","parse-names":false,"suffix":""},{"dropping-particle":"","family":"Shah","given":"Pankti","non-dropping-particle":"","parse-names":false,"suffix":""},{"dropping-particle":"","family":"Larsen","given":"Andrew C","non-dropping-particle":"","parse-names":false,"suffix":""},{"dropping-particle":"","family":"Chaput","given":"John C","non-dropping-particle":"","parse-names":false,"suffix":""}],"container-title":"BioTechniques","id":"ITEM-1","issue":"3","issued":{"date-parts":[["2015","9"]]},"page":"149-51","title":"Comparative analysis of eukaryotic cell-free expression systems.","type":"article-journal","volume":"59"},"uris":["http://www.mendeley.com/documents/?uuid=86c29e29-1549-45f9-a155-e8794e6fbede"]}],"mendeley":{"formattedCitation":"&lt;sup&gt;19&lt;/sup&gt;","plainTextFormattedCitation":"19","previouslyFormattedCitation":"&lt;sup&gt;19&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19</w:t>
      </w:r>
      <w:r w:rsidR="00261B9A" w:rsidRPr="0019690F">
        <w:rPr>
          <w:sz w:val="24"/>
          <w:szCs w:val="24"/>
        </w:rPr>
        <w:fldChar w:fldCharType="end"/>
      </w:r>
      <w:r>
        <w:rPr>
          <w:sz w:val="24"/>
          <w:szCs w:val="24"/>
        </w:rPr>
        <w:t>, with applications typically aiming to produce otherwise difficult-to-express proteins</w:t>
      </w:r>
      <w:r w:rsidR="00261B9A" w:rsidRPr="0019690F">
        <w:rPr>
          <w:sz w:val="24"/>
          <w:szCs w:val="24"/>
        </w:rPr>
        <w:fldChar w:fldCharType="begin" w:fldLock="1"/>
      </w:r>
      <w:r w:rsidR="00705239">
        <w:rPr>
          <w:sz w:val="24"/>
          <w:szCs w:val="24"/>
        </w:rPr>
        <w:instrText>ADDIN CSL_CITATION {"citationItems":[{"id":"ITEM-1","itemData":{"DOI":"10.1038/s41598-017-12188-8","ISSN":"2045-2322","author":[{"dropping-particle":"","family":"Thoring","given":"Lena","non-dropping-particle":"","parse-names":false,"suffix":""},{"dropping-particle":"","family":"Dondapati","given":"Srujan K.","non-dropping-particle":"","parse-names":false,"suffix":""},{"dropping-particle":"","family":"Stech","given":"Marlitt","non-dropping-particle":"","parse-names":false,"suffix":""},{"dropping-particle":"","family":"Wüstenhagen","given":"Doreen A.","non-dropping-particle":"","parse-names":false,"suffix":""},{"dropping-particle":"","family":"Kubick","given":"Stefan","non-dropping-particle":"","parse-names":false,"suffix":""}],"container-title":"Scientific Reports","id":"ITEM-1","issue":"1","issued":{"date-parts":[["2017","12","15"]]},"page":"11710","title":"High-yield production of “difficult-to-express” proteins in a continuous exchange cell-free system based on CHO cell lysates","type":"article-journal","volume":"7"},"uris":["http://www.mendeley.com/documents/?uuid=d7b6e36c-4520-3d9f-98ad-fab967e38b1f"]}],"mendeley":{"formattedCitation":"&lt;sup&gt;20&lt;/sup&gt;","plainTextFormattedCitation":"20","previouslyFormattedCitation":"&lt;sup&gt;20&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20</w:t>
      </w:r>
      <w:r w:rsidR="00261B9A" w:rsidRPr="0019690F">
        <w:rPr>
          <w:sz w:val="24"/>
          <w:szCs w:val="24"/>
        </w:rPr>
        <w:fldChar w:fldCharType="end"/>
      </w:r>
      <w:r>
        <w:rPr>
          <w:sz w:val="24"/>
          <w:szCs w:val="24"/>
        </w:rPr>
        <w:t xml:space="preserve">. Mammalian CFPS has also been used in proteomic research for </w:t>
      </w:r>
      <w:r>
        <w:rPr>
          <w:sz w:val="24"/>
          <w:szCs w:val="24"/>
        </w:rPr>
        <w:lastRenderedPageBreak/>
        <w:t>generating arrays of protein antigens</w:t>
      </w:r>
      <w:r w:rsidR="00261B9A" w:rsidRPr="0019690F">
        <w:rPr>
          <w:sz w:val="24"/>
          <w:szCs w:val="24"/>
        </w:rPr>
        <w:fldChar w:fldCharType="begin" w:fldLock="1"/>
      </w:r>
      <w:r w:rsidR="00705239">
        <w:rPr>
          <w:sz w:val="24"/>
          <w:szCs w:val="24"/>
        </w:rPr>
        <w:instrText>ADDIN CSL_CITATION {"citationItems":[{"id":"ITEM-1","itemData":{"DOI":"10.4155/bio.16.31","ISSN":"1757-6180","abstract":"Autoantibodies are a key component for the diagnosis, prognosis and monitoring of various diseases. In order to discover novel autoantibody targets, highly multiplexed assays based on antigen arrays hold a great potential and provide possibilities to analyze hundreds of body fluid samples for their reactivity pattern against thousands of antigens in parallel. Here, we provide an overview of the available technologies for producing antigen arrays, highlight some of the technical and methodological considerations and discuss their applications as discovery tools. Together with recent studies utilizing antigen arrays, we give an overview on how the different types of antigen arrays have and will continue to deliver novel insights into autoimmune diseases among several others.","author":[{"dropping-particle":"","family":"Ayoglu","given":"Burcu","non-dropping-particle":"","parse-names":false,"suffix":""},{"dropping-particle":"","family":"Schwenk","given":"Jochen M","non-dropping-particle":"","parse-names":false,"suffix":""},{"dropping-particle":"","family":"Nilsson","given":"Peter","non-dropping-particle":"","parse-names":false,"suffix":""}],"container-title":"Bioanalysis","id":"ITEM-1","issue":"10","issued":{"date-parts":[["2016","5","21"]]},"page":"1105-1126","publisher":" Future Science Ltd London, UK ","title":"Antigen arrays for profiling autoantibody repertoires","type":"article-journal","volume":"8"},"uris":["http://www.mendeley.com/documents/?uuid=6ca57088-9bda-3f31-97a3-b736704981b9"]}],"mendeley":{"formattedCitation":"&lt;sup&gt;21&lt;/sup&gt;","plainTextFormattedCitation":"21","previouslyFormattedCitation":"&lt;sup&gt;21&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21</w:t>
      </w:r>
      <w:r w:rsidR="00261B9A" w:rsidRPr="0019690F">
        <w:rPr>
          <w:sz w:val="24"/>
          <w:szCs w:val="24"/>
        </w:rPr>
        <w:fldChar w:fldCharType="end"/>
      </w:r>
      <w:r>
        <w:rPr>
          <w:sz w:val="24"/>
          <w:szCs w:val="24"/>
        </w:rPr>
        <w:t>. Although earlier work using a FRET-based biosensor has demonstrated that genetic regulation can be reproduced in mammalian CFPS extracts</w:t>
      </w:r>
      <w:r w:rsidR="00261B9A">
        <w:rPr>
          <w:sz w:val="24"/>
          <w:szCs w:val="24"/>
        </w:rPr>
        <w:fldChar w:fldCharType="begin" w:fldLock="1"/>
      </w:r>
      <w:r w:rsidR="00705239">
        <w:rPr>
          <w:sz w:val="24"/>
          <w:szCs w:val="24"/>
        </w:rPr>
        <w:instrText>ADDIN CSL_CITATION {"citationItems":[{"id":"ITEM-1","itemData":{"DOI":"10.1016/j.cell.2014.10.004","ISSN":"0092-8674","author":[{"dropping-particle":"","family":"Pardee","given":"Keith","non-dropping-particle":"","parse-names":false,"suffix":""},{"dropping-particle":"","family":"Green","given":"Alexander A","non-dropping-particle":"","parse-names":false,"suffix":""},{"dropping-particle":"","family":"Ferrante","given":"Tom","non-dropping-particle":"","parse-names":false,"suffix":""},{"dropping-particle":"","family":"Cameron","given":"D Ewen","non-dropping-particle":"","parse-names":false,"suffix":""},{"dropping-particle":"","family":"Daleykeyser","given":"Ajay","non-dropping-particle":"","parse-names":false,"suffix":""},{"dropping-particle":"","family":"Yin","given":"Peng","non-dropping-particle":"","parse-names":false,"suffix":""}],"container-title":"Cell","id":"ITEM-1","issued":{"date-parts":[["2014"]]},"page":"1-15","publisher":"Elsevier Inc.","title":"Paper-based synthetic gene networks","type":"article-journal"},"uris":["http://www.mendeley.com/documents/?uuid=97db0124-a3c8-4395-98ba-5916ebf3a8ad"]}],"mendeley":{"formattedCitation":"&lt;sup&gt;16&lt;/sup&gt;","plainTextFormattedCitation":"16","previouslyFormattedCitation":"&lt;sup&gt;16&lt;/sup&gt;"},"properties":{"noteIndex":0},"schema":"https://github.com/citation-style-language/schema/raw/master/csl-citation.json"}</w:instrText>
      </w:r>
      <w:r w:rsidR="00261B9A">
        <w:rPr>
          <w:sz w:val="24"/>
          <w:szCs w:val="24"/>
        </w:rPr>
        <w:fldChar w:fldCharType="separate"/>
      </w:r>
      <w:r w:rsidR="000A7047" w:rsidRPr="000A7047">
        <w:rPr>
          <w:noProof/>
          <w:sz w:val="24"/>
          <w:szCs w:val="24"/>
          <w:vertAlign w:val="superscript"/>
        </w:rPr>
        <w:t>16</w:t>
      </w:r>
      <w:r w:rsidR="00261B9A">
        <w:rPr>
          <w:sz w:val="24"/>
          <w:szCs w:val="24"/>
        </w:rPr>
        <w:fldChar w:fldCharType="end"/>
      </w:r>
      <w:r>
        <w:rPr>
          <w:sz w:val="24"/>
          <w:szCs w:val="24"/>
        </w:rPr>
        <w:t>, the applicability of mammalian CFPS for synthetic biology prototyping has not been fully established. Here, we have tested and characterised a series of mammalian genetic regulators using a HeLa cell lysate-based CFPS and a semi-automated workflow, making new molecular tools available for mammalian synthetic biology design.</w:t>
      </w:r>
    </w:p>
    <w:p w14:paraId="65AC5C8D" w14:textId="05CF937D" w:rsidR="00D139F5" w:rsidRPr="008968E9" w:rsidRDefault="00D139F5" w:rsidP="00A52D2B">
      <w:pPr>
        <w:spacing w:line="480" w:lineRule="auto"/>
        <w:rPr>
          <w:b/>
          <w:sz w:val="24"/>
        </w:rPr>
      </w:pPr>
      <w:r w:rsidRPr="008968E9">
        <w:rPr>
          <w:b/>
          <w:sz w:val="24"/>
        </w:rPr>
        <w:t>Results</w:t>
      </w:r>
    </w:p>
    <w:p w14:paraId="206772C1" w14:textId="1A83135F" w:rsidR="00D139F5" w:rsidRPr="00485CBA" w:rsidRDefault="00D139F5" w:rsidP="00D139F5">
      <w:pPr>
        <w:rPr>
          <w:b/>
          <w:sz w:val="24"/>
          <w:szCs w:val="24"/>
        </w:rPr>
      </w:pPr>
      <w:r w:rsidRPr="00485CBA">
        <w:rPr>
          <w:b/>
          <w:sz w:val="24"/>
          <w:szCs w:val="24"/>
        </w:rPr>
        <w:t>Establishing an automated workflow for CFPS</w:t>
      </w:r>
    </w:p>
    <w:p w14:paraId="75679E8B" w14:textId="77777777" w:rsidR="00D139F5" w:rsidRPr="00485CBA" w:rsidRDefault="00D139F5" w:rsidP="00B2414E">
      <w:pPr>
        <w:spacing w:line="480" w:lineRule="auto"/>
        <w:rPr>
          <w:sz w:val="24"/>
          <w:szCs w:val="24"/>
        </w:rPr>
      </w:pPr>
      <w:r w:rsidRPr="00485CBA">
        <w:rPr>
          <w:sz w:val="24"/>
          <w:szCs w:val="24"/>
        </w:rPr>
        <w:t>CFPS reactions were setup using the 1-Step Human Coupled IVT Kit (Thermo Fisher Scientific) which is commonly used for high-yield protein expression studies. It contains all components necessary for cell-free protein synthesis, including DNA, transcription and translation machinery and energy regeneration components (</w:t>
      </w:r>
      <w:r w:rsidR="00485CBA" w:rsidRPr="00485CBA">
        <w:rPr>
          <w:sz w:val="24"/>
          <w:szCs w:val="24"/>
        </w:rPr>
        <w:t>Figure 1</w:t>
      </w:r>
      <w:r w:rsidRPr="00485CBA">
        <w:rPr>
          <w:sz w:val="24"/>
          <w:szCs w:val="24"/>
        </w:rPr>
        <w:t>A). The manufacturer’s recommended protocol was adapted to measure gene expression using a fluorescent reporter protein. Changes to the protocol included alteration of the reaction composition, optimisation of specific assay steps including reagent mixing and centrifugation, the use of sealed 96-well plates, development of automation software and identification of suitable quality control steps for sample preparation.</w:t>
      </w:r>
    </w:p>
    <w:p w14:paraId="233A2053" w14:textId="55EAFC23" w:rsidR="00D139F5" w:rsidRPr="00485CBA" w:rsidRDefault="00D139F5" w:rsidP="00B2414E">
      <w:pPr>
        <w:spacing w:line="480" w:lineRule="auto"/>
        <w:rPr>
          <w:sz w:val="24"/>
          <w:szCs w:val="24"/>
        </w:rPr>
      </w:pPr>
      <w:r w:rsidRPr="00485CBA">
        <w:rPr>
          <w:sz w:val="24"/>
          <w:szCs w:val="24"/>
        </w:rPr>
        <w:t xml:space="preserve">Specifically, the total volume of CFPS reactions was decreased from 25 µL to 2 µL, the minimum volume needed to cover the bottom of the V-shaped wells. The relative composition of the reaction was also changed with lysate, accessory proteins and energy mix decreased from 80% to 60% of the total reaction volume, maintaining a 5:1:2 ratio of components. This allowed a 0.8 µL reaction volume for other components to be added to the CFPS reaction (e.g. DNA, RNA, proteins).  Blank reactions (no DNA) and positive controls (10 </w:t>
      </w:r>
      <w:proofErr w:type="spellStart"/>
      <w:r w:rsidRPr="00485CBA">
        <w:rPr>
          <w:sz w:val="24"/>
          <w:szCs w:val="24"/>
        </w:rPr>
        <w:lastRenderedPageBreak/>
        <w:t>nM</w:t>
      </w:r>
      <w:proofErr w:type="spellEnd"/>
      <w:r w:rsidRPr="00485CBA">
        <w:rPr>
          <w:sz w:val="24"/>
          <w:szCs w:val="24"/>
        </w:rPr>
        <w:t xml:space="preserve"> </w:t>
      </w:r>
      <w:proofErr w:type="spellStart"/>
      <w:r w:rsidRPr="00485CBA">
        <w:rPr>
          <w:sz w:val="24"/>
          <w:szCs w:val="24"/>
        </w:rPr>
        <w:t>pCFE</w:t>
      </w:r>
      <w:proofErr w:type="spellEnd"/>
      <w:r w:rsidRPr="00485CBA">
        <w:rPr>
          <w:sz w:val="24"/>
          <w:szCs w:val="24"/>
        </w:rPr>
        <w:t>-GFP control plasmid) were included in all experiments (</w:t>
      </w:r>
      <w:r w:rsidR="000C0E2E" w:rsidRPr="00485CBA">
        <w:rPr>
          <w:sz w:val="24"/>
          <w:szCs w:val="24"/>
        </w:rPr>
        <w:t>Supplementary Figure 1</w:t>
      </w:r>
      <w:r w:rsidRPr="00485CBA">
        <w:rPr>
          <w:sz w:val="24"/>
          <w:szCs w:val="24"/>
        </w:rPr>
        <w:t xml:space="preserve">). We also measured z-factors as a statistical measure of assay reproducibility (Zhang et al., 1999). The z-factor calculated from the blank and positive controls was found to be consistently above 0.5 for each experiment set </w:t>
      </w:r>
      <w:r w:rsidR="000C0E2E" w:rsidRPr="00485CBA">
        <w:rPr>
          <w:sz w:val="24"/>
          <w:szCs w:val="24"/>
        </w:rPr>
        <w:t>(Supplementary Table 1</w:t>
      </w:r>
      <w:r w:rsidRPr="00485CBA">
        <w:rPr>
          <w:sz w:val="24"/>
          <w:szCs w:val="24"/>
        </w:rPr>
        <w:t xml:space="preserve">). After optimisation, fluorescent signals of 100-fold above background were observed to produce 0.4 µM GFP at maximum capacity (Figure 1B-C). GFP production saturated after 3 hours and </w:t>
      </w:r>
      <w:r w:rsidR="00BF18E6">
        <w:rPr>
          <w:sz w:val="24"/>
          <w:szCs w:val="24"/>
        </w:rPr>
        <w:t xml:space="preserve">highest measured </w:t>
      </w:r>
      <w:r w:rsidRPr="00485CBA">
        <w:rPr>
          <w:sz w:val="24"/>
          <w:szCs w:val="24"/>
        </w:rPr>
        <w:t xml:space="preserve">expression levels were reached at 10 </w:t>
      </w:r>
      <w:proofErr w:type="spellStart"/>
      <w:r w:rsidRPr="00485CBA">
        <w:rPr>
          <w:sz w:val="24"/>
          <w:szCs w:val="24"/>
        </w:rPr>
        <w:t>nM</w:t>
      </w:r>
      <w:proofErr w:type="spellEnd"/>
      <w:r w:rsidRPr="00485CBA">
        <w:rPr>
          <w:sz w:val="24"/>
          <w:szCs w:val="24"/>
        </w:rPr>
        <w:t xml:space="preserve"> DNA concentration (Figure </w:t>
      </w:r>
      <w:r w:rsidR="00FC2F14">
        <w:rPr>
          <w:sz w:val="24"/>
          <w:szCs w:val="24"/>
        </w:rPr>
        <w:t>1</w:t>
      </w:r>
      <w:r w:rsidR="00BF18E6">
        <w:rPr>
          <w:sz w:val="24"/>
          <w:szCs w:val="24"/>
        </w:rPr>
        <w:t>B</w:t>
      </w:r>
      <w:r w:rsidRPr="00485CBA">
        <w:rPr>
          <w:sz w:val="24"/>
          <w:szCs w:val="24"/>
        </w:rPr>
        <w:t>).</w:t>
      </w:r>
    </w:p>
    <w:p w14:paraId="43F00836" w14:textId="16556E7D" w:rsidR="00D048B8" w:rsidRPr="00485CBA" w:rsidRDefault="002756A2" w:rsidP="002756A2">
      <w:pPr>
        <w:spacing w:line="276" w:lineRule="auto"/>
        <w:rPr>
          <w:sz w:val="24"/>
          <w:szCs w:val="24"/>
        </w:rPr>
      </w:pPr>
      <w:r w:rsidRPr="002756A2">
        <w:rPr>
          <w:noProof/>
          <w:lang w:eastAsia="en-GB"/>
        </w:rPr>
        <w:lastRenderedPageBreak/>
        <w:drawing>
          <wp:anchor distT="0" distB="0" distL="114300" distR="114300" simplePos="0" relativeHeight="251666432" behindDoc="0" locked="0" layoutInCell="1" allowOverlap="1" wp14:anchorId="6C66BFB1" wp14:editId="3349191E">
            <wp:simplePos x="0" y="0"/>
            <wp:positionH relativeFrom="margin">
              <wp:align>right</wp:align>
            </wp:positionH>
            <wp:positionV relativeFrom="paragraph">
              <wp:posOffset>0</wp:posOffset>
            </wp:positionV>
            <wp:extent cx="5730875" cy="6045200"/>
            <wp:effectExtent l="0" t="0" r="3175" b="0"/>
            <wp:wrapSquare wrapText="bothSides"/>
            <wp:docPr id="4" name="Picture 3">
              <a:extLst xmlns:a="http://schemas.openxmlformats.org/drawingml/2006/main">
                <a:ext uri="{FF2B5EF4-FFF2-40B4-BE49-F238E27FC236}">
                  <a16:creationId xmlns:a16="http://schemas.microsoft.com/office/drawing/2014/main" id="{F2476143-D8CD-4234-AB72-3C42AF31B8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2476143-D8CD-4234-AB72-3C42AF31B8CE}"/>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30875" cy="6045200"/>
                    </a:xfrm>
                    <a:prstGeom prst="rect">
                      <a:avLst/>
                    </a:prstGeom>
                  </pic:spPr>
                </pic:pic>
              </a:graphicData>
            </a:graphic>
            <wp14:sizeRelH relativeFrom="page">
              <wp14:pctWidth>0</wp14:pctWidth>
            </wp14:sizeRelH>
            <wp14:sizeRelV relativeFrom="page">
              <wp14:pctHeight>0</wp14:pctHeight>
            </wp14:sizeRelV>
          </wp:anchor>
        </w:drawing>
      </w:r>
      <w:r w:rsidR="00D048B8" w:rsidRPr="00485CBA">
        <w:rPr>
          <w:b/>
          <w:sz w:val="24"/>
          <w:szCs w:val="24"/>
        </w:rPr>
        <w:t xml:space="preserve">Figure </w:t>
      </w:r>
      <w:proofErr w:type="gramStart"/>
      <w:r w:rsidR="00D048B8">
        <w:rPr>
          <w:b/>
          <w:sz w:val="24"/>
          <w:szCs w:val="24"/>
        </w:rPr>
        <w:t xml:space="preserve">1  </w:t>
      </w:r>
      <w:r w:rsidR="00D048B8" w:rsidRPr="00485CBA">
        <w:rPr>
          <w:b/>
          <w:sz w:val="24"/>
          <w:szCs w:val="24"/>
        </w:rPr>
        <w:t>Properties</w:t>
      </w:r>
      <w:proofErr w:type="gramEnd"/>
      <w:r w:rsidR="00D048B8" w:rsidRPr="00485CBA">
        <w:rPr>
          <w:b/>
          <w:sz w:val="24"/>
          <w:szCs w:val="24"/>
        </w:rPr>
        <w:t xml:space="preserve"> of the HeLa CFPS assay. (A) </w:t>
      </w:r>
      <w:r w:rsidR="00D048B8" w:rsidRPr="00485CBA">
        <w:rPr>
          <w:sz w:val="24"/>
          <w:szCs w:val="24"/>
        </w:rPr>
        <w:t xml:space="preserve">The DNA template used contains a T7 promoter and an EMCV IRES for expression as well as a T7 terminator following a </w:t>
      </w:r>
      <w:proofErr w:type="spellStart"/>
      <w:r w:rsidR="00D048B8" w:rsidRPr="00485CBA">
        <w:rPr>
          <w:sz w:val="24"/>
          <w:szCs w:val="24"/>
        </w:rPr>
        <w:t>polyA</w:t>
      </w:r>
      <w:proofErr w:type="spellEnd"/>
      <w:r w:rsidR="00D048B8" w:rsidRPr="00485CBA">
        <w:rPr>
          <w:sz w:val="24"/>
          <w:szCs w:val="24"/>
        </w:rPr>
        <w:t xml:space="preserve"> sequence after the GFP coding region. The lysate of HeLa cells is supplemented with purified T7 polymerase, along with nucleotides, ATP other accessory protein components facilitating ATP regeneration, transcription and translation. </w:t>
      </w:r>
      <w:r w:rsidR="00D048B8" w:rsidRPr="00485CBA">
        <w:rPr>
          <w:b/>
          <w:sz w:val="24"/>
          <w:szCs w:val="24"/>
        </w:rPr>
        <w:t>(</w:t>
      </w:r>
      <w:r w:rsidR="00D048B8">
        <w:rPr>
          <w:b/>
          <w:sz w:val="24"/>
          <w:szCs w:val="24"/>
        </w:rPr>
        <w:t>B</w:t>
      </w:r>
      <w:r w:rsidR="00D048B8" w:rsidRPr="00485CBA">
        <w:rPr>
          <w:b/>
          <w:sz w:val="24"/>
          <w:szCs w:val="24"/>
        </w:rPr>
        <w:t>)</w:t>
      </w:r>
      <w:r w:rsidR="00D048B8" w:rsidRPr="00485CBA">
        <w:rPr>
          <w:sz w:val="24"/>
          <w:szCs w:val="24"/>
        </w:rPr>
        <w:t xml:space="preserve"> GFP expression as a function of DNA template concentration. Endpoint GFP levels at 6h are shown. Mean values of 5 replicates are shown with error bars representing standard deviations.</w:t>
      </w:r>
      <w:r w:rsidR="00D048B8">
        <w:rPr>
          <w:sz w:val="24"/>
          <w:szCs w:val="24"/>
        </w:rPr>
        <w:t xml:space="preserve"> </w:t>
      </w:r>
      <w:r w:rsidR="00D048B8" w:rsidRPr="00485CBA">
        <w:rPr>
          <w:b/>
          <w:sz w:val="24"/>
          <w:szCs w:val="24"/>
        </w:rPr>
        <w:t>(</w:t>
      </w:r>
      <w:r w:rsidR="00D048B8">
        <w:rPr>
          <w:b/>
          <w:sz w:val="24"/>
          <w:szCs w:val="24"/>
        </w:rPr>
        <w:t>C</w:t>
      </w:r>
      <w:r w:rsidR="00D048B8" w:rsidRPr="00485CBA">
        <w:rPr>
          <w:b/>
          <w:sz w:val="24"/>
          <w:szCs w:val="24"/>
        </w:rPr>
        <w:t xml:space="preserve">) </w:t>
      </w:r>
      <w:r w:rsidR="00D048B8" w:rsidRPr="00485CBA">
        <w:rPr>
          <w:sz w:val="24"/>
          <w:szCs w:val="24"/>
        </w:rPr>
        <w:t xml:space="preserve">Typical time course of GFP expression using 10 </w:t>
      </w:r>
      <w:proofErr w:type="spellStart"/>
      <w:r w:rsidR="00D048B8" w:rsidRPr="00485CBA">
        <w:rPr>
          <w:sz w:val="24"/>
          <w:szCs w:val="24"/>
        </w:rPr>
        <w:t>nM</w:t>
      </w:r>
      <w:proofErr w:type="spellEnd"/>
      <w:r w:rsidR="00D048B8" w:rsidRPr="00485CBA">
        <w:rPr>
          <w:sz w:val="24"/>
          <w:szCs w:val="24"/>
        </w:rPr>
        <w:t xml:space="preserve"> of </w:t>
      </w:r>
      <w:proofErr w:type="spellStart"/>
      <w:r w:rsidR="00D048B8" w:rsidRPr="00485CBA">
        <w:rPr>
          <w:sz w:val="24"/>
          <w:szCs w:val="24"/>
        </w:rPr>
        <w:t>pCFE</w:t>
      </w:r>
      <w:proofErr w:type="spellEnd"/>
      <w:r w:rsidR="00D048B8" w:rsidRPr="00485CBA">
        <w:rPr>
          <w:sz w:val="24"/>
          <w:szCs w:val="24"/>
        </w:rPr>
        <w:t>-GFP DNA template. GFP concentration was calculated by unit conversion from arbitrary fluorescent units using purified GFP as a standard. Mean values of 5 replicates are shown with error bars representing standard deviations.</w:t>
      </w:r>
    </w:p>
    <w:p w14:paraId="2E806E27" w14:textId="357425EE" w:rsidR="00620B95" w:rsidRDefault="00275D23" w:rsidP="00620B95">
      <w:pPr>
        <w:spacing w:after="0" w:line="480" w:lineRule="auto"/>
        <w:textDirection w:val="btLr"/>
        <w:rPr>
          <w:sz w:val="24"/>
          <w:szCs w:val="24"/>
        </w:rPr>
      </w:pPr>
      <w:r w:rsidRPr="00485CBA">
        <w:rPr>
          <w:noProof/>
          <w:sz w:val="24"/>
          <w:szCs w:val="24"/>
          <w:lang w:eastAsia="en-GB"/>
        </w:rPr>
        <w:lastRenderedPageBreak/>
        <w:drawing>
          <wp:anchor distT="0" distB="0" distL="114300" distR="114300" simplePos="0" relativeHeight="251661312" behindDoc="0" locked="0" layoutInCell="1" allowOverlap="1" wp14:anchorId="347DDCE1" wp14:editId="57F891A6">
            <wp:simplePos x="0" y="0"/>
            <wp:positionH relativeFrom="margin">
              <wp:align>center</wp:align>
            </wp:positionH>
            <wp:positionV relativeFrom="paragraph">
              <wp:posOffset>3179086</wp:posOffset>
            </wp:positionV>
            <wp:extent cx="5072380" cy="4118610"/>
            <wp:effectExtent l="0" t="0" r="0" b="0"/>
            <wp:wrapSquare wrapText="bothSides"/>
            <wp:docPr id="14" name="Content Placeholder 6">
              <a:extLst xmlns:a="http://schemas.openxmlformats.org/drawingml/2006/main">
                <a:ext uri="{FF2B5EF4-FFF2-40B4-BE49-F238E27FC236}">
                  <a16:creationId xmlns:a16="http://schemas.microsoft.com/office/drawing/2014/main" id="{460C6302-9E90-46BE-A5F8-56BB6BD108E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460C6302-9E90-46BE-A5F8-56BB6BD108ED}"/>
                        </a:ext>
                      </a:extLst>
                    </pic:cNvPr>
                    <pic:cNvPicPr>
                      <a:picLocks noGrp="1" noChangeAspect="1"/>
                    </pic:cNvPicPr>
                  </pic:nvPicPr>
                  <pic:blipFill rotWithShape="1">
                    <a:blip r:embed="rId9">
                      <a:extLst>
                        <a:ext uri="{28A0092B-C50C-407E-A947-70E740481C1C}">
                          <a14:useLocalDpi xmlns:a14="http://schemas.microsoft.com/office/drawing/2010/main" val="0"/>
                        </a:ext>
                      </a:extLst>
                    </a:blip>
                    <a:srcRect l="3880" t="2013" r="3001"/>
                    <a:stretch/>
                  </pic:blipFill>
                  <pic:spPr bwMode="auto">
                    <a:xfrm>
                      <a:off x="0" y="0"/>
                      <a:ext cx="5072380" cy="4118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0B95">
        <w:rPr>
          <w:sz w:val="24"/>
          <w:szCs w:val="24"/>
        </w:rPr>
        <w:t xml:space="preserve">DNA preparation variability was also optimised by implementing strict DNA quantification measures using an automated workflow (Figure 2A). This optimisation resulted in a linear correlation between DNA </w:t>
      </w:r>
      <w:proofErr w:type="spellStart"/>
      <w:r w:rsidR="00620B95">
        <w:rPr>
          <w:sz w:val="24"/>
          <w:szCs w:val="24"/>
        </w:rPr>
        <w:t>midiprep</w:t>
      </w:r>
      <w:proofErr w:type="spellEnd"/>
      <w:r w:rsidR="00620B95">
        <w:rPr>
          <w:sz w:val="24"/>
          <w:szCs w:val="24"/>
        </w:rPr>
        <w:t xml:space="preserve"> samples (R</w:t>
      </w:r>
      <w:r w:rsidR="00620B95">
        <w:rPr>
          <w:sz w:val="24"/>
          <w:szCs w:val="24"/>
          <w:vertAlign w:val="superscript"/>
        </w:rPr>
        <w:t>2</w:t>
      </w:r>
      <w:r w:rsidR="00620B95">
        <w:rPr>
          <w:sz w:val="24"/>
          <w:szCs w:val="24"/>
        </w:rPr>
        <w:t>=0.9739 between DNA preparations, Figure 2B</w:t>
      </w:r>
      <w:r w:rsidR="00620B95" w:rsidRPr="004C63F3">
        <w:rPr>
          <w:sz w:val="24"/>
          <w:szCs w:val="24"/>
        </w:rPr>
        <w:t>).</w:t>
      </w:r>
      <w:r w:rsidR="00620B95">
        <w:rPr>
          <w:sz w:val="24"/>
          <w:szCs w:val="24"/>
        </w:rPr>
        <w:t xml:space="preserve"> Spectrophotometric quantification of DNA was replaced by a </w:t>
      </w:r>
      <w:proofErr w:type="spellStart"/>
      <w:r w:rsidR="00620B95">
        <w:rPr>
          <w:sz w:val="24"/>
          <w:szCs w:val="24"/>
        </w:rPr>
        <w:t>PicoGreen</w:t>
      </w:r>
      <w:proofErr w:type="spellEnd"/>
      <w:r w:rsidR="00620B95">
        <w:rPr>
          <w:sz w:val="24"/>
          <w:szCs w:val="24"/>
        </w:rPr>
        <w:t xml:space="preserve"> dye-based method with the manufacturer’s protocol adapted for the Echo 550 and 525 acoustic liquid handlers. This method overcame any potential issues with liquid transfers </w:t>
      </w:r>
      <w:r w:rsidR="00620B95" w:rsidRPr="00DD18C0">
        <w:rPr>
          <w:sz w:val="24"/>
          <w:szCs w:val="24"/>
        </w:rPr>
        <w:t>due to DNA length and viscosity and could</w:t>
      </w:r>
      <w:r w:rsidR="00620B95">
        <w:rPr>
          <w:sz w:val="24"/>
          <w:szCs w:val="24"/>
        </w:rPr>
        <w:t xml:space="preserve"> be automated instead of manual spectrophotometric </w:t>
      </w:r>
      <w:r w:rsidR="00620B95" w:rsidRPr="00D87695">
        <w:rPr>
          <w:sz w:val="24"/>
          <w:szCs w:val="24"/>
        </w:rPr>
        <w:t>measurements.</w:t>
      </w:r>
      <w:r w:rsidR="00620B95">
        <w:rPr>
          <w:sz w:val="24"/>
          <w:szCs w:val="24"/>
        </w:rPr>
        <w:t xml:space="preserve"> Furthermore, the </w:t>
      </w:r>
      <w:proofErr w:type="spellStart"/>
      <w:r w:rsidR="00620B95">
        <w:rPr>
          <w:sz w:val="24"/>
          <w:szCs w:val="24"/>
        </w:rPr>
        <w:t>PicoGreen</w:t>
      </w:r>
      <w:proofErr w:type="spellEnd"/>
      <w:r w:rsidR="00620B95">
        <w:rPr>
          <w:sz w:val="24"/>
          <w:szCs w:val="24"/>
        </w:rPr>
        <w:t xml:space="preserve"> dye-based method of quantification was determined to be more accurate in previous </w:t>
      </w:r>
      <w:r w:rsidR="00620B95" w:rsidRPr="00953C72">
        <w:rPr>
          <w:sz w:val="24"/>
          <w:szCs w:val="24"/>
        </w:rPr>
        <w:t>studies</w:t>
      </w:r>
      <w:r w:rsidR="00620B95">
        <w:rPr>
          <w:sz w:val="24"/>
          <w:szCs w:val="24"/>
        </w:rPr>
        <w:t xml:space="preserve"> (Supplementary Figure 2)</w:t>
      </w:r>
      <w:r w:rsidR="00620B95" w:rsidRPr="00953C72">
        <w:rPr>
          <w:sz w:val="24"/>
          <w:szCs w:val="24"/>
        </w:rPr>
        <w:t>.</w:t>
      </w:r>
      <w:r w:rsidR="00620B95">
        <w:rPr>
          <w:sz w:val="24"/>
          <w:szCs w:val="24"/>
        </w:rPr>
        <w:t xml:space="preserve"> </w:t>
      </w:r>
    </w:p>
    <w:p w14:paraId="00DA920A" w14:textId="24362848" w:rsidR="00275D23" w:rsidRPr="00485CBA" w:rsidRDefault="00275D23" w:rsidP="00275D23">
      <w:pPr>
        <w:spacing w:line="276" w:lineRule="auto"/>
        <w:rPr>
          <w:sz w:val="24"/>
          <w:szCs w:val="24"/>
        </w:rPr>
      </w:pPr>
      <w:r w:rsidRPr="00485CBA">
        <w:rPr>
          <w:b/>
          <w:sz w:val="24"/>
          <w:szCs w:val="24"/>
        </w:rPr>
        <w:t xml:space="preserve">Figure </w:t>
      </w:r>
      <w:proofErr w:type="gramStart"/>
      <w:r>
        <w:rPr>
          <w:b/>
          <w:sz w:val="24"/>
          <w:szCs w:val="24"/>
        </w:rPr>
        <w:t xml:space="preserve">2  </w:t>
      </w:r>
      <w:r w:rsidRPr="00485CBA">
        <w:rPr>
          <w:b/>
          <w:sz w:val="24"/>
          <w:szCs w:val="24"/>
        </w:rPr>
        <w:t>Automated</w:t>
      </w:r>
      <w:proofErr w:type="gramEnd"/>
      <w:r w:rsidRPr="00485CBA">
        <w:rPr>
          <w:b/>
          <w:sz w:val="24"/>
          <w:szCs w:val="24"/>
        </w:rPr>
        <w:t xml:space="preserve"> HeLa CFPS workflow.</w:t>
      </w:r>
      <w:r w:rsidRPr="00485CBA">
        <w:rPr>
          <w:sz w:val="24"/>
          <w:szCs w:val="24"/>
        </w:rPr>
        <w:t xml:space="preserve"> </w:t>
      </w:r>
      <w:r w:rsidRPr="00C53052">
        <w:rPr>
          <w:b/>
          <w:sz w:val="24"/>
          <w:szCs w:val="24"/>
        </w:rPr>
        <w:t>(A)</w:t>
      </w:r>
      <w:r w:rsidRPr="00485CBA">
        <w:rPr>
          <w:sz w:val="24"/>
          <w:szCs w:val="24"/>
        </w:rPr>
        <w:t xml:space="preserve"> In the automated workflow, the reactions are assembled using the </w:t>
      </w:r>
      <w:proofErr w:type="spellStart"/>
      <w:r w:rsidRPr="00485CBA">
        <w:rPr>
          <w:sz w:val="24"/>
          <w:szCs w:val="24"/>
        </w:rPr>
        <w:t>Labcyte</w:t>
      </w:r>
      <w:proofErr w:type="spellEnd"/>
      <w:r w:rsidRPr="00485CBA">
        <w:rPr>
          <w:sz w:val="24"/>
          <w:szCs w:val="24"/>
        </w:rPr>
        <w:t xml:space="preserve"> acoustic liquid handler. The machine instructions are given as a list of individual transfer steps produced by a python script, giving high-level parameters such as samples, test conditions and number of replicates. A maximum of 384 reactions at 2 µL volume can be run simultaneously in a plate reader detecting fluorescence intensity. </w:t>
      </w:r>
      <w:r w:rsidRPr="00C53052">
        <w:rPr>
          <w:b/>
          <w:sz w:val="24"/>
          <w:szCs w:val="24"/>
        </w:rPr>
        <w:t>(B)</w:t>
      </w:r>
      <w:r w:rsidRPr="00485CBA">
        <w:rPr>
          <w:sz w:val="24"/>
          <w:szCs w:val="24"/>
        </w:rPr>
        <w:t xml:space="preserve"> Correlation between measurements using different plasmid DNA preparations within the </w:t>
      </w:r>
      <w:r w:rsidRPr="00485CBA">
        <w:rPr>
          <w:sz w:val="24"/>
          <w:szCs w:val="24"/>
        </w:rPr>
        <w:lastRenderedPageBreak/>
        <w:t xml:space="preserve">same experimental run. Measurements are from the T7 and </w:t>
      </w:r>
      <w:r w:rsidR="00222A02">
        <w:rPr>
          <w:sz w:val="24"/>
          <w:szCs w:val="24"/>
        </w:rPr>
        <w:t>IRES</w:t>
      </w:r>
      <w:r w:rsidRPr="00485CBA">
        <w:rPr>
          <w:sz w:val="24"/>
          <w:szCs w:val="24"/>
        </w:rPr>
        <w:t xml:space="preserve"> library experiments with R</w:t>
      </w:r>
      <w:r w:rsidRPr="006E428D">
        <w:rPr>
          <w:sz w:val="24"/>
          <w:szCs w:val="24"/>
          <w:vertAlign w:val="superscript"/>
        </w:rPr>
        <w:t>2</w:t>
      </w:r>
      <w:r w:rsidRPr="00485CBA">
        <w:rPr>
          <w:sz w:val="24"/>
          <w:szCs w:val="24"/>
        </w:rPr>
        <w:t xml:space="preserve"> of the fit indicated.</w:t>
      </w:r>
    </w:p>
    <w:p w14:paraId="7DD8CA6C" w14:textId="77777777" w:rsidR="00275D23" w:rsidRDefault="00275D23" w:rsidP="00620B95">
      <w:pPr>
        <w:spacing w:after="240" w:line="240" w:lineRule="auto"/>
        <w:rPr>
          <w:b/>
          <w:sz w:val="24"/>
          <w:szCs w:val="24"/>
        </w:rPr>
      </w:pPr>
    </w:p>
    <w:p w14:paraId="100E9906" w14:textId="43DFDAC7" w:rsidR="00620B95" w:rsidRPr="00203C3D" w:rsidRDefault="00620B95" w:rsidP="00620B95">
      <w:pPr>
        <w:spacing w:after="240" w:line="240" w:lineRule="auto"/>
        <w:rPr>
          <w:sz w:val="24"/>
          <w:szCs w:val="24"/>
        </w:rPr>
      </w:pPr>
      <w:r>
        <w:rPr>
          <w:b/>
          <w:sz w:val="24"/>
          <w:szCs w:val="24"/>
        </w:rPr>
        <w:t>Experimental automation</w:t>
      </w:r>
    </w:p>
    <w:p w14:paraId="1B114044" w14:textId="52FFA35D" w:rsidR="00620B95" w:rsidRDefault="00620B95" w:rsidP="00620B95">
      <w:pPr>
        <w:spacing w:after="240" w:line="480" w:lineRule="auto"/>
        <w:rPr>
          <w:sz w:val="24"/>
          <w:szCs w:val="24"/>
        </w:rPr>
      </w:pPr>
      <w:r>
        <w:rPr>
          <w:sz w:val="24"/>
          <w:szCs w:val="24"/>
        </w:rPr>
        <w:t xml:space="preserve">The </w:t>
      </w:r>
      <w:proofErr w:type="spellStart"/>
      <w:r>
        <w:rPr>
          <w:sz w:val="24"/>
          <w:szCs w:val="24"/>
        </w:rPr>
        <w:t>CherryPick</w:t>
      </w:r>
      <w:proofErr w:type="spellEnd"/>
      <w:r>
        <w:rPr>
          <w:sz w:val="24"/>
          <w:szCs w:val="24"/>
        </w:rPr>
        <w:t xml:space="preserve"> software for the Echo liquid handler allows inputs from Comma-Separated Values (CSV) file formats containing a list of liquid transfer steps. By generating method-specific code (written in Python) tailored to our CFPS experiments, we were able to generate CSV files that contained the necessary liquid handling instructions that consider parameters, such as the number of replicates and DNA constructs, and additional instructions for preparing the experiment. The automated design of experiments allowed each given DNA construct to be tested in combination with additional factors at specified concentrations. Blank reactions with no DNA and positive controls with specified DNA concentrations were also added automatically to the list of reaction types. A key feature was the random assignment of each CFPS reaction to wells on a 384-well-plate considering potential position-associated effects, such as different evaporation because of the time difference (minutes) between the transfer of the first and the last sample. FITC standards were also included for unit conversion (Molecules of Equivalent Fluorescein) similar to the </w:t>
      </w:r>
      <w:proofErr w:type="spellStart"/>
      <w:r>
        <w:rPr>
          <w:sz w:val="24"/>
          <w:szCs w:val="24"/>
        </w:rPr>
        <w:t>iGEM</w:t>
      </w:r>
      <w:proofErr w:type="spellEnd"/>
      <w:r>
        <w:rPr>
          <w:sz w:val="24"/>
          <w:szCs w:val="24"/>
        </w:rPr>
        <w:t xml:space="preserve"> inter-lab study </w:t>
      </w:r>
      <w:r w:rsidR="00261B9A" w:rsidRPr="0019690F">
        <w:rPr>
          <w:sz w:val="24"/>
          <w:szCs w:val="24"/>
        </w:rPr>
        <w:fldChar w:fldCharType="begin" w:fldLock="1"/>
      </w:r>
      <w:r w:rsidR="00705239">
        <w:rPr>
          <w:sz w:val="24"/>
          <w:szCs w:val="24"/>
        </w:rPr>
        <w:instrText>ADDIN CSL_CITATION {"citationItems":[{"id":"ITEM-1","itemData":{"DOI":"10.1371/journal.pone.0150182","ISSN":"1932-6203","author":[{"dropping-particle":"","family":"Beal","given":"Jacob","non-dropping-particle":"","parse-names":false,"suffix":""},{"dropping-particle":"","family":"Haddock-Angelli","given":"Traci","non-dropping-particle":"","parse-names":false,"suffix":""},{"dropping-particle":"","family":"Gershater","given":"Markus","non-dropping-particle":"","parse-names":false,"suffix":""},{"dropping-particle":"","family":"Mora","given":"Kim","non-dropping-particle":"de","parse-names":false,"suffix":""},{"dropping-particle":"","family":"Lizarazo","given":"Meagan","non-dropping-particle":"","parse-names":false,"suffix":""},{"dropping-particle":"","family":"Hollenhorst","given":"Jim","non-dropping-particle":"","parse-names":false,"suffix":""},{"dropping-particle":"","family":"Rettberg","given":"Randy","non-dropping-particle":"","parse-names":false,"suffix":""},{"dropping-particle":"","family":"Contributors","given":"iGEM Interlab Study","non-dropping-particle":"","parse-names":false,"suffix":""}],"container-title":"PLOS ONE","editor":[{"dropping-particle":"","family":"Jones","given":"D. Dafydd","non-dropping-particle":"","parse-names":false,"suffix":""}],"id":"ITEM-1","issue":"3","issued":{"date-parts":[["2016","3","3"]]},"page":"e0150182","publisher":"Public Library of Science","title":"Reproducibility of Fluorescent Expression from Engineered Biological Constructs in E. coli","type":"article-journal","volume":"11"},"uris":["http://www.mendeley.com/documents/?uuid=06b6ed42-183b-3fba-b759-4024c6f82630"]}],"mendeley":{"formattedCitation":"&lt;sup&gt;9&lt;/sup&gt;","plainTextFormattedCitation":"9","previouslyFormattedCitation":"&lt;sup&gt;9&lt;/sup&gt;"},"properties":{"noteIndex":0},"schema":"https://github.com/citation-style-language/schema/raw/master/csl-citation.json"}</w:instrText>
      </w:r>
      <w:r w:rsidR="00261B9A" w:rsidRPr="0019690F">
        <w:rPr>
          <w:sz w:val="24"/>
          <w:szCs w:val="24"/>
        </w:rPr>
        <w:fldChar w:fldCharType="separate"/>
      </w:r>
      <w:r w:rsidR="000A7047" w:rsidRPr="000A7047">
        <w:rPr>
          <w:noProof/>
          <w:sz w:val="24"/>
          <w:szCs w:val="24"/>
          <w:vertAlign w:val="superscript"/>
        </w:rPr>
        <w:t>9</w:t>
      </w:r>
      <w:r w:rsidR="00261B9A" w:rsidRPr="0019690F">
        <w:rPr>
          <w:sz w:val="24"/>
          <w:szCs w:val="24"/>
        </w:rPr>
        <w:fldChar w:fldCharType="end"/>
      </w:r>
      <w:r>
        <w:rPr>
          <w:sz w:val="24"/>
          <w:szCs w:val="24"/>
        </w:rPr>
        <w:t xml:space="preserve">. Finally, the amounts of each reagent needed for a given experiment were calculated, and the feasibility of the experiment checked based on availability of wells and reagents.  The developed software tools are available on </w:t>
      </w:r>
      <w:proofErr w:type="spellStart"/>
      <w:r>
        <w:rPr>
          <w:sz w:val="24"/>
          <w:szCs w:val="24"/>
        </w:rPr>
        <w:t>Github</w:t>
      </w:r>
      <w:proofErr w:type="spellEnd"/>
      <w:r>
        <w:rPr>
          <w:sz w:val="24"/>
          <w:szCs w:val="24"/>
        </w:rPr>
        <w:t xml:space="preserve"> (</w:t>
      </w:r>
      <w:hyperlink r:id="rId10">
        <w:r>
          <w:rPr>
            <w:color w:val="0000FF"/>
            <w:sz w:val="24"/>
            <w:szCs w:val="24"/>
            <w:u w:val="single"/>
          </w:rPr>
          <w:t>https://github.com/margaritakop/CFPS_echo</w:t>
        </w:r>
      </w:hyperlink>
      <w:r>
        <w:rPr>
          <w:sz w:val="24"/>
          <w:szCs w:val="24"/>
        </w:rPr>
        <w:t xml:space="preserve">). </w:t>
      </w:r>
    </w:p>
    <w:p w14:paraId="7FDB364F" w14:textId="77777777" w:rsidR="00620B95" w:rsidRPr="00620B95" w:rsidRDefault="00620B95" w:rsidP="00620B95">
      <w:pPr>
        <w:pStyle w:val="Heading3"/>
        <w:spacing w:line="480" w:lineRule="auto"/>
        <w:rPr>
          <w:rFonts w:asciiTheme="minorHAnsi" w:hAnsiTheme="minorHAnsi"/>
          <w:b/>
          <w:color w:val="auto"/>
        </w:rPr>
      </w:pPr>
      <w:r w:rsidRPr="00620B95">
        <w:rPr>
          <w:rFonts w:asciiTheme="minorHAnsi" w:hAnsiTheme="minorHAnsi"/>
          <w:b/>
          <w:color w:val="auto"/>
        </w:rPr>
        <w:t>Characterising a range of T7 promoters and CMV IRES variants</w:t>
      </w:r>
    </w:p>
    <w:p w14:paraId="17BF6B17" w14:textId="25AB518E" w:rsidR="00620B95" w:rsidRPr="007C109A" w:rsidRDefault="00620B95" w:rsidP="00620B95">
      <w:pPr>
        <w:spacing w:line="480" w:lineRule="auto"/>
        <w:rPr>
          <w:sz w:val="24"/>
          <w:szCs w:val="24"/>
        </w:rPr>
      </w:pPr>
      <w:r>
        <w:rPr>
          <w:sz w:val="24"/>
          <w:szCs w:val="24"/>
        </w:rPr>
        <w:t xml:space="preserve">We next tested a series of gene regulatory elements in our CFPS assays.  The aim was to establish whether different levels of transcription and translation activity (repression and </w:t>
      </w:r>
      <w:r>
        <w:rPr>
          <w:sz w:val="24"/>
          <w:szCs w:val="24"/>
        </w:rPr>
        <w:lastRenderedPageBreak/>
        <w:t xml:space="preserve">activation) can be detected and whether the activity is comparable to previously reported </w:t>
      </w:r>
      <w:r>
        <w:rPr>
          <w:i/>
          <w:sz w:val="24"/>
          <w:szCs w:val="24"/>
        </w:rPr>
        <w:t>in vivo</w:t>
      </w:r>
      <w:r>
        <w:rPr>
          <w:sz w:val="24"/>
          <w:szCs w:val="24"/>
        </w:rPr>
        <w:t xml:space="preserve"> experiments. For this we chose a tested library of T7 promoters and ECMV IRES element variants</w:t>
      </w:r>
      <w:r w:rsidR="00953A1F">
        <w:rPr>
          <w:sz w:val="24"/>
          <w:szCs w:val="24"/>
        </w:rPr>
        <w:fldChar w:fldCharType="begin" w:fldLock="1"/>
      </w:r>
      <w:r w:rsidR="00705239">
        <w:rPr>
          <w:sz w:val="24"/>
          <w:szCs w:val="24"/>
        </w:rPr>
        <w:instrText>ADDIN CSL_CITATION {"citationItems":[{"id":"ITEM-1","itemData":{"DOI":"10.1038/nbt.3063","ISSN":"1087-0156","author":[{"dropping-particle":"","family":"Smanski","given":"Michael J","non-dropping-particle":"","parse-names":false,"suffix":""},{"dropping-particle":"","family":"Bhatia","given":"Swapnil","non-dropping-particle":"","parse-names":false,"suffix":""},{"dropping-particle":"","family":"Zhao","given":"Dehua","non-dropping-particle":"","parse-names":false,"suffix":""},{"dropping-particle":"","family":"Park","given":"YongJin","non-dropping-particle":"","parse-names":false,"suffix":""},{"dropping-particle":"","family":"B A Woodruff","given":"Lauren","non-dropping-particle":"","parse-names":false,"suffix":""},{"dropping-particle":"","family":"Giannoukos","given":"Georgia","non-dropping-particle":"","parse-names":false,"suffix":""},{"dropping-particle":"","family":"Ciulla","given":"Dawn","non-dropping-particle":"","parse-names":false,"suffix":""},{"dropping-particle":"","family":"Busby","given":"Michele","non-dropping-particle":"","parse-names":false,"suffix":""},{"dropping-particle":"","family":"Calderon","given":"Johnathan","non-dropping-particle":"","parse-names":false,"suffix":""},{"dropping-particle":"","family":"Nicol","given":"Robert","non-dropping-particle":"","parse-names":false,"suffix":""},{"dropping-particle":"","family":"Gordon","given":"D Benjamin","non-dropping-particle":"","parse-names":false,"suffix":""},{"dropping-particle":"","family":"Densmore","given":"Douglas","non-dropping-particle":"","parse-names":false,"suffix":""},{"dropping-particle":"","family":"Voigt","given":"Christopher A","non-dropping-particle":"","parse-names":false,"suffix":""}],"container-title":"Nature Biotechnology","id":"ITEM-1","issue":"12","issued":{"date-parts":[["2014","11","24"]]},"page":"1241-1249","publisher":"Nature Research","title":"Functional optimization of gene clusters by combinatorial design and assembly","type":"article-journal","volume":"32"},"uris":["http://www.mendeley.com/documents/?uuid=c06d276b-66c9-33ae-90a4-143f0b983fea"]},{"id":"ITEM-2","itemData":{"DOI":"10.1371/journal.pone.0196905","ISSN":"19326203","abstract":"Cis-regulatory elements (CREs) are one of the important factors in controlling gene expression and elucidation of their roles has been attracting great interest. We have developed an improved method for analyzing a large variety of mutant CRE sequences in a simple and high-throughput manner. In our approach, mutant CREs with unique barcode sequences were obtained by biased randomization in a single PCR amplification. The original T7 promoter sequence was randomized by biased randomization, and the target number of base substitutions was set to be within the range of 0 to 5. The DNA library and subsequent transcribed RNA library were sequenced by next generation sequencers (NGS) to quantify transcriptional activity of each mutant. We succeeded in producing a randomized T7 promoter library with high coverage rate at each target number of base substitutions. In a single NGS analysis, we quantified the transcriptional activity of 7847 T7 promoter variants. We confirmed that the bases from −9 to −7 play an important role in the transcriptional activity of the T7 promoter. This information coincides with the previous researches and demonstrated the validity of our methodology. Furthermore, using an in vitro transcription/translation system, we found that transcriptional activities of these T7 variants were well correlated with the resultant protein abundance. We demonstrate that our method enables simple and high-throughput analysis of the effects of various CRE mutations on transcriptional regulation.","author":[{"dropping-particle":"","family":"Komura","given":"Ryo","non-dropping-particle":"","parse-names":false,"suffix":""},{"dropping-particle":"","family":"Aoki","given":"Wataru","non-dropping-particle":"","parse-names":false,"suffix":""},{"dropping-particle":"","family":"Motone","given":"Keisuke","non-dropping-particle":"","parse-names":false,"suffix":""},{"dropping-particle":"","family":"Satomura","given":"Atsushi","non-dropping-particle":"","parse-names":false,"suffix":""},{"dropping-particle":"","family":"Ueda","given":"Mitsuyoshi","non-dropping-particle":"","parse-names":false,"suffix":""}],"container-title":"PLoS ONE","id":"ITEM-2","issue":"5","issued":{"date-parts":[["2018","5","1"]]},"publisher":"Public Library of Science","title":"High-throughput evaluation of T7 promoter variants using biased randomization and DNA barcoding","type":"article-journal","volume":"13"},"uris":["http://www.mendeley.com/documents/?uuid=a91fe89e-3c7c-334c-8a99-5e81b3866b51"]},{"id":"ITEM-3","itemData":{"DOI":"10.1093/nar/gks597","ISSN":"1362-4962","PMID":"22743271","abstract":"Synthetic genetic sensors and circuits enable programmable control over the timing and conditions of gene expression. They are being increasingly incorporated into the control of complex, multigene pathways and cellular functions. Here, we propose a design strategy to genetically separate the sensing/circuitry functions from the pathway to be controlled. This separation is achieved by having the output of the circuit drive the expression of a polymerase, which then activates the pathway from polymerase-specific promoters. The sensors, circuits and polymerase are encoded together on a 'controller' plasmid. Variants of T7 RNA polymerase that reduce toxicity were constructed and used as scaffolds for the construction of four orthogonal polymerases identified via part mining that bind to unique promoter sequences. This set is highly orthogonal and induces cognate promoters by 8- to 75-fold more than off-target promoters. These orthogonal polymerases enable four independent channels linking the outputs of circuits to the control of different cellular functions. As a demonstration, we constructed a controller plasmid that integrates two inducible systems, implements an AND logic operation and toggles between metabolic pathways that change Escherichia coli green (deoxychromoviridans) and red (lycopene). The advantages of this organization are that (i) the regulation of the pathway can be changed simply by introducing a different controller plasmid, (ii) transcription is orthogonal to host machinery and (iii) the pathway genes are not transcribed in the absence of a controller and are thus more easily carried without invoking evolutionary pressure.","author":[{"dropping-particle":"","family":"Temme","given":"Karsten","non-dropping-particle":"","parse-names":false,"suffix":""},{"dropping-particle":"","family":"Hill","given":"Rena","non-dropping-particle":"","parse-names":false,"suffix":""},{"dropping-particle":"","family":"Segall-Shapiro","given":"Thomas H.","non-dropping-particle":"","parse-names":false,"suffix":""},{"dropping-particle":"","family":"Moser","given":"Felix","non-dropping-particle":"","parse-names":false,"suffix":""},{"dropping-particle":"","family":"Voigt","given":"Christopher A.","non-dropping-particle":"","parse-names":false,"suffix":""}],"id":"ITEM-3","issue":"17","issued":{"date-parts":[["2012","9","1"]]},"publisher":"Oxford University Press","title":"Modular control of multiple pathways using engineered orthogonal T7 polymerases","type":"article-journal","volume":"40"},"uris":["http://www.mendeley.com/documents/?uuid=039a2b86-828b-4839-9a89-10fd9981052e"]},{"id":"ITEM-4","itemData":{"DOI":"10.1371/journal.pone.0082100","ISSN":"1932-6203","PMID":"24349195","abstract":"A set of mutated Encephalomyocarditis virus (EMCV) internal ribosome entry site (IRES) elements with varying strengths is generated by mutating the translation initiation codons of 10(th), 11(th), and 12(th) AUG to non-AUG triplets. They are able to control the relative expression of multiple genes over a wide range in mammalian cells in both transient and stable transfections. The relative strength of each IRES mutant remains similar in different mammalian cell lines and is not gene specific. The expressed proteins have correct molecular weights. Optimization of light chain over heavy chain expression by these IRES mutants enhances monoclonal antibody expression level and quality in stable transfections. Uses of this set of IRES mutants can be extended to other applications such as synthetic biology, investigating interactions between proteins and its complexes, cell engineering, multi-subunit protein production, gene therapy, and reprogramming of somatic cells into stem cells.","author":[{"dropping-particle":"","family":"Koh","given":"Esther Y C","non-dropping-particle":"","parse-names":false,"suffix":""},{"dropping-particle":"","family":"Ho","given":"Steven C L","non-dropping-particle":"","parse-names":false,"suffix":""},{"dropping-particle":"","family":"Mariati","given":"","non-dropping-particle":"","parse-names":false,"suffix":""},{"dropping-particle":"","family":"Song","given":"Zhiwei","non-dropping-particle":"","parse-names":false,"suffix":""},{"dropping-particle":"","family":"Bi","given":"Xuezhi","non-dropping-particle":"","parse-names":false,"suffix":""},{"dropping-particle":"","family":"Bardor","given":"Muriel","non-dropping-particle":"","parse-names":false,"suffix":""},{"dropping-particle":"","family":"Yang","given":"Yuansheng","non-dropping-particle":"","parse-names":false,"suffix":""}],"container-title":"PloS one","editor":[{"dropping-particle":"","family":"Hendershot","given":"Linda M.","non-dropping-particle":"","parse-names":false,"suffix":""}],"id":"ITEM-4","issue":"12","issued":{"date-parts":[["2013","1"]]},"note":"https://www.promega.co.uk/products/protein-expression/eukaryotic-cell-free-protein-expression/rabbit-reticulocyte-lysate-system_-nuclease-treated/","page":"e82100","publisher":"Public Library of Science","title":"An internal ribosome entry site (IRES) mutant library for tuning expression level of multiple genes in mammalian cells.","type":"article-journal","volume":"8"},"uris":["http://www.mendeley.com/documents/?uuid=2fc3b2ce-075e-4fab-907f-952e42be271a"]}],"mendeley":{"formattedCitation":"&lt;sup&gt;22–25&lt;/sup&gt;","plainTextFormattedCitation":"22–25","previouslyFormattedCitation":"&lt;sup&gt;22–25&lt;/sup&gt;"},"properties":{"noteIndex":0},"schema":"https://github.com/citation-style-language/schema/raw/master/csl-citation.json"}</w:instrText>
      </w:r>
      <w:r w:rsidR="00953A1F">
        <w:rPr>
          <w:sz w:val="24"/>
          <w:szCs w:val="24"/>
        </w:rPr>
        <w:fldChar w:fldCharType="separate"/>
      </w:r>
      <w:r w:rsidR="000A7047" w:rsidRPr="000A7047">
        <w:rPr>
          <w:noProof/>
          <w:sz w:val="24"/>
          <w:szCs w:val="24"/>
          <w:vertAlign w:val="superscript"/>
        </w:rPr>
        <w:t>22–25</w:t>
      </w:r>
      <w:r w:rsidR="00953A1F">
        <w:rPr>
          <w:sz w:val="24"/>
          <w:szCs w:val="24"/>
        </w:rPr>
        <w:fldChar w:fldCharType="end"/>
      </w:r>
      <w:r>
        <w:rPr>
          <w:sz w:val="24"/>
          <w:szCs w:val="24"/>
        </w:rPr>
        <w:t xml:space="preserve"> Five T7 promoter variants, including wild type, were </w:t>
      </w:r>
      <w:r w:rsidRPr="00991354">
        <w:rPr>
          <w:sz w:val="24"/>
          <w:szCs w:val="24"/>
        </w:rPr>
        <w:t>chosen</w:t>
      </w:r>
      <w:r>
        <w:rPr>
          <w:sz w:val="24"/>
          <w:szCs w:val="24"/>
        </w:rPr>
        <w:t xml:space="preserve"> (</w:t>
      </w:r>
      <w:r w:rsidRPr="00A770ED">
        <w:rPr>
          <w:sz w:val="24"/>
          <w:szCs w:val="24"/>
        </w:rPr>
        <w:t>Figure 3</w:t>
      </w:r>
      <w:r w:rsidR="00A770ED" w:rsidRPr="00A770ED">
        <w:rPr>
          <w:sz w:val="24"/>
          <w:szCs w:val="24"/>
        </w:rPr>
        <w:t>A</w:t>
      </w:r>
      <w:r w:rsidRPr="00A770ED">
        <w:rPr>
          <w:sz w:val="24"/>
          <w:szCs w:val="24"/>
        </w:rPr>
        <w:t>).</w:t>
      </w:r>
      <w:r w:rsidRPr="00B85B24">
        <w:rPr>
          <w:sz w:val="24"/>
          <w:szCs w:val="24"/>
        </w:rPr>
        <w:t xml:space="preserve"> Variants of the ECMV IRES have also been used to drive gene expression. For example, 24 ECMV</w:t>
      </w:r>
      <w:r>
        <w:rPr>
          <w:sz w:val="24"/>
          <w:szCs w:val="24"/>
        </w:rPr>
        <w:t xml:space="preserve"> IRES variants were tested for optimised expression of a monoclonal antibody in CHO cells, with four chosen to demonstrate an unchanged ranking order across diverse mammalian cell-lines</w:t>
      </w:r>
      <w:r w:rsidR="00953A1F">
        <w:rPr>
          <w:sz w:val="24"/>
          <w:szCs w:val="24"/>
        </w:rPr>
        <w:fldChar w:fldCharType="begin" w:fldLock="1"/>
      </w:r>
      <w:r w:rsidR="00705239">
        <w:rPr>
          <w:sz w:val="24"/>
          <w:szCs w:val="24"/>
        </w:rPr>
        <w:instrText>ADDIN CSL_CITATION {"citationItems":[{"id":"ITEM-1","itemData":{"DOI":"10.1371/journal.pone.0082100","ISSN":"1932-6203","PMID":"24349195","abstract":"A set of mutated Encephalomyocarditis virus (EMCV) internal ribosome entry site (IRES) elements with varying strengths is generated by mutating the translation initiation codons of 10(th), 11(th), and 12(th) AUG to non-AUG triplets. They are able to control the relative expression of multiple genes over a wide range in mammalian cells in both transient and stable transfections. The relative strength of each IRES mutant remains similar in different mammalian cell lines and is not gene specific. The expressed proteins have correct molecular weights. Optimization of light chain over heavy chain expression by these IRES mutants enhances monoclonal antibody expression level and quality in stable transfections. Uses of this set of IRES mutants can be extended to other applications such as synthetic biology, investigating interactions between proteins and its complexes, cell engineering, multi-subunit protein production, gene therapy, and reprogramming of somatic cells into stem cells.","author":[{"dropping-particle":"","family":"Koh","given":"Esther Y C","non-dropping-particle":"","parse-names":false,"suffix":""},{"dropping-particle":"","family":"Ho","given":"Steven C L","non-dropping-particle":"","parse-names":false,"suffix":""},{"dropping-particle":"","family":"Mariati","given":"","non-dropping-particle":"","parse-names":false,"suffix":""},{"dropping-particle":"","family":"Song","given":"Zhiwei","non-dropping-particle":"","parse-names":false,"suffix":""},{"dropping-particle":"","family":"Bi","given":"Xuezhi","non-dropping-particle":"","parse-names":false,"suffix":""},{"dropping-particle":"","family":"Bardor","given":"Muriel","non-dropping-particle":"","parse-names":false,"suffix":""},{"dropping-particle":"","family":"Yang","given":"Yuansheng","non-dropping-particle":"","parse-names":false,"suffix":""}],"container-title":"PloS one","editor":[{"dropping-particle":"","family":"Hendershot","given":"Linda M.","non-dropping-particle":"","parse-names":false,"suffix":""}],"id":"ITEM-1","issue":"12","issued":{"date-parts":[["2013","1"]]},"note":"https://www.promega.co.uk/products/protein-expression/eukaryotic-cell-free-protein-expression/rabbit-reticulocyte-lysate-system_-nuclease-treated/","page":"e82100","publisher":"Public Library of Science","title":"An internal ribosome entry site (IRES) mutant library for tuning expression level of multiple genes in mammalian cells.","type":"article-journal","volume":"8"},"uris":["http://www.mendeley.com/documents/?uuid=2fc3b2ce-075e-4fab-907f-952e42be271a"]}],"mendeley":{"formattedCitation":"&lt;sup&gt;25&lt;/sup&gt;","plainTextFormattedCitation":"25","previouslyFormattedCitation":"&lt;sup&gt;25&lt;/sup&gt;"},"properties":{"noteIndex":0},"schema":"https://github.com/citation-style-language/schema/raw/master/csl-citation.json"}</w:instrText>
      </w:r>
      <w:r w:rsidR="00953A1F">
        <w:rPr>
          <w:sz w:val="24"/>
          <w:szCs w:val="24"/>
        </w:rPr>
        <w:fldChar w:fldCharType="separate"/>
      </w:r>
      <w:r w:rsidR="000A7047" w:rsidRPr="000A7047">
        <w:rPr>
          <w:noProof/>
          <w:sz w:val="24"/>
          <w:szCs w:val="24"/>
          <w:vertAlign w:val="superscript"/>
        </w:rPr>
        <w:t>25</w:t>
      </w:r>
      <w:r w:rsidR="00953A1F">
        <w:rPr>
          <w:sz w:val="24"/>
          <w:szCs w:val="24"/>
        </w:rPr>
        <w:fldChar w:fldCharType="end"/>
      </w:r>
      <w:r>
        <w:rPr>
          <w:sz w:val="24"/>
          <w:szCs w:val="24"/>
        </w:rPr>
        <w:t xml:space="preserve">. Four IRES variants were chosen along with wild type IRES for characterisation in our CFPS assays. The variants contain </w:t>
      </w:r>
      <w:r w:rsidRPr="004D16DF">
        <w:rPr>
          <w:sz w:val="24"/>
          <w:szCs w:val="24"/>
        </w:rPr>
        <w:t>mutations in the 11</w:t>
      </w:r>
      <w:r w:rsidRPr="004D16DF">
        <w:rPr>
          <w:sz w:val="24"/>
          <w:szCs w:val="24"/>
          <w:vertAlign w:val="superscript"/>
        </w:rPr>
        <w:t>th</w:t>
      </w:r>
      <w:r w:rsidRPr="004D16DF">
        <w:rPr>
          <w:sz w:val="24"/>
          <w:szCs w:val="24"/>
        </w:rPr>
        <w:t xml:space="preserve"> and 12</w:t>
      </w:r>
      <w:r w:rsidRPr="004D16DF">
        <w:rPr>
          <w:sz w:val="24"/>
          <w:szCs w:val="24"/>
          <w:vertAlign w:val="superscript"/>
        </w:rPr>
        <w:t>th</w:t>
      </w:r>
      <w:r w:rsidRPr="004D16DF">
        <w:rPr>
          <w:sz w:val="24"/>
          <w:szCs w:val="24"/>
        </w:rPr>
        <w:t xml:space="preserve"> AUG where translation initiation primarily occurs</w:t>
      </w:r>
      <w:r w:rsidR="00B8171B">
        <w:rPr>
          <w:sz w:val="24"/>
          <w:szCs w:val="24"/>
        </w:rPr>
        <w:fldChar w:fldCharType="begin" w:fldLock="1"/>
      </w:r>
      <w:r w:rsidR="00705239">
        <w:rPr>
          <w:sz w:val="24"/>
          <w:szCs w:val="24"/>
        </w:rPr>
        <w:instrText>ADDIN CSL_CITATION {"citationItems":[{"id":"ITEM-1","itemData":{"DOI":"10.1371/journal.pone.0082100","ISSN":"1932-6203","PMID":"24349195","abstract":"A set of mutated Encephalomyocarditis virus (EMCV) internal ribosome entry site (IRES) elements with varying strengths is generated by mutating the translation initiation codons of 10(th), 11(th), and 12(th) AUG to non-AUG triplets. They are able to control the relative expression of multiple genes over a wide range in mammalian cells in both transient and stable transfections. The relative strength of each IRES mutant remains similar in different mammalian cell lines and is not gene specific. The expressed proteins have correct molecular weights. Optimization of light chain over heavy chain expression by these IRES mutants enhances monoclonal antibody expression level and quality in stable transfections. Uses of this set of IRES mutants can be extended to other applications such as synthetic biology, investigating interactions between proteins and its complexes, cell engineering, multi-subunit protein production, gene therapy, and reprogramming of somatic cells into stem cells.","author":[{"dropping-particle":"","family":"Koh","given":"Esther Y C","non-dropping-particle":"","parse-names":false,"suffix":""},{"dropping-particle":"","family":"Ho","given":"Steven C L","non-dropping-particle":"","parse-names":false,"suffix":""},{"dropping-particle":"","family":"Mariati","given":"","non-dropping-particle":"","parse-names":false,"suffix":""},{"dropping-particle":"","family":"Song","given":"Zhiwei","non-dropping-particle":"","parse-names":false,"suffix":""},{"dropping-particle":"","family":"Bi","given":"Xuezhi","non-dropping-particle":"","parse-names":false,"suffix":""},{"dropping-particle":"","family":"Bardor","given":"Muriel","non-dropping-particle":"","parse-names":false,"suffix":""},{"dropping-particle":"","family":"Yang","given":"Yuansheng","non-dropping-particle":"","parse-names":false,"suffix":""}],"container-title":"PloS one","editor":[{"dropping-particle":"","family":"Hendershot","given":"Linda M.","non-dropping-particle":"","parse-names":false,"suffix":""}],"id":"ITEM-1","issue":"12","issued":{"date-parts":[["2013","1"]]},"note":"https://www.promega.co.uk/products/protein-expression/eukaryotic-cell-free-protein-expression/rabbit-reticulocyte-lysate-system_-nuclease-treated/","page":"e82100","publisher":"Public Library of Science","title":"An internal ribosome entry site (IRES) mutant library for tuning expression level of multiple genes in mammalian cells.","type":"article-journal","volume":"8"},"uris":["http://www.mendeley.com/documents/?uuid=2fc3b2ce-075e-4fab-907f-952e42be271a"]}],"mendeley":{"formattedCitation":"&lt;sup&gt;25&lt;/sup&gt;","plainTextFormattedCitation":"25","previouslyFormattedCitation":"&lt;sup&gt;25&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25</w:t>
      </w:r>
      <w:r w:rsidR="00B8171B">
        <w:rPr>
          <w:sz w:val="24"/>
          <w:szCs w:val="24"/>
        </w:rPr>
        <w:fldChar w:fldCharType="end"/>
      </w:r>
      <w:r w:rsidR="00B8171B">
        <w:rPr>
          <w:sz w:val="24"/>
          <w:szCs w:val="24"/>
        </w:rPr>
        <w:t xml:space="preserve">. </w:t>
      </w:r>
      <w:r>
        <w:rPr>
          <w:sz w:val="24"/>
          <w:szCs w:val="24"/>
        </w:rPr>
        <w:t>(Figure 4</w:t>
      </w:r>
      <w:r w:rsidR="00A770ED">
        <w:rPr>
          <w:sz w:val="24"/>
          <w:szCs w:val="24"/>
        </w:rPr>
        <w:t>A</w:t>
      </w:r>
      <w:r>
        <w:rPr>
          <w:sz w:val="24"/>
          <w:szCs w:val="24"/>
        </w:rPr>
        <w:t>)</w:t>
      </w:r>
      <w:r w:rsidRPr="00B85B24">
        <w:rPr>
          <w:sz w:val="24"/>
          <w:szCs w:val="24"/>
        </w:rPr>
        <w:t>.</w:t>
      </w:r>
    </w:p>
    <w:p w14:paraId="257C0489" w14:textId="4837EBAC" w:rsidR="00620B95" w:rsidRPr="004D16DF" w:rsidRDefault="00620B95" w:rsidP="00620B95">
      <w:pPr>
        <w:spacing w:line="480" w:lineRule="auto"/>
        <w:rPr>
          <w:sz w:val="24"/>
          <w:szCs w:val="24"/>
        </w:rPr>
      </w:pPr>
      <w:r w:rsidRPr="004D16DF">
        <w:rPr>
          <w:sz w:val="24"/>
          <w:szCs w:val="24"/>
        </w:rPr>
        <w:t xml:space="preserve">The regulatory elements were cloned </w:t>
      </w:r>
      <w:r w:rsidRPr="00FE320D">
        <w:rPr>
          <w:sz w:val="24"/>
          <w:szCs w:val="24"/>
        </w:rPr>
        <w:t xml:space="preserve">into the control plasmid </w:t>
      </w:r>
      <w:proofErr w:type="spellStart"/>
      <w:r w:rsidRPr="00FE320D">
        <w:rPr>
          <w:sz w:val="24"/>
          <w:szCs w:val="24"/>
        </w:rPr>
        <w:t>pCFE</w:t>
      </w:r>
      <w:proofErr w:type="spellEnd"/>
      <w:r w:rsidRPr="00FE320D">
        <w:rPr>
          <w:sz w:val="24"/>
          <w:szCs w:val="24"/>
        </w:rPr>
        <w:t>-</w:t>
      </w:r>
      <w:r w:rsidRPr="00696734">
        <w:rPr>
          <w:sz w:val="24"/>
          <w:szCs w:val="24"/>
        </w:rPr>
        <w:t xml:space="preserve">GFP </w:t>
      </w:r>
      <w:r w:rsidR="00A770ED">
        <w:rPr>
          <w:sz w:val="24"/>
          <w:szCs w:val="24"/>
        </w:rPr>
        <w:t>(Figure 3B and Figure 4B</w:t>
      </w:r>
      <w:r>
        <w:rPr>
          <w:sz w:val="24"/>
          <w:szCs w:val="24"/>
        </w:rPr>
        <w:t xml:space="preserve">) </w:t>
      </w:r>
      <w:r w:rsidRPr="00FE320D">
        <w:rPr>
          <w:sz w:val="24"/>
          <w:szCs w:val="24"/>
        </w:rPr>
        <w:t>and GFP expression was measured across a range of DNA concentrations</w:t>
      </w:r>
      <w:r>
        <w:rPr>
          <w:sz w:val="24"/>
          <w:szCs w:val="24"/>
        </w:rPr>
        <w:t xml:space="preserve"> (Figure 3C-J and Figure 4C-J)</w:t>
      </w:r>
      <w:r w:rsidRPr="00D707F9">
        <w:rPr>
          <w:sz w:val="24"/>
          <w:szCs w:val="24"/>
        </w:rPr>
        <w:t>.</w:t>
      </w:r>
      <w:r w:rsidRPr="00FE320D">
        <w:rPr>
          <w:sz w:val="24"/>
          <w:szCs w:val="24"/>
        </w:rPr>
        <w:t xml:space="preserve"> Each DNA template was tested from two independent DNA preparations using five replicates, with variability </w:t>
      </w:r>
      <w:r w:rsidRPr="002D1EDB">
        <w:rPr>
          <w:sz w:val="24"/>
          <w:szCs w:val="24"/>
        </w:rPr>
        <w:t>shown as box-plots</w:t>
      </w:r>
      <w:r>
        <w:rPr>
          <w:sz w:val="24"/>
          <w:szCs w:val="24"/>
        </w:rPr>
        <w:t xml:space="preserve"> (Figure 3C-J and Figure 4C-J). </w:t>
      </w:r>
      <w:r w:rsidRPr="002D1EDB">
        <w:rPr>
          <w:sz w:val="24"/>
          <w:szCs w:val="24"/>
        </w:rPr>
        <w:t>All the data were collected at the same time in one experimental run on the same multi-well plate. A</w:t>
      </w:r>
      <w:r w:rsidRPr="00FE320D">
        <w:rPr>
          <w:sz w:val="24"/>
          <w:szCs w:val="24"/>
        </w:rPr>
        <w:t xml:space="preserve"> positive control was included on each plate using one DNA preparation</w:t>
      </w:r>
      <w:r w:rsidRPr="004D16DF">
        <w:rPr>
          <w:sz w:val="24"/>
          <w:szCs w:val="24"/>
        </w:rPr>
        <w:t xml:space="preserve"> at the highest tested concentration (10 </w:t>
      </w:r>
      <w:proofErr w:type="spellStart"/>
      <w:r w:rsidRPr="004D16DF">
        <w:rPr>
          <w:sz w:val="24"/>
          <w:szCs w:val="24"/>
        </w:rPr>
        <w:t>nM</w:t>
      </w:r>
      <w:proofErr w:type="spellEnd"/>
      <w:r w:rsidRPr="004D16DF">
        <w:rPr>
          <w:sz w:val="24"/>
          <w:szCs w:val="24"/>
        </w:rPr>
        <w:t xml:space="preserve">). </w:t>
      </w:r>
    </w:p>
    <w:p w14:paraId="21C6B192" w14:textId="77777777" w:rsidR="00620B95" w:rsidRDefault="00620B95" w:rsidP="00620B95">
      <w:pPr>
        <w:spacing w:line="480" w:lineRule="auto"/>
        <w:rPr>
          <w:sz w:val="24"/>
          <w:szCs w:val="24"/>
        </w:rPr>
      </w:pPr>
      <w:r w:rsidRPr="004D16DF">
        <w:rPr>
          <w:sz w:val="24"/>
          <w:szCs w:val="24"/>
        </w:rPr>
        <w:t>The relative activity of T7 promoter variants was found to be dependent</w:t>
      </w:r>
      <w:r>
        <w:rPr>
          <w:sz w:val="24"/>
          <w:szCs w:val="24"/>
        </w:rPr>
        <w:t xml:space="preserve"> on the DNA concentration. Variants T7-1, -2 and -3 exhibited gradually increasing activity across the tested concentration range. In contrast, variant T7-4 and T7-WT reached their peak activity at 5 </w:t>
      </w:r>
      <w:proofErr w:type="spellStart"/>
      <w:r>
        <w:rPr>
          <w:sz w:val="24"/>
          <w:szCs w:val="24"/>
        </w:rPr>
        <w:t>nM</w:t>
      </w:r>
      <w:proofErr w:type="spellEnd"/>
      <w:r>
        <w:rPr>
          <w:sz w:val="24"/>
          <w:szCs w:val="24"/>
        </w:rPr>
        <w:t xml:space="preserve"> concentration (Fig</w:t>
      </w:r>
      <w:r w:rsidR="007F430E">
        <w:rPr>
          <w:sz w:val="24"/>
          <w:szCs w:val="24"/>
        </w:rPr>
        <w:t>ure</w:t>
      </w:r>
      <w:r>
        <w:rPr>
          <w:sz w:val="24"/>
          <w:szCs w:val="24"/>
        </w:rPr>
        <w:t xml:space="preserve"> 3G) and demonstrated lower GFP expression at higher concentrations (Fig</w:t>
      </w:r>
      <w:r w:rsidR="007F430E">
        <w:rPr>
          <w:sz w:val="24"/>
          <w:szCs w:val="24"/>
        </w:rPr>
        <w:t>ure</w:t>
      </w:r>
      <w:r>
        <w:rPr>
          <w:sz w:val="24"/>
          <w:szCs w:val="24"/>
        </w:rPr>
        <w:t xml:space="preserve"> 3H-I). The maximum overall GFP expression was produced by the T7-3 variant at 10 </w:t>
      </w:r>
      <w:proofErr w:type="spellStart"/>
      <w:r>
        <w:rPr>
          <w:sz w:val="24"/>
          <w:szCs w:val="24"/>
        </w:rPr>
        <w:t>nM</w:t>
      </w:r>
      <w:proofErr w:type="spellEnd"/>
      <w:r>
        <w:rPr>
          <w:sz w:val="24"/>
          <w:szCs w:val="24"/>
        </w:rPr>
        <w:t xml:space="preserve"> DNA concentration, although T7-3 also exhibited lower expression levels at &lt;5 </w:t>
      </w:r>
      <w:proofErr w:type="spellStart"/>
      <w:r>
        <w:rPr>
          <w:sz w:val="24"/>
          <w:szCs w:val="24"/>
        </w:rPr>
        <w:t>nM</w:t>
      </w:r>
      <w:proofErr w:type="spellEnd"/>
      <w:r>
        <w:rPr>
          <w:sz w:val="24"/>
          <w:szCs w:val="24"/>
        </w:rPr>
        <w:t xml:space="preserve"> compared to T7-4 and -WT. </w:t>
      </w:r>
    </w:p>
    <w:p w14:paraId="5E96F18C" w14:textId="77777777" w:rsidR="006764C7" w:rsidRDefault="00620B95" w:rsidP="006764C7">
      <w:pPr>
        <w:spacing w:line="480" w:lineRule="auto"/>
        <w:rPr>
          <w:sz w:val="24"/>
          <w:szCs w:val="24"/>
        </w:rPr>
      </w:pPr>
      <w:r>
        <w:rPr>
          <w:sz w:val="24"/>
          <w:szCs w:val="24"/>
        </w:rPr>
        <w:lastRenderedPageBreak/>
        <w:t xml:space="preserve">In contrast, IRES sequence variants had the same rank order for all tested DNA plasmid concentrations (Figure 4C-J). Maximum expression was achieved by IRES-WT, which also ranked as the highest across different DNA concentrations. However, compared to the T7 promoter set, more variability was observed within replicates and between DNA preparations for IRES variants, especially at higher DNA concentrations. </w:t>
      </w:r>
    </w:p>
    <w:p w14:paraId="60E5CE92" w14:textId="15E286F4" w:rsidR="006764C7" w:rsidRDefault="007474DF" w:rsidP="00452433">
      <w:pPr>
        <w:spacing w:line="240" w:lineRule="auto"/>
        <w:rPr>
          <w:sz w:val="24"/>
          <w:szCs w:val="24"/>
        </w:rPr>
      </w:pPr>
      <w:r>
        <w:rPr>
          <w:b/>
          <w:noProof/>
          <w:sz w:val="24"/>
          <w:szCs w:val="24"/>
          <w:lang w:eastAsia="en-GB"/>
        </w:rPr>
        <w:drawing>
          <wp:inline distT="0" distB="0" distL="0" distR="0" wp14:anchorId="586A4723" wp14:editId="3C2CD502">
            <wp:extent cx="5721641" cy="6614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r="3071"/>
                    <a:stretch/>
                  </pic:blipFill>
                  <pic:spPr bwMode="auto">
                    <a:xfrm>
                      <a:off x="0" y="0"/>
                      <a:ext cx="5731841" cy="6625951"/>
                    </a:xfrm>
                    <a:prstGeom prst="rect">
                      <a:avLst/>
                    </a:prstGeom>
                    <a:noFill/>
                    <a:ln>
                      <a:noFill/>
                    </a:ln>
                    <a:extLst>
                      <a:ext uri="{53640926-AAD7-44D8-BBD7-CCE9431645EC}">
                        <a14:shadowObscured xmlns:a14="http://schemas.microsoft.com/office/drawing/2010/main"/>
                      </a:ext>
                    </a:extLst>
                  </pic:spPr>
                </pic:pic>
              </a:graphicData>
            </a:graphic>
          </wp:inline>
        </w:drawing>
      </w:r>
      <w:r w:rsidR="006764C7" w:rsidRPr="00EC1F2C">
        <w:rPr>
          <w:b/>
          <w:sz w:val="24"/>
          <w:szCs w:val="24"/>
        </w:rPr>
        <w:t xml:space="preserve">Figure </w:t>
      </w:r>
      <w:proofErr w:type="gramStart"/>
      <w:r w:rsidR="009B7609" w:rsidRPr="00EC1F2C">
        <w:rPr>
          <w:b/>
          <w:sz w:val="24"/>
          <w:szCs w:val="24"/>
        </w:rPr>
        <w:t xml:space="preserve">3  </w:t>
      </w:r>
      <w:r w:rsidR="006764C7" w:rsidRPr="00EC1F2C">
        <w:rPr>
          <w:b/>
          <w:sz w:val="24"/>
          <w:szCs w:val="24"/>
        </w:rPr>
        <w:t>HeLa</w:t>
      </w:r>
      <w:proofErr w:type="gramEnd"/>
      <w:r w:rsidR="006764C7" w:rsidRPr="00583A98">
        <w:rPr>
          <w:b/>
          <w:sz w:val="24"/>
          <w:szCs w:val="24"/>
        </w:rPr>
        <w:t xml:space="preserve"> CFPS expression testing of a range of T7 promoter variants.</w:t>
      </w:r>
      <w:r w:rsidR="006764C7" w:rsidRPr="00583A98">
        <w:rPr>
          <w:sz w:val="24"/>
          <w:szCs w:val="24"/>
        </w:rPr>
        <w:t xml:space="preserve"> </w:t>
      </w:r>
      <w:r w:rsidR="006764C7" w:rsidRPr="00485CBA">
        <w:rPr>
          <w:b/>
          <w:sz w:val="24"/>
          <w:szCs w:val="24"/>
        </w:rPr>
        <w:t>(A)</w:t>
      </w:r>
      <w:r w:rsidR="006E428D" w:rsidRPr="006E428D">
        <w:rPr>
          <w:sz w:val="24"/>
          <w:szCs w:val="24"/>
        </w:rPr>
        <w:t xml:space="preserve"> </w:t>
      </w:r>
      <w:r w:rsidR="006E428D" w:rsidRPr="00583A98">
        <w:rPr>
          <w:sz w:val="24"/>
          <w:szCs w:val="24"/>
        </w:rPr>
        <w:t xml:space="preserve">T7 promoter </w:t>
      </w:r>
      <w:r w:rsidR="006E428D" w:rsidRPr="00583A98">
        <w:rPr>
          <w:sz w:val="24"/>
          <w:szCs w:val="24"/>
        </w:rPr>
        <w:lastRenderedPageBreak/>
        <w:t>sequence variants</w:t>
      </w:r>
      <w:r w:rsidR="006E428D">
        <w:rPr>
          <w:sz w:val="24"/>
          <w:szCs w:val="24"/>
        </w:rPr>
        <w:t>.</w:t>
      </w:r>
      <w:r w:rsidR="006764C7" w:rsidRPr="00583A98">
        <w:rPr>
          <w:sz w:val="24"/>
          <w:szCs w:val="24"/>
        </w:rPr>
        <w:t xml:space="preserve"> </w:t>
      </w:r>
      <w:r w:rsidR="006764C7" w:rsidRPr="00485CBA">
        <w:rPr>
          <w:b/>
          <w:sz w:val="24"/>
          <w:szCs w:val="24"/>
        </w:rPr>
        <w:t>(B)</w:t>
      </w:r>
      <w:r w:rsidR="006764C7" w:rsidRPr="00583A98">
        <w:rPr>
          <w:sz w:val="24"/>
          <w:szCs w:val="24"/>
        </w:rPr>
        <w:t xml:space="preserve"> </w:t>
      </w:r>
      <w:r w:rsidR="006E428D" w:rsidRPr="00583A98">
        <w:rPr>
          <w:sz w:val="24"/>
          <w:szCs w:val="24"/>
        </w:rPr>
        <w:t>Schematic overview of the DNA construct used for testing T7 promoter variants</w:t>
      </w:r>
      <w:r w:rsidR="006E428D">
        <w:rPr>
          <w:sz w:val="24"/>
          <w:szCs w:val="24"/>
        </w:rPr>
        <w:t>.</w:t>
      </w:r>
      <w:r w:rsidR="006764C7" w:rsidRPr="00583A98">
        <w:rPr>
          <w:sz w:val="24"/>
          <w:szCs w:val="24"/>
        </w:rPr>
        <w:t xml:space="preserve"> </w:t>
      </w:r>
      <w:r w:rsidR="006764C7" w:rsidRPr="00485CBA">
        <w:rPr>
          <w:b/>
          <w:sz w:val="24"/>
          <w:szCs w:val="24"/>
        </w:rPr>
        <w:t>(C to I)</w:t>
      </w:r>
      <w:r w:rsidR="006764C7" w:rsidRPr="00583A98">
        <w:rPr>
          <w:sz w:val="24"/>
          <w:szCs w:val="24"/>
        </w:rPr>
        <w:t xml:space="preserve"> Expression from the pT7-IRES-GFP construct at various DNA concentrations using a range of T7 promoter strengths. DNA concentrations tested were: 0.025 </w:t>
      </w:r>
      <w:proofErr w:type="spellStart"/>
      <w:r w:rsidR="006764C7" w:rsidRPr="00583A98">
        <w:rPr>
          <w:sz w:val="24"/>
          <w:szCs w:val="24"/>
        </w:rPr>
        <w:t>nM</w:t>
      </w:r>
      <w:proofErr w:type="spellEnd"/>
      <w:r w:rsidR="006764C7" w:rsidRPr="00583A98">
        <w:rPr>
          <w:sz w:val="24"/>
          <w:szCs w:val="24"/>
        </w:rPr>
        <w:t xml:space="preserve"> (C), 0.25 </w:t>
      </w:r>
      <w:proofErr w:type="spellStart"/>
      <w:r w:rsidR="006764C7" w:rsidRPr="00583A98">
        <w:rPr>
          <w:sz w:val="24"/>
          <w:szCs w:val="24"/>
        </w:rPr>
        <w:t>nM</w:t>
      </w:r>
      <w:proofErr w:type="spellEnd"/>
      <w:r w:rsidR="006764C7" w:rsidRPr="00583A98">
        <w:rPr>
          <w:sz w:val="24"/>
          <w:szCs w:val="24"/>
        </w:rPr>
        <w:t xml:space="preserve"> (D), 1.25 </w:t>
      </w:r>
      <w:proofErr w:type="spellStart"/>
      <w:r w:rsidR="006764C7" w:rsidRPr="00583A98">
        <w:rPr>
          <w:sz w:val="24"/>
          <w:szCs w:val="24"/>
        </w:rPr>
        <w:t>nM</w:t>
      </w:r>
      <w:proofErr w:type="spellEnd"/>
      <w:r w:rsidR="006764C7" w:rsidRPr="00583A98">
        <w:rPr>
          <w:sz w:val="24"/>
          <w:szCs w:val="24"/>
        </w:rPr>
        <w:t xml:space="preserve"> (E), 2.5 </w:t>
      </w:r>
      <w:proofErr w:type="spellStart"/>
      <w:r w:rsidR="006764C7" w:rsidRPr="00583A98">
        <w:rPr>
          <w:sz w:val="24"/>
          <w:szCs w:val="24"/>
        </w:rPr>
        <w:t>nM</w:t>
      </w:r>
      <w:proofErr w:type="spellEnd"/>
      <w:r w:rsidR="006764C7" w:rsidRPr="00583A98">
        <w:rPr>
          <w:sz w:val="24"/>
          <w:szCs w:val="24"/>
        </w:rPr>
        <w:t xml:space="preserve"> (F), 5 </w:t>
      </w:r>
      <w:proofErr w:type="spellStart"/>
      <w:r w:rsidR="006764C7" w:rsidRPr="00583A98">
        <w:rPr>
          <w:sz w:val="24"/>
          <w:szCs w:val="24"/>
        </w:rPr>
        <w:t>nM</w:t>
      </w:r>
      <w:proofErr w:type="spellEnd"/>
      <w:r w:rsidR="006764C7" w:rsidRPr="00583A98">
        <w:rPr>
          <w:sz w:val="24"/>
          <w:szCs w:val="24"/>
        </w:rPr>
        <w:t xml:space="preserve"> (G), 7.5 </w:t>
      </w:r>
      <w:proofErr w:type="spellStart"/>
      <w:r w:rsidR="006764C7" w:rsidRPr="00583A98">
        <w:rPr>
          <w:sz w:val="24"/>
          <w:szCs w:val="24"/>
        </w:rPr>
        <w:t>nM</w:t>
      </w:r>
      <w:proofErr w:type="spellEnd"/>
      <w:r w:rsidR="006764C7" w:rsidRPr="00583A98">
        <w:rPr>
          <w:sz w:val="24"/>
          <w:szCs w:val="24"/>
        </w:rPr>
        <w:t xml:space="preserve"> (H) and 10 </w:t>
      </w:r>
      <w:proofErr w:type="spellStart"/>
      <w:r w:rsidR="006764C7" w:rsidRPr="00583A98">
        <w:rPr>
          <w:sz w:val="24"/>
          <w:szCs w:val="24"/>
        </w:rPr>
        <w:t>nM</w:t>
      </w:r>
      <w:proofErr w:type="spellEnd"/>
      <w:r w:rsidR="006764C7" w:rsidRPr="00583A98">
        <w:rPr>
          <w:sz w:val="24"/>
          <w:szCs w:val="24"/>
        </w:rPr>
        <w:t xml:space="preserve"> (I). Data points represent two plasmid DNA preparations. All data was collected in one experimental run with the positive control (</w:t>
      </w:r>
      <w:proofErr w:type="spellStart"/>
      <w:r w:rsidR="006764C7" w:rsidRPr="00583A98">
        <w:rPr>
          <w:sz w:val="24"/>
          <w:szCs w:val="24"/>
        </w:rPr>
        <w:t>pCFE</w:t>
      </w:r>
      <w:proofErr w:type="spellEnd"/>
      <w:r w:rsidR="006764C7" w:rsidRPr="00583A98">
        <w:rPr>
          <w:sz w:val="24"/>
          <w:szCs w:val="24"/>
        </w:rPr>
        <w:t>-GFP) run at the highes</w:t>
      </w:r>
      <w:r w:rsidR="006764C7">
        <w:rPr>
          <w:sz w:val="24"/>
          <w:szCs w:val="24"/>
        </w:rPr>
        <w:t xml:space="preserve">t 10 </w:t>
      </w:r>
      <w:proofErr w:type="spellStart"/>
      <w:r w:rsidR="006764C7">
        <w:rPr>
          <w:sz w:val="24"/>
          <w:szCs w:val="24"/>
        </w:rPr>
        <w:t>nM</w:t>
      </w:r>
      <w:proofErr w:type="spellEnd"/>
      <w:r w:rsidR="006764C7">
        <w:rPr>
          <w:sz w:val="24"/>
          <w:szCs w:val="24"/>
        </w:rPr>
        <w:t xml:space="preserve"> plasmid concentration</w:t>
      </w:r>
      <w:r w:rsidR="006764C7" w:rsidRPr="00583A98">
        <w:rPr>
          <w:sz w:val="24"/>
          <w:szCs w:val="24"/>
        </w:rPr>
        <w:t xml:space="preserve">.  </w:t>
      </w:r>
      <w:r w:rsidR="006764C7" w:rsidRPr="00485CBA">
        <w:rPr>
          <w:b/>
          <w:sz w:val="24"/>
          <w:szCs w:val="24"/>
        </w:rPr>
        <w:t>(J)</w:t>
      </w:r>
      <w:r w:rsidR="006764C7" w:rsidRPr="00583A98">
        <w:rPr>
          <w:sz w:val="24"/>
          <w:szCs w:val="24"/>
        </w:rPr>
        <w:t xml:space="preserve"> Summary of expression patterns from </w:t>
      </w:r>
      <w:r w:rsidR="006764C7">
        <w:rPr>
          <w:sz w:val="24"/>
          <w:szCs w:val="24"/>
        </w:rPr>
        <w:t>parts (</w:t>
      </w:r>
      <w:r w:rsidR="006764C7" w:rsidRPr="00583A98">
        <w:rPr>
          <w:sz w:val="24"/>
          <w:szCs w:val="24"/>
        </w:rPr>
        <w:t>C) to (I). The endpoint fluorescence for the reactions is converted to GFP units.</w:t>
      </w:r>
    </w:p>
    <w:p w14:paraId="6B32906E" w14:textId="0D96A7F5" w:rsidR="006764C7" w:rsidRPr="004F3D4D" w:rsidRDefault="00FF6C4A" w:rsidP="006764C7">
      <w:pPr>
        <w:pStyle w:val="Caption"/>
        <w:rPr>
          <w:i w:val="0"/>
          <w:color w:val="auto"/>
          <w:sz w:val="24"/>
          <w:szCs w:val="24"/>
        </w:rPr>
      </w:pPr>
      <w:bookmarkStart w:id="1" w:name="_Ref20137621"/>
      <w:r>
        <w:rPr>
          <w:b/>
          <w:i w:val="0"/>
          <w:noProof/>
          <w:color w:val="auto"/>
          <w:sz w:val="24"/>
          <w:szCs w:val="24"/>
          <w:lang w:eastAsia="en-GB"/>
        </w:rPr>
        <w:drawing>
          <wp:inline distT="0" distB="0" distL="0" distR="0" wp14:anchorId="60EA8F54" wp14:editId="4CFD8294">
            <wp:extent cx="5705418" cy="701946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a:extLst>
                        <a:ext uri="{28A0092B-C50C-407E-A947-70E740481C1C}">
                          <a14:useLocalDpi xmlns:a14="http://schemas.microsoft.com/office/drawing/2010/main" val="0"/>
                        </a:ext>
                      </a:extLst>
                    </a:blip>
                    <a:srcRect r="3235"/>
                    <a:stretch/>
                  </pic:blipFill>
                  <pic:spPr bwMode="auto">
                    <a:xfrm>
                      <a:off x="0" y="0"/>
                      <a:ext cx="5709984" cy="7025084"/>
                    </a:xfrm>
                    <a:prstGeom prst="rect">
                      <a:avLst/>
                    </a:prstGeom>
                    <a:noFill/>
                    <a:ln>
                      <a:noFill/>
                    </a:ln>
                    <a:extLst>
                      <a:ext uri="{53640926-AAD7-44D8-BBD7-CCE9431645EC}">
                        <a14:shadowObscured xmlns:a14="http://schemas.microsoft.com/office/drawing/2010/main"/>
                      </a:ext>
                    </a:extLst>
                  </pic:spPr>
                </pic:pic>
              </a:graphicData>
            </a:graphic>
          </wp:inline>
        </w:drawing>
      </w:r>
      <w:r w:rsidR="006764C7" w:rsidRPr="004F3D4D">
        <w:rPr>
          <w:b/>
          <w:i w:val="0"/>
          <w:color w:val="auto"/>
          <w:sz w:val="24"/>
          <w:szCs w:val="24"/>
        </w:rPr>
        <w:t>Figure</w:t>
      </w:r>
      <w:bookmarkEnd w:id="1"/>
      <w:r w:rsidR="003B7971">
        <w:rPr>
          <w:b/>
          <w:i w:val="0"/>
          <w:color w:val="auto"/>
          <w:sz w:val="24"/>
          <w:szCs w:val="24"/>
        </w:rPr>
        <w:t xml:space="preserve"> </w:t>
      </w:r>
      <w:proofErr w:type="gramStart"/>
      <w:r w:rsidR="003B7971">
        <w:rPr>
          <w:b/>
          <w:i w:val="0"/>
          <w:color w:val="auto"/>
          <w:sz w:val="24"/>
          <w:szCs w:val="24"/>
        </w:rPr>
        <w:t xml:space="preserve">4 </w:t>
      </w:r>
      <w:r w:rsidR="009B7609">
        <w:rPr>
          <w:b/>
          <w:i w:val="0"/>
          <w:color w:val="auto"/>
          <w:sz w:val="24"/>
          <w:szCs w:val="24"/>
        </w:rPr>
        <w:t xml:space="preserve"> </w:t>
      </w:r>
      <w:r w:rsidR="006764C7" w:rsidRPr="004F3D4D">
        <w:rPr>
          <w:b/>
          <w:i w:val="0"/>
          <w:color w:val="auto"/>
          <w:sz w:val="24"/>
          <w:szCs w:val="24"/>
        </w:rPr>
        <w:t>HeLa</w:t>
      </w:r>
      <w:proofErr w:type="gramEnd"/>
      <w:r w:rsidR="006764C7" w:rsidRPr="004F3D4D">
        <w:rPr>
          <w:b/>
          <w:i w:val="0"/>
          <w:color w:val="auto"/>
          <w:sz w:val="24"/>
          <w:szCs w:val="24"/>
        </w:rPr>
        <w:t xml:space="preserve"> CFPS expression testing of a range of EMCV IRES variants.</w:t>
      </w:r>
      <w:r w:rsidR="006764C7" w:rsidRPr="004F3D4D">
        <w:rPr>
          <w:i w:val="0"/>
          <w:color w:val="auto"/>
          <w:sz w:val="24"/>
          <w:szCs w:val="24"/>
        </w:rPr>
        <w:t xml:space="preserve"> </w:t>
      </w:r>
      <w:r w:rsidR="006764C7" w:rsidRPr="00485CBA">
        <w:rPr>
          <w:b/>
          <w:i w:val="0"/>
          <w:color w:val="auto"/>
          <w:sz w:val="24"/>
          <w:szCs w:val="24"/>
        </w:rPr>
        <w:t>(A)</w:t>
      </w:r>
      <w:r w:rsidR="006E428D">
        <w:rPr>
          <w:b/>
          <w:i w:val="0"/>
          <w:color w:val="auto"/>
          <w:sz w:val="24"/>
          <w:szCs w:val="24"/>
        </w:rPr>
        <w:t xml:space="preserve"> </w:t>
      </w:r>
      <w:r w:rsidR="006E428D" w:rsidRPr="004F3D4D">
        <w:rPr>
          <w:i w:val="0"/>
          <w:color w:val="auto"/>
          <w:sz w:val="24"/>
          <w:szCs w:val="24"/>
        </w:rPr>
        <w:t xml:space="preserve">EMCV IRES </w:t>
      </w:r>
      <w:r w:rsidR="006E428D" w:rsidRPr="004F3D4D">
        <w:rPr>
          <w:i w:val="0"/>
          <w:color w:val="auto"/>
          <w:sz w:val="24"/>
          <w:szCs w:val="24"/>
        </w:rPr>
        <w:lastRenderedPageBreak/>
        <w:t xml:space="preserve">variants. </w:t>
      </w:r>
      <w:r w:rsidR="006764C7" w:rsidRPr="004F3D4D">
        <w:rPr>
          <w:i w:val="0"/>
          <w:color w:val="auto"/>
          <w:sz w:val="24"/>
          <w:szCs w:val="24"/>
        </w:rPr>
        <w:t xml:space="preserve"> </w:t>
      </w:r>
      <w:r w:rsidR="006764C7" w:rsidRPr="00485CBA">
        <w:rPr>
          <w:b/>
          <w:i w:val="0"/>
          <w:color w:val="auto"/>
          <w:sz w:val="24"/>
          <w:szCs w:val="24"/>
        </w:rPr>
        <w:t>(B)</w:t>
      </w:r>
      <w:r w:rsidR="006764C7" w:rsidRPr="004F3D4D">
        <w:rPr>
          <w:i w:val="0"/>
          <w:color w:val="auto"/>
          <w:sz w:val="24"/>
          <w:szCs w:val="24"/>
        </w:rPr>
        <w:t xml:space="preserve"> </w:t>
      </w:r>
      <w:r w:rsidR="006E428D" w:rsidRPr="004F3D4D">
        <w:rPr>
          <w:i w:val="0"/>
          <w:color w:val="auto"/>
          <w:sz w:val="24"/>
          <w:szCs w:val="24"/>
        </w:rPr>
        <w:t>Schematic overview of the DNA construct used for testing the IRES variants.</w:t>
      </w:r>
      <w:r w:rsidR="006E428D">
        <w:rPr>
          <w:i w:val="0"/>
          <w:color w:val="auto"/>
          <w:sz w:val="24"/>
          <w:szCs w:val="24"/>
        </w:rPr>
        <w:t xml:space="preserve"> </w:t>
      </w:r>
      <w:r w:rsidR="006764C7" w:rsidRPr="00485CBA">
        <w:rPr>
          <w:b/>
          <w:i w:val="0"/>
          <w:color w:val="auto"/>
          <w:sz w:val="24"/>
          <w:szCs w:val="24"/>
        </w:rPr>
        <w:t xml:space="preserve">(C-I) </w:t>
      </w:r>
      <w:r w:rsidR="006764C7" w:rsidRPr="004F3D4D">
        <w:rPr>
          <w:i w:val="0"/>
          <w:color w:val="auto"/>
          <w:sz w:val="24"/>
          <w:szCs w:val="24"/>
        </w:rPr>
        <w:t xml:space="preserve">Expression from the pT7-IRES-GFP construct at various DNA concentrations using a range of IRES strengths. DNA concentrations tested were: 0.025 </w:t>
      </w:r>
      <w:proofErr w:type="spellStart"/>
      <w:r w:rsidR="006764C7" w:rsidRPr="004F3D4D">
        <w:rPr>
          <w:i w:val="0"/>
          <w:color w:val="auto"/>
          <w:sz w:val="24"/>
          <w:szCs w:val="24"/>
        </w:rPr>
        <w:t>nM</w:t>
      </w:r>
      <w:proofErr w:type="spellEnd"/>
      <w:r w:rsidR="006764C7" w:rsidRPr="004F3D4D">
        <w:rPr>
          <w:i w:val="0"/>
          <w:color w:val="auto"/>
          <w:sz w:val="24"/>
          <w:szCs w:val="24"/>
        </w:rPr>
        <w:t xml:space="preserve"> (C), 0.25 </w:t>
      </w:r>
      <w:proofErr w:type="spellStart"/>
      <w:r w:rsidR="006764C7" w:rsidRPr="004F3D4D">
        <w:rPr>
          <w:i w:val="0"/>
          <w:color w:val="auto"/>
          <w:sz w:val="24"/>
          <w:szCs w:val="24"/>
        </w:rPr>
        <w:t>nM</w:t>
      </w:r>
      <w:proofErr w:type="spellEnd"/>
      <w:r w:rsidR="006764C7" w:rsidRPr="004F3D4D">
        <w:rPr>
          <w:i w:val="0"/>
          <w:color w:val="auto"/>
          <w:sz w:val="24"/>
          <w:szCs w:val="24"/>
        </w:rPr>
        <w:t xml:space="preserve"> (D), 1.25 </w:t>
      </w:r>
      <w:proofErr w:type="spellStart"/>
      <w:r w:rsidR="006764C7" w:rsidRPr="004F3D4D">
        <w:rPr>
          <w:i w:val="0"/>
          <w:color w:val="auto"/>
          <w:sz w:val="24"/>
          <w:szCs w:val="24"/>
        </w:rPr>
        <w:t>nM</w:t>
      </w:r>
      <w:proofErr w:type="spellEnd"/>
      <w:r w:rsidR="006764C7" w:rsidRPr="004F3D4D">
        <w:rPr>
          <w:i w:val="0"/>
          <w:color w:val="auto"/>
          <w:sz w:val="24"/>
          <w:szCs w:val="24"/>
        </w:rPr>
        <w:t xml:space="preserve"> (E), 2.5 </w:t>
      </w:r>
      <w:proofErr w:type="spellStart"/>
      <w:r w:rsidR="006764C7" w:rsidRPr="004F3D4D">
        <w:rPr>
          <w:i w:val="0"/>
          <w:color w:val="auto"/>
          <w:sz w:val="24"/>
          <w:szCs w:val="24"/>
        </w:rPr>
        <w:t>nM</w:t>
      </w:r>
      <w:proofErr w:type="spellEnd"/>
      <w:r w:rsidR="006764C7" w:rsidRPr="004F3D4D">
        <w:rPr>
          <w:i w:val="0"/>
          <w:color w:val="auto"/>
          <w:sz w:val="24"/>
          <w:szCs w:val="24"/>
        </w:rPr>
        <w:t xml:space="preserve"> (F), 5 </w:t>
      </w:r>
      <w:proofErr w:type="spellStart"/>
      <w:r w:rsidR="006764C7" w:rsidRPr="004F3D4D">
        <w:rPr>
          <w:i w:val="0"/>
          <w:color w:val="auto"/>
          <w:sz w:val="24"/>
          <w:szCs w:val="24"/>
        </w:rPr>
        <w:t>nM</w:t>
      </w:r>
      <w:proofErr w:type="spellEnd"/>
      <w:r w:rsidR="006764C7" w:rsidRPr="004F3D4D">
        <w:rPr>
          <w:i w:val="0"/>
          <w:color w:val="auto"/>
          <w:sz w:val="24"/>
          <w:szCs w:val="24"/>
        </w:rPr>
        <w:t xml:space="preserve"> (G), 7.5 </w:t>
      </w:r>
      <w:proofErr w:type="spellStart"/>
      <w:r w:rsidR="006764C7" w:rsidRPr="004F3D4D">
        <w:rPr>
          <w:i w:val="0"/>
          <w:color w:val="auto"/>
          <w:sz w:val="24"/>
          <w:szCs w:val="24"/>
        </w:rPr>
        <w:t>nM</w:t>
      </w:r>
      <w:proofErr w:type="spellEnd"/>
      <w:r w:rsidR="006764C7" w:rsidRPr="004F3D4D">
        <w:rPr>
          <w:i w:val="0"/>
          <w:color w:val="auto"/>
          <w:sz w:val="24"/>
          <w:szCs w:val="24"/>
        </w:rPr>
        <w:t xml:space="preserve"> (H) and 10 </w:t>
      </w:r>
      <w:proofErr w:type="spellStart"/>
      <w:r w:rsidR="006764C7" w:rsidRPr="004F3D4D">
        <w:rPr>
          <w:i w:val="0"/>
          <w:color w:val="auto"/>
          <w:sz w:val="24"/>
          <w:szCs w:val="24"/>
        </w:rPr>
        <w:t>nM</w:t>
      </w:r>
      <w:proofErr w:type="spellEnd"/>
      <w:r w:rsidR="006764C7" w:rsidRPr="004F3D4D">
        <w:rPr>
          <w:i w:val="0"/>
          <w:color w:val="auto"/>
          <w:sz w:val="24"/>
          <w:szCs w:val="24"/>
        </w:rPr>
        <w:t xml:space="preserve"> (I). Data points represent two plasmid DNA preparations. All data was collected in one experimental run with the positive control (</w:t>
      </w:r>
      <w:proofErr w:type="spellStart"/>
      <w:r w:rsidR="006764C7" w:rsidRPr="004F3D4D">
        <w:rPr>
          <w:i w:val="0"/>
          <w:color w:val="auto"/>
          <w:sz w:val="24"/>
          <w:szCs w:val="24"/>
        </w:rPr>
        <w:t>pCFE</w:t>
      </w:r>
      <w:proofErr w:type="spellEnd"/>
      <w:r w:rsidR="006764C7" w:rsidRPr="004F3D4D">
        <w:rPr>
          <w:i w:val="0"/>
          <w:color w:val="auto"/>
          <w:sz w:val="24"/>
          <w:szCs w:val="24"/>
        </w:rPr>
        <w:t xml:space="preserve">-GFP) run at the highest 10 </w:t>
      </w:r>
      <w:proofErr w:type="spellStart"/>
      <w:r w:rsidR="006764C7" w:rsidRPr="004F3D4D">
        <w:rPr>
          <w:i w:val="0"/>
          <w:color w:val="auto"/>
          <w:sz w:val="24"/>
          <w:szCs w:val="24"/>
        </w:rPr>
        <w:t>nM</w:t>
      </w:r>
      <w:proofErr w:type="spellEnd"/>
      <w:r w:rsidR="006764C7" w:rsidRPr="004F3D4D">
        <w:rPr>
          <w:i w:val="0"/>
          <w:color w:val="auto"/>
          <w:sz w:val="24"/>
          <w:szCs w:val="24"/>
        </w:rPr>
        <w:t xml:space="preserve"> plasmid concentration. </w:t>
      </w:r>
      <w:r w:rsidR="006764C7" w:rsidRPr="00485CBA">
        <w:rPr>
          <w:b/>
          <w:i w:val="0"/>
          <w:color w:val="auto"/>
          <w:sz w:val="24"/>
          <w:szCs w:val="24"/>
        </w:rPr>
        <w:t>(J)</w:t>
      </w:r>
      <w:r w:rsidR="006764C7" w:rsidRPr="004F3D4D">
        <w:rPr>
          <w:i w:val="0"/>
          <w:color w:val="auto"/>
          <w:sz w:val="24"/>
          <w:szCs w:val="24"/>
        </w:rPr>
        <w:t xml:space="preserve"> Summary of expression pattern from parts (C) to (I). The endpoint fluorescence for reactions is converted to GFP units.</w:t>
      </w:r>
    </w:p>
    <w:p w14:paraId="0DDBB131" w14:textId="67B4813A" w:rsidR="006764C7" w:rsidRPr="006764C7" w:rsidRDefault="006764C7" w:rsidP="006764C7">
      <w:pPr>
        <w:pStyle w:val="Heading3"/>
        <w:spacing w:line="480" w:lineRule="auto"/>
        <w:rPr>
          <w:rFonts w:asciiTheme="minorHAnsi" w:hAnsiTheme="minorHAnsi"/>
          <w:b/>
          <w:color w:val="auto"/>
        </w:rPr>
      </w:pPr>
      <w:r w:rsidRPr="006764C7">
        <w:rPr>
          <w:rFonts w:asciiTheme="minorHAnsi" w:hAnsiTheme="minorHAnsi"/>
          <w:b/>
          <w:color w:val="auto"/>
        </w:rPr>
        <w:t>Characterising repression dynamics in HeLa CFPS assays</w:t>
      </w:r>
      <w:bookmarkStart w:id="2" w:name="_Ref19114642"/>
    </w:p>
    <w:bookmarkEnd w:id="2"/>
    <w:p w14:paraId="0F76D316" w14:textId="794412B8" w:rsidR="006764C7" w:rsidRDefault="006764C7" w:rsidP="006764C7">
      <w:pPr>
        <w:spacing w:line="480" w:lineRule="auto"/>
        <w:rPr>
          <w:sz w:val="24"/>
          <w:szCs w:val="24"/>
        </w:rPr>
      </w:pPr>
      <w:r>
        <w:rPr>
          <w:sz w:val="24"/>
          <w:szCs w:val="24"/>
        </w:rPr>
        <w:t xml:space="preserve">We next characterised more </w:t>
      </w:r>
      <w:r w:rsidRPr="002C4766">
        <w:rPr>
          <w:sz w:val="24"/>
          <w:szCs w:val="24"/>
        </w:rPr>
        <w:t>complex regulatory elements and chose a dCas9 transcriptional repression module</w:t>
      </w:r>
      <w:r w:rsidR="00B8171B">
        <w:rPr>
          <w:sz w:val="24"/>
          <w:szCs w:val="24"/>
        </w:rPr>
        <w:fldChar w:fldCharType="begin" w:fldLock="1"/>
      </w:r>
      <w:r w:rsidR="00705239">
        <w:rPr>
          <w:sz w:val="24"/>
          <w:szCs w:val="24"/>
        </w:rPr>
        <w:instrText>ADDIN CSL_CITATION {"citationItems":[{"id":"ITEM-1","itemData":{"DOI":"10.1016/j.cell.2013.06.044","ISSN":"1097-4172","PMID":"23849981","abstract":"The genetic interrogation and reprogramming of cells requires methods for robust and precise targeting of genes for expression or repression. The CRISPR-associated catalytically inactive dCas9 protein offers a general platform for RNA-guided DNA targeting. Here, we show that fusion of dCas9 to effector domains with distinct regulatory functions enables stable and efficient transcriptional repression or activation in human and yeast cells, with the site of delivery determined solely by a coexpressed short guide (sg)RNA. Coupling of dCas9 to a transcriptional repressor domain can robustly silence expression of multiple endogenous genes. RNA-seq analysis indicates that CRISPR interference (CRISPRi)-mediated transcriptional repression is highly specific. Our results establish that the CRISPR system can be used as a modular and flexible DNA-binding platform for the recruitment of proteins to a target DNA sequence, revealing the potential of CRISPRi as a general tool for the precise regulation of gene expression in eukaryotic cells.","author":[{"dropping-particle":"","family":"Gilbert","given":"Luke a","non-dropping-particle":"","parse-names":false,"suffix":""},{"dropping-particle":"","family":"Larson","given":"Matthew H","non-dropping-particle":"","parse-names":false,"suffix":""},{"dropping-particle":"","family":"Morsut","given":"Leonardo","non-dropping-particle":"","parse-names":false,"suffix":""},{"dropping-particle":"","family":"Liu","given":"Zairan","non-dropping-particle":"","parse-names":false,"suffix":""},{"dropping-particle":"","family":"Brar","given":"Gloria a","non-dropping-particle":"","parse-names":false,"suffix":""},{"dropping-particle":"","family":"Torres","given":"Sandra E","non-dropping-particle":"","parse-names":false,"suffix":""},{"dropping-particle":"","family":"Stern-Ginossar","given":"Noam","non-dropping-particle":"","parse-names":false,"suffix":""},{"dropping-particle":"","family":"Brandman","given":"Onn","non-dropping-particle":"","parse-names":false,"suffix":""},{"dropping-particle":"","family":"Whitehead","given":"Evan H","non-dropping-particle":"","parse-names":false,"suffix":""},{"dropping-particle":"","family":"Doudna","given":"Jennifer a","non-dropping-particle":"","parse-names":false,"suffix":""},{"dropping-particle":"","family":"Lim","given":"Wendell a","non-dropping-particle":"","parse-names":false,"suffix":""},{"dropping-particle":"","family":"Weissman","given":"Jonathan S","non-dropping-particle":"","parse-names":false,"suffix":""},{"dropping-particle":"","family":"Qi","given":"Lei S","non-dropping-particle":"","parse-names":false,"suffix":""}],"container-title":"Cell","id":"ITEM-1","issue":"2","issued":{"date-parts":[["2013","7","18"]]},"page":"442-51","publisher":"Elsevier Inc.","title":"CRISPR-mediated modular RNA-guided regulation of transcription in eukaryotes.","type":"article-journal","volume":"154"},"uris":["http://www.mendeley.com/documents/?uuid=0c655cdf-33de-49fd-8333-e004dd3285e1"]}],"mendeley":{"formattedCitation":"&lt;sup&gt;26&lt;/sup&gt;","plainTextFormattedCitation":"26","previouslyFormattedCitation":"&lt;sup&gt;26&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26</w:t>
      </w:r>
      <w:r w:rsidR="00B8171B">
        <w:rPr>
          <w:sz w:val="24"/>
          <w:szCs w:val="24"/>
        </w:rPr>
        <w:fldChar w:fldCharType="end"/>
      </w:r>
      <w:r w:rsidR="00B8171B" w:rsidRPr="002C4766" w:rsidDel="00B8171B">
        <w:rPr>
          <w:sz w:val="24"/>
          <w:szCs w:val="24"/>
        </w:rPr>
        <w:t xml:space="preserve"> </w:t>
      </w:r>
      <w:r w:rsidRPr="002C4766">
        <w:rPr>
          <w:sz w:val="24"/>
          <w:szCs w:val="24"/>
        </w:rPr>
        <w:t>and a</w:t>
      </w:r>
      <w:r>
        <w:rPr>
          <w:sz w:val="24"/>
          <w:szCs w:val="24"/>
        </w:rPr>
        <w:t>n</w:t>
      </w:r>
      <w:r w:rsidRPr="002C4766">
        <w:rPr>
          <w:sz w:val="24"/>
          <w:szCs w:val="24"/>
        </w:rPr>
        <w:t xml:space="preserve"> L7Ae translational repression module</w:t>
      </w:r>
      <w:r w:rsidR="00B8171B">
        <w:rPr>
          <w:sz w:val="24"/>
          <w:szCs w:val="24"/>
        </w:rPr>
        <w:fldChar w:fldCharType="begin" w:fldLock="1"/>
      </w:r>
      <w:r w:rsidR="00705239">
        <w:rPr>
          <w:sz w:val="24"/>
          <w:szCs w:val="24"/>
        </w:rPr>
        <w:instrText>ADDIN CSL_CITATION {"citationItems":[{"id":"ITEM-1","itemData":{"DOI":"10.1038/nchembio.273","ISSN":"1552-4469","PMID":"20016495","abstract":"The regulation of cell signaling pathways and the reconstruction of genetic circuits are important aspects of bioengineering research. Both of these goals require molecular devices to transmit information from an input biomacromolecule to the desired outputs. Here, we show that an RNA-protein (RNP)-containing L7Ae-kink-turn interaction can be used to construct translational regulators under control of an input protein that regulates the expression of desired output proteins. We built a system in which L7Ae, an archaeal ribosomal protein, regulates the translation of a designed mRNA in vitro and in human cells. The translational regulator composed of the RNP might provide new therapeutic strategies based on the detection, repair or rewiring of intrinsic cellular defects, and it may also serve as an invaluable tool for the dissection of the behavior of complex, higher-order circuits in the cell.","author":[{"dropping-particle":"","family":"Saito","given":"Hirohide","non-dropping-particle":"","parse-names":false,"suffix":""},{"dropping-particle":"","family":"Kobayashi","given":"Tetsuhiro","non-dropping-particle":"","parse-names":false,"suffix":""},{"dropping-particle":"","family":"Hara","given":"Tomoaki","non-dropping-particle":"","parse-names":false,"suffix":""},{"dropping-particle":"","family":"Fujita","given":"Yoshihiko","non-dropping-particle":"","parse-names":false,"suffix":""},{"dropping-particle":"","family":"Hayashi","given":"Karin","non-dropping-particle":"","parse-names":false,"suffix":""},{"dropping-particle":"","family":"Furushima","given":"Rie","non-dropping-particle":"","parse-names":false,"suffix":""},{"dropping-particle":"","family":"Inoue","given":"Tan","non-dropping-particle":"","parse-names":false,"suffix":""}],"container-title":"Nature chemical biology","id":"ITEM-1","issue":"1","issued":{"date-parts":[["2010","1"]]},"page":"71-8","publisher":"Nature Publishing Group","title":"Synthetic translational regulation by an L7Ae-kink-turn RNP switch.","type":"article-journal","volume":"6"},"uris":["http://www.mendeley.com/documents/?uuid=cc28937f-44a9-43b3-a3e7-1aca1dddb30c"]}],"mendeley":{"formattedCitation":"&lt;sup&gt;27&lt;/sup&gt;","plainTextFormattedCitation":"27","previouslyFormattedCitation":"&lt;sup&gt;27&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27</w:t>
      </w:r>
      <w:r w:rsidR="00B8171B">
        <w:rPr>
          <w:sz w:val="24"/>
          <w:szCs w:val="24"/>
        </w:rPr>
        <w:fldChar w:fldCharType="end"/>
      </w:r>
      <w:r w:rsidR="00B8171B">
        <w:rPr>
          <w:sz w:val="24"/>
          <w:szCs w:val="24"/>
        </w:rPr>
        <w:t xml:space="preserve"> </w:t>
      </w:r>
      <w:r>
        <w:rPr>
          <w:sz w:val="24"/>
          <w:szCs w:val="24"/>
        </w:rPr>
        <w:t xml:space="preserve">as examples. Both regulators are widely used in mammalian synthetic biology and are continuously being developed. The modified and catalytically inactive Cas9 (dCas9) inhibits transcription by binding sgRNA target sites inserted upstream of start </w:t>
      </w:r>
      <w:r w:rsidRPr="00953C72">
        <w:rPr>
          <w:sz w:val="24"/>
          <w:szCs w:val="24"/>
        </w:rPr>
        <w:t>codons</w:t>
      </w:r>
      <w:r>
        <w:rPr>
          <w:sz w:val="24"/>
          <w:szCs w:val="24"/>
        </w:rPr>
        <w:t xml:space="preserve"> (Figure 5A</w:t>
      </w:r>
      <w:r w:rsidRPr="000C516B">
        <w:rPr>
          <w:sz w:val="24"/>
          <w:szCs w:val="24"/>
        </w:rPr>
        <w:t>).</w:t>
      </w:r>
      <w:r>
        <w:rPr>
          <w:sz w:val="24"/>
          <w:szCs w:val="24"/>
        </w:rPr>
        <w:t xml:space="preserve"> For dCas9 characterisation, we used a promoter architecture with two outward-facing sgRNA target sites </w:t>
      </w:r>
      <w:r w:rsidRPr="003F7A19">
        <w:rPr>
          <w:sz w:val="24"/>
          <w:szCs w:val="24"/>
        </w:rPr>
        <w:t>flanking the core promoter</w:t>
      </w:r>
      <w:r w:rsidR="00B8171B">
        <w:rPr>
          <w:sz w:val="24"/>
          <w:szCs w:val="24"/>
        </w:rPr>
        <w:fldChar w:fldCharType="begin" w:fldLock="1"/>
      </w:r>
      <w:r w:rsidR="00705239">
        <w:rPr>
          <w:sz w:val="24"/>
          <w:szCs w:val="24"/>
        </w:rPr>
        <w:instrText>ADDIN CSL_CITATION {"citationItems":[{"id":"ITEM-1","itemData":{"DOI":"10.1016/j.cell.2013.06.044","ISSN":"1097-4172","PMID":"23849981","abstract":"The genetic interrogation and reprogramming of cells requires methods for robust and precise targeting of genes for expression or repression. The CRISPR-associated catalytically inactive dCas9 protein offers a general platform for RNA-guided DNA targeting. Here, we show that fusion of dCas9 to effector domains with distinct regulatory functions enables stable and efficient transcriptional repression or activation in human and yeast cells, with the site of delivery determined solely by a coexpressed short guide (sg)RNA. Coupling of dCas9 to a transcriptional repressor domain can robustly silence expression of multiple endogenous genes. RNA-seq analysis indicates that CRISPR interference (CRISPRi)-mediated transcriptional repression is highly specific. Our results establish that the CRISPR system can be used as a modular and flexible DNA-binding platform for the recruitment of proteins to a target DNA sequence, revealing the potential of CRISPRi as a general tool for the precise regulation of gene expression in eukaryotic cells.","author":[{"dropping-particle":"","family":"Gilbert","given":"Luke a","non-dropping-particle":"","parse-names":false,"suffix":""},{"dropping-particle":"","family":"Larson","given":"Matthew H","non-dropping-particle":"","parse-names":false,"suffix":""},{"dropping-particle":"","family":"Morsut","given":"Leonardo","non-dropping-particle":"","parse-names":false,"suffix":""},{"dropping-particle":"","family":"Liu","given":"Zairan","non-dropping-particle":"","parse-names":false,"suffix":""},{"dropping-particle":"","family":"Brar","given":"Gloria a","non-dropping-particle":"","parse-names":false,"suffix":""},{"dropping-particle":"","family":"Torres","given":"Sandra E","non-dropping-particle":"","parse-names":false,"suffix":""},{"dropping-particle":"","family":"Stern-Ginossar","given":"Noam","non-dropping-particle":"","parse-names":false,"suffix":""},{"dropping-particle":"","family":"Brandman","given":"Onn","non-dropping-particle":"","parse-names":false,"suffix":""},{"dropping-particle":"","family":"Whitehead","given":"Evan H","non-dropping-particle":"","parse-names":false,"suffix":""},{"dropping-particle":"","family":"Doudna","given":"Jennifer a","non-dropping-particle":"","parse-names":false,"suffix":""},{"dropping-particle":"","family":"Lim","given":"Wendell a","non-dropping-particle":"","parse-names":false,"suffix":""},{"dropping-particle":"","family":"Weissman","given":"Jonathan S","non-dropping-particle":"","parse-names":false,"suffix":""},{"dropping-particle":"","family":"Qi","given":"Lei S","non-dropping-particle":"","parse-names":false,"suffix":""}],"container-title":"Cell","id":"ITEM-1","issue":"2","issued":{"date-parts":[["2013","7","18"]]},"page":"442-51","publisher":"Elsevier Inc.","title":"CRISPR-mediated modular RNA-guided regulation of transcription in eukaryotes.","type":"article-journal","volume":"154"},"uris":["http://www.mendeley.com/documents/?uuid=0c655cdf-33de-49fd-8333-e004dd3285e1"]}],"mendeley":{"formattedCitation":"&lt;sup&gt;26&lt;/sup&gt;","plainTextFormattedCitation":"26","previouslyFormattedCitation":"&lt;sup&gt;26&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26</w:t>
      </w:r>
      <w:r w:rsidR="00B8171B">
        <w:rPr>
          <w:sz w:val="24"/>
          <w:szCs w:val="24"/>
        </w:rPr>
        <w:fldChar w:fldCharType="end"/>
      </w:r>
      <w:r w:rsidRPr="003F7A19">
        <w:rPr>
          <w:sz w:val="24"/>
          <w:szCs w:val="24"/>
        </w:rPr>
        <w:t>. The sequences of the orthogonal binding sites were designed using R2O software</w:t>
      </w:r>
      <w:r w:rsidR="00B8171B">
        <w:rPr>
          <w:sz w:val="24"/>
          <w:szCs w:val="24"/>
        </w:rPr>
        <w:fldChar w:fldCharType="begin" w:fldLock="1"/>
      </w:r>
      <w:r w:rsidR="00705239">
        <w:rPr>
          <w:sz w:val="24"/>
          <w:szCs w:val="24"/>
        </w:rPr>
        <w:instrText>ADDIN CSL_CITATION {"citationItems":[{"id":"ITEM-1","itemData":{"author":[{"dropping-particle":"","family":"Casini","given":"Arturo","non-dropping-particle":"","parse-names":false,"suffix":""},{"dropping-particle":"","family":"Christodoulou","given":"Georgia","non-dropping-particle":"","parse-names":false,"suffix":""},{"dropping-particle":"","family":"Freemont","given":"Paul S","non-dropping-particle":"","parse-names":false,"suffix":""},{"dropping-particle":"","family":"Baldwin","given":"Geo S","non-dropping-particle":"","parse-names":false,"suffix":""},{"dropping-particle":"","family":"Ellis","given":"Tom","non-dropping-particle":"","parse-names":false,"suffix":""},{"dropping-particle":"","family":"Macdonald","given":"James T","non-dropping-particle":"","parse-names":false,"suffix":""}],"id":"ITEM-1","issued":{"date-parts":[["2014"]]},"title":"R2oDNA Designer: Computational design of biologically neutral synthetic DNA sequences","type":"article-journal"},"uris":["http://www.mendeley.com/documents/?uuid=66cf0d98-0eda-42a5-aa8d-b237d8b95c69"]}],"mendeley":{"formattedCitation":"&lt;sup&gt;28&lt;/sup&gt;","plainTextFormattedCitation":"28","previouslyFormattedCitation":"&lt;sup&gt;28&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28</w:t>
      </w:r>
      <w:r w:rsidR="00B8171B">
        <w:rPr>
          <w:sz w:val="24"/>
          <w:szCs w:val="24"/>
        </w:rPr>
        <w:fldChar w:fldCharType="end"/>
      </w:r>
      <w:r w:rsidRPr="003F7A19">
        <w:rPr>
          <w:sz w:val="24"/>
          <w:szCs w:val="24"/>
        </w:rPr>
        <w:t xml:space="preserve">. Sequence-specific repression was observed in our CFPS assays with IC50 values of approximately 35 </w:t>
      </w:r>
      <w:proofErr w:type="spellStart"/>
      <w:r w:rsidRPr="003F7A19">
        <w:rPr>
          <w:sz w:val="24"/>
          <w:szCs w:val="24"/>
        </w:rPr>
        <w:t>nM</w:t>
      </w:r>
      <w:proofErr w:type="spellEnd"/>
      <w:r w:rsidRPr="003F7A19">
        <w:rPr>
          <w:sz w:val="24"/>
          <w:szCs w:val="24"/>
        </w:rPr>
        <w:t xml:space="preserve"> and 29 </w:t>
      </w:r>
      <w:proofErr w:type="spellStart"/>
      <w:r w:rsidRPr="003F7A19">
        <w:rPr>
          <w:sz w:val="24"/>
          <w:szCs w:val="24"/>
        </w:rPr>
        <w:t>nM</w:t>
      </w:r>
      <w:proofErr w:type="spellEnd"/>
      <w:r w:rsidRPr="003F7A19">
        <w:rPr>
          <w:sz w:val="24"/>
          <w:szCs w:val="24"/>
        </w:rPr>
        <w:t xml:space="preserve"> for variant A and B </w:t>
      </w:r>
      <w:r w:rsidRPr="000C516B">
        <w:rPr>
          <w:sz w:val="24"/>
          <w:szCs w:val="24"/>
        </w:rPr>
        <w:t>respectively</w:t>
      </w:r>
      <w:r>
        <w:rPr>
          <w:sz w:val="24"/>
          <w:szCs w:val="24"/>
        </w:rPr>
        <w:t xml:space="preserve"> (Figure 5</w:t>
      </w:r>
      <w:r w:rsidR="00140975">
        <w:rPr>
          <w:sz w:val="24"/>
          <w:szCs w:val="24"/>
        </w:rPr>
        <w:t>B</w:t>
      </w:r>
      <w:r>
        <w:rPr>
          <w:sz w:val="24"/>
          <w:szCs w:val="24"/>
        </w:rPr>
        <w:t>, Figure 5</w:t>
      </w:r>
      <w:r w:rsidR="00140975">
        <w:rPr>
          <w:sz w:val="24"/>
          <w:szCs w:val="24"/>
        </w:rPr>
        <w:t>D</w:t>
      </w:r>
      <w:r>
        <w:rPr>
          <w:sz w:val="24"/>
          <w:szCs w:val="24"/>
        </w:rPr>
        <w:t xml:space="preserve"> and Supplementary Table </w:t>
      </w:r>
      <w:r w:rsidR="000A1EBE">
        <w:rPr>
          <w:sz w:val="24"/>
          <w:szCs w:val="24"/>
        </w:rPr>
        <w:t>2</w:t>
      </w:r>
      <w:r>
        <w:rPr>
          <w:sz w:val="24"/>
          <w:szCs w:val="24"/>
        </w:rPr>
        <w:t xml:space="preserve">) </w:t>
      </w:r>
      <w:r w:rsidRPr="000C516B">
        <w:rPr>
          <w:sz w:val="24"/>
          <w:szCs w:val="24"/>
        </w:rPr>
        <w:t xml:space="preserve">with full repression observed at 75 </w:t>
      </w:r>
      <w:proofErr w:type="spellStart"/>
      <w:r w:rsidRPr="000C516B">
        <w:rPr>
          <w:sz w:val="24"/>
          <w:szCs w:val="24"/>
        </w:rPr>
        <w:t>nM</w:t>
      </w:r>
      <w:proofErr w:type="spellEnd"/>
      <w:r w:rsidRPr="000C516B">
        <w:rPr>
          <w:sz w:val="24"/>
          <w:szCs w:val="24"/>
        </w:rPr>
        <w:t xml:space="preserve"> complex concentration</w:t>
      </w:r>
      <w:r>
        <w:rPr>
          <w:sz w:val="24"/>
          <w:szCs w:val="24"/>
        </w:rPr>
        <w:t xml:space="preserve"> (Figure 5</w:t>
      </w:r>
      <w:r w:rsidR="00140975">
        <w:rPr>
          <w:sz w:val="24"/>
          <w:szCs w:val="24"/>
        </w:rPr>
        <w:t>C</w:t>
      </w:r>
      <w:r>
        <w:rPr>
          <w:sz w:val="24"/>
          <w:szCs w:val="24"/>
        </w:rPr>
        <w:t xml:space="preserve"> and Figure 5</w:t>
      </w:r>
      <w:r w:rsidR="00140975">
        <w:rPr>
          <w:sz w:val="24"/>
          <w:szCs w:val="24"/>
        </w:rPr>
        <w:t>E</w:t>
      </w:r>
      <w:r>
        <w:rPr>
          <w:sz w:val="24"/>
          <w:szCs w:val="24"/>
        </w:rPr>
        <w:t>).</w:t>
      </w:r>
    </w:p>
    <w:p w14:paraId="2D1D9DBC" w14:textId="77777777" w:rsidR="009B3730" w:rsidRDefault="009B3730" w:rsidP="006764C7">
      <w:pPr>
        <w:spacing w:line="480" w:lineRule="auto"/>
        <w:rPr>
          <w:sz w:val="24"/>
          <w:szCs w:val="24"/>
        </w:rPr>
      </w:pPr>
    </w:p>
    <w:p w14:paraId="78A82A2E" w14:textId="77777777" w:rsidR="009B3730" w:rsidRDefault="009B3730" w:rsidP="006764C7">
      <w:pPr>
        <w:spacing w:line="480" w:lineRule="auto"/>
        <w:rPr>
          <w:sz w:val="24"/>
          <w:szCs w:val="24"/>
        </w:rPr>
      </w:pPr>
    </w:p>
    <w:p w14:paraId="1F88E288" w14:textId="77777777" w:rsidR="009B3730" w:rsidRDefault="009B3730" w:rsidP="006764C7">
      <w:pPr>
        <w:spacing w:line="480" w:lineRule="auto"/>
        <w:rPr>
          <w:sz w:val="24"/>
          <w:szCs w:val="24"/>
        </w:rPr>
      </w:pPr>
    </w:p>
    <w:p w14:paraId="5086AE5D" w14:textId="77777777" w:rsidR="009B3730" w:rsidRDefault="009B3730" w:rsidP="006764C7">
      <w:pPr>
        <w:spacing w:line="480" w:lineRule="auto"/>
        <w:rPr>
          <w:sz w:val="24"/>
          <w:szCs w:val="24"/>
        </w:rPr>
      </w:pPr>
    </w:p>
    <w:p w14:paraId="6B0C6AB6" w14:textId="77777777" w:rsidR="009B3730" w:rsidRDefault="009B3730" w:rsidP="006764C7">
      <w:pPr>
        <w:spacing w:line="480" w:lineRule="auto"/>
        <w:rPr>
          <w:sz w:val="24"/>
          <w:szCs w:val="24"/>
        </w:rPr>
      </w:pPr>
    </w:p>
    <w:p w14:paraId="4039A24C" w14:textId="77777777" w:rsidR="009B3730" w:rsidRDefault="009B3730" w:rsidP="006764C7">
      <w:pPr>
        <w:spacing w:line="480" w:lineRule="auto"/>
        <w:rPr>
          <w:sz w:val="24"/>
          <w:szCs w:val="24"/>
        </w:rPr>
      </w:pPr>
    </w:p>
    <w:p w14:paraId="63F40706" w14:textId="77777777" w:rsidR="009B3730" w:rsidRDefault="009B3730" w:rsidP="006764C7">
      <w:pPr>
        <w:spacing w:line="480" w:lineRule="auto"/>
        <w:rPr>
          <w:sz w:val="24"/>
          <w:szCs w:val="24"/>
        </w:rPr>
      </w:pPr>
    </w:p>
    <w:p w14:paraId="4B3A6389" w14:textId="1092543D" w:rsidR="009B3730" w:rsidRDefault="009B3730" w:rsidP="009B3730">
      <w:pPr>
        <w:spacing w:line="240" w:lineRule="auto"/>
        <w:rPr>
          <w:sz w:val="24"/>
          <w:szCs w:val="24"/>
        </w:rPr>
      </w:pPr>
      <w:r w:rsidRPr="006764C7">
        <w:rPr>
          <w:rFonts w:asciiTheme="minorHAnsi" w:hAnsiTheme="minorHAnsi"/>
          <w:b/>
          <w:noProof/>
          <w:lang w:eastAsia="en-GB"/>
        </w:rPr>
        <w:drawing>
          <wp:anchor distT="0" distB="0" distL="114300" distR="114300" simplePos="0" relativeHeight="251663360" behindDoc="0" locked="0" layoutInCell="1" allowOverlap="1" wp14:anchorId="14275F4D" wp14:editId="59602492">
            <wp:simplePos x="0" y="0"/>
            <wp:positionH relativeFrom="margin">
              <wp:align>left</wp:align>
            </wp:positionH>
            <wp:positionV relativeFrom="paragraph">
              <wp:posOffset>0</wp:posOffset>
            </wp:positionV>
            <wp:extent cx="5805170" cy="3925570"/>
            <wp:effectExtent l="0" t="0" r="508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a:extLst>
                        <a:ext uri="{28A0092B-C50C-407E-A947-70E740481C1C}">
                          <a14:useLocalDpi xmlns:a14="http://schemas.microsoft.com/office/drawing/2010/main" val="0"/>
                        </a:ext>
                      </a:extLst>
                    </a:blip>
                    <a:srcRect l="1693" t="2186" r="694" b="4798"/>
                    <a:stretch/>
                  </pic:blipFill>
                  <pic:spPr bwMode="auto">
                    <a:xfrm>
                      <a:off x="0" y="0"/>
                      <a:ext cx="5805170" cy="3925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B34">
        <w:rPr>
          <w:b/>
          <w:sz w:val="24"/>
          <w:szCs w:val="24"/>
        </w:rPr>
        <w:t xml:space="preserve">Figure </w:t>
      </w:r>
      <w:r>
        <w:rPr>
          <w:b/>
          <w:sz w:val="24"/>
          <w:szCs w:val="24"/>
        </w:rPr>
        <w:t>5</w:t>
      </w:r>
      <w:r>
        <w:rPr>
          <w:sz w:val="24"/>
          <w:szCs w:val="24"/>
        </w:rPr>
        <w:t xml:space="preserve">  </w:t>
      </w:r>
      <w:r w:rsidRPr="008F4B34">
        <w:rPr>
          <w:b/>
          <w:sz w:val="24"/>
          <w:szCs w:val="24"/>
        </w:rPr>
        <w:t xml:space="preserve">Transcriptional repression by dCas9-sgRNA in HeLa CFPS assays. (A) </w:t>
      </w:r>
      <w:r w:rsidRPr="008F4B34">
        <w:rPr>
          <w:sz w:val="24"/>
          <w:szCs w:val="24"/>
        </w:rPr>
        <w:t>Synthetic promoters A and B contain two outward</w:t>
      </w:r>
      <w:r>
        <w:rPr>
          <w:sz w:val="24"/>
          <w:szCs w:val="24"/>
        </w:rPr>
        <w:t>-</w:t>
      </w:r>
      <w:r w:rsidRPr="008F4B34">
        <w:rPr>
          <w:sz w:val="24"/>
          <w:szCs w:val="24"/>
        </w:rPr>
        <w:t xml:space="preserve">facing sgRNA target sites around a T7 core promoter. The catalytically inactive dCas9 represses this promoter by steric hindrance. </w:t>
      </w:r>
      <w:r>
        <w:rPr>
          <w:sz w:val="24"/>
          <w:szCs w:val="24"/>
        </w:rPr>
        <w:t>(</w:t>
      </w:r>
      <w:r>
        <w:rPr>
          <w:b/>
          <w:sz w:val="24"/>
          <w:szCs w:val="24"/>
        </w:rPr>
        <w:t>B</w:t>
      </w:r>
      <w:r w:rsidRPr="008F4B34">
        <w:rPr>
          <w:b/>
          <w:sz w:val="24"/>
          <w:szCs w:val="24"/>
        </w:rPr>
        <w:t>)</w:t>
      </w:r>
      <w:r w:rsidRPr="008F4B34">
        <w:rPr>
          <w:sz w:val="24"/>
          <w:szCs w:val="24"/>
        </w:rPr>
        <w:t xml:space="preserve"> Titration of dCas9-sgRNA-A complex on GFP expression.</w:t>
      </w:r>
      <w:r w:rsidRPr="008F4B34">
        <w:rPr>
          <w:b/>
          <w:sz w:val="24"/>
          <w:szCs w:val="24"/>
        </w:rPr>
        <w:t xml:space="preserve"> </w:t>
      </w:r>
      <w:r>
        <w:rPr>
          <w:b/>
          <w:sz w:val="24"/>
          <w:szCs w:val="24"/>
        </w:rPr>
        <w:t>(C</w:t>
      </w:r>
      <w:r w:rsidRPr="008F4B34">
        <w:rPr>
          <w:b/>
          <w:sz w:val="24"/>
          <w:szCs w:val="24"/>
        </w:rPr>
        <w:t>)</w:t>
      </w:r>
      <w:r w:rsidRPr="008F4B34">
        <w:rPr>
          <w:sz w:val="24"/>
          <w:szCs w:val="24"/>
        </w:rPr>
        <w:t xml:space="preserve"> GFP expression in presence or absence of dCas9 and sgRNA-A from control (orthogonal binding sites) and target plasmids (promoter flanked by sequences complementary to sgRNA-A) with 75 </w:t>
      </w:r>
      <w:proofErr w:type="spellStart"/>
      <w:r w:rsidRPr="008F4B34">
        <w:rPr>
          <w:sz w:val="24"/>
          <w:szCs w:val="24"/>
        </w:rPr>
        <w:t>nM</w:t>
      </w:r>
      <w:proofErr w:type="spellEnd"/>
      <w:r w:rsidRPr="008F4B34">
        <w:rPr>
          <w:sz w:val="24"/>
          <w:szCs w:val="24"/>
        </w:rPr>
        <w:t xml:space="preserve"> dCas9-sgRNA-A comp</w:t>
      </w:r>
      <w:r>
        <w:rPr>
          <w:sz w:val="24"/>
          <w:szCs w:val="24"/>
        </w:rPr>
        <w:t>lex added to the CFPS reaction.</w:t>
      </w:r>
      <w:r w:rsidRPr="008F4B34">
        <w:rPr>
          <w:b/>
          <w:sz w:val="24"/>
          <w:szCs w:val="24"/>
        </w:rPr>
        <w:t xml:space="preserve"> </w:t>
      </w:r>
      <w:r>
        <w:rPr>
          <w:b/>
          <w:sz w:val="24"/>
          <w:szCs w:val="24"/>
        </w:rPr>
        <w:t>(D)</w:t>
      </w:r>
      <w:r>
        <w:rPr>
          <w:sz w:val="24"/>
          <w:szCs w:val="24"/>
        </w:rPr>
        <w:t xml:space="preserve"> Titration of dCas9-sgRNA-B complex on GFP expression. </w:t>
      </w:r>
      <w:r w:rsidRPr="008F4B34">
        <w:rPr>
          <w:b/>
          <w:sz w:val="24"/>
          <w:szCs w:val="24"/>
        </w:rPr>
        <w:t xml:space="preserve"> (</w:t>
      </w:r>
      <w:r>
        <w:rPr>
          <w:b/>
          <w:sz w:val="24"/>
          <w:szCs w:val="24"/>
        </w:rPr>
        <w:t>E</w:t>
      </w:r>
      <w:r w:rsidRPr="008F4B34">
        <w:rPr>
          <w:b/>
          <w:sz w:val="24"/>
          <w:szCs w:val="24"/>
        </w:rPr>
        <w:t>)</w:t>
      </w:r>
      <w:r w:rsidRPr="008F4B34">
        <w:rPr>
          <w:sz w:val="24"/>
          <w:szCs w:val="24"/>
        </w:rPr>
        <w:t xml:space="preserve"> GFP expression</w:t>
      </w:r>
      <w:r>
        <w:rPr>
          <w:sz w:val="24"/>
          <w:szCs w:val="24"/>
        </w:rPr>
        <w:t xml:space="preserve"> in presence or absence of dCas9 and sgRNA-B from control (orthogonal binding sites) and target plasmids (promoter flanked by sequences complementary to sgRNA-B) with 75 </w:t>
      </w:r>
      <w:proofErr w:type="spellStart"/>
      <w:r>
        <w:rPr>
          <w:sz w:val="24"/>
          <w:szCs w:val="24"/>
        </w:rPr>
        <w:t>nM</w:t>
      </w:r>
      <w:proofErr w:type="spellEnd"/>
      <w:r>
        <w:rPr>
          <w:sz w:val="24"/>
          <w:szCs w:val="24"/>
        </w:rPr>
        <w:t xml:space="preserve"> dCas9-sgRNA-B complex added to the CFPS reaction. </w:t>
      </w:r>
    </w:p>
    <w:p w14:paraId="58B669DF" w14:textId="77777777" w:rsidR="009B3730" w:rsidRDefault="009B3730" w:rsidP="009B3730">
      <w:pPr>
        <w:spacing w:line="240" w:lineRule="auto"/>
        <w:rPr>
          <w:sz w:val="24"/>
          <w:szCs w:val="24"/>
        </w:rPr>
      </w:pPr>
    </w:p>
    <w:p w14:paraId="1B48565B" w14:textId="2290E3CB" w:rsidR="004448C0" w:rsidRDefault="006764C7" w:rsidP="006764C7">
      <w:pPr>
        <w:spacing w:line="480" w:lineRule="auto"/>
        <w:rPr>
          <w:noProof/>
          <w:lang w:eastAsia="en-GB"/>
        </w:rPr>
      </w:pPr>
      <w:r w:rsidRPr="004D16DF">
        <w:rPr>
          <w:sz w:val="24"/>
          <w:szCs w:val="24"/>
        </w:rPr>
        <w:t>L7Ae is a small (119 amino acids) archaeal protein that specifically recognises a kink-turn (</w:t>
      </w:r>
      <w:proofErr w:type="spellStart"/>
      <w:r w:rsidRPr="004D16DF">
        <w:rPr>
          <w:sz w:val="24"/>
          <w:szCs w:val="24"/>
        </w:rPr>
        <w:t>Kt</w:t>
      </w:r>
      <w:proofErr w:type="spellEnd"/>
      <w:r w:rsidRPr="004D16DF">
        <w:rPr>
          <w:sz w:val="24"/>
          <w:szCs w:val="24"/>
        </w:rPr>
        <w:t>) RNA sequence motif</w:t>
      </w:r>
      <w:r w:rsidR="00B8171B">
        <w:rPr>
          <w:sz w:val="24"/>
          <w:szCs w:val="24"/>
        </w:rPr>
        <w:fldChar w:fldCharType="begin" w:fldLock="1"/>
      </w:r>
      <w:r w:rsidR="00705239">
        <w:rPr>
          <w:sz w:val="24"/>
          <w:szCs w:val="24"/>
        </w:rPr>
        <w:instrText>ADDIN CSL_CITATION {"citationItems":[{"id":"ITEM-1","itemData":{"DOI":"10.1261/rna.041517.113","ISSN":"1469-9001","PMID":"24149842","abstract":"L7Ae is a member of a protein family that binds kink-turns (k-turns) in many functional RNA species. We have solved the X-ray crystal structure of the near-consensus sequence Kt-7 of Haloarcula marismortui bound by Archaeoglobus fulgidus L7Ae at 2.3-Å resolution. We also present a structure of Kt-7 in the absence of bound protein at 2.2-Å resolution. As a result, we can describe a general mode of recognition of k-turn structure by the L7Ae family proteins. The protein makes interactions in the widened major groove on the outer face of the k-turn. Two regions of the protein are involved. One is an α-helix that enters the major groove of the NC helix, making both nonspecific backbone interactions and specific interactions with the guanine nucleobases of the conserved G • A pairs. A hydrophobic loop makes close contact with the L1 and L2 bases, and a glutamate side chain hydrogen bonds with L1. Taken together, these interactions are highly selective for the structure of the k-turn and suggest how conformational selection of the folded k-turn occurs.","author":[{"dropping-particle":"","family":"Huang","given":"Lin","non-dropping-particle":"","parse-names":false,"suffix":""},{"dropping-particle":"","family":"Lilley","given":"David M J","non-dropping-particle":"","parse-names":false,"suffix":""}],"container-title":"RNA (New York, N.Y.)","id":"ITEM-1","issue":"12","issued":{"date-parts":[["2013","12"]]},"page":"1703-10","title":"The molecular recognition of kink-turn structure by the L7Ae class of proteins.","type":"article-journal","volume":"19"},"uris":["http://www.mendeley.com/documents/?uuid=9286802c-ce6d-462b-b66a-f89312b3270d"]}],"mendeley":{"formattedCitation":"&lt;sup&gt;29&lt;/sup&gt;","plainTextFormattedCitation":"29","previouslyFormattedCitation":"&lt;sup&gt;29&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29</w:t>
      </w:r>
      <w:r w:rsidR="00B8171B">
        <w:rPr>
          <w:sz w:val="24"/>
          <w:szCs w:val="24"/>
        </w:rPr>
        <w:fldChar w:fldCharType="end"/>
      </w:r>
      <w:r w:rsidR="00B8171B" w:rsidRPr="0019690F">
        <w:rPr>
          <w:sz w:val="24"/>
          <w:szCs w:val="24"/>
        </w:rPr>
        <w:t xml:space="preserve"> </w:t>
      </w:r>
      <w:r w:rsidRPr="004D16DF">
        <w:rPr>
          <w:sz w:val="24"/>
          <w:szCs w:val="24"/>
        </w:rPr>
        <w:t>also used in negative autoregulation of L7Ae</w:t>
      </w:r>
      <w:r w:rsidR="00B8171B">
        <w:rPr>
          <w:sz w:val="24"/>
          <w:szCs w:val="24"/>
        </w:rPr>
        <w:fldChar w:fldCharType="begin" w:fldLock="1"/>
      </w:r>
      <w:r w:rsidR="00705239">
        <w:rPr>
          <w:sz w:val="24"/>
          <w:szCs w:val="24"/>
        </w:rPr>
        <w:instrText>ADDIN CSL_CITATION {"citationItems":[{"id":"ITEM-1","itemData":{"DOI":"10.1128/mBio.00730-17","ISSN":"2150-7511","abstract":"&lt;p&gt; L7Ae is a universal archaeal protein that recognizes and stabilizes kink-turn (k-turn) motifs in RNA substrates. These structural motifs are widespread in nature and are found in many functional RNA species, including ribosomal RNAs. Synthetic biology approaches utilize L7Ae/k-turn interactions to control gene expression in eukaryotes. Here, we present results of comprehensive RNA immunoprecipitation sequencing (RIP-Seq) analysis of genomically tagged L7Ae from the hyperthermophilic archaeon &lt;italic&gt;Sulfolobus acidocaldarius&lt;/italic&gt; . A large set of interacting noncoding RNAs was identified. In addition, several mRNAs, including the &lt;italic&gt;l7ae&lt;/italic&gt; transcript, were found to contain k-turn motifs that facilitate L7Ae binding. &lt;italic&gt;In vivo&lt;/italic&gt; studies showed that L7Ae autoregulates the translation of its mRNA by binding to a k-turn motif present in the 5′ untranslated region (UTR). A green fluorescent protein (GFP) reporter system was established in &lt;italic&gt;Escherichia coli&lt;/italic&gt; and verified conservation of L7Ae-mediated feedback regulation in &lt;italic&gt;Archaea&lt;/italic&gt; . Mobility shift assays confirmed binding to a k-turn in the transcript of &lt;italic&gt;nop5-fibrillarin&lt;/italic&gt; , suggesting that the expression of all C/D box sRNP core proteins is regulated by L7Ae. These studies revealed that L7Ae-mediated gene regulation evolved in archaeal organisms, generating new tools for the modulation of synthetic gene circuits in bacteria. &lt;/p&gt;","author":[{"dropping-particle":"","family":"Daume","given":"Michael","non-dropping-particle":"","parse-names":false,"suffix":""},{"dropping-particle":"","family":"Uhl","given":"Michael","non-dropping-particle":"","parse-names":false,"suffix":""},{"dropping-particle":"","family":"Backofen","given":"Rolf","non-dropping-particle":"","parse-names":false,"suffix":""},{"dropping-particle":"","family":"Randau","given":"Lennart","non-dropping-particle":"","parse-names":false,"suffix":""}],"container-title":"mBio","editor":[{"dropping-particle":"","family":"Hüttenhofer","given":"Alexander","non-dropping-particle":"","parse-names":false,"suffix":""},{"dropping-particle":"","family":"Vogel","given":"Joerg","non-dropping-particle":"","parse-names":false,"suffix":""}],"id":"ITEM-1","issue":"4","issued":{"date-parts":[["2017","9","6"]]},"page":"e00730-17","title":"RIP-Seq Suggests Translational Regulation by L7Ae in &lt;i&gt;Archaea&lt;/i&gt;","type":"article-journal","volume":"8"},"uris":["http://www.mendeley.com/documents/?uuid=faa7ddbb-d006-3390-abbe-f15742fd4480"]}],"mendeley":{"formattedCitation":"&lt;sup&gt;30&lt;/sup&gt;","plainTextFormattedCitation":"30","previouslyFormattedCitation":"&lt;sup&gt;30&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30</w:t>
      </w:r>
      <w:r w:rsidR="00B8171B">
        <w:rPr>
          <w:sz w:val="24"/>
          <w:szCs w:val="24"/>
        </w:rPr>
        <w:fldChar w:fldCharType="end"/>
      </w:r>
      <w:r w:rsidR="00B8171B">
        <w:rPr>
          <w:sz w:val="24"/>
          <w:szCs w:val="24"/>
        </w:rPr>
        <w:t>.</w:t>
      </w:r>
      <w:r w:rsidR="00B8171B" w:rsidRPr="004D16DF" w:rsidDel="00B8171B">
        <w:rPr>
          <w:sz w:val="24"/>
          <w:szCs w:val="24"/>
        </w:rPr>
        <w:t xml:space="preserve"> </w:t>
      </w:r>
      <w:r w:rsidRPr="004D16DF">
        <w:rPr>
          <w:sz w:val="24"/>
          <w:szCs w:val="24"/>
        </w:rPr>
        <w:t>The L7Ae archaeal protein is commonly used in mammalian synthetic gene circuits, where in the simplest implementation the L7Ae protein specifically binds to an RNA aptamer upstream of the start codon</w:t>
      </w:r>
      <w:r w:rsidR="00B8171B">
        <w:rPr>
          <w:sz w:val="24"/>
          <w:szCs w:val="24"/>
        </w:rPr>
        <w:fldChar w:fldCharType="begin" w:fldLock="1"/>
      </w:r>
      <w:r w:rsidR="00705239">
        <w:rPr>
          <w:sz w:val="24"/>
          <w:szCs w:val="24"/>
        </w:rPr>
        <w:instrText>ADDIN CSL_CITATION {"citationItems":[{"id":"ITEM-1","itemData":{"DOI":"10.1038/nchembio.273","ISSN":"1552-4469","PMID":"20016495","abstract":"The regulation of cell signaling pathways and the reconstruction of genetic circuits are important aspects of bioengineering research. Both of these goals require molecular devices to transmit information from an input biomacromolecule to the desired outputs. Here, we show that an RNA-protein (RNP)-containing L7Ae-kink-turn interaction can be used to construct translational regulators under control of an input protein that regulates the expression of desired output proteins. We built a system in which L7Ae, an archaeal ribosomal protein, regulates the translation of a designed mRNA in vitro and in human cells. The translational regulator composed of the RNP might provide new therapeutic strategies based on the detection, repair or rewiring of intrinsic cellular defects, and it may also serve as an invaluable tool for the dissection of the behavior of complex, higher-order circuits in the cell.","author":[{"dropping-particle":"","family":"Saito","given":"Hirohide","non-dropping-particle":"","parse-names":false,"suffix":""},{"dropping-particle":"","family":"Kobayashi","given":"Tetsuhiro","non-dropping-particle":"","parse-names":false,"suffix":""},{"dropping-particle":"","family":"Hara","given":"Tomoaki","non-dropping-particle":"","parse-names":false,"suffix":""},{"dropping-particle":"","family":"Fujita","given":"Yoshihiko","non-dropping-particle":"","parse-names":false,"suffix":""},{"dropping-particle":"","family":"Hayashi","given":"Karin","non-dropping-particle":"","parse-names":false,"suffix":""},{"dropping-particle":"","family":"Furushima","given":"Rie","non-dropping-particle":"","parse-names":false,"suffix":""},{"dropping-particle":"","family":"Inoue","given":"Tan","non-dropping-particle":"","parse-names":false,"suffix":""}],"container-title":"Nature chemical biology","id":"ITEM-1","issue":"1","issued":{"date-parts":[["2010","1"]]},"page":"71-8","publisher":"Nature Publishing Group","title":"Synthetic translational regulation by an L7Ae-kink-turn RNP switch.","type":"article-journal","volume":"6"},"uris":["http://www.mendeley.com/documents/?uuid=cc28937f-44a9-43b3-a3e7-1aca1dddb30c"]}],"mendeley":{"formattedCitation":"&lt;sup&gt;27&lt;/sup&gt;","plainTextFormattedCitation":"27","previouslyFormattedCitation":"&lt;sup&gt;27&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27</w:t>
      </w:r>
      <w:r w:rsidR="00B8171B">
        <w:rPr>
          <w:sz w:val="24"/>
          <w:szCs w:val="24"/>
        </w:rPr>
        <w:fldChar w:fldCharType="end"/>
      </w:r>
      <w:r w:rsidR="00B8171B" w:rsidRPr="004D16DF" w:rsidDel="00B8171B">
        <w:rPr>
          <w:sz w:val="24"/>
          <w:szCs w:val="24"/>
        </w:rPr>
        <w:t xml:space="preserve"> </w:t>
      </w:r>
      <w:r w:rsidRPr="004D16DF">
        <w:rPr>
          <w:sz w:val="24"/>
          <w:szCs w:val="24"/>
        </w:rPr>
        <w:t xml:space="preserve">, sterically inhibiting the binding of the translational machinery at the IRES element </w:t>
      </w:r>
      <w:r>
        <w:rPr>
          <w:sz w:val="24"/>
          <w:szCs w:val="24"/>
        </w:rPr>
        <w:t>(Figure 6</w:t>
      </w:r>
      <w:r w:rsidRPr="004D16DF">
        <w:rPr>
          <w:sz w:val="24"/>
          <w:szCs w:val="24"/>
        </w:rPr>
        <w:t xml:space="preserve">A). To test the L7Ae repressor module, the </w:t>
      </w:r>
      <w:proofErr w:type="spellStart"/>
      <w:r w:rsidRPr="004D16DF">
        <w:rPr>
          <w:sz w:val="24"/>
          <w:szCs w:val="24"/>
        </w:rPr>
        <w:t>Kt</w:t>
      </w:r>
      <w:proofErr w:type="spellEnd"/>
      <w:r w:rsidRPr="004D16DF">
        <w:rPr>
          <w:sz w:val="24"/>
          <w:szCs w:val="24"/>
        </w:rPr>
        <w:t xml:space="preserve"> aptamer was inserted upstream of the </w:t>
      </w:r>
      <w:r w:rsidRPr="004D16DF">
        <w:rPr>
          <w:sz w:val="24"/>
          <w:szCs w:val="24"/>
        </w:rPr>
        <w:lastRenderedPageBreak/>
        <w:t xml:space="preserve">GFP coding sequence, following the IRES element. Recombinant L7Ae was expressed in </w:t>
      </w:r>
      <w:r w:rsidRPr="004D16DF">
        <w:rPr>
          <w:i/>
          <w:sz w:val="24"/>
          <w:szCs w:val="24"/>
        </w:rPr>
        <w:t>E. coli</w:t>
      </w:r>
      <w:r w:rsidRPr="004D16DF">
        <w:rPr>
          <w:sz w:val="24"/>
          <w:szCs w:val="24"/>
        </w:rPr>
        <w:t xml:space="preserve"> and purified using a hexa-histidine tag and titrated into CFPS assays in which GFP expression was monitored </w:t>
      </w:r>
      <w:r>
        <w:rPr>
          <w:sz w:val="24"/>
          <w:szCs w:val="24"/>
        </w:rPr>
        <w:t>(Figure 6B)</w:t>
      </w:r>
      <w:r w:rsidRPr="004D16DF">
        <w:rPr>
          <w:sz w:val="24"/>
          <w:szCs w:val="24"/>
        </w:rPr>
        <w:t xml:space="preserve">. Reactions either containing a </w:t>
      </w:r>
      <w:proofErr w:type="spellStart"/>
      <w:r w:rsidRPr="004D16DF">
        <w:rPr>
          <w:sz w:val="24"/>
          <w:szCs w:val="24"/>
        </w:rPr>
        <w:t>Kt</w:t>
      </w:r>
      <w:proofErr w:type="spellEnd"/>
      <w:r w:rsidRPr="004D16DF">
        <w:rPr>
          <w:sz w:val="24"/>
          <w:szCs w:val="24"/>
        </w:rPr>
        <w:t xml:space="preserve"> aptamer or the positive control plasmid without the aptamer were used. Interestingly</w:t>
      </w:r>
      <w:r>
        <w:rPr>
          <w:sz w:val="24"/>
          <w:szCs w:val="24"/>
        </w:rPr>
        <w:t>,</w:t>
      </w:r>
      <w:r w:rsidRPr="004D16DF">
        <w:rPr>
          <w:sz w:val="24"/>
          <w:szCs w:val="24"/>
        </w:rPr>
        <w:t xml:space="preserve"> the background level of GFP expression decreased to </w:t>
      </w:r>
      <w:r>
        <w:rPr>
          <w:sz w:val="24"/>
          <w:szCs w:val="24"/>
        </w:rPr>
        <w:t xml:space="preserve">approximately </w:t>
      </w:r>
      <w:r w:rsidRPr="004D16DF">
        <w:rPr>
          <w:sz w:val="24"/>
          <w:szCs w:val="24"/>
        </w:rPr>
        <w:t xml:space="preserve">25% when the </w:t>
      </w:r>
      <w:proofErr w:type="spellStart"/>
      <w:r w:rsidRPr="004D16DF">
        <w:rPr>
          <w:sz w:val="24"/>
          <w:szCs w:val="24"/>
        </w:rPr>
        <w:t>Kt</w:t>
      </w:r>
      <w:proofErr w:type="spellEnd"/>
      <w:r w:rsidRPr="004D16DF">
        <w:rPr>
          <w:sz w:val="24"/>
          <w:szCs w:val="24"/>
        </w:rPr>
        <w:t xml:space="preserve"> aptamer was inserted into the </w:t>
      </w:r>
      <w:proofErr w:type="spellStart"/>
      <w:r w:rsidRPr="004D16DF">
        <w:rPr>
          <w:sz w:val="24"/>
          <w:szCs w:val="24"/>
        </w:rPr>
        <w:t>pCFE</w:t>
      </w:r>
      <w:proofErr w:type="spellEnd"/>
      <w:r w:rsidRPr="004D16DF">
        <w:rPr>
          <w:sz w:val="24"/>
          <w:szCs w:val="24"/>
        </w:rPr>
        <w:t xml:space="preserve">-GFP backbone with no L7Ae added </w:t>
      </w:r>
      <w:r>
        <w:rPr>
          <w:sz w:val="24"/>
          <w:szCs w:val="24"/>
        </w:rPr>
        <w:t>(Figure 6C</w:t>
      </w:r>
      <w:r w:rsidRPr="004D16DF">
        <w:rPr>
          <w:sz w:val="24"/>
          <w:szCs w:val="24"/>
        </w:rPr>
        <w:t>). Addition of L7Ae resulted in a 10-fold repression compared to negative controls (</w:t>
      </w:r>
      <w:r w:rsidR="004448C0">
        <w:rPr>
          <w:sz w:val="24"/>
          <w:szCs w:val="24"/>
        </w:rPr>
        <w:t>Figure 6</w:t>
      </w:r>
      <w:r>
        <w:rPr>
          <w:sz w:val="24"/>
          <w:szCs w:val="24"/>
        </w:rPr>
        <w:t>C</w:t>
      </w:r>
      <w:r w:rsidRPr="004D16DF">
        <w:rPr>
          <w:sz w:val="24"/>
          <w:szCs w:val="24"/>
        </w:rPr>
        <w:t xml:space="preserve">). Full repression was achieved at 15 </w:t>
      </w:r>
      <w:proofErr w:type="spellStart"/>
      <w:r w:rsidRPr="004D16DF">
        <w:rPr>
          <w:sz w:val="24"/>
          <w:szCs w:val="24"/>
        </w:rPr>
        <w:t>nM</w:t>
      </w:r>
      <w:proofErr w:type="spellEnd"/>
      <w:r w:rsidRPr="004D16DF">
        <w:rPr>
          <w:sz w:val="24"/>
          <w:szCs w:val="24"/>
        </w:rPr>
        <w:t xml:space="preserve"> L7Ae and half repression at </w:t>
      </w:r>
      <w:r>
        <w:rPr>
          <w:sz w:val="24"/>
          <w:szCs w:val="24"/>
        </w:rPr>
        <w:t xml:space="preserve">approximately </w:t>
      </w:r>
      <w:r w:rsidRPr="004D16DF">
        <w:rPr>
          <w:sz w:val="24"/>
          <w:szCs w:val="24"/>
        </w:rPr>
        <w:t xml:space="preserve">5 </w:t>
      </w:r>
      <w:proofErr w:type="spellStart"/>
      <w:r w:rsidRPr="004D16DF">
        <w:rPr>
          <w:sz w:val="24"/>
          <w:szCs w:val="24"/>
        </w:rPr>
        <w:t>nM</w:t>
      </w:r>
      <w:proofErr w:type="spellEnd"/>
      <w:r w:rsidR="005F1A09">
        <w:rPr>
          <w:sz w:val="24"/>
          <w:szCs w:val="24"/>
        </w:rPr>
        <w:t xml:space="preserve"> (Figure 6B)</w:t>
      </w:r>
      <w:r w:rsidRPr="004D16DF">
        <w:rPr>
          <w:sz w:val="24"/>
          <w:szCs w:val="24"/>
        </w:rPr>
        <w:t xml:space="preserve"> (7.3-fold repression was calculated with an IC50 of 4.9 </w:t>
      </w:r>
      <w:proofErr w:type="spellStart"/>
      <w:r w:rsidRPr="004D16DF">
        <w:rPr>
          <w:sz w:val="24"/>
          <w:szCs w:val="24"/>
        </w:rPr>
        <w:t>nM</w:t>
      </w:r>
      <w:proofErr w:type="spellEnd"/>
      <w:r w:rsidRPr="004D16DF">
        <w:rPr>
          <w:sz w:val="24"/>
          <w:szCs w:val="24"/>
        </w:rPr>
        <w:t>;</w:t>
      </w:r>
      <w:r w:rsidR="000A1EBE">
        <w:rPr>
          <w:sz w:val="24"/>
          <w:szCs w:val="24"/>
        </w:rPr>
        <w:t xml:space="preserve"> Supplementary Table 3</w:t>
      </w:r>
      <w:r>
        <w:rPr>
          <w:sz w:val="24"/>
          <w:szCs w:val="24"/>
        </w:rPr>
        <w:t xml:space="preserve">). </w:t>
      </w:r>
    </w:p>
    <w:p w14:paraId="412590F0" w14:textId="2323E3EF" w:rsidR="004448C0" w:rsidRPr="004448C0" w:rsidRDefault="004448C0" w:rsidP="004448C0">
      <w:pPr>
        <w:spacing w:line="276" w:lineRule="auto"/>
        <w:rPr>
          <w:sz w:val="24"/>
          <w:szCs w:val="24"/>
        </w:rPr>
      </w:pPr>
      <w:r w:rsidRPr="000B715E">
        <w:rPr>
          <w:noProof/>
          <w:lang w:eastAsia="en-GB"/>
        </w:rPr>
        <w:drawing>
          <wp:inline distT="0" distB="0" distL="0" distR="0" wp14:anchorId="2CB4F39F" wp14:editId="34F2F188">
            <wp:extent cx="5731510" cy="4145915"/>
            <wp:effectExtent l="0" t="0" r="2540" b="0"/>
            <wp:docPr id="29" name="Picture 4">
              <a:extLst xmlns:a="http://schemas.openxmlformats.org/drawingml/2006/main">
                <a:ext uri="{FF2B5EF4-FFF2-40B4-BE49-F238E27FC236}">
                  <a16:creationId xmlns:a16="http://schemas.microsoft.com/office/drawing/2014/main" id="{98200CF8-D5B0-4210-8D73-0FD9001688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8200CF8-D5B0-4210-8D73-0FD90016885E}"/>
                        </a:ext>
                      </a:extLst>
                    </pic:cNvPr>
                    <pic:cNvPicPr>
                      <a:picLocks noChangeAspect="1"/>
                    </pic:cNvPicPr>
                  </pic:nvPicPr>
                  <pic:blipFill rotWithShape="1">
                    <a:blip r:embed="rId14">
                      <a:extLst>
                        <a:ext uri="{28A0092B-C50C-407E-A947-70E740481C1C}">
                          <a14:useLocalDpi xmlns:a14="http://schemas.microsoft.com/office/drawing/2010/main" val="0"/>
                        </a:ext>
                      </a:extLst>
                    </a:blip>
                    <a:srcRect l="9033" t="1241" b="3755"/>
                    <a:stretch/>
                  </pic:blipFill>
                  <pic:spPr bwMode="auto">
                    <a:xfrm>
                      <a:off x="0" y="0"/>
                      <a:ext cx="5731510" cy="4145915"/>
                    </a:xfrm>
                    <a:prstGeom prst="rect">
                      <a:avLst/>
                    </a:prstGeom>
                    <a:ln>
                      <a:noFill/>
                    </a:ln>
                    <a:extLst>
                      <a:ext uri="{53640926-AAD7-44D8-BBD7-CCE9431645EC}">
                        <a14:shadowObscured xmlns:a14="http://schemas.microsoft.com/office/drawing/2010/main"/>
                      </a:ext>
                    </a:extLst>
                  </pic:spPr>
                </pic:pic>
              </a:graphicData>
            </a:graphic>
          </wp:inline>
        </w:drawing>
      </w:r>
      <w:r w:rsidRPr="004448C0">
        <w:rPr>
          <w:b/>
          <w:sz w:val="24"/>
          <w:szCs w:val="24"/>
        </w:rPr>
        <w:t>Figure 6</w:t>
      </w:r>
      <w:r w:rsidR="009B7609">
        <w:rPr>
          <w:b/>
          <w:sz w:val="24"/>
          <w:szCs w:val="24"/>
        </w:rPr>
        <w:t xml:space="preserve">  </w:t>
      </w:r>
      <w:r w:rsidRPr="004448C0">
        <w:rPr>
          <w:b/>
          <w:sz w:val="24"/>
          <w:szCs w:val="24"/>
        </w:rPr>
        <w:t>Transcriptional repression by L7Ae RNA binding protein in HeLa CFPS assays</w:t>
      </w:r>
      <w:r w:rsidRPr="004448C0">
        <w:rPr>
          <w:sz w:val="24"/>
          <w:szCs w:val="24"/>
        </w:rPr>
        <w:t xml:space="preserve">. </w:t>
      </w:r>
      <w:r w:rsidRPr="00485CBA">
        <w:rPr>
          <w:b/>
          <w:sz w:val="24"/>
          <w:szCs w:val="24"/>
        </w:rPr>
        <w:t>(A)</w:t>
      </w:r>
      <w:r w:rsidRPr="004448C0">
        <w:rPr>
          <w:sz w:val="24"/>
          <w:szCs w:val="24"/>
        </w:rPr>
        <w:t xml:space="preserve"> The L7Ae RNA binding protein binds to a </w:t>
      </w:r>
      <w:proofErr w:type="spellStart"/>
      <w:r w:rsidRPr="004448C0">
        <w:rPr>
          <w:sz w:val="24"/>
          <w:szCs w:val="24"/>
        </w:rPr>
        <w:t>Kt</w:t>
      </w:r>
      <w:proofErr w:type="spellEnd"/>
      <w:r w:rsidRPr="004448C0">
        <w:rPr>
          <w:sz w:val="24"/>
          <w:szCs w:val="24"/>
        </w:rPr>
        <w:t xml:space="preserve"> aptamer placed upstream of the start codon of GFP where L7Ae binding inhibits GFP translation via steric hindrance.</w:t>
      </w:r>
      <w:r w:rsidR="00043919">
        <w:rPr>
          <w:sz w:val="24"/>
          <w:szCs w:val="24"/>
        </w:rPr>
        <w:t xml:space="preserve"> The </w:t>
      </w:r>
      <w:proofErr w:type="spellStart"/>
      <w:r w:rsidR="00043919">
        <w:rPr>
          <w:sz w:val="24"/>
          <w:szCs w:val="24"/>
        </w:rPr>
        <w:t>Kt</w:t>
      </w:r>
      <w:proofErr w:type="spellEnd"/>
      <w:r w:rsidR="00043919">
        <w:rPr>
          <w:sz w:val="24"/>
          <w:szCs w:val="24"/>
        </w:rPr>
        <w:t xml:space="preserve"> aptamer</w:t>
      </w:r>
      <w:r w:rsidR="00476413">
        <w:rPr>
          <w:sz w:val="24"/>
          <w:szCs w:val="24"/>
        </w:rPr>
        <w:t xml:space="preserve"> sequence</w:t>
      </w:r>
      <w:r w:rsidR="00043919">
        <w:rPr>
          <w:sz w:val="24"/>
          <w:szCs w:val="24"/>
        </w:rPr>
        <w:t xml:space="preserve"> is highlighted</w:t>
      </w:r>
      <w:r w:rsidR="00D048B8">
        <w:rPr>
          <w:sz w:val="24"/>
          <w:szCs w:val="24"/>
        </w:rPr>
        <w:t xml:space="preserve"> in </w:t>
      </w:r>
      <w:r w:rsidR="00D048B8" w:rsidRPr="00D048B8">
        <w:rPr>
          <w:sz w:val="24"/>
          <w:szCs w:val="24"/>
        </w:rPr>
        <w:t>turquoise</w:t>
      </w:r>
      <w:r w:rsidR="00F7085D">
        <w:rPr>
          <w:sz w:val="24"/>
          <w:szCs w:val="24"/>
        </w:rPr>
        <w:t xml:space="preserve"> blue</w:t>
      </w:r>
      <w:r w:rsidR="00D048B8">
        <w:rPr>
          <w:sz w:val="24"/>
          <w:szCs w:val="24"/>
        </w:rPr>
        <w:t>.</w:t>
      </w:r>
      <w:r>
        <w:rPr>
          <w:sz w:val="24"/>
          <w:szCs w:val="24"/>
        </w:rPr>
        <w:t xml:space="preserve"> </w:t>
      </w:r>
      <w:r>
        <w:rPr>
          <w:b/>
          <w:sz w:val="24"/>
          <w:szCs w:val="24"/>
        </w:rPr>
        <w:t>(B</w:t>
      </w:r>
      <w:r w:rsidRPr="004448C0">
        <w:rPr>
          <w:b/>
          <w:sz w:val="24"/>
          <w:szCs w:val="24"/>
        </w:rPr>
        <w:t>)</w:t>
      </w:r>
      <w:r w:rsidRPr="004448C0">
        <w:rPr>
          <w:sz w:val="24"/>
          <w:szCs w:val="24"/>
        </w:rPr>
        <w:t xml:space="preserve"> Titration of recombinant L7Ae on GFP </w:t>
      </w:r>
      <w:r w:rsidRPr="004448C0">
        <w:rPr>
          <w:sz w:val="24"/>
          <w:szCs w:val="24"/>
        </w:rPr>
        <w:lastRenderedPageBreak/>
        <w:t xml:space="preserve">expression. </w:t>
      </w:r>
      <w:r w:rsidRPr="004448C0">
        <w:rPr>
          <w:b/>
          <w:sz w:val="24"/>
          <w:szCs w:val="24"/>
        </w:rPr>
        <w:t>(</w:t>
      </w:r>
      <w:r>
        <w:rPr>
          <w:b/>
          <w:sz w:val="24"/>
          <w:szCs w:val="24"/>
        </w:rPr>
        <w:t>C</w:t>
      </w:r>
      <w:r w:rsidRPr="004448C0">
        <w:rPr>
          <w:b/>
          <w:sz w:val="24"/>
          <w:szCs w:val="24"/>
        </w:rPr>
        <w:t>)</w:t>
      </w:r>
      <w:r w:rsidRPr="004448C0">
        <w:rPr>
          <w:sz w:val="24"/>
          <w:szCs w:val="24"/>
        </w:rPr>
        <w:t xml:space="preserve"> GFP expression from target plasmids in CFPS assays with or without the </w:t>
      </w:r>
      <w:proofErr w:type="spellStart"/>
      <w:r w:rsidRPr="004448C0">
        <w:rPr>
          <w:sz w:val="24"/>
          <w:szCs w:val="24"/>
        </w:rPr>
        <w:t>Kt</w:t>
      </w:r>
      <w:proofErr w:type="spellEnd"/>
      <w:r w:rsidRPr="004448C0">
        <w:rPr>
          <w:sz w:val="24"/>
          <w:szCs w:val="24"/>
        </w:rPr>
        <w:t xml:space="preserve"> aptamer and in the presence or absence of 25 </w:t>
      </w:r>
      <w:proofErr w:type="spellStart"/>
      <w:r w:rsidRPr="004448C0">
        <w:rPr>
          <w:sz w:val="24"/>
          <w:szCs w:val="24"/>
        </w:rPr>
        <w:t>nM</w:t>
      </w:r>
      <w:proofErr w:type="spellEnd"/>
      <w:r w:rsidRPr="004448C0">
        <w:rPr>
          <w:sz w:val="24"/>
          <w:szCs w:val="24"/>
        </w:rPr>
        <w:t xml:space="preserve"> L7Ae. </w:t>
      </w:r>
    </w:p>
    <w:p w14:paraId="593623A6" w14:textId="77777777" w:rsidR="004448C0" w:rsidRPr="004448C0" w:rsidRDefault="004448C0" w:rsidP="004448C0">
      <w:pPr>
        <w:spacing w:line="480" w:lineRule="auto"/>
        <w:rPr>
          <w:b/>
          <w:sz w:val="24"/>
          <w:szCs w:val="24"/>
        </w:rPr>
      </w:pPr>
      <w:r w:rsidRPr="004448C0">
        <w:rPr>
          <w:b/>
          <w:sz w:val="24"/>
          <w:szCs w:val="24"/>
        </w:rPr>
        <w:t>Characterising gene expression in HeLa CFPS assays</w:t>
      </w:r>
    </w:p>
    <w:p w14:paraId="0D0276B1" w14:textId="7AC8DFE7" w:rsidR="004448C0" w:rsidRDefault="004448C0" w:rsidP="004448C0">
      <w:pPr>
        <w:spacing w:line="480" w:lineRule="auto"/>
        <w:rPr>
          <w:sz w:val="24"/>
          <w:szCs w:val="24"/>
        </w:rPr>
      </w:pPr>
      <w:r w:rsidRPr="004448C0">
        <w:rPr>
          <w:sz w:val="24"/>
          <w:szCs w:val="24"/>
        </w:rPr>
        <w:t>To characterise in vitro mammalian gene expression, a construct containing the malachite green aptamer</w:t>
      </w:r>
      <w:r w:rsidR="00F8518D">
        <w:rPr>
          <w:sz w:val="24"/>
          <w:szCs w:val="24"/>
        </w:rPr>
        <w:fldChar w:fldCharType="begin" w:fldLock="1"/>
      </w:r>
      <w:r w:rsidR="00C036B0">
        <w:rPr>
          <w:sz w:val="24"/>
          <w:szCs w:val="24"/>
        </w:rPr>
        <w:instrText>ADDIN CSL_CITATION {"citationItems":[{"id":"ITEM-1","itemData":{"DOI":"10.1021/JA0529788","abstract":"A new probe that can fluorescently report the presence of specific nucleic acids in solution with extremely high selectivity was developed. The probe consists of malachite greena triphenylmethane dyeand two short RNA strands, each of which comprises a fragment complementary to an analyte molecule and a fragment of a malachite green aptamer (MGA). The two RNA strands form MGA upon hybridization to the adjacent positions of the nucleic acid analyte. MGA is able to bind malachite green and enhance the fluorescence of the dye, thus monitoring the presence of the nucleic acid in solution. The probe reliably discriminates against 41 out of 42 possible single nucleotide substitutions in 14-mer DNA analyte at room temperature in physiological buffer. Consisting of unmodified RNA strands, which can be expressed in living cells, binary MGA probe represents a promising instrument for real-time nucleic acid monitoring in vivo.","author":[{"dropping-particle":"","family":"Kolpashchikov","given":"Dmitry M.","non-dropping-particle":"","parse-names":false,"suffix":""}],"id":"ITEM-1","issued":{"date-parts":[["2005"]]},"publisher":"American Chemical Society","title":"Binary malachite green aptamer for fluorescent detection of nucleic acids","type":"article-journal"},"uris":["http://www.mendeley.com/documents/?uuid=6d0b906e-d4e2-3a50-a47d-e30c6caefcc3"]}],"mendeley":{"formattedCitation":"&lt;sup&gt;31&lt;/sup&gt;","plainTextFormattedCitation":"31","previouslyFormattedCitation":"&lt;sup&gt;31&lt;/sup&gt;"},"properties":{"noteIndex":0},"schema":"https://github.com/citation-style-language/schema/raw/master/csl-citation.json"}</w:instrText>
      </w:r>
      <w:r w:rsidR="00F8518D">
        <w:rPr>
          <w:sz w:val="24"/>
          <w:szCs w:val="24"/>
        </w:rPr>
        <w:fldChar w:fldCharType="separate"/>
      </w:r>
      <w:r w:rsidR="00F8518D" w:rsidRPr="00F8518D">
        <w:rPr>
          <w:noProof/>
          <w:sz w:val="24"/>
          <w:szCs w:val="24"/>
          <w:vertAlign w:val="superscript"/>
        </w:rPr>
        <w:t>31</w:t>
      </w:r>
      <w:r w:rsidR="00F8518D">
        <w:rPr>
          <w:sz w:val="24"/>
          <w:szCs w:val="24"/>
        </w:rPr>
        <w:fldChar w:fldCharType="end"/>
      </w:r>
      <w:r w:rsidRPr="004448C0">
        <w:rPr>
          <w:sz w:val="24"/>
          <w:szCs w:val="24"/>
        </w:rPr>
        <w:t xml:space="preserve"> was designed in accordance with previously synthesised aptamers for use in bacterial CFPS systems</w:t>
      </w:r>
      <w:r w:rsidR="00B8171B">
        <w:rPr>
          <w:sz w:val="24"/>
          <w:szCs w:val="24"/>
        </w:rPr>
        <w:fldChar w:fldCharType="begin" w:fldLock="1"/>
      </w:r>
      <w:r w:rsidR="00C036B0">
        <w:rPr>
          <w:sz w:val="24"/>
          <w:szCs w:val="24"/>
        </w:rPr>
        <w:instrText>ADDIN CSL_CITATION {"citationItems":[{"id":"ITEM-1","itemData":{"DOI":"10.1021/sb400089c","ISSN":"2161-5063","PMID":"23991760","abstract":"Characterization of genetic control elements is essential for the predictable engineering of synthetic biology systems. The current standard for in vivo characterization of control elements is through the use of fluorescent reporter proteins such as green fluorescent protein (GFP). Gene expression, however, involves not only protein production but also the production of mRNA. Here, we present the use of the Spinach aptamer sequence, an RNA mimic of GFP, as a tool to characterize mRNA expression in Escherichia coli. We show how the aptamer can be incorporated into gene expression cassettes and how co-expressing it with a red fluorescent protein (mRFP1) allows, for the first time, simultaneous measurement of mRNA and protein levels from engineered constructs. Using flow cytometry, we apply this tool here to evaluate ribosome binding site sequences and promoters and use it to highlight the differences in the temporal behavior of transcription and translation.","author":[{"dropping-particle":"","family":"Pothoulakis","given":"Georgios","non-dropping-particle":"","parse-names":false,"suffix":""},{"dropping-particle":"","family":"Ceroni","given":"Francesca","non-dropping-particle":"","parse-names":false,"suffix":""},{"dropping-particle":"","family":"Reeve","given":"Benjamin","non-dropping-particle":"","parse-names":false,"suffix":""},{"dropping-particle":"","family":"Ellis","given":"Tom","non-dropping-particle":"","parse-names":false,"suffix":""}],"container-title":"ACS synthetic biology","id":"ITEM-1","issue":"3","issued":{"date-parts":[["2014","3","21"]]},"page":"182-7","publisher":"AMER CHEMICAL SOC, 1155 16TH ST, NW, WASHINGTON, DC 20036 USA","title":"The spinach RNA aptamer as a characterization tool for synthetic biology.","type":"article-journal","volume":"3"},"uris":["http://www.mendeley.com/documents/?uuid=fc1d3dd7-d73d-473e-bbee-0c8afa341391"]}],"mendeley":{"formattedCitation":"&lt;sup&gt;32&lt;/sup&gt;","plainTextFormattedCitation":"32","previouslyFormattedCitation":"&lt;sup&gt;32&lt;/sup&gt;"},"properties":{"noteIndex":0},"schema":"https://github.com/citation-style-language/schema/raw/master/csl-citation.json"}</w:instrText>
      </w:r>
      <w:r w:rsidR="00B8171B">
        <w:rPr>
          <w:sz w:val="24"/>
          <w:szCs w:val="24"/>
        </w:rPr>
        <w:fldChar w:fldCharType="separate"/>
      </w:r>
      <w:r w:rsidR="00F8518D" w:rsidRPr="00F8518D">
        <w:rPr>
          <w:noProof/>
          <w:sz w:val="24"/>
          <w:szCs w:val="24"/>
          <w:vertAlign w:val="superscript"/>
        </w:rPr>
        <w:t>32</w:t>
      </w:r>
      <w:r w:rsidR="00B8171B">
        <w:rPr>
          <w:sz w:val="24"/>
          <w:szCs w:val="24"/>
        </w:rPr>
        <w:fldChar w:fldCharType="end"/>
      </w:r>
      <w:r w:rsidRPr="004448C0">
        <w:rPr>
          <w:sz w:val="24"/>
          <w:szCs w:val="24"/>
        </w:rPr>
        <w:t xml:space="preserve"> The designs varied the linker sequences and incorporated the aptamer within a tRNA scaffold to prevent steric hindrance caused by the aptamer’s secondary structure (Supplementa</w:t>
      </w:r>
      <w:r w:rsidR="000A1EBE">
        <w:rPr>
          <w:sz w:val="24"/>
          <w:szCs w:val="24"/>
        </w:rPr>
        <w:t>ry Figure 3</w:t>
      </w:r>
      <w:r w:rsidRPr="004448C0">
        <w:rPr>
          <w:sz w:val="24"/>
          <w:szCs w:val="24"/>
        </w:rPr>
        <w:t>)</w:t>
      </w:r>
      <w:r w:rsidR="00B8171B">
        <w:rPr>
          <w:sz w:val="24"/>
          <w:szCs w:val="24"/>
        </w:rPr>
        <w:fldChar w:fldCharType="begin" w:fldLock="1"/>
      </w:r>
      <w:r w:rsidR="00C036B0">
        <w:rPr>
          <w:sz w:val="24"/>
          <w:szCs w:val="24"/>
        </w:rPr>
        <w:instrText>ADDIN CSL_CITATION {"citationItems":[{"id":"ITEM-1","itemData":{"DOI":"10.1021/sb400089c","ISSN":"2161-5063","PMID":"23991760","abstract":"Characterization of genetic control elements is essential for the predictable engineering of synthetic biology systems. The current standard for in vivo characterization of control elements is through the use of fluorescent reporter proteins such as green fluorescent protein (GFP). Gene expression, however, involves not only protein production but also the production of mRNA. Here, we present the use of the Spinach aptamer sequence, an RNA mimic of GFP, as a tool to characterize mRNA expression in Escherichia coli. We show how the aptamer can be incorporated into gene expression cassettes and how co-expressing it with a red fluorescent protein (mRFP1) allows, for the first time, simultaneous measurement of mRNA and protein levels from engineered constructs. Using flow cytometry, we apply this tool here to evaluate ribosome binding site sequences and promoters and use it to highlight the differences in the temporal behavior of transcription and translation.","author":[{"dropping-particle":"","family":"Pothoulakis","given":"Georgios","non-dropping-particle":"","parse-names":false,"suffix":""},{"dropping-particle":"","family":"Ceroni","given":"Francesca","non-dropping-particle":"","parse-names":false,"suffix":""},{"dropping-particle":"","family":"Reeve","given":"Benjamin","non-dropping-particle":"","parse-names":false,"suffix":""},{"dropping-particle":"","family":"Ellis","given":"Tom","non-dropping-particle":"","parse-names":false,"suffix":""}],"container-title":"ACS synthetic biology","id":"ITEM-1","issue":"3","issued":{"date-parts":[["2014","3","21"]]},"page":"182-7","publisher":"AMER CHEMICAL SOC, 1155 16TH ST, NW, WASHINGTON, DC 20036 USA","title":"The spinach RNA aptamer as a characterization tool for synthetic biology.","type":"article-journal","volume":"3"},"uris":["http://www.mendeley.com/documents/?uuid=fc1d3dd7-d73d-473e-bbee-0c8afa341391"]}],"mendeley":{"formattedCitation":"&lt;sup&gt;32&lt;/sup&gt;","plainTextFormattedCitation":"32","previouslyFormattedCitation":"&lt;sup&gt;32&lt;/sup&gt;"},"properties":{"noteIndex":0},"schema":"https://github.com/citation-style-language/schema/raw/master/csl-citation.json"}</w:instrText>
      </w:r>
      <w:r w:rsidR="00B8171B">
        <w:rPr>
          <w:sz w:val="24"/>
          <w:szCs w:val="24"/>
        </w:rPr>
        <w:fldChar w:fldCharType="separate"/>
      </w:r>
      <w:r w:rsidR="00F8518D" w:rsidRPr="00F8518D">
        <w:rPr>
          <w:noProof/>
          <w:sz w:val="24"/>
          <w:szCs w:val="24"/>
          <w:vertAlign w:val="superscript"/>
        </w:rPr>
        <w:t>32</w:t>
      </w:r>
      <w:r w:rsidR="00B8171B">
        <w:rPr>
          <w:sz w:val="24"/>
          <w:szCs w:val="24"/>
        </w:rPr>
        <w:fldChar w:fldCharType="end"/>
      </w:r>
      <w:r w:rsidRPr="004448C0">
        <w:rPr>
          <w:sz w:val="24"/>
          <w:szCs w:val="24"/>
        </w:rPr>
        <w:t>. The two constructs successfully cloned vary only in the linker regions (Supplementary Fi</w:t>
      </w:r>
      <w:r w:rsidR="000A1EBE">
        <w:rPr>
          <w:sz w:val="24"/>
          <w:szCs w:val="24"/>
        </w:rPr>
        <w:t>gure 3 and Supplementary Table 4</w:t>
      </w:r>
      <w:r w:rsidRPr="004448C0">
        <w:rPr>
          <w:sz w:val="24"/>
          <w:szCs w:val="24"/>
        </w:rPr>
        <w:t>).</w:t>
      </w:r>
    </w:p>
    <w:p w14:paraId="5E3D4FD5" w14:textId="751B5501" w:rsidR="004448C0" w:rsidRDefault="004448C0" w:rsidP="004448C0">
      <w:pPr>
        <w:spacing w:line="480" w:lineRule="auto"/>
        <w:rPr>
          <w:sz w:val="24"/>
          <w:szCs w:val="24"/>
        </w:rPr>
      </w:pPr>
      <w:r w:rsidRPr="004448C0">
        <w:rPr>
          <w:sz w:val="24"/>
          <w:szCs w:val="24"/>
        </w:rPr>
        <w:t>Malachite green aptamer mRNA levels briefly plateaued between 50-75 minutes, before reaching peak expression at 125 mi</w:t>
      </w:r>
      <w:r>
        <w:rPr>
          <w:sz w:val="24"/>
          <w:szCs w:val="24"/>
        </w:rPr>
        <w:t>ns and subsequently declining (</w:t>
      </w:r>
      <w:r w:rsidRPr="004448C0">
        <w:rPr>
          <w:sz w:val="24"/>
          <w:szCs w:val="24"/>
        </w:rPr>
        <w:t xml:space="preserve">Figure 7A). pCFE-GFP-MGapt21bp consistently showed higher peak expression, lower degradation rate and higher end-point measurements. After 10 hours mRNA production had plateaued to the same concentration as t=0 for pCFE-GFP-MGapt15bp, whereas mRNA levels for pCFE-GFP-MGapt21bp were still approximately </w:t>
      </w:r>
      <w:r w:rsidR="004B4087">
        <w:rPr>
          <w:sz w:val="24"/>
          <w:szCs w:val="24"/>
        </w:rPr>
        <w:t>2</w:t>
      </w:r>
      <w:r w:rsidRPr="004448C0">
        <w:rPr>
          <w:sz w:val="24"/>
          <w:szCs w:val="24"/>
        </w:rPr>
        <w:t xml:space="preserve">-fold higher than the corresponding t=0 level.   GFP production was consistent between all constructs </w:t>
      </w:r>
      <w:r>
        <w:rPr>
          <w:sz w:val="24"/>
          <w:szCs w:val="24"/>
        </w:rPr>
        <w:t>and plateaued around 8 hours (</w:t>
      </w:r>
      <w:r w:rsidRPr="004448C0">
        <w:rPr>
          <w:sz w:val="24"/>
          <w:szCs w:val="24"/>
        </w:rPr>
        <w:t>Figure 7B).</w:t>
      </w:r>
    </w:p>
    <w:p w14:paraId="6D6B3768" w14:textId="1E298138" w:rsidR="004448C0" w:rsidRDefault="00E554ED" w:rsidP="009B3730">
      <w:pPr>
        <w:keepNext/>
        <w:spacing w:after="0" w:line="276" w:lineRule="auto"/>
      </w:pPr>
      <w:r>
        <w:rPr>
          <w:b/>
          <w:noProof/>
          <w:sz w:val="24"/>
          <w:szCs w:val="24"/>
          <w:lang w:eastAsia="en-GB"/>
        </w:rPr>
        <w:drawing>
          <wp:inline distT="0" distB="0" distL="0" distR="0" wp14:anchorId="642C2F1C" wp14:editId="7C4FD8A6">
            <wp:extent cx="5698435" cy="2564355"/>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a:extLst>
                        <a:ext uri="{28A0092B-C50C-407E-A947-70E740481C1C}">
                          <a14:useLocalDpi xmlns:a14="http://schemas.microsoft.com/office/drawing/2010/main" val="0"/>
                        </a:ext>
                      </a:extLst>
                    </a:blip>
                    <a:srcRect l="3346" t="6318" r="5636" b="7280"/>
                    <a:stretch/>
                  </pic:blipFill>
                  <pic:spPr bwMode="auto">
                    <a:xfrm>
                      <a:off x="0" y="0"/>
                      <a:ext cx="5729033" cy="2578124"/>
                    </a:xfrm>
                    <a:prstGeom prst="rect">
                      <a:avLst/>
                    </a:prstGeom>
                    <a:noFill/>
                    <a:ln>
                      <a:noFill/>
                    </a:ln>
                    <a:extLst>
                      <a:ext uri="{53640926-AAD7-44D8-BBD7-CCE9431645EC}">
                        <a14:shadowObscured xmlns:a14="http://schemas.microsoft.com/office/drawing/2010/main"/>
                      </a:ext>
                    </a:extLst>
                  </pic:spPr>
                </pic:pic>
              </a:graphicData>
            </a:graphic>
          </wp:inline>
        </w:drawing>
      </w:r>
      <w:r w:rsidR="004448C0" w:rsidRPr="00CB36BE">
        <w:rPr>
          <w:b/>
          <w:sz w:val="24"/>
          <w:szCs w:val="24"/>
        </w:rPr>
        <w:t xml:space="preserve">Figure </w:t>
      </w:r>
      <w:r w:rsidR="004448C0">
        <w:rPr>
          <w:b/>
          <w:sz w:val="24"/>
          <w:szCs w:val="24"/>
        </w:rPr>
        <w:t>7</w:t>
      </w:r>
      <w:r w:rsidR="009B7609">
        <w:t xml:space="preserve">  </w:t>
      </w:r>
      <w:r w:rsidR="004448C0">
        <w:rPr>
          <w:b/>
          <w:sz w:val="24"/>
          <w:szCs w:val="24"/>
        </w:rPr>
        <w:t xml:space="preserve">Measuring transcription and translation using the malachite green aptamer </w:t>
      </w:r>
      <w:r w:rsidR="004448C0">
        <w:rPr>
          <w:b/>
          <w:sz w:val="24"/>
          <w:szCs w:val="24"/>
        </w:rPr>
        <w:lastRenderedPageBreak/>
        <w:t>constructs.</w:t>
      </w:r>
      <w:r w:rsidR="004448C0">
        <w:rPr>
          <w:sz w:val="24"/>
          <w:szCs w:val="24"/>
        </w:rPr>
        <w:t xml:space="preserve"> Detection of mRNA production </w:t>
      </w:r>
      <w:r w:rsidR="004448C0" w:rsidRPr="00485CBA">
        <w:rPr>
          <w:b/>
          <w:sz w:val="24"/>
          <w:szCs w:val="24"/>
        </w:rPr>
        <w:t>(A)</w:t>
      </w:r>
      <w:r w:rsidR="004448C0">
        <w:rPr>
          <w:sz w:val="24"/>
          <w:szCs w:val="24"/>
        </w:rPr>
        <w:t xml:space="preserve"> and protein production </w:t>
      </w:r>
      <w:r w:rsidR="004448C0" w:rsidRPr="00485CBA">
        <w:rPr>
          <w:b/>
          <w:sz w:val="24"/>
          <w:szCs w:val="24"/>
        </w:rPr>
        <w:t>(B)</w:t>
      </w:r>
      <w:r w:rsidR="004448C0">
        <w:rPr>
          <w:sz w:val="24"/>
          <w:szCs w:val="24"/>
        </w:rPr>
        <w:t xml:space="preserve"> in HeLa IVT kit using the malachite green aptamer constructs (pCFE-GFP-MGapt15bp/21bp).</w:t>
      </w:r>
    </w:p>
    <w:p w14:paraId="23184134" w14:textId="10BC685A" w:rsidR="009B3730" w:rsidRPr="009B3730" w:rsidRDefault="009B3730" w:rsidP="009B3730">
      <w:pPr>
        <w:keepNext/>
        <w:spacing w:after="0" w:line="276" w:lineRule="auto"/>
      </w:pPr>
    </w:p>
    <w:p w14:paraId="423FCF60" w14:textId="76EB95A8" w:rsidR="004448C0" w:rsidRDefault="004448C0" w:rsidP="004448C0">
      <w:pPr>
        <w:spacing w:line="480" w:lineRule="auto"/>
        <w:rPr>
          <w:b/>
          <w:sz w:val="24"/>
          <w:szCs w:val="24"/>
        </w:rPr>
      </w:pPr>
      <w:r>
        <w:rPr>
          <w:b/>
          <w:sz w:val="24"/>
          <w:szCs w:val="24"/>
        </w:rPr>
        <w:t>Reproducibility of CFPS measurements</w:t>
      </w:r>
    </w:p>
    <w:p w14:paraId="6BBA67EC" w14:textId="77777777" w:rsidR="004448C0" w:rsidRDefault="004448C0" w:rsidP="004448C0">
      <w:pPr>
        <w:spacing w:line="480" w:lineRule="auto"/>
        <w:rPr>
          <w:sz w:val="24"/>
          <w:szCs w:val="24"/>
        </w:rPr>
      </w:pPr>
      <w:r>
        <w:rPr>
          <w:sz w:val="24"/>
          <w:szCs w:val="24"/>
        </w:rPr>
        <w:t xml:space="preserve">Experiments were repeated twice on different days using different IVT Kit batches but the same DNA, RNA and protein samples. To assess </w:t>
      </w:r>
      <w:r w:rsidRPr="004D16DF">
        <w:rPr>
          <w:sz w:val="24"/>
          <w:szCs w:val="24"/>
        </w:rPr>
        <w:t>variability, experimental datasets f</w:t>
      </w:r>
      <w:r>
        <w:rPr>
          <w:sz w:val="24"/>
          <w:szCs w:val="24"/>
        </w:rPr>
        <w:t>rom</w:t>
      </w:r>
      <w:r w:rsidRPr="004D16DF">
        <w:rPr>
          <w:sz w:val="24"/>
          <w:szCs w:val="24"/>
        </w:rPr>
        <w:t xml:space="preserve"> the characterisation of T7 promoters, IRESs, dCas9 and L7Ae </w:t>
      </w:r>
      <w:r>
        <w:rPr>
          <w:sz w:val="24"/>
          <w:szCs w:val="24"/>
        </w:rPr>
        <w:t>were used to</w:t>
      </w:r>
      <w:r w:rsidRPr="004D16DF">
        <w:rPr>
          <w:sz w:val="24"/>
          <w:szCs w:val="24"/>
        </w:rPr>
        <w:t xml:space="preserve"> plot the average GFP expression levels obtained from 4-6 replicates on one day versus values obtained on another day</w:t>
      </w:r>
      <w:r w:rsidR="00646B0B">
        <w:rPr>
          <w:sz w:val="24"/>
          <w:szCs w:val="24"/>
        </w:rPr>
        <w:t xml:space="preserve"> (Figure 8).</w:t>
      </w:r>
    </w:p>
    <w:p w14:paraId="6931B321" w14:textId="32BFDA7E" w:rsidR="00646B0B" w:rsidRDefault="00646B0B" w:rsidP="004448C0">
      <w:pPr>
        <w:spacing w:line="480" w:lineRule="auto"/>
        <w:rPr>
          <w:sz w:val="24"/>
          <w:szCs w:val="24"/>
        </w:rPr>
      </w:pPr>
      <w:r w:rsidRPr="00646B0B">
        <w:rPr>
          <w:sz w:val="24"/>
          <w:szCs w:val="24"/>
        </w:rPr>
        <w:t>Perfect reproducibility would give rise to a linear correlation with a high correlation coefficient (R</w:t>
      </w:r>
      <w:r w:rsidRPr="006E428D">
        <w:rPr>
          <w:sz w:val="24"/>
          <w:szCs w:val="24"/>
          <w:vertAlign w:val="superscript"/>
        </w:rPr>
        <w:t>2</w:t>
      </w:r>
      <w:r w:rsidRPr="00646B0B">
        <w:rPr>
          <w:sz w:val="24"/>
          <w:szCs w:val="24"/>
        </w:rPr>
        <w:t xml:space="preserve"> =1). A good level of correlation was observed between CFPS measurements across all experiments.</w:t>
      </w:r>
      <w:r>
        <w:rPr>
          <w:sz w:val="24"/>
          <w:szCs w:val="24"/>
        </w:rPr>
        <w:t xml:space="preserve"> Interestingly, less variation </w:t>
      </w:r>
      <w:r w:rsidRPr="00646B0B">
        <w:rPr>
          <w:sz w:val="24"/>
          <w:szCs w:val="24"/>
        </w:rPr>
        <w:t>was found in experiments investigating translational regulation (Figure 8B, R</w:t>
      </w:r>
      <w:r w:rsidRPr="006E428D">
        <w:rPr>
          <w:sz w:val="24"/>
          <w:szCs w:val="24"/>
          <w:vertAlign w:val="superscript"/>
        </w:rPr>
        <w:t>2</w:t>
      </w:r>
      <w:r w:rsidRPr="00646B0B">
        <w:rPr>
          <w:sz w:val="24"/>
          <w:szCs w:val="24"/>
        </w:rPr>
        <w:t xml:space="preserve"> = 0.84 and Figure 8D, R</w:t>
      </w:r>
      <w:r w:rsidRPr="006E428D">
        <w:rPr>
          <w:sz w:val="24"/>
          <w:szCs w:val="24"/>
          <w:vertAlign w:val="superscript"/>
        </w:rPr>
        <w:t>2</w:t>
      </w:r>
      <w:r w:rsidRPr="00646B0B">
        <w:rPr>
          <w:sz w:val="24"/>
          <w:szCs w:val="24"/>
        </w:rPr>
        <w:t xml:space="preserve"> = 0.97) compared to transcriptional regulation (Figure 8A, R</w:t>
      </w:r>
      <w:r w:rsidRPr="006E428D">
        <w:rPr>
          <w:sz w:val="24"/>
          <w:szCs w:val="24"/>
          <w:vertAlign w:val="superscript"/>
        </w:rPr>
        <w:t>2</w:t>
      </w:r>
      <w:r w:rsidRPr="00646B0B">
        <w:rPr>
          <w:sz w:val="24"/>
          <w:szCs w:val="24"/>
        </w:rPr>
        <w:t xml:space="preserve"> = 0.59 and Figure 8C, R</w:t>
      </w:r>
      <w:r w:rsidRPr="006E428D">
        <w:rPr>
          <w:sz w:val="24"/>
          <w:szCs w:val="24"/>
          <w:vertAlign w:val="superscript"/>
        </w:rPr>
        <w:t>2</w:t>
      </w:r>
      <w:r w:rsidRPr="00646B0B">
        <w:rPr>
          <w:sz w:val="24"/>
          <w:szCs w:val="24"/>
        </w:rPr>
        <w:t xml:space="preserve"> = 0.66). The experiment characterising T7 promoter variants was the </w:t>
      </w:r>
      <w:r w:rsidRPr="00485CBA">
        <w:rPr>
          <w:sz w:val="24"/>
          <w:szCs w:val="24"/>
        </w:rPr>
        <w:t xml:space="preserve">least reproducible (Figure </w:t>
      </w:r>
      <w:r w:rsidRPr="00E41624">
        <w:rPr>
          <w:sz w:val="24"/>
          <w:szCs w:val="24"/>
        </w:rPr>
        <w:t>8A, R</w:t>
      </w:r>
      <w:r w:rsidRPr="00E41624">
        <w:rPr>
          <w:sz w:val="24"/>
          <w:szCs w:val="24"/>
          <w:vertAlign w:val="superscript"/>
        </w:rPr>
        <w:t>2</w:t>
      </w:r>
      <w:r w:rsidRPr="00E41624">
        <w:rPr>
          <w:sz w:val="24"/>
          <w:szCs w:val="24"/>
        </w:rPr>
        <w:t>=0.59) with measurements clustered together by sequence variant (Supplementary Figure 4A).</w:t>
      </w:r>
      <w:r w:rsidR="00BF18E6" w:rsidRPr="00E41624">
        <w:rPr>
          <w:sz w:val="24"/>
          <w:szCs w:val="24"/>
        </w:rPr>
        <w:t xml:space="preserve"> In the experimental run represented on the x axis, the T7-WT and T7-4 expression saturated at intermediate concentrations and on</w:t>
      </w:r>
      <w:r w:rsidR="00885471" w:rsidRPr="00E41624">
        <w:rPr>
          <w:sz w:val="24"/>
          <w:szCs w:val="24"/>
        </w:rPr>
        <w:t xml:space="preserve">ly reached maximum of 200-300 </w:t>
      </w:r>
      <w:proofErr w:type="spellStart"/>
      <w:r w:rsidR="00885471" w:rsidRPr="00E41624">
        <w:rPr>
          <w:sz w:val="24"/>
          <w:szCs w:val="24"/>
        </w:rPr>
        <w:t>a</w:t>
      </w:r>
      <w:r w:rsidR="00BF18E6" w:rsidRPr="00E41624">
        <w:rPr>
          <w:sz w:val="24"/>
          <w:szCs w:val="24"/>
        </w:rPr>
        <w:t>fu</w:t>
      </w:r>
      <w:proofErr w:type="spellEnd"/>
      <w:r w:rsidR="00BF18E6" w:rsidRPr="00E41624">
        <w:rPr>
          <w:sz w:val="24"/>
          <w:szCs w:val="24"/>
        </w:rPr>
        <w:t>. In contrast, in the experimental run represented on the y axis, expression from T7-WT and T7-4 promoters did not reach saturation.</w:t>
      </w:r>
      <w:r w:rsidR="00BF18E6" w:rsidRPr="00E41624">
        <w:rPr>
          <w:rFonts w:ascii="Helvetica" w:eastAsia="Times New Roman" w:hAnsi="Helvetica" w:cs="Arial"/>
          <w:color w:val="222222"/>
          <w:sz w:val="24"/>
          <w:szCs w:val="24"/>
        </w:rPr>
        <w:t xml:space="preserve"> </w:t>
      </w:r>
      <w:r w:rsidRPr="00E41624">
        <w:rPr>
          <w:sz w:val="24"/>
          <w:szCs w:val="24"/>
        </w:rPr>
        <w:t>In</w:t>
      </w:r>
      <w:r w:rsidRPr="00485CBA">
        <w:rPr>
          <w:sz w:val="24"/>
          <w:szCs w:val="24"/>
        </w:rPr>
        <w:t xml:space="preserve"> contrast, characterisation data from IRES measurements (Supplementary Figure 4B) showed more reproducibility (Figure 8B; R</w:t>
      </w:r>
      <w:r w:rsidRPr="006E428D">
        <w:rPr>
          <w:sz w:val="24"/>
          <w:szCs w:val="24"/>
          <w:vertAlign w:val="superscript"/>
        </w:rPr>
        <w:t>2</w:t>
      </w:r>
      <w:r w:rsidRPr="00485CBA">
        <w:rPr>
          <w:sz w:val="24"/>
          <w:szCs w:val="24"/>
        </w:rPr>
        <w:t xml:space="preserve"> = 0.84). The overall correlation between</w:t>
      </w:r>
      <w:r w:rsidRPr="00646B0B">
        <w:rPr>
          <w:sz w:val="24"/>
          <w:szCs w:val="24"/>
        </w:rPr>
        <w:t xml:space="preserve"> the dCas9 characterisation experiments was R</w:t>
      </w:r>
      <w:r w:rsidRPr="006E428D">
        <w:rPr>
          <w:sz w:val="24"/>
          <w:szCs w:val="24"/>
          <w:vertAlign w:val="superscript"/>
        </w:rPr>
        <w:t>2</w:t>
      </w:r>
      <w:r w:rsidRPr="00646B0B">
        <w:rPr>
          <w:sz w:val="24"/>
          <w:szCs w:val="24"/>
        </w:rPr>
        <w:t xml:space="preserve"> = 0.66 (Figure 8C), with observed variability corresponding to 20-60 </w:t>
      </w:r>
      <w:proofErr w:type="spellStart"/>
      <w:r w:rsidRPr="00646B0B">
        <w:rPr>
          <w:sz w:val="24"/>
          <w:szCs w:val="24"/>
        </w:rPr>
        <w:t>nM</w:t>
      </w:r>
      <w:proofErr w:type="spellEnd"/>
      <w:r w:rsidRPr="00646B0B">
        <w:rPr>
          <w:sz w:val="24"/>
          <w:szCs w:val="24"/>
        </w:rPr>
        <w:t xml:space="preserve"> dCas9-sgRNA (Figure 8C). Out of the four analysed experiments, the L7Ae repression experiments showed the best correlation with </w:t>
      </w:r>
      <w:r w:rsidRPr="00646B0B">
        <w:rPr>
          <w:sz w:val="24"/>
          <w:szCs w:val="24"/>
        </w:rPr>
        <w:lastRenderedPageBreak/>
        <w:t>R</w:t>
      </w:r>
      <w:r w:rsidRPr="006E428D">
        <w:rPr>
          <w:sz w:val="24"/>
          <w:szCs w:val="24"/>
          <w:vertAlign w:val="superscript"/>
        </w:rPr>
        <w:t>2</w:t>
      </w:r>
      <w:r w:rsidRPr="00646B0B">
        <w:rPr>
          <w:sz w:val="24"/>
          <w:szCs w:val="24"/>
        </w:rPr>
        <w:t xml:space="preserve">=0.97 (Figure 8D). Our results show the importance of carrying out multiple replicates using different batches of </w:t>
      </w:r>
      <w:r w:rsidR="0021783E">
        <w:rPr>
          <w:noProof/>
          <w:sz w:val="24"/>
          <w:szCs w:val="24"/>
          <w:lang w:eastAsia="en-GB"/>
        </w:rPr>
        <w:drawing>
          <wp:anchor distT="0" distB="0" distL="114300" distR="114300" simplePos="0" relativeHeight="251665408" behindDoc="0" locked="0" layoutInCell="1" allowOverlap="1" wp14:anchorId="16708A04" wp14:editId="4E0EF308">
            <wp:simplePos x="0" y="0"/>
            <wp:positionH relativeFrom="margin">
              <wp:align>right</wp:align>
            </wp:positionH>
            <wp:positionV relativeFrom="paragraph">
              <wp:posOffset>716915</wp:posOffset>
            </wp:positionV>
            <wp:extent cx="5732780" cy="5423535"/>
            <wp:effectExtent l="0" t="0" r="1270" b="571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780" cy="5423535"/>
                    </a:xfrm>
                    <a:prstGeom prst="rect">
                      <a:avLst/>
                    </a:prstGeom>
                    <a:noFill/>
                  </pic:spPr>
                </pic:pic>
              </a:graphicData>
            </a:graphic>
            <wp14:sizeRelH relativeFrom="margin">
              <wp14:pctWidth>0</wp14:pctWidth>
            </wp14:sizeRelH>
            <wp14:sizeRelV relativeFrom="margin">
              <wp14:pctHeight>0</wp14:pctHeight>
            </wp14:sizeRelV>
          </wp:anchor>
        </w:drawing>
      </w:r>
      <w:r w:rsidRPr="00646B0B">
        <w:rPr>
          <w:sz w:val="24"/>
          <w:szCs w:val="24"/>
        </w:rPr>
        <w:t>CFPS extracts.</w:t>
      </w:r>
    </w:p>
    <w:p w14:paraId="5F8A5042" w14:textId="008701EB" w:rsidR="001C4A53" w:rsidRDefault="001C4A53" w:rsidP="001C4A53">
      <w:pPr>
        <w:spacing w:line="276" w:lineRule="auto"/>
        <w:rPr>
          <w:sz w:val="24"/>
          <w:szCs w:val="24"/>
        </w:rPr>
      </w:pPr>
      <w:r>
        <w:rPr>
          <w:b/>
          <w:sz w:val="24"/>
          <w:szCs w:val="24"/>
        </w:rPr>
        <w:t xml:space="preserve">Figure 8  </w:t>
      </w:r>
      <w:r w:rsidRPr="004448C0">
        <w:rPr>
          <w:b/>
          <w:sz w:val="24"/>
          <w:szCs w:val="24"/>
        </w:rPr>
        <w:t>Reproducibility of HeLa CFPS assays.</w:t>
      </w:r>
      <w:r w:rsidRPr="004448C0">
        <w:rPr>
          <w:sz w:val="24"/>
          <w:szCs w:val="24"/>
        </w:rPr>
        <w:t xml:space="preserve"> Comparison between repeat measurements of experiments carried out on different days using different batches of IVT Kit. Experiments corresponding to Figures 3-6 were repeated and the data plotted so that average measurements obtained on one day were plotted against measurements obtained from a different day.  Data points represent the mean of 5 replicates from one experimental condition and one plasmid DNA preparation. Linear correlations are shown.</w:t>
      </w:r>
    </w:p>
    <w:p w14:paraId="243F4FED" w14:textId="36F8C324" w:rsidR="001C4A53" w:rsidRDefault="001C4A53" w:rsidP="00646B0B">
      <w:pPr>
        <w:pStyle w:val="Heading2"/>
        <w:spacing w:line="480" w:lineRule="auto"/>
        <w:rPr>
          <w:smallCaps w:val="0"/>
          <w:sz w:val="24"/>
          <w:szCs w:val="24"/>
        </w:rPr>
      </w:pPr>
    </w:p>
    <w:p w14:paraId="06E80D4B" w14:textId="5835D528" w:rsidR="00646B0B" w:rsidRDefault="00646B0B" w:rsidP="00646B0B">
      <w:pPr>
        <w:pStyle w:val="Heading2"/>
        <w:spacing w:line="480" w:lineRule="auto"/>
        <w:rPr>
          <w:smallCaps w:val="0"/>
          <w:sz w:val="24"/>
          <w:szCs w:val="24"/>
        </w:rPr>
      </w:pPr>
      <w:r>
        <w:rPr>
          <w:smallCaps w:val="0"/>
          <w:sz w:val="24"/>
          <w:szCs w:val="24"/>
        </w:rPr>
        <w:t>Discussion</w:t>
      </w:r>
    </w:p>
    <w:p w14:paraId="0F52A4A1" w14:textId="13AC38FE" w:rsidR="00646B0B" w:rsidRPr="004D16DF" w:rsidRDefault="00646B0B" w:rsidP="00646B0B">
      <w:pPr>
        <w:spacing w:line="480" w:lineRule="auto"/>
        <w:rPr>
          <w:sz w:val="24"/>
          <w:szCs w:val="24"/>
        </w:rPr>
      </w:pPr>
      <w:r w:rsidRPr="004D16DF">
        <w:rPr>
          <w:sz w:val="24"/>
          <w:szCs w:val="24"/>
        </w:rPr>
        <w:t>CFPS has been established as a useful prototyping method for genetic regulatory elements</w:t>
      </w:r>
      <w:r>
        <w:rPr>
          <w:sz w:val="24"/>
          <w:szCs w:val="24"/>
        </w:rPr>
        <w:t>,</w:t>
      </w:r>
      <w:r w:rsidRPr="004D16DF">
        <w:rPr>
          <w:sz w:val="24"/>
          <w:szCs w:val="24"/>
        </w:rPr>
        <w:t xml:space="preserve"> as data measured </w:t>
      </w:r>
      <w:r w:rsidRPr="004D16DF">
        <w:rPr>
          <w:i/>
          <w:sz w:val="24"/>
          <w:szCs w:val="24"/>
        </w:rPr>
        <w:t>in vitro</w:t>
      </w:r>
      <w:r w:rsidRPr="004D16DF">
        <w:rPr>
          <w:sz w:val="24"/>
          <w:szCs w:val="24"/>
        </w:rPr>
        <w:t xml:space="preserve"> has direct relevance to </w:t>
      </w:r>
      <w:r w:rsidRPr="004D16DF">
        <w:rPr>
          <w:i/>
          <w:sz w:val="24"/>
          <w:szCs w:val="24"/>
        </w:rPr>
        <w:t>in vivo</w:t>
      </w:r>
      <w:r w:rsidRPr="004D16DF">
        <w:rPr>
          <w:sz w:val="24"/>
          <w:szCs w:val="24"/>
        </w:rPr>
        <w:t xml:space="preserve"> activity</w:t>
      </w:r>
      <w:r w:rsidR="00B8171B">
        <w:rPr>
          <w:sz w:val="24"/>
          <w:szCs w:val="24"/>
        </w:rPr>
        <w:fldChar w:fldCharType="begin" w:fldLock="1"/>
      </w:r>
      <w:r w:rsidR="00705239">
        <w:rPr>
          <w:sz w:val="24"/>
          <w:szCs w:val="24"/>
        </w:rPr>
        <w:instrText>ADDIN CSL_CITATION {"citationItems":[{"id":"ITEM-1","itemData":{"DOI":"10.1101/cshperspect.a023853","PMID":"27742731","author":[{"dropping-particle":"","family":"Perez","given":"Jessica G","non-dropping-particle":"","parse-names":false,"suffix":""},{"dropping-particle":"","family":"Stark","given":"Jessica C","non-dropping-particle":"","parse-names":false,"suffix":""},{"dropping-particle":"","family":"Jewett","given":"Michael C","non-dropping-particle":"","parse-names":false,"suffix":""}],"container-title":"Cold Spring Harbor perspectives in biology","id":"ITEM-1","issue":"12","issued":{"date-parts":[["2016"]]},"page":"a023853","publisher":"Cold Spring Harbor Laboratory Press","title":"Cell-Free Synthetic Biology: Engineering Beyond the Cell","type":"article-journal","volume":"8"},"uris":["http://www.mendeley.com/documents/?uuid=04671c8b-754e-4008-a5c1-05fc644825c5"]}],"mendeley":{"formattedCitation":"&lt;sup&gt;12&lt;/sup&gt;","plainTextFormattedCitation":"12","previouslyFormattedCitation":"&lt;sup&gt;12&lt;/sup&gt;"},"properties":{"noteIndex":0},"schema":"https://github.com/citation-style-language/schema/raw/master/csl-citation.json"}</w:instrText>
      </w:r>
      <w:r w:rsidR="00B8171B">
        <w:rPr>
          <w:sz w:val="24"/>
          <w:szCs w:val="24"/>
        </w:rPr>
        <w:fldChar w:fldCharType="separate"/>
      </w:r>
      <w:r w:rsidR="000A7047" w:rsidRPr="000A7047">
        <w:rPr>
          <w:noProof/>
          <w:sz w:val="24"/>
          <w:szCs w:val="24"/>
          <w:vertAlign w:val="superscript"/>
        </w:rPr>
        <w:t>12</w:t>
      </w:r>
      <w:r w:rsidR="00B8171B">
        <w:rPr>
          <w:sz w:val="24"/>
          <w:szCs w:val="24"/>
        </w:rPr>
        <w:fldChar w:fldCharType="end"/>
      </w:r>
      <w:r w:rsidRPr="004D16DF">
        <w:rPr>
          <w:sz w:val="24"/>
          <w:szCs w:val="24"/>
        </w:rPr>
        <w:t xml:space="preserve">. In mammalian synthetic </w:t>
      </w:r>
      <w:r w:rsidRPr="004D16DF">
        <w:rPr>
          <w:sz w:val="24"/>
          <w:szCs w:val="24"/>
        </w:rPr>
        <w:lastRenderedPageBreak/>
        <w:t>biology, the need for tissue culture, manual sample preparation and sophisticated measurement instruments (e.g. fluorescent microscopy) precludes high-throughput measurements in most academic laboratories. In this study we optimised a commercially available HeLa CFPS system for automated prototyping of commonly used mammalian transcription and translation regulatory elements. We chose elements that are widely used to drive gene expression in cell-culture transient transfection experiments in order to establish a CFPS prototyping method for mammalian systems.</w:t>
      </w:r>
    </w:p>
    <w:p w14:paraId="708278AC" w14:textId="77777777" w:rsidR="00646B0B" w:rsidRPr="004D16DF" w:rsidRDefault="00646B0B" w:rsidP="00646B0B">
      <w:pPr>
        <w:spacing w:line="480" w:lineRule="auto"/>
        <w:rPr>
          <w:sz w:val="24"/>
          <w:szCs w:val="24"/>
        </w:rPr>
      </w:pPr>
      <w:r w:rsidRPr="004D16DF">
        <w:rPr>
          <w:sz w:val="24"/>
          <w:szCs w:val="24"/>
        </w:rPr>
        <w:t xml:space="preserve">To develop our prototyping platform, several key assay parameters were explored. For example, we developed a </w:t>
      </w:r>
      <w:proofErr w:type="spellStart"/>
      <w:r w:rsidRPr="004D16DF">
        <w:rPr>
          <w:sz w:val="24"/>
          <w:szCs w:val="24"/>
        </w:rPr>
        <w:t>PicoGreen</w:t>
      </w:r>
      <w:proofErr w:type="spellEnd"/>
      <w:r w:rsidRPr="004D16DF">
        <w:rPr>
          <w:sz w:val="24"/>
          <w:szCs w:val="24"/>
        </w:rPr>
        <w:t xml:space="preserve"> dye-based assay using an Echo acoustic liquid handling robot</w:t>
      </w:r>
      <w:r w:rsidRPr="004D16DF" w:rsidDel="00B04BB0">
        <w:rPr>
          <w:sz w:val="24"/>
          <w:szCs w:val="24"/>
        </w:rPr>
        <w:t xml:space="preserve"> </w:t>
      </w:r>
      <w:r w:rsidRPr="004D16DF">
        <w:rPr>
          <w:sz w:val="24"/>
          <w:szCs w:val="24"/>
        </w:rPr>
        <w:t xml:space="preserve">to measure DNA concentrations. Our assay also identified genomic DNA contamination, due to an impact on sample transfer, leading to ‘apparent’ low measurements which are highlighted in the error log of the instrument. This prevents wasteful experiments with contaminated DNA preparations.  We also explored per-reaction costs for mammalian CFPS at high-throughput. By reducing the total reaction volume and relative composition of cofactors and components, we were able to achieve a </w:t>
      </w:r>
      <w:r w:rsidRPr="00181F29">
        <w:rPr>
          <w:sz w:val="24"/>
          <w:szCs w:val="24"/>
        </w:rPr>
        <w:t>25-fold reduction in reagents per reaction.</w:t>
      </w:r>
      <w:r w:rsidRPr="004D16DF">
        <w:rPr>
          <w:sz w:val="24"/>
          <w:szCs w:val="24"/>
        </w:rPr>
        <w:t xml:space="preserve"> </w:t>
      </w:r>
    </w:p>
    <w:p w14:paraId="585C4390" w14:textId="77777777" w:rsidR="00646B0B" w:rsidRPr="004D16DF" w:rsidRDefault="00646B0B" w:rsidP="00646B0B">
      <w:pPr>
        <w:spacing w:line="480" w:lineRule="auto"/>
        <w:rPr>
          <w:sz w:val="24"/>
          <w:szCs w:val="24"/>
        </w:rPr>
      </w:pPr>
      <w:r w:rsidRPr="004D16DF">
        <w:rPr>
          <w:sz w:val="24"/>
          <w:szCs w:val="24"/>
        </w:rPr>
        <w:t>To facilitate high</w:t>
      </w:r>
      <w:r>
        <w:rPr>
          <w:sz w:val="24"/>
          <w:szCs w:val="24"/>
        </w:rPr>
        <w:t>-</w:t>
      </w:r>
      <w:r w:rsidRPr="004D16DF">
        <w:rPr>
          <w:sz w:val="24"/>
          <w:szCs w:val="24"/>
        </w:rPr>
        <w:t xml:space="preserve">throughput experimentation, we used python modules accessible through scripts to generate machine and experimental instructions for carrying out semi-automated experiments. This allowed combinatorial design of DNA constructs and corresponding regulators, allowing many variants and experimental conditions to be explored. The input specifications include lists of DNA and regulator samples, the number of replicates and options for randomising the plate positions of reactions and inclusion of standards for unit conversion. A graphical user interface was developed to make the corresponding design </w:t>
      </w:r>
      <w:r w:rsidRPr="004D16DF">
        <w:rPr>
          <w:sz w:val="24"/>
          <w:szCs w:val="24"/>
        </w:rPr>
        <w:lastRenderedPageBreak/>
        <w:t>automation accessible online (</w:t>
      </w:r>
      <w:hyperlink r:id="rId17">
        <w:r w:rsidRPr="004D16DF">
          <w:rPr>
            <w:color w:val="0000FF"/>
            <w:sz w:val="24"/>
            <w:szCs w:val="24"/>
            <w:u w:val="single"/>
          </w:rPr>
          <w:t>http://experimentr.herokuapp.com/</w:t>
        </w:r>
      </w:hyperlink>
      <w:r w:rsidRPr="004D16DF">
        <w:rPr>
          <w:sz w:val="24"/>
          <w:szCs w:val="24"/>
        </w:rPr>
        <w:t xml:space="preserve">).  In this study we optimised our CFPS reactions using 384-well plates but 1536-well plates could be used for experiments that required higher throughput.  </w:t>
      </w:r>
    </w:p>
    <w:p w14:paraId="6698C680" w14:textId="77777777" w:rsidR="00646B0B" w:rsidRPr="004D16DF" w:rsidRDefault="00646B0B" w:rsidP="00646B0B">
      <w:pPr>
        <w:spacing w:line="480" w:lineRule="auto"/>
        <w:rPr>
          <w:sz w:val="24"/>
          <w:szCs w:val="24"/>
        </w:rPr>
      </w:pPr>
      <w:r w:rsidRPr="004D16DF">
        <w:rPr>
          <w:sz w:val="24"/>
          <w:szCs w:val="24"/>
        </w:rPr>
        <w:t>In order to simultaneously detect mRNA and proteins in our CFPS assays we tested a malachite green aptamer and showed RNA detection over the time course of a reaction. Interestingly, we observed an apparent transcriptional plateau around 50-75 mins, followed by subsequent reversal to the higher rate of transcription before reaching peak expression, the reason</w:t>
      </w:r>
      <w:r>
        <w:rPr>
          <w:sz w:val="24"/>
          <w:szCs w:val="24"/>
        </w:rPr>
        <w:t>s</w:t>
      </w:r>
      <w:r w:rsidRPr="004D16DF">
        <w:rPr>
          <w:sz w:val="24"/>
          <w:szCs w:val="24"/>
        </w:rPr>
        <w:t xml:space="preserve"> for which are unclear. Furthermore, we also saw differences in decay rates for our pCFE-GFP-MGapt15bp aptamer. This is potentially due to the shorter linker regions resulting in steric hindrance of the downstream polyadenylation sequence, preventing recognition and leading to degradation at a higher rate. Although additional testing of linker regions would be needed to investigate this further, we found that a malachite green aptamer can be used to measure transcriptional dynamics in real-time in a mammalian CFPS system. </w:t>
      </w:r>
    </w:p>
    <w:p w14:paraId="0E03F884" w14:textId="2EA1B52B" w:rsidR="00646B0B" w:rsidRPr="004D16DF" w:rsidRDefault="00646B0B" w:rsidP="00646B0B">
      <w:pPr>
        <w:spacing w:line="480" w:lineRule="auto"/>
        <w:rPr>
          <w:sz w:val="24"/>
          <w:szCs w:val="24"/>
        </w:rPr>
      </w:pPr>
      <w:r w:rsidRPr="004D16DF">
        <w:rPr>
          <w:sz w:val="24"/>
          <w:szCs w:val="24"/>
        </w:rPr>
        <w:t xml:space="preserve">Using the IVT HeLa CFPS kit we were able to test four types of commonly used mammalian genetic regulator systems. These were the T7 promoter and IRES transcriptional activation elements, repression of transcription using dCas9 and repression of translation using the viral L7Ae protein-RNA complex. As some of these regulators have been previously characterised in cell-culture systems, we were able to compare our </w:t>
      </w:r>
      <w:r w:rsidRPr="004D16DF">
        <w:rPr>
          <w:i/>
          <w:sz w:val="24"/>
          <w:szCs w:val="24"/>
        </w:rPr>
        <w:t>in vitro</w:t>
      </w:r>
      <w:r w:rsidRPr="004D16DF">
        <w:rPr>
          <w:sz w:val="24"/>
          <w:szCs w:val="24"/>
        </w:rPr>
        <w:t xml:space="preserve"> CFPS characterisation with published </w:t>
      </w:r>
      <w:r w:rsidRPr="004D16DF">
        <w:rPr>
          <w:i/>
          <w:sz w:val="24"/>
          <w:szCs w:val="24"/>
        </w:rPr>
        <w:t>in vivo</w:t>
      </w:r>
      <w:r w:rsidRPr="004D16DF">
        <w:rPr>
          <w:sz w:val="24"/>
          <w:szCs w:val="24"/>
        </w:rPr>
        <w:t xml:space="preserve"> measurements</w:t>
      </w:r>
      <w:r w:rsidR="00913B23" w:rsidRPr="0019690F">
        <w:rPr>
          <w:sz w:val="24"/>
          <w:szCs w:val="24"/>
        </w:rPr>
        <w:fldChar w:fldCharType="begin" w:fldLock="1"/>
      </w:r>
      <w:r w:rsidR="00C036B0">
        <w:rPr>
          <w:sz w:val="24"/>
          <w:szCs w:val="24"/>
        </w:rPr>
        <w:instrText>ADDIN CSL_CITATION {"citationItems":[{"id":"ITEM-1","itemData":{"DOI":"10.1093/nar/gkt347","ISSN":"1362-4962","PMID":"23685611","abstract":"The introduction of multiple genes into cells is increasingly required for understanding and engineering biological systems. Small-molecule-responsive transcriptional regulation has been widely used to control transgene expression. In contrast, methods for specific and simultaneous regulation of multiple genes with a single regulatory protein remain undeveloped. In this report, we describe a method for quantitatively tuning the expression of multiple transgenes with a translational regulatory protein. A protein that binds a specific RNA motif inserted in the 5'-untranslated region (UTR) of an mRNA modulates the translation of that message in mammalian cells. We provide two independent mechanisms by which to rationally fine-tune the output: the efficiency of translation correlates well with the distance between the inserted motif and the 5' terminus of the mRNA and is further modulated by the tandem insertion of multiple RNA motifs. The combination of these two approaches allowed us to fine-tune the translational efficiency of target mRNAs over a wide dynamic range. Moreover, we controlled the expression of two transgenes simultaneously and specifically by engineering each cis-regulatory 5'-UTR. The approach provides a useful alternative regulatory layer for controlling gene expression in biological research and engineering.","author":[{"dropping-particle":"","family":"Endo","given":"Kei","non-dropping-particle":"","parse-names":false,"suffix":""},{"dropping-particle":"","family":"Stapleton","given":"James a","non-dropping-particle":"","parse-names":false,"suffix":""},{"dropping-particle":"","family":"Hayashi","given":"Karin","non-dropping-particle":"","parse-names":false,"suffix":""},{"dropping-particle":"","family":"Saito","given":"Hirohide","non-dropping-particle":"","parse-names":false,"suffix":""},{"dropping-particle":"","family":"Inoue","given":"Tan","non-dropping-particle":"","parse-names":false,"suffix":""}],"container-title":"Nucleic acids research","id":"ITEM-1","issue":"13","issued":{"date-parts":[["2013","7"]]},"page":"e135","title":"Quantitative and simultaneous translational control of distinct mammalian mRNAs.","type":"article-journal","volume":"41"},"uris":["http://www.mendeley.com/documents/?uuid=57fc3a23-5324-4d54-8728-61f481048110"]},{"id":"ITEM-2","itemData":{"DOI":"10.1371/journal.pone.0082100","ISSN":"1932-6203","PMID":"24349195","abstract":"A set of mutated Encephalomyocarditis virus (EMCV) internal ribosome entry site (IRES) elements with varying strengths is generated by mutating the translation initiation codons of 10(th), 11(th), and 12(th) AUG to non-AUG triplets. They are able to control the relative expression of multiple genes over a wide range in mammalian cells in both transient and stable transfections. The relative strength of each IRES mutant remains similar in different mammalian cell lines and is not gene specific. The expressed proteins have correct molecular weights. Optimization of light chain over heavy chain expression by these IRES mutants enhances monoclonal antibody expression level and quality in stable transfections. Uses of this set of IRES mutants can be extended to other applications such as synthetic biology, investigating interactions between proteins and its complexes, cell engineering, multi-subunit protein production, gene therapy, and reprogramming of somatic cells into stem cells.","author":[{"dropping-particle":"","family":"Koh","given":"Esther Y C","non-dropping-particle":"","parse-names":false,"suffix":""},{"dropping-particle":"","family":"Ho","given":"Steven C L","non-dropping-particle":"","parse-names":false,"suffix":""},{"dropping-particle":"","family":"Mariati","given":"","non-dropping-particle":"","parse-names":false,"suffix":""},{"dropping-particle":"","family":"Song","given":"Zhiwei","non-dropping-particle":"","parse-names":false,"suffix":""},{"dropping-particle":"","family":"Bi","given":"Xuezhi","non-dropping-particle":"","parse-names":false,"suffix":""},{"dropping-particle":"","family":"Bardor","given":"Muriel","non-dropping-particle":"","parse-names":false,"suffix":""},{"dropping-particle":"","family":"Yang","given":"Yuansheng","non-dropping-particle":"","parse-names":false,"suffix":""}],"container-title":"PloS one","editor":[{"dropping-particle":"","family":"Hendershot","given":"Linda M.","non-dropping-particle":"","parse-names":false,"suffix":""}],"id":"ITEM-2","issue":"12","issued":{"date-parts":[["2013","1"]]},"note":"https://www.promega.co.uk/products/protein-expression/eukaryotic-cell-free-protein-expression/rabbit-reticulocyte-lysate-system_-nuclease-treated/","page":"e82100","publisher":"Public Library of Science","title":"An internal ribosome entry site (IRES) mutant library for tuning expression level of multiple genes in mammalian cells.","type":"article-journal","volume":"8"},"uris":["http://www.mendeley.com/documents/?uuid=2fc3b2ce-075e-4fab-907f-952e42be271a"]},{"id":"ITEM-3","itemData":{"DOI":"10.1093/nar/gks597","ISSN":"1362-4962","PMID":"22743271","abstract":"Synthetic genetic sensors and circuits enable programmable control over the timing and conditions of gene expression. They are being increasingly incorporated into the control of complex, multigene pathways and cellular functions. Here, we propose a design strategy to genetically separate the sensing/circuitry functions from the pathway to be controlled. This separation is achieved by having the output of the circuit drive the expression of a polymerase, which then activates the pathway from polymerase-specific promoters. The sensors, circuits and polymerase are encoded together on a 'controller' plasmid. Variants of T7 RNA polymerase that reduce toxicity were constructed and used as scaffolds for the construction of four orthogonal polymerases identified via part mining that bind to unique promoter sequences. This set is highly orthogonal and induces cognate promoters by 8- to 75-fold more than off-target promoters. These orthogonal polymerases enable four independent channels linking the outputs of circuits to the control of different cellular functions. As a demonstration, we constructed a controller plasmid that integrates two inducible systems, implements an AND logic operation and toggles between metabolic pathways that change Escherichia coli green (deoxychromoviridans) and red (lycopene). The advantages of this organization are that (i) the regulation of the pathway can be changed simply by introducing a different controller plasmid, (ii) transcription is orthogonal to host machinery and (iii) the pathway genes are not transcribed in the absence of a controller and are thus more easily carried without invoking evolutionary pressure.","author":[{"dropping-particle":"","family":"Temme","given":"Karsten","non-dropping-particle":"","parse-names":false,"suffix":""},{"dropping-particle":"","family":"Hill","given":"Rena","non-dropping-particle":"","parse-names":false,"suffix":""},{"dropping-particle":"","family":"Segall-Shapiro","given":"Thomas H.","non-dropping-particle":"","parse-names":false,"suffix":""},{"dropping-particle":"","family":"Moser","given":"Felix","non-dropping-particle":"","parse-names":false,"suffix":""},{"dropping-particle":"","family":"Voigt","given":"Christopher A.","non-dropping-particle":"","parse-names":false,"suffix":""}],"id":"ITEM-3","issue":"17","issued":{"date-parts":[["2012","9","1"]]},"publisher":"Oxford University Press","title":"Modular control of multiple pathways using engineered orthogonal T7 polymerases","type":"article-journal","volume":"40"},"uris":["http://www.mendeley.com/documents/?uuid=039a2b86-828b-4839-9a89-10fd9981052e"]},{"id":"ITEM-4","itemData":{"DOI":"10.15252/MSB.20177899","ISSN":"1744-4292","PMID":"29519933","abstract":"Over the past few years, tools that make use of the Cas9 nuclease have led to many breakthroughs, including in the control of gene expression. The catalytically dead variant of Cas9 known as dCas9 can be guided by small RNAs to block transcription of target genes, in a strategy also known as CRISPRi. Here, we reveal that the level of complementarity between the guide RNA and the target controls the rate at which RNA polymerase \"kicks out\" dCas9 from the target and completes transcription. We use this mechanism to precisely and robustly reduce gene expression by defined relative amounts. Alternatively, tuning repression by changing dCas9 concentration is noisy and promoter-strength dependent. We demonstrate broad applicability of this method to the study of genetic regulation and cellular physiology. First, we characterize feedback strength of a model auto-repressor. Second, we study the impact of amount variations of cell-wall synthesizing enzymes on cell morphology. Finally, we multiplex the system to obtain any combination of fractional repression of two genes.","author":[{"dropping-particle":"","family":"Vigouroux","given":"Antoine","non-dropping-particle":"","parse-names":false,"suffix":""},{"dropping-particle":"","family":"Oldewurtel","given":"Enno","non-dropping-particle":"","parse-names":false,"suffix":""},{"dropping-particle":"","family":"Cui","given":"Lun","non-dropping-particle":"","parse-names":false,"suffix":""},{"dropping-particle":"","family":"Bikard","given":"David","non-dropping-particle":"","parse-names":false,"suffix":""},{"dropping-particle":"","family":"Teeffelen","given":"Sven","non-dropping-particle":"van","parse-names":false,"suffix":""}],"container-title":"Molecular systems biology","id":"ITEM-4","issue":"3","issued":{"date-parts":[["2018","3","8"]]},"page":"e7899","publisher":"EMBO Press","title":"Tuning dCas9's ability to block transcription enables robust, noiseless knockdown of bacterial genes.","type":"article-journal","volume":"14"},"uris":["http://www.mendeley.com/documents/?uuid=6311f322-a68e-351d-bdf2-dcd69d36c13c"]}],"mendeley":{"formattedCitation":"&lt;sup&gt;24,25,33,34&lt;/sup&gt;","plainTextFormattedCitation":"24,25,33,34","previouslyFormattedCitation":"&lt;sup&gt;24,25,33,34&lt;/sup&gt;"},"properties":{"noteIndex":0},"schema":"https://github.com/citation-style-language/schema/raw/master/csl-citation.json"}</w:instrText>
      </w:r>
      <w:r w:rsidR="00913B23" w:rsidRPr="0019690F">
        <w:rPr>
          <w:sz w:val="24"/>
          <w:szCs w:val="24"/>
        </w:rPr>
        <w:fldChar w:fldCharType="separate"/>
      </w:r>
      <w:r w:rsidR="00F8518D" w:rsidRPr="00F8518D">
        <w:rPr>
          <w:noProof/>
          <w:sz w:val="24"/>
          <w:szCs w:val="24"/>
          <w:vertAlign w:val="superscript"/>
        </w:rPr>
        <w:t>24,25,33,34</w:t>
      </w:r>
      <w:r w:rsidR="00913B23" w:rsidRPr="0019690F">
        <w:rPr>
          <w:sz w:val="24"/>
          <w:szCs w:val="24"/>
        </w:rPr>
        <w:fldChar w:fldCharType="end"/>
      </w:r>
      <w:r w:rsidRPr="004D16DF">
        <w:rPr>
          <w:sz w:val="24"/>
          <w:szCs w:val="24"/>
        </w:rPr>
        <w:t>. The T7 promoter is often used in mammalian transient transfection systems</w:t>
      </w:r>
      <w:r>
        <w:rPr>
          <w:sz w:val="24"/>
          <w:szCs w:val="24"/>
        </w:rPr>
        <w:t>,</w:t>
      </w:r>
      <w:r w:rsidRPr="004D16DF">
        <w:rPr>
          <w:sz w:val="24"/>
          <w:szCs w:val="24"/>
        </w:rPr>
        <w:t xml:space="preserve"> often in combination with the EMCV IRES, but to our knowledge no quantitative assessment of T7 variants in mammalian cells is available</w:t>
      </w:r>
      <w:r w:rsidR="00913B23" w:rsidRPr="0046538E">
        <w:rPr>
          <w:sz w:val="24"/>
          <w:szCs w:val="24"/>
        </w:rPr>
        <w:fldChar w:fldCharType="begin" w:fldLock="1"/>
      </w:r>
      <w:r w:rsidR="00C036B0">
        <w:rPr>
          <w:sz w:val="24"/>
          <w:szCs w:val="24"/>
        </w:rPr>
        <w:instrText>ADDIN CSL_CITATION {"citationItems":[{"id":"ITEM-1","itemData":{"author":[{"dropping-particle":"","family":"Elroy-Stein","given":"Orna","non-dropping-particle":"","parse-names":false,"suffix":""},{"dropping-particle":"","family":"Moss","given":"Bernard","non-dropping-particle":"","parse-names":false,"suffix":""}],"id":"ITEM-1","issue":"September","issued":{"date-parts":[["1990"]]},"page":"6743-6747","title":"Cytoplasmic expression system based on constitutive synthesis of bacteriophage T7 RNA polymerase in mammalian cells","type":"article-journal","volume":"87"},"uris":["http://www.mendeley.com/documents/?uuid=3e94e600-7ab0-4a23-9519-7581cd656846"]},{"id":"ITEM-2","itemData":{"DOI":"10.1134/S002689331702011X","ISSN":"0026-8933","author":[{"dropping-particle":"","family":"Ghassemi","given":"F.","non-dropping-particle":"","parse-names":false,"suffix":""},{"dropping-particle":"","family":"Madadgar","given":"O.","non-dropping-particle":"","parse-names":false,"suffix":""},{"dropping-particle":"","family":"Roohvand","given":"F.","non-dropping-particle":"","parse-names":false,"suffix":""},{"dropping-particle":"","family":"Rasekhian","given":"M.","non-dropping-particle":"","parse-names":false,"suffix":""},{"dropping-particle":"","family":"Etemadzadeh","given":"M. H.","non-dropping-particle":"","parse-names":false,"suffix":""},{"dropping-particle":"","family":"Boroujeni","given":"G. R. N.","non-dropping-particle":"","parse-names":false,"suffix":""},{"dropping-particle":"","family":"Langroudi","given":"A. G.","non-dropping-particle":"","parse-names":false,"suffix":""},{"dropping-particle":"","family":"Azadmanesh","given":"K.","non-dropping-particle":"","parse-names":false,"suffix":""}],"container-title":"Molecular Biology","id":"ITEM-2","issue":"2","issued":{"date-parts":[["2017","3","9"]]},"page":"283-292","publisher":"Pleiades Publishing","title":"Translational efficiency of BVDV IRES and EMCV IRES for T7 RNA polymerase driven cytoplasmic expression in mammalian cell lines","type":"article-journal","volume":"51"},"uris":["http://www.mendeley.com/documents/?uuid=e3060500-b366-334b-94a8-b1d501c6dc80"]}],"mendeley":{"formattedCitation":"&lt;sup&gt;35,36&lt;/sup&gt;","plainTextFormattedCitation":"35,36","previouslyFormattedCitation":"&lt;sup&gt;35,36&lt;/sup&gt;"},"properties":{"noteIndex":0},"schema":"https://github.com/citation-style-language/schema/raw/master/csl-citation.json"}</w:instrText>
      </w:r>
      <w:r w:rsidR="00913B23" w:rsidRPr="0046538E">
        <w:rPr>
          <w:sz w:val="24"/>
          <w:szCs w:val="24"/>
        </w:rPr>
        <w:fldChar w:fldCharType="separate"/>
      </w:r>
      <w:r w:rsidR="00F8518D" w:rsidRPr="00F8518D">
        <w:rPr>
          <w:noProof/>
          <w:sz w:val="24"/>
          <w:szCs w:val="24"/>
          <w:vertAlign w:val="superscript"/>
        </w:rPr>
        <w:t>35,36</w:t>
      </w:r>
      <w:r w:rsidR="00913B23" w:rsidRPr="0046538E">
        <w:rPr>
          <w:sz w:val="24"/>
          <w:szCs w:val="24"/>
        </w:rPr>
        <w:fldChar w:fldCharType="end"/>
      </w:r>
      <w:r w:rsidRPr="004D16DF">
        <w:rPr>
          <w:sz w:val="24"/>
          <w:szCs w:val="24"/>
        </w:rPr>
        <w:t xml:space="preserve">. Surprisingly, our measurements of the T7 promoter variants in mammalian CFPS assays showed similar rank order to measurements in </w:t>
      </w:r>
      <w:r w:rsidRPr="004D16DF">
        <w:rPr>
          <w:i/>
          <w:sz w:val="24"/>
          <w:szCs w:val="24"/>
        </w:rPr>
        <w:t>E. coli</w:t>
      </w:r>
      <w:r w:rsidR="00AA51AD">
        <w:fldChar w:fldCharType="begin" w:fldLock="1"/>
      </w:r>
      <w:r w:rsidR="00705239">
        <w:instrText>ADDIN CSL_CITATION {"citationItems":[{"id":"ITEM-1","itemData":{"DOI":"10.1038/nbt.3063","ISSN":"1087-0156","author":[{"dropping-particle":"","family":"Smanski","given":"Michael J","non-dropping-particle":"","parse-names":false,"suffix":""},{"dropping-particle":"","family":"Bhatia","given":"Swapnil","non-dropping-particle":"","parse-names":false,"suffix":""},{"dropping-particle":"","family":"Zhao","given":"Dehua","non-dropping-particle":"","parse-names":false,"suffix":""},{"dropping-particle":"","family":"Park","given":"YongJin","non-dropping-particle":"","parse-names":false,"suffix":""},{"dropping-particle":"","family":"B A Woodruff","given":"Lauren","non-dropping-particle":"","parse-names":false,"suffix":""},{"dropping-particle":"","family":"Giannoukos","given":"Georgia","non-dropping-particle":"","parse-names":false,"suffix":""},{"dropping-particle":"","family":"Ciulla","given":"Dawn","non-dropping-particle":"","parse-names":false,"suffix":""},{"dropping-particle":"","family":"Busby","given":"Michele","non-dropping-particle":"","parse-names":false,"suffix":""},{"dropping-particle":"","family":"Calderon","given":"Johnathan","non-dropping-particle":"","parse-names":false,"suffix":""},{"dropping-particle":"","family":"Nicol","given":"Robert","non-dropping-particle":"","parse-names":false,"suffix":""},{"dropping-particle":"","family":"Gordon","given":"D Benjamin","non-dropping-particle":"","parse-names":false,"suffix":""},{"dropping-particle":"","family":"Densmore","given":"Douglas","non-dropping-particle":"","parse-names":false,"suffix":""},{"dropping-particle":"","family":"Voigt","given":"Christopher A","non-dropping-particle":"","parse-names":false,"suffix":""}],"container-title":"Nature Biotechnology","id":"ITEM-1","issue":"12","issued":{"date-parts":[["2014","11","24"]]},"page":"1241-1249","publisher":"Nature Research","title":"Functional optimization of gene clusters by combinatorial design and assembly","type":"article-journal","volume":"32"},"uris":["http://www.mendeley.com/documents/?uuid=c06d276b-66c9-33ae-90a4-143f0b983fea"]},{"id":"ITEM-2","itemData":{"DOI":"10.1093/nar/gks597","ISSN":"1362-4962","PMID":"22743271","abstract":"Synthetic genetic sensors and circuits enable programmable control over the timing and conditions of gene expression. They are being increasingly incorporated into the control of complex, multigene pathways and cellular functions. Here, we propose a design strategy to genetically separate the sensing/circuitry functions from the pathway to be controlled. This separation is achieved by having the output of the circuit drive the expression of a polymerase, which then activates the pathway from polymerase-specific promoters. The sensors, circuits and polymerase are encoded together on a 'controller' plasmid. Variants of T7 RNA polymerase that reduce toxicity were constructed and used as scaffolds for the construction of four orthogonal polymerases identified via part mining that bind to unique promoter sequences. This set is highly orthogonal and induces cognate promoters by 8- to 75-fold more than off-target promoters. These orthogonal polymerases enable four independent channels linking the outputs of circuits to the control of different cellular functions. As a demonstration, we constructed a controller plasmid that integrates two inducible systems, implements an AND logic operation and toggles between metabolic pathways that change Escherichia coli green (deoxychromoviridans) and red (lycopene). The advantages of this organization are that (i) the regulation of the pathway can be changed simply by introducing a different controller plasmid, (ii) transcription is orthogonal to host machinery and (iii) the pathway genes are not transcribed in the absence of a controller and are thus more easily carried without invoking evolutionary pressure.","author":[{"dropping-particle":"","family":"Temme","given":"Karsten","non-dropping-particle":"","parse-names":false,"suffix":""},{"dropping-particle":"","family":"Hill","given":"Rena","non-dropping-particle":"","parse-names":false,"suffix":""},{"dropping-particle":"","family":"Segall-Shapiro","given":"Thomas H.","non-dropping-particle":"","parse-names":false,"suffix":""},{"dropping-particle":"","family":"Moser","given":"Felix","non-dropping-particle":"","parse-names":false,"suffix":""},{"dropping-particle":"","family":"Voigt","given":"Christopher A.","non-dropping-particle":"","parse-names":false,"suffix":""}],"id":"ITEM-2","issue":"17","issued":{"date-parts":[["2012","9","1"]]},"publisher":"Oxford University Press","title":"Modular control of multiple pathways using engineered orthogonal T7 polymerases","type":"article-journal","volume":"40"},"uris":["http://www.mendeley.com/documents/?uuid=039a2b86-828b-4839-9a89-10fd9981052e"]}],"mendeley":{"formattedCitation":"&lt;sup&gt;22,24&lt;/sup&gt;","plainTextFormattedCitation":"22,24","previouslyFormattedCitation":"&lt;sup&gt;22,24&lt;/sup&gt;"},"properties":{"noteIndex":0},"schema":"https://github.com/citation-style-language/schema/raw/master/csl-citation.json"}</w:instrText>
      </w:r>
      <w:r w:rsidR="00AA51AD">
        <w:fldChar w:fldCharType="separate"/>
      </w:r>
      <w:r w:rsidR="000A7047" w:rsidRPr="000A7047">
        <w:rPr>
          <w:noProof/>
          <w:vertAlign w:val="superscript"/>
        </w:rPr>
        <w:t>22,24</w:t>
      </w:r>
      <w:r w:rsidR="00AA51AD">
        <w:fldChar w:fldCharType="end"/>
      </w:r>
      <w:r w:rsidRPr="004D16DF">
        <w:rPr>
          <w:sz w:val="24"/>
          <w:szCs w:val="24"/>
        </w:rPr>
        <w:t xml:space="preserve"> although full characterisation in </w:t>
      </w:r>
      <w:r w:rsidRPr="004D16DF">
        <w:rPr>
          <w:sz w:val="24"/>
          <w:szCs w:val="24"/>
        </w:rPr>
        <w:lastRenderedPageBreak/>
        <w:t>mammalian cells would still be required. Interestingly, EMCV IRES variants showed similar relative strengths and rank order of repression using CFPS compared to measurements in CHO cells</w:t>
      </w:r>
      <w:r w:rsidR="00AA51AD" w:rsidRPr="0046538E">
        <w:rPr>
          <w:sz w:val="24"/>
          <w:szCs w:val="24"/>
        </w:rPr>
        <w:fldChar w:fldCharType="begin" w:fldLock="1"/>
      </w:r>
      <w:r w:rsidR="00705239">
        <w:rPr>
          <w:sz w:val="24"/>
          <w:szCs w:val="24"/>
        </w:rPr>
        <w:instrText>ADDIN CSL_CITATION {"citationItems":[{"id":"ITEM-1","itemData":{"DOI":"10.1371/journal.pone.0082100","ISSN":"1932-6203","PMID":"24349195","abstract":"A set of mutated Encephalomyocarditis virus (EMCV) internal ribosome entry site (IRES) elements with varying strengths is generated by mutating the translation initiation codons of 10(th), 11(th), and 12(th) AUG to non-AUG triplets. They are able to control the relative expression of multiple genes over a wide range in mammalian cells in both transient and stable transfections. The relative strength of each IRES mutant remains similar in different mammalian cell lines and is not gene specific. The expressed proteins have correct molecular weights. Optimization of light chain over heavy chain expression by these IRES mutants enhances monoclonal antibody expression level and quality in stable transfections. Uses of this set of IRES mutants can be extended to other applications such as synthetic biology, investigating interactions between proteins and its complexes, cell engineering, multi-subunit protein production, gene therapy, and reprogramming of somatic cells into stem cells.","author":[{"dropping-particle":"","family":"Koh","given":"Esther Y C","non-dropping-particle":"","parse-names":false,"suffix":""},{"dropping-particle":"","family":"Ho","given":"Steven C L","non-dropping-particle":"","parse-names":false,"suffix":""},{"dropping-particle":"","family":"Mariati","given":"","non-dropping-particle":"","parse-names":false,"suffix":""},{"dropping-particle":"","family":"Song","given":"Zhiwei","non-dropping-particle":"","parse-names":false,"suffix":""},{"dropping-particle":"","family":"Bi","given":"Xuezhi","non-dropping-particle":"","parse-names":false,"suffix":""},{"dropping-particle":"","family":"Bardor","given":"Muriel","non-dropping-particle":"","parse-names":false,"suffix":""},{"dropping-particle":"","family":"Yang","given":"Yuansheng","non-dropping-particle":"","parse-names":false,"suffix":""}],"container-title":"PloS one","editor":[{"dropping-particle":"","family":"Hendershot","given":"Linda M.","non-dropping-particle":"","parse-names":false,"suffix":""}],"id":"ITEM-1","issue":"12","issued":{"date-parts":[["2013","1"]]},"note":"https://www.promega.co.uk/products/protein-expression/eukaryotic-cell-free-protein-expression/rabbit-reticulocyte-lysate-system_-nuclease-treated/","page":"e82100","publisher":"Public Library of Science","title":"An internal ribosome entry site (IRES) mutant library for tuning expression level of multiple genes in mammalian cells.","type":"article-journal","volume":"8"},"uris":["http://www.mendeley.com/documents/?uuid=2fc3b2ce-075e-4fab-907f-952e42be271a"]}],"mendeley":{"formattedCitation":"&lt;sup&gt;25&lt;/sup&gt;","plainTextFormattedCitation":"25","previouslyFormattedCitation":"&lt;sup&gt;25&lt;/sup&gt;"},"properties":{"noteIndex":0},"schema":"https://github.com/citation-style-language/schema/raw/master/csl-citation.json"}</w:instrText>
      </w:r>
      <w:r w:rsidR="00AA51AD" w:rsidRPr="0046538E">
        <w:rPr>
          <w:sz w:val="24"/>
          <w:szCs w:val="24"/>
        </w:rPr>
        <w:fldChar w:fldCharType="separate"/>
      </w:r>
      <w:r w:rsidR="000A7047" w:rsidRPr="000A7047">
        <w:rPr>
          <w:noProof/>
          <w:sz w:val="24"/>
          <w:szCs w:val="24"/>
          <w:vertAlign w:val="superscript"/>
        </w:rPr>
        <w:t>25</w:t>
      </w:r>
      <w:r w:rsidR="00AA51AD" w:rsidRPr="0046538E">
        <w:rPr>
          <w:sz w:val="24"/>
          <w:szCs w:val="24"/>
        </w:rPr>
        <w:fldChar w:fldCharType="end"/>
      </w:r>
      <w:r w:rsidRPr="004D16DF">
        <w:rPr>
          <w:sz w:val="24"/>
          <w:szCs w:val="24"/>
        </w:rPr>
        <w:t>. Furthermore, the relative rank order of IRES variants appears cell-type independent, as measurements of the same IRES variants in CHO K1, HEK293, BHK, 373 and COS7 cells are similar</w:t>
      </w:r>
      <w:r w:rsidR="00AA51AD" w:rsidRPr="0046538E">
        <w:rPr>
          <w:sz w:val="24"/>
          <w:szCs w:val="24"/>
        </w:rPr>
        <w:fldChar w:fldCharType="begin" w:fldLock="1"/>
      </w:r>
      <w:r w:rsidR="00705239">
        <w:rPr>
          <w:sz w:val="24"/>
          <w:szCs w:val="24"/>
        </w:rPr>
        <w:instrText>ADDIN CSL_CITATION {"citationItems":[{"id":"ITEM-1","itemData":{"DOI":"10.1371/journal.pone.0082100","ISSN":"1932-6203","PMID":"24349195","abstract":"A set of mutated Encephalomyocarditis virus (EMCV) internal ribosome entry site (IRES) elements with varying strengths is generated by mutating the translation initiation codons of 10(th), 11(th), and 12(th) AUG to non-AUG triplets. They are able to control the relative expression of multiple genes over a wide range in mammalian cells in both transient and stable transfections. The relative strength of each IRES mutant remains similar in different mammalian cell lines and is not gene specific. The expressed proteins have correct molecular weights. Optimization of light chain over heavy chain expression by these IRES mutants enhances monoclonal antibody expression level and quality in stable transfections. Uses of this set of IRES mutants can be extended to other applications such as synthetic biology, investigating interactions between proteins and its complexes, cell engineering, multi-subunit protein production, gene therapy, and reprogramming of somatic cells into stem cells.","author":[{"dropping-particle":"","family":"Koh","given":"Esther Y C","non-dropping-particle":"","parse-names":false,"suffix":""},{"dropping-particle":"","family":"Ho","given":"Steven C L","non-dropping-particle":"","parse-names":false,"suffix":""},{"dropping-particle":"","family":"Mariati","given":"","non-dropping-particle":"","parse-names":false,"suffix":""},{"dropping-particle":"","family":"Song","given":"Zhiwei","non-dropping-particle":"","parse-names":false,"suffix":""},{"dropping-particle":"","family":"Bi","given":"Xuezhi","non-dropping-particle":"","parse-names":false,"suffix":""},{"dropping-particle":"","family":"Bardor","given":"Muriel","non-dropping-particle":"","parse-names":false,"suffix":""},{"dropping-particle":"","family":"Yang","given":"Yuansheng","non-dropping-particle":"","parse-names":false,"suffix":""}],"container-title":"PloS one","editor":[{"dropping-particle":"","family":"Hendershot","given":"Linda M.","non-dropping-particle":"","parse-names":false,"suffix":""}],"id":"ITEM-1","issue":"12","issued":{"date-parts":[["2013","1"]]},"note":"https://www.promega.co.uk/products/protein-expression/eukaryotic-cell-free-protein-expression/rabbit-reticulocyte-lysate-system_-nuclease-treated/","page":"e82100","publisher":"Public Library of Science","title":"An internal ribosome entry site (IRES) mutant library for tuning expression level of multiple genes in mammalian cells.","type":"article-journal","volume":"8"},"uris":["http://www.mendeley.com/documents/?uuid=2fc3b2ce-075e-4fab-907f-952e42be271a"]}],"mendeley":{"formattedCitation":"&lt;sup&gt;25&lt;/sup&gt;","plainTextFormattedCitation":"25","previouslyFormattedCitation":"&lt;sup&gt;25&lt;/sup&gt;"},"properties":{"noteIndex":0},"schema":"https://github.com/citation-style-language/schema/raw/master/csl-citation.json"}</w:instrText>
      </w:r>
      <w:r w:rsidR="00AA51AD" w:rsidRPr="0046538E">
        <w:rPr>
          <w:sz w:val="24"/>
          <w:szCs w:val="24"/>
        </w:rPr>
        <w:fldChar w:fldCharType="separate"/>
      </w:r>
      <w:r w:rsidR="000A7047" w:rsidRPr="000A7047">
        <w:rPr>
          <w:noProof/>
          <w:sz w:val="24"/>
          <w:szCs w:val="24"/>
          <w:vertAlign w:val="superscript"/>
        </w:rPr>
        <w:t>25</w:t>
      </w:r>
      <w:r w:rsidR="00AA51AD" w:rsidRPr="0046538E">
        <w:rPr>
          <w:sz w:val="24"/>
          <w:szCs w:val="24"/>
        </w:rPr>
        <w:fldChar w:fldCharType="end"/>
      </w:r>
      <w:r w:rsidR="00AA51AD">
        <w:rPr>
          <w:sz w:val="24"/>
          <w:szCs w:val="24"/>
        </w:rPr>
        <w:t xml:space="preserve">. </w:t>
      </w:r>
      <w:r w:rsidRPr="004D16DF">
        <w:rPr>
          <w:sz w:val="24"/>
          <w:szCs w:val="24"/>
        </w:rPr>
        <w:t>Characterisation of IRES variants showed the most robustness across experimental repeats. In contrast, measurements of promoter variants showed the most variability, with differing saturation points for GFP expression in different batches of</w:t>
      </w:r>
      <w:r w:rsidR="00752364">
        <w:rPr>
          <w:sz w:val="24"/>
          <w:szCs w:val="24"/>
        </w:rPr>
        <w:t xml:space="preserve"> the</w:t>
      </w:r>
      <w:r w:rsidRPr="004D16DF">
        <w:rPr>
          <w:sz w:val="24"/>
          <w:szCs w:val="24"/>
        </w:rPr>
        <w:t xml:space="preserve"> IVT Kit</w:t>
      </w:r>
      <w:r w:rsidR="002908DE">
        <w:rPr>
          <w:sz w:val="24"/>
          <w:szCs w:val="24"/>
        </w:rPr>
        <w:t>. This could be due to either transfer problems caused by genomic DNA contamination, or batch-to-batch variability in the extract</w:t>
      </w:r>
      <w:r w:rsidR="00F1141F" w:rsidRPr="00F1141F">
        <w:rPr>
          <w:sz w:val="24"/>
          <w:szCs w:val="24"/>
        </w:rPr>
        <w:t xml:space="preserve">. </w:t>
      </w:r>
      <w:r w:rsidR="005706BE">
        <w:rPr>
          <w:sz w:val="24"/>
          <w:szCs w:val="24"/>
        </w:rPr>
        <w:t>A transfer</w:t>
      </w:r>
      <w:r w:rsidR="00F1141F" w:rsidRPr="00F1141F">
        <w:rPr>
          <w:sz w:val="24"/>
          <w:szCs w:val="24"/>
        </w:rPr>
        <w:t xml:space="preserve"> </w:t>
      </w:r>
      <w:r w:rsidR="005706BE">
        <w:rPr>
          <w:sz w:val="24"/>
          <w:szCs w:val="24"/>
        </w:rPr>
        <w:t>problem is unlikely a</w:t>
      </w:r>
      <w:r w:rsidR="00922548">
        <w:rPr>
          <w:sz w:val="24"/>
          <w:szCs w:val="24"/>
        </w:rPr>
        <w:t xml:space="preserve">s the DNA purity </w:t>
      </w:r>
      <w:r w:rsidR="00C9531D">
        <w:rPr>
          <w:sz w:val="24"/>
          <w:szCs w:val="24"/>
        </w:rPr>
        <w:t xml:space="preserve">was verified using </w:t>
      </w:r>
      <w:proofErr w:type="spellStart"/>
      <w:r w:rsidR="005C49DC">
        <w:rPr>
          <w:sz w:val="24"/>
          <w:szCs w:val="24"/>
        </w:rPr>
        <w:t>PicoG</w:t>
      </w:r>
      <w:r w:rsidR="00F1141F" w:rsidRPr="00F1141F">
        <w:rPr>
          <w:sz w:val="24"/>
          <w:szCs w:val="24"/>
        </w:rPr>
        <w:t>reen</w:t>
      </w:r>
      <w:proofErr w:type="spellEnd"/>
      <w:r w:rsidR="00F1141F" w:rsidRPr="00F1141F">
        <w:rPr>
          <w:sz w:val="24"/>
          <w:szCs w:val="24"/>
        </w:rPr>
        <w:t xml:space="preserve"> </w:t>
      </w:r>
      <w:r w:rsidR="00C9531D">
        <w:rPr>
          <w:sz w:val="24"/>
          <w:szCs w:val="24"/>
        </w:rPr>
        <w:t>quantification</w:t>
      </w:r>
      <w:r w:rsidR="005706BE">
        <w:rPr>
          <w:sz w:val="24"/>
          <w:szCs w:val="24"/>
        </w:rPr>
        <w:t>, eliminating</w:t>
      </w:r>
      <w:r w:rsidR="002908DE">
        <w:rPr>
          <w:sz w:val="24"/>
          <w:szCs w:val="24"/>
        </w:rPr>
        <w:t xml:space="preserve"> the possibility of genomic DNA </w:t>
      </w:r>
      <w:r w:rsidR="005706BE">
        <w:rPr>
          <w:sz w:val="24"/>
          <w:szCs w:val="24"/>
        </w:rPr>
        <w:t>contamination (</w:t>
      </w:r>
      <w:r w:rsidR="00F1141F">
        <w:rPr>
          <w:sz w:val="24"/>
          <w:szCs w:val="24"/>
        </w:rPr>
        <w:t>Supplementary Figure 2)</w:t>
      </w:r>
      <w:r w:rsidR="00F1141F" w:rsidRPr="00F1141F">
        <w:rPr>
          <w:sz w:val="24"/>
          <w:szCs w:val="24"/>
        </w:rPr>
        <w:t>.</w:t>
      </w:r>
      <w:r w:rsidRPr="004D16DF">
        <w:rPr>
          <w:sz w:val="24"/>
          <w:szCs w:val="24"/>
        </w:rPr>
        <w:t xml:space="preserve"> </w:t>
      </w:r>
      <w:r w:rsidR="002908DE">
        <w:rPr>
          <w:sz w:val="24"/>
          <w:szCs w:val="24"/>
        </w:rPr>
        <w:t>It is</w:t>
      </w:r>
      <w:r w:rsidR="005706BE">
        <w:rPr>
          <w:sz w:val="24"/>
          <w:szCs w:val="24"/>
        </w:rPr>
        <w:t xml:space="preserve"> therefore</w:t>
      </w:r>
      <w:r w:rsidR="002908DE">
        <w:rPr>
          <w:sz w:val="24"/>
          <w:szCs w:val="24"/>
        </w:rPr>
        <w:t xml:space="preserve"> more likely to be due to differences in the activity of extracts. </w:t>
      </w:r>
      <w:r w:rsidRPr="004D16DF">
        <w:rPr>
          <w:sz w:val="24"/>
          <w:szCs w:val="24"/>
        </w:rPr>
        <w:t xml:space="preserve">Our results clearly highlight </w:t>
      </w:r>
      <w:r w:rsidR="00EE6972">
        <w:rPr>
          <w:sz w:val="24"/>
          <w:szCs w:val="24"/>
        </w:rPr>
        <w:t xml:space="preserve">variations </w:t>
      </w:r>
      <w:r w:rsidRPr="004D16DF">
        <w:rPr>
          <w:sz w:val="24"/>
          <w:szCs w:val="24"/>
        </w:rPr>
        <w:t>in yields and activities using different CFPS extracts</w:t>
      </w:r>
      <w:r w:rsidR="00E41624">
        <w:rPr>
          <w:sz w:val="24"/>
          <w:szCs w:val="24"/>
        </w:rPr>
        <w:t>,</w:t>
      </w:r>
      <w:r w:rsidRPr="004D16DF">
        <w:rPr>
          <w:sz w:val="24"/>
          <w:szCs w:val="24"/>
        </w:rPr>
        <w:t xml:space="preserve"> and further studies would be needed to identify </w:t>
      </w:r>
      <w:r w:rsidR="00E41624">
        <w:rPr>
          <w:sz w:val="24"/>
          <w:szCs w:val="24"/>
        </w:rPr>
        <w:t>the</w:t>
      </w:r>
      <w:r w:rsidR="00EE6972">
        <w:rPr>
          <w:sz w:val="24"/>
          <w:szCs w:val="24"/>
        </w:rPr>
        <w:t xml:space="preserve"> causes of variability</w:t>
      </w:r>
      <w:r w:rsidRPr="004D16DF">
        <w:rPr>
          <w:sz w:val="24"/>
          <w:szCs w:val="24"/>
        </w:rPr>
        <w:t>. Detailed modelling techniques could also facilitate cross-comparison of experimental replicates and provide insights into sources of variability</w:t>
      </w:r>
      <w:r w:rsidR="00AA51AD">
        <w:rPr>
          <w:sz w:val="24"/>
          <w:szCs w:val="24"/>
        </w:rPr>
        <w:fldChar w:fldCharType="begin" w:fldLock="1"/>
      </w:r>
      <w:r w:rsidR="00705239">
        <w:rPr>
          <w:sz w:val="24"/>
          <w:szCs w:val="24"/>
        </w:rPr>
        <w:instrText>ADDIN CSL_CITATION {"citationItems":[{"id":"ITEM-1","itemData":{"DOI":"10.1073/pnas.1715806115","ISSN":"1091-6490","PMID":"29666238","abstract":"Native cell-free transcription-translation systems offer a rapid route to characterize the regulatory elements (promoters, transcription factors) for gene expression from nonmodel microbial hosts, which can be difficult to assess through traditional in vivo approaches. One such host, Bacillus megaterium, is a giant Gram-positive bacterium with potential biotechnology applications, although many of its regulatory elements remain uncharacterized. Here, we have developed a rapid automated platform for measuring and modeling in vitro cell-free reactions and have applied this to B. megaterium to quantify a range of ribosome binding site variants and previously uncharacterized endogenous constitutive and inducible promoters. To provide quantitative models for cell-free systems, we have also applied a Bayesian approach to infer ordinary differential equation model parameters by simultaneously using time-course data from multiple experimental conditions. Using this modeling framework, we were able to infer previously unknown transcription factor binding affinities and quantify the sharing of cell-free transcription-translation resources (energy, ribosomes, RNA polymerases, nucleotides, and amino acids) using a promoter competition experiment. This allows insights into resource limiting-factors in batch cell-free synthesis mode. Our combined automated and modeling platform allows for the rapid acquisition and model-based analysis of cell-free transcription-translation data from uncharacterized microbial cell hosts, as well as resource competition within cell-free systems, which potentially can be applied to a range of cell-free synthetic biology and biotechnology applications.","author":[{"dropping-particle":"","family":"Moore","given":"Simon J","non-dropping-particle":"","parse-names":false,"suffix":""},{"dropping-particle":"","family":"MacDonald","given":"James T","non-dropping-particle":"","parse-names":false,"suffix":""},{"dropping-particle":"","family":"Wienecke","given":"Sarah","non-dropping-particle":"","parse-names":false,"suffix":""},{"dropping-particle":"","family":"Ishwarbhai","given":"Alka","non-dropping-particle":"","parse-names":false,"suffix":""},{"dropping-particle":"","family":"Tsipa","given":"Argyro","non-dropping-particle":"","parse-names":false,"suffix":""},{"dropping-particle":"","family":"Aw","given":"Rochelle","non-dropping-particle":"","parse-names":false,"suffix":""},{"dropping-particle":"","family":"Kylilis","given":"Nicolas","non-dropping-particle":"","parse-names":false,"suffix":""},{"dropping-particle":"","family":"Bell","given":"David J","non-dropping-particle":"","parse-names":false,"suffix":""},{"dropping-particle":"","family":"McClymont","given":"David W","non-dropping-particle":"","parse-names":false,"suffix":""},{"dropping-particle":"","family":"Jensen","given":"Kirsten","non-dropping-particle":"","parse-names":false,"suffix":""},{"dropping-particle":"","family":"Polizzi","given":"Karen M","non-dropping-particle":"","parse-names":false,"suffix":""},{"dropping-particle":"","family":"Biedendieck","given":"Rebekka","non-dropping-particle":"","parse-names":false,"suffix":""},{"dropping-particle":"","family":"Freemont","given":"Paul S","non-dropping-particle":"","parse-names":false,"suffix":""}],"container-title":"Proceedings of the National Academy of Sciences of the United States of America","id":"ITEM-1","issue":"19","issued":{"date-parts":[["2018","5","8"]]},"page":"E4340-E4349","publisher":"National Academy of Sciences","title":"Rapid acquisition and model-based analysis of cell-free transcription-translation reactions from nonmodel bacteria.","type":"article-journal","volume":"115"},"uris":["http://www.mendeley.com/documents/?uuid=cc5b94d2-d68a-363c-9d6c-1616485a1c5e"]}],"mendeley":{"formattedCitation":"&lt;sup&gt;17&lt;/sup&gt;","plainTextFormattedCitation":"17","previouslyFormattedCitation":"&lt;sup&gt;17&lt;/sup&gt;"},"properties":{"noteIndex":0},"schema":"https://github.com/citation-style-language/schema/raw/master/csl-citation.json"}</w:instrText>
      </w:r>
      <w:r w:rsidR="00AA51AD">
        <w:rPr>
          <w:sz w:val="24"/>
          <w:szCs w:val="24"/>
        </w:rPr>
        <w:fldChar w:fldCharType="separate"/>
      </w:r>
      <w:r w:rsidR="000A7047" w:rsidRPr="000A7047">
        <w:rPr>
          <w:noProof/>
          <w:sz w:val="24"/>
          <w:szCs w:val="24"/>
          <w:vertAlign w:val="superscript"/>
        </w:rPr>
        <w:t>17</w:t>
      </w:r>
      <w:r w:rsidR="00AA51AD">
        <w:rPr>
          <w:sz w:val="24"/>
          <w:szCs w:val="24"/>
        </w:rPr>
        <w:fldChar w:fldCharType="end"/>
      </w:r>
      <w:r w:rsidRPr="004D16DF">
        <w:rPr>
          <w:sz w:val="24"/>
          <w:szCs w:val="24"/>
        </w:rPr>
        <w:t xml:space="preserve">. </w:t>
      </w:r>
    </w:p>
    <w:p w14:paraId="49619587" w14:textId="013843DB" w:rsidR="00646B0B" w:rsidRDefault="006A198E" w:rsidP="00646B0B">
      <w:pPr>
        <w:spacing w:line="480" w:lineRule="auto"/>
        <w:rPr>
          <w:sz w:val="24"/>
          <w:szCs w:val="24"/>
        </w:rPr>
      </w:pPr>
      <w:r>
        <w:rPr>
          <w:sz w:val="24"/>
          <w:szCs w:val="24"/>
        </w:rPr>
        <w:t>V</w:t>
      </w:r>
      <w:r w:rsidR="00646B0B" w:rsidRPr="004D16DF">
        <w:rPr>
          <w:sz w:val="24"/>
          <w:szCs w:val="24"/>
        </w:rPr>
        <w:t>arious models have been developed for predicting dCas9/sgRNA binding to DNA</w:t>
      </w:r>
      <w:r w:rsidR="00AA51AD" w:rsidRPr="0019690F">
        <w:rPr>
          <w:sz w:val="24"/>
          <w:szCs w:val="24"/>
        </w:rPr>
        <w:fldChar w:fldCharType="begin" w:fldLock="1"/>
      </w:r>
      <w:r w:rsidR="00C036B0">
        <w:rPr>
          <w:sz w:val="24"/>
          <w:szCs w:val="24"/>
        </w:rPr>
        <w:instrText>ADDIN CSL_CITATION {"citationItems":[{"id":"ITEM-1","itemData":{"DOI":"10.1371/journal.pcbi.1004724","ISSN":"1553-7358","abstract":"The ability to precisely modify genomes and regulate specific genes will greatly accelerate several medical and engineering applications. The CRISPR/Cas9 (Type II) system binds and cuts DNA using guide RNAs, though the variables that control its on-target and off-target activity remain poorly characterized. Here, we develop and parameterize a system-wide biophysical model of Cas9-based genome editing and gene regulation to predict how changing guide RNA sequences, DNA superhelical densities, Cas9 and crRNA expression levels, organisms and growth conditions, and experimental conditions collectively control the dynamics of dCas9-based binding and Cas9-based cleavage at all DNA sites with both canonical and non-canonical PAMs. We combine statistical thermodynamics and kinetics to model Cas9:crRNA complex formation, diffusion, site selection, reversible R-loop formation, and cleavage, using large amounts of structural, biochemical, expression, and next-generation sequencing data to determine kinetic parameters and develop free energy models. Our results identify DNA supercoiling as a novel mechanism controlling Cas9 binding. Using the model, we predict Cas9 off-target binding frequencies across the lambdaphage and human genomes, and explain why Cas9’s off-target activity can be so high. With this improved understanding, we propose several rules for designing experiments for minimizing off-target activity. We also discuss the implications for engineering dCas9-based genetic circuits.","author":[{"dropping-particle":"","family":"Farasat","given":"Iman","non-dropping-particle":"","parse-names":false,"suffix":""},{"dropping-particle":"","family":"Salis","given":"Howard M.","non-dropping-particle":"","parse-names":false,"suffix":""}],"container-title":"PLOS Computational Biology","editor":[{"dropping-particle":"","family":"Singh","given":"Mona","non-dropping-particle":"","parse-names":false,"suffix":""}],"id":"ITEM-1","issue":"1","issued":{"date-parts":[["2016","1","29"]]},"page":"e1004724","publisher":"Public Library of Science","title":"A biophysical model of CRISPR/Cas9 activity for rational design of genome editing and gene regulation","type":"article-journal","volume":"12"},"uris":["http://www.mendeley.com/documents/?uuid=6b9935cd-5f09-3c4f-bd3e-454f7e9f21a4"]},{"id":"ITEM-2","itemData":{"DOI":"10.1073/pnas.1700557114","ISSN":"1091-6490","PMID":"28495970","abstract":"The bacterial adaptive immune system CRISPR-Cas9 has been appropriated as a versatile tool for editing genomes, controlling gene expression, and visualizing genetic loci. To analyze Cas9's ability to bind DNA rapidly and specifically, we generated multiple libraries of potential binding partners for measuring the kinetics of nuclease-dead Cas9 (dCas9) interactions. Using a massively parallel method to quantify protein-DNA interactions on a high-throughput sequencing flow cell, we comprehensively assess the effects of combinatorial mismatches between guide RNA (gRNA) and target nucleotides, both in the seed and in more distal nucleotides, plus disruption of the protospacer adjacent motif (PAM). We report two consequences of PAM-distal mismatches: reversal of dCas9 binding at long time scales, and synergistic changes in association kinetics when other gRNA-target mismatches are present. Together, these observations support a model for Cas9 specificity wherein gRNA-DNA mismatches at PAM-distal bases modulate different biophysical parameters that determine association and dissociation rates. The methods we present decouple aspects of kinetic and thermodynamic properties of the Cas9-DNA interaction and broaden the toolkit for investigating off-target binding behavior.","author":[{"dropping-particle":"","family":"Boyle","given":"Evan A","non-dropping-particle":"","parse-names":false,"suffix":""},{"dropping-particle":"","family":"Andreasson","given":"Johan O L","non-dropping-particle":"","parse-names":false,"suffix":""},{"dropping-particle":"","family":"Chircus","given":"Lauren M","non-dropping-particle":"","parse-names":false,"suffix":""},{"dropping-particle":"","family":"Sternberg","given":"Samuel H","non-dropping-particle":"","parse-names":false,"suffix":""},{"dropping-particle":"","family":"Wu","given":"Michelle J","non-dropping-particle":"","parse-names":false,"suffix":""},{"dropping-particle":"","family":"Guegler","given":"Chantal K","non-dropping-particle":"","parse-names":false,"suffix":""},{"dropping-particle":"","family":"Doudna","given":"Jennifer A","non-dropping-particle":"","parse-names":false,"suffix":""},{"dropping-particle":"","family":"Greenleaf","given":"William J","non-dropping-particle":"","parse-names":false,"suffix":""}],"container-title":"Proceedings of the National Academy of Sciences of the United States of America","id":"ITEM-2","issue":"21","issued":{"date-parts":[["2017","5","23"]]},"page":"5461-5466","publisher":"National Academy of Sciences","title":"High-throughput biochemical profiling reveals sequence determinants of dCas9 off-target binding and unbinding.","type":"article-journal","volume":"114"},"uris":["http://www.mendeley.com/documents/?uuid=65a83603-f502-34df-98e7-ad0308b58b2f"]}],"mendeley":{"formattedCitation":"&lt;sup&gt;37,38&lt;/sup&gt;","plainTextFormattedCitation":"37,38","previouslyFormattedCitation":"&lt;sup&gt;37,38&lt;/sup&gt;"},"properties":{"noteIndex":0},"schema":"https://github.com/citation-style-language/schema/raw/master/csl-citation.json"}</w:instrText>
      </w:r>
      <w:r w:rsidR="00AA51AD" w:rsidRPr="0019690F">
        <w:rPr>
          <w:sz w:val="24"/>
          <w:szCs w:val="24"/>
        </w:rPr>
        <w:fldChar w:fldCharType="separate"/>
      </w:r>
      <w:r w:rsidR="00F8518D" w:rsidRPr="00F8518D">
        <w:rPr>
          <w:noProof/>
          <w:sz w:val="24"/>
          <w:szCs w:val="24"/>
          <w:vertAlign w:val="superscript"/>
        </w:rPr>
        <w:t>37,38</w:t>
      </w:r>
      <w:r w:rsidR="00AA51AD" w:rsidRPr="0019690F">
        <w:rPr>
          <w:sz w:val="24"/>
          <w:szCs w:val="24"/>
        </w:rPr>
        <w:fldChar w:fldCharType="end"/>
      </w:r>
      <w:r w:rsidR="00AA51AD" w:rsidRPr="0019690F">
        <w:rPr>
          <w:sz w:val="24"/>
          <w:szCs w:val="24"/>
        </w:rPr>
        <w:t xml:space="preserve"> </w:t>
      </w:r>
      <w:r w:rsidR="00646B0B" w:rsidRPr="004D16DF">
        <w:rPr>
          <w:sz w:val="24"/>
          <w:szCs w:val="24"/>
        </w:rPr>
        <w:t xml:space="preserve"> and it would be interesting to use our CFPS method to test and refine these models. The dCas9 measurements also showed variability at intermediate expression levels, although we still observe partial repression and GFP expression levels will be sensitive to small differences in repressor concentration.</w:t>
      </w:r>
      <w:r>
        <w:rPr>
          <w:sz w:val="24"/>
          <w:szCs w:val="24"/>
        </w:rPr>
        <w:t xml:space="preserve"> W</w:t>
      </w:r>
      <w:r w:rsidR="00646B0B" w:rsidRPr="004D16DF">
        <w:rPr>
          <w:sz w:val="24"/>
          <w:szCs w:val="24"/>
        </w:rPr>
        <w:t>e observe similar binding constants for L7Ae mediated translational repression in our CFPS assays (</w:t>
      </w:r>
      <w:r w:rsidR="00646B0B">
        <w:rPr>
          <w:sz w:val="24"/>
          <w:szCs w:val="24"/>
        </w:rPr>
        <w:t xml:space="preserve">approximately </w:t>
      </w:r>
      <w:r w:rsidR="00646B0B" w:rsidRPr="004D16DF">
        <w:rPr>
          <w:sz w:val="24"/>
          <w:szCs w:val="24"/>
        </w:rPr>
        <w:t xml:space="preserve">5 </w:t>
      </w:r>
      <w:proofErr w:type="spellStart"/>
      <w:r w:rsidR="00646B0B" w:rsidRPr="004D16DF">
        <w:rPr>
          <w:sz w:val="24"/>
          <w:szCs w:val="24"/>
        </w:rPr>
        <w:t>nM</w:t>
      </w:r>
      <w:proofErr w:type="spellEnd"/>
      <w:r w:rsidR="00646B0B" w:rsidRPr="004D16DF">
        <w:rPr>
          <w:sz w:val="24"/>
          <w:szCs w:val="24"/>
        </w:rPr>
        <w:t xml:space="preserve"> versus 2 </w:t>
      </w:r>
      <w:proofErr w:type="spellStart"/>
      <w:r w:rsidR="00646B0B" w:rsidRPr="004D16DF">
        <w:rPr>
          <w:sz w:val="24"/>
          <w:szCs w:val="24"/>
        </w:rPr>
        <w:t>nM</w:t>
      </w:r>
      <w:proofErr w:type="spellEnd"/>
      <w:r w:rsidR="00646B0B" w:rsidRPr="004D16DF">
        <w:rPr>
          <w:sz w:val="24"/>
          <w:szCs w:val="24"/>
        </w:rPr>
        <w:t>) to published biochemical measurements using SPR</w:t>
      </w:r>
      <w:r w:rsidR="00AA51AD" w:rsidRPr="0019690F">
        <w:rPr>
          <w:sz w:val="24"/>
          <w:szCs w:val="24"/>
        </w:rPr>
        <w:fldChar w:fldCharType="begin" w:fldLock="1"/>
      </w:r>
      <w:r w:rsidR="00C036B0">
        <w:rPr>
          <w:sz w:val="24"/>
          <w:szCs w:val="24"/>
        </w:rPr>
        <w:instrText>ADDIN CSL_CITATION {"citationItems":[{"id":"ITEM-1","itemData":{"DOI":"10.1021/sb200005w","ISSN":"2161-5063","PMID":"23651072","abstract":"Feedback regulation plays a crucial role in dynamic gene expression in nature, but synthetic translational feedback systems have yet to be demonstrated. Here we use an RNA/protein interaction-based synthetic translational switch to create a feedback system that tightly controls the expression of proteins of interest in mammalian cells. Feedback is mediated by modified ribosomal L7Ae proteins, which bind a set of RNA motifs with a range of affinities. We designed these motifs into L7Ae-encoding mRNA. Newly translated L7Ae binds its own mRNA, inhibiting further translation. This inhibition tightly feedback-regulates the concentration of L7Ae and any fusion partner of interest. A mathematical model predicts system behavior as a function of RNA/protein affinity. We further demonstrate that the L7Ae protein can simultaneously and tunably regulate the expression of multiple proteins of interest by binding RNA control motifs built into each mRNA, allowing control over the coordinated expression of protein networks.","author":[{"dropping-particle":"","family":"Stapleton","given":"James a","non-dropping-particle":"","parse-names":false,"suffix":""},{"dropping-particle":"","family":"Endo","given":"Kei","non-dropping-particle":"","parse-names":false,"suffix":""},{"dropping-particle":"","family":"Fujita","given":"Yoshihiko","non-dropping-particle":"","parse-names":false,"suffix":""},{"dropping-particle":"","family":"Hayashi","given":"Karin","non-dropping-particle":"","parse-names":false,"suffix":""},{"dropping-particle":"","family":"Takinoue","given":"Masahiro","non-dropping-particle":"","parse-names":false,"suffix":""},{"dropping-particle":"","family":"Saito","given":"Hirohide","non-dropping-particle":"","parse-names":false,"suffix":""},{"dropping-particle":"","family":"Inoue","given":"Tan","non-dropping-particle":"","parse-names":false,"suffix":""}],"container-title":"ACS synthetic biology","id":"ITEM-1","issue":"3","issued":{"date-parts":[["2012","3","16"]]},"page":"83-8","title":"Feedback control of protein expression in mammalian cells by tunable synthetic translational inhibition.","type":"article-journal","volume":"1"},"uris":["http://www.mendeley.com/documents/?uuid=b99026f2-5ff6-44ed-a4e6-06450f608d73"]}],"mendeley":{"formattedCitation":"&lt;sup&gt;39&lt;/sup&gt;","plainTextFormattedCitation":"39","previouslyFormattedCitation":"&lt;sup&gt;39&lt;/sup&gt;"},"properties":{"noteIndex":0},"schema":"https://github.com/citation-style-language/schema/raw/master/csl-citation.json"}</w:instrText>
      </w:r>
      <w:r w:rsidR="00AA51AD" w:rsidRPr="0019690F">
        <w:rPr>
          <w:sz w:val="24"/>
          <w:szCs w:val="24"/>
        </w:rPr>
        <w:fldChar w:fldCharType="separate"/>
      </w:r>
      <w:r w:rsidR="00F8518D" w:rsidRPr="00F8518D">
        <w:rPr>
          <w:noProof/>
          <w:sz w:val="24"/>
          <w:szCs w:val="24"/>
          <w:vertAlign w:val="superscript"/>
        </w:rPr>
        <w:t>39</w:t>
      </w:r>
      <w:r w:rsidR="00AA51AD" w:rsidRPr="0019690F">
        <w:rPr>
          <w:sz w:val="24"/>
          <w:szCs w:val="24"/>
        </w:rPr>
        <w:fldChar w:fldCharType="end"/>
      </w:r>
      <w:r w:rsidR="00AA51AD" w:rsidRPr="0019690F">
        <w:rPr>
          <w:sz w:val="24"/>
          <w:szCs w:val="24"/>
        </w:rPr>
        <w:t xml:space="preserve">. </w:t>
      </w:r>
      <w:r w:rsidR="00646B0B" w:rsidRPr="004D16DF">
        <w:rPr>
          <w:sz w:val="24"/>
          <w:szCs w:val="24"/>
        </w:rPr>
        <w:t>We also observe similar fold-repression (</w:t>
      </w:r>
      <w:r w:rsidR="00646B0B">
        <w:rPr>
          <w:sz w:val="24"/>
          <w:szCs w:val="24"/>
        </w:rPr>
        <w:t xml:space="preserve">approximately </w:t>
      </w:r>
      <w:r w:rsidR="00646B0B" w:rsidRPr="004D16DF">
        <w:rPr>
          <w:sz w:val="24"/>
          <w:szCs w:val="24"/>
        </w:rPr>
        <w:t>18-fold) to reported L7Ae repression in cells (</w:t>
      </w:r>
      <w:r w:rsidR="00646B0B">
        <w:rPr>
          <w:sz w:val="24"/>
          <w:szCs w:val="24"/>
        </w:rPr>
        <w:t xml:space="preserve">approximately </w:t>
      </w:r>
      <w:r w:rsidR="00646B0B" w:rsidRPr="004D16DF">
        <w:rPr>
          <w:sz w:val="24"/>
          <w:szCs w:val="24"/>
        </w:rPr>
        <w:t>10-fold)</w:t>
      </w:r>
      <w:r w:rsidR="00AA51AD" w:rsidRPr="0019690F">
        <w:rPr>
          <w:sz w:val="24"/>
          <w:szCs w:val="24"/>
        </w:rPr>
        <w:fldChar w:fldCharType="begin" w:fldLock="1"/>
      </w:r>
      <w:r w:rsidR="00C036B0">
        <w:rPr>
          <w:sz w:val="24"/>
          <w:szCs w:val="24"/>
        </w:rPr>
        <w:instrText>ADDIN CSL_CITATION {"citationItems":[{"id":"ITEM-1","itemData":{"DOI":"10.1093/nar/gkt347","ISSN":"1362-4962","PMID":"23685611","abstract":"The introduction of multiple genes into cells is increasingly required for understanding and engineering biological systems. Small-molecule-responsive transcriptional regulation has been widely used to control transgene expression. In contrast, methods for specific and simultaneous regulation of multiple genes with a single regulatory protein remain undeveloped. In this report, we describe a method for quantitatively tuning the expression of multiple transgenes with a translational regulatory protein. A protein that binds a specific RNA motif inserted in the 5'-untranslated region (UTR) of an mRNA modulates the translation of that message in mammalian cells. We provide two independent mechanisms by which to rationally fine-tune the output: the efficiency of translation correlates well with the distance between the inserted motif and the 5' terminus of the mRNA and is further modulated by the tandem insertion of multiple RNA motifs. The combination of these two approaches allowed us to fine-tune the translational efficiency of target mRNAs over a wide dynamic range. Moreover, we controlled the expression of two transgenes simultaneously and specifically by engineering each cis-regulatory 5'-UTR. The approach provides a useful alternative regulatory layer for controlling gene expression in biological research and engineering.","author":[{"dropping-particle":"","family":"Endo","given":"Kei","non-dropping-particle":"","parse-names":false,"suffix":""},{"dropping-particle":"","family":"Stapleton","given":"James a","non-dropping-particle":"","parse-names":false,"suffix":""},{"dropping-particle":"","family":"Hayashi","given":"Karin","non-dropping-particle":"","parse-names":false,"suffix":""},{"dropping-particle":"","family":"Saito","given":"Hirohide","non-dropping-particle":"","parse-names":false,"suffix":""},{"dropping-particle":"","family":"Inoue","given":"Tan","non-dropping-particle":"","parse-names":false,"suffix":""}],"container-title":"Nucleic acids research","id":"ITEM-1","issue":"13","issued":{"date-parts":[["2013","7"]]},"page":"e135","title":"Quantitative and simultaneous translational control of distinct mammalian mRNAs.","type":"article-journal","volume":"41"},"uris":["http://www.mendeley.com/documents/?uuid=57fc3a23-5324-4d54-8728-61f481048110"]}],"mendeley":{"formattedCitation":"&lt;sup&gt;33&lt;/sup&gt;","plainTextFormattedCitation":"33","previouslyFormattedCitation":"&lt;sup&gt;33&lt;/sup&gt;"},"properties":{"noteIndex":0},"schema":"https://github.com/citation-style-language/schema/raw/master/csl-citation.json"}</w:instrText>
      </w:r>
      <w:r w:rsidR="00AA51AD" w:rsidRPr="0019690F">
        <w:rPr>
          <w:sz w:val="24"/>
          <w:szCs w:val="24"/>
        </w:rPr>
        <w:fldChar w:fldCharType="separate"/>
      </w:r>
      <w:r w:rsidR="00F8518D" w:rsidRPr="00F8518D">
        <w:rPr>
          <w:noProof/>
          <w:sz w:val="24"/>
          <w:szCs w:val="24"/>
          <w:vertAlign w:val="superscript"/>
        </w:rPr>
        <w:t>33</w:t>
      </w:r>
      <w:r w:rsidR="00AA51AD" w:rsidRPr="0019690F">
        <w:rPr>
          <w:sz w:val="24"/>
          <w:szCs w:val="24"/>
        </w:rPr>
        <w:fldChar w:fldCharType="end"/>
      </w:r>
      <w:r w:rsidR="00646B0B" w:rsidRPr="004D16DF">
        <w:rPr>
          <w:sz w:val="24"/>
          <w:szCs w:val="24"/>
        </w:rPr>
        <w:t xml:space="preserve">. Interestingly, our data show that a protein-mediated mRNA binding and repression event can </w:t>
      </w:r>
      <w:r w:rsidR="00646B0B" w:rsidRPr="004D16DF">
        <w:rPr>
          <w:sz w:val="24"/>
          <w:szCs w:val="24"/>
        </w:rPr>
        <w:lastRenderedPageBreak/>
        <w:t>be recapitulated in CFPS assays providing a basis for large-scale screening and testing of RNA binding proteins. Given that L7Ae is a versatile RNA binding protein, it also might be possible to establish a programmable L7Ae RNA binding module, similar to TALE and Zinc-finger regulators</w:t>
      </w:r>
      <w:r w:rsidR="00AA51AD" w:rsidRPr="0019690F">
        <w:rPr>
          <w:sz w:val="24"/>
          <w:szCs w:val="24"/>
        </w:rPr>
        <w:fldChar w:fldCharType="begin" w:fldLock="1"/>
      </w:r>
      <w:r w:rsidR="00C036B0">
        <w:rPr>
          <w:sz w:val="24"/>
          <w:szCs w:val="24"/>
        </w:rPr>
        <w:instrText>ADDIN CSL_CITATION {"citationItems":[{"id":"ITEM-1","itemData":{"DOI":"10.1039/c2mb05392f","ISSN":"1742-2051","PMID":"22234420","abstract":"Sequence specific binding of DNA and RNA is of fundamental importance in the regulation of cellular gene expression. Because of their modular structure repeat domain proteins are particularly well suited for these processes and have been widely adopted throughout evolution. Detailed biochemical and structural data has revealed the key residues responsible for recognition of RNA by Pumilio and FBF homology (PUF) repeat proteins and shown that the base specificity can be predicted and re-engineered. Recent work on the DNA-binding properties of transcription activator-like effector (TALE) proteins has shown that their specificity also relies on only a few key residues with a predictable code that can be used to design new DNA-binding proteins. Although less well understood, pentatricopeptide repeat (PPR) proteins contain motifs that appear to contribute to RNA recognition and comparisons to TALE and PUF proteins may help elucidate the code by which they recognize their RNA targets. Understanding how repeat proteins bind nucleic acids enables their biological roles to be uncovered and the design of engineered proteins with predictable RNA and DNA targets for use in biotechnology.","author":[{"dropping-particle":"","family":"Filipovska","given":"Aleksandra","non-dropping-particle":"","parse-names":false,"suffix":""},{"dropping-particle":"","family":"Rackham","given":"Oliver","non-dropping-particle":"","parse-names":false,"suffix":""}],"container-title":"Molecular bioSystems","id":"ITEM-1","issue":"3","issued":{"date-parts":[["2012","3"]]},"page":"699-708","title":"Modular recognition of nucleic acids by PUF, TALE and PPR proteins.","type":"article-journal","volume":"8"},"uris":["http://www.mendeley.com/documents/?uuid=41d66ae8-237b-4f32-80f9-4c680e9d181c"]},{"id":"ITEM-2","itemData":{"DOI":"10.1038/nchembio.577","ISSN":"1552-4469","PMID":"21572425","abstract":"The design of proteins that can bind any RNA sequence of interest has many potential biological and medical applications. Here we have expanded the recognition of Pumilio and FBF homology protein (PUF) repeats beyond adenine, guanine and uracil and evolved them to specifically bind cytosine. These repeat sequences can be used to create PUF domains capable of selectively binding RNA targets of diverse sequence and structure.","author":[{"dropping-particle":"","family":"Filipovska","given":"Aleksandra","non-dropping-particle":"","parse-names":false,"suffix":""},{"dropping-particle":"","family":"Razif","given":"Muhammad F M","non-dropping-particle":"","parse-names":false,"suffix":""},{"dropping-particle":"","family":"Nygård","given":"Karoline K a","non-dropping-particle":"","parse-names":false,"suffix":""},{"dropping-particle":"","family":"Rackham","given":"Oliver","non-dropping-particle":"","parse-names":false,"suffix":""}],"container-title":"Nature chemical biology","id":"ITEM-2","issue":"7","issued":{"date-parts":[["2011","7"]]},"page":"425-7","publisher":"Nature Publishing Group","title":"A universal code for RNA recognition by PUF proteins.","type":"article-journal","volume":"7"},"uris":["http://www.mendeley.com/documents/?uuid=f614e185-0af7-4190-8f11-7bee0b2b5dbe"]},{"id":"ITEM-3","itemData":{"DOI":"10.1111/febs.12375","ISSN":"1742-4658","PMID":"23742071","abstract":"RNA-binding proteins play essential roles in the regulation of gene expression. Many have modular structures and combine relatively few common domains in various arrangements to recognize RNA sequences and/or structures. Recent progress in engineering the specificity of the PUF class RNA-binding proteins has shown that RNA-binding domains may be combined with various effector or functional domains to regulate the metabolism of targeted RNAs. Designer RNA-binding proteins with tailored sequence specificity will provide valuable tools for biochemical research as well as potential therapeutic applications. In this review, we discuss the suitability of various RNA-binding domains for engineering RNA-binding specificity, based on the structural basis for their recognition. We also compare various protein engineering and design methods applied to RNA-binding proteins, and discuss future applications of these proteins.","author":[{"dropping-particle":"","family":"Chen","given":"Yu","non-dropping-particle":"","parse-names":false,"suffix":""},{"dropping-particle":"","family":"Varani","given":"Gabriele","non-dropping-particle":"","parse-names":false,"suffix":""}],"container-title":"The FEBS journal","id":"ITEM-3","issue":"16","issued":{"date-parts":[["2013","8"]]},"page":"3734-54","title":"Engineering RNA-binding proteins for biology.","type":"article-journal","volume":"280"},"uris":["http://www.mendeley.com/documents/?uuid=06cd509d-1cc5-4e9a-8fd3-635e2a2a8de3"]}],"mendeley":{"formattedCitation":"&lt;sup&gt;40–42&lt;/sup&gt;","plainTextFormattedCitation":"40–42","previouslyFormattedCitation":"&lt;sup&gt;40–42&lt;/sup&gt;"},"properties":{"noteIndex":0},"schema":"https://github.com/citation-style-language/schema/raw/master/csl-citation.json"}</w:instrText>
      </w:r>
      <w:r w:rsidR="00AA51AD" w:rsidRPr="0019690F">
        <w:rPr>
          <w:sz w:val="24"/>
          <w:szCs w:val="24"/>
        </w:rPr>
        <w:fldChar w:fldCharType="separate"/>
      </w:r>
      <w:r w:rsidR="00F8518D" w:rsidRPr="00F8518D">
        <w:rPr>
          <w:noProof/>
          <w:sz w:val="24"/>
          <w:szCs w:val="24"/>
          <w:vertAlign w:val="superscript"/>
        </w:rPr>
        <w:t>40–42</w:t>
      </w:r>
      <w:r w:rsidR="00AA51AD" w:rsidRPr="0019690F">
        <w:rPr>
          <w:sz w:val="24"/>
          <w:szCs w:val="24"/>
        </w:rPr>
        <w:fldChar w:fldCharType="end"/>
      </w:r>
      <w:r w:rsidR="00646B0B" w:rsidRPr="004D16DF">
        <w:rPr>
          <w:sz w:val="24"/>
          <w:szCs w:val="24"/>
        </w:rPr>
        <w:t xml:space="preserve">. </w:t>
      </w:r>
      <w:r w:rsidR="00A34C4D">
        <w:rPr>
          <w:sz w:val="24"/>
          <w:szCs w:val="24"/>
        </w:rPr>
        <w:t xml:space="preserve"> </w:t>
      </w:r>
      <w:r w:rsidR="00705239">
        <w:rPr>
          <w:sz w:val="24"/>
          <w:szCs w:val="24"/>
        </w:rPr>
        <w:t>Furthermore, this work opens up the possibility to model the combinations of translation and transcription regulators in CFPS. However, the experimental approach might need to be modified to allow for longer reactions which may only be possible using a continuous microfluidic approaches</w:t>
      </w:r>
      <w:r w:rsidR="00705239">
        <w:rPr>
          <w:sz w:val="24"/>
          <w:szCs w:val="24"/>
        </w:rPr>
        <w:fldChar w:fldCharType="begin" w:fldLock="1"/>
      </w:r>
      <w:r w:rsidR="00C036B0">
        <w:rPr>
          <w:sz w:val="24"/>
          <w:szCs w:val="24"/>
        </w:rPr>
        <w:instrText>ADDIN CSL_CITATION {"citationItems":[{"id":"ITEM-1","itemData":{"DOI":"10.1039/C7LC00552K","abstract":"&lt;p&gt;We combine cell-free protein expression systems with droplet microfluidics to enable ultrahigh-throughput parameter space exploration of synthetic biocircuits.&lt;/p&gt;","author":[{"dropping-particle":"","family":"Hori","given":"Yutaka","non-dropping-particle":"","parse-names":false,"suffix":""},{"dropping-particle":"","family":"Kantak","given":"Chaitanya","non-dropping-particle":"","parse-names":false,"suffix":""},{"dropping-particle":"","family":"Murray","given":"Richard M","non-dropping-particle":"","parse-names":false,"suffix":""},{"dropping-particle":"","family":"Abate","given":"Adam R","non-dropping-particle":"","parse-names":false,"suffix":""}],"container-title":"Lab on a Chip","id":"ITEM-1","issue":"18","issued":{"date-parts":[["2017"]]},"page":"3037-3042","publisher":"The Royal Society of Chemistry","title":"Cell-free extract based optimization of biomolecular circuits with droplet microfluidics","type":"article-journal","volume":"17"},"uris":["http://www.mendeley.com/documents/?uuid=8d9bfa87-7372-475a-b0ec-9c996ea7f76d"]}],"mendeley":{"formattedCitation":"&lt;sup&gt;43&lt;/sup&gt;","plainTextFormattedCitation":"43","previouslyFormattedCitation":"&lt;sup&gt;43&lt;/sup&gt;"},"properties":{"noteIndex":0},"schema":"https://github.com/citation-style-language/schema/raw/master/csl-citation.json"}</w:instrText>
      </w:r>
      <w:r w:rsidR="00705239">
        <w:rPr>
          <w:sz w:val="24"/>
          <w:szCs w:val="24"/>
        </w:rPr>
        <w:fldChar w:fldCharType="separate"/>
      </w:r>
      <w:r w:rsidR="00F8518D" w:rsidRPr="00F8518D">
        <w:rPr>
          <w:noProof/>
          <w:sz w:val="24"/>
          <w:szCs w:val="24"/>
          <w:vertAlign w:val="superscript"/>
        </w:rPr>
        <w:t>43</w:t>
      </w:r>
      <w:r w:rsidR="00705239">
        <w:rPr>
          <w:sz w:val="24"/>
          <w:szCs w:val="24"/>
        </w:rPr>
        <w:fldChar w:fldCharType="end"/>
      </w:r>
      <w:r w:rsidR="00705239">
        <w:rPr>
          <w:sz w:val="24"/>
          <w:szCs w:val="24"/>
        </w:rPr>
        <w:t>.</w:t>
      </w:r>
    </w:p>
    <w:p w14:paraId="7178C5E3" w14:textId="409EADD4" w:rsidR="00A34C4D" w:rsidRPr="004D16DF" w:rsidRDefault="00A34C4D" w:rsidP="00646B0B">
      <w:pPr>
        <w:spacing w:line="480" w:lineRule="auto"/>
        <w:rPr>
          <w:sz w:val="24"/>
          <w:szCs w:val="24"/>
        </w:rPr>
      </w:pPr>
      <w:r>
        <w:rPr>
          <w:sz w:val="24"/>
          <w:szCs w:val="24"/>
        </w:rPr>
        <w:t xml:space="preserve">It is important to note that this model expression system is limited to the study of cytoplasmic events. In the absence of the nucleus, transcription is mediated by a viral polymerase and </w:t>
      </w:r>
      <w:r w:rsidR="00776F31">
        <w:rPr>
          <w:sz w:val="24"/>
          <w:szCs w:val="24"/>
        </w:rPr>
        <w:t>nuclear RNA processing steps do not happen either</w:t>
      </w:r>
      <w:r>
        <w:rPr>
          <w:sz w:val="24"/>
          <w:szCs w:val="24"/>
        </w:rPr>
        <w:t>.</w:t>
      </w:r>
      <w:r w:rsidR="00776F31">
        <w:rPr>
          <w:sz w:val="24"/>
          <w:szCs w:val="24"/>
        </w:rPr>
        <w:t xml:space="preserve"> While this limitation excludes the study of some of the commonly used mammalian element</w:t>
      </w:r>
      <w:r w:rsidR="00C036B0">
        <w:rPr>
          <w:sz w:val="24"/>
          <w:szCs w:val="24"/>
        </w:rPr>
        <w:t>s</w:t>
      </w:r>
      <w:r w:rsidR="00776F31">
        <w:rPr>
          <w:sz w:val="24"/>
          <w:szCs w:val="24"/>
        </w:rPr>
        <w:t xml:space="preserve"> such as</w:t>
      </w:r>
      <w:r>
        <w:rPr>
          <w:sz w:val="24"/>
          <w:szCs w:val="24"/>
        </w:rPr>
        <w:t xml:space="preserve"> </w:t>
      </w:r>
      <w:r w:rsidR="00776F31">
        <w:rPr>
          <w:sz w:val="24"/>
          <w:szCs w:val="24"/>
        </w:rPr>
        <w:t>the CMV or U6 promoters, we believe that it is ideal for the study of cytoplasmic vector systems</w:t>
      </w:r>
      <w:r w:rsidR="00C036B0">
        <w:rPr>
          <w:sz w:val="24"/>
          <w:szCs w:val="24"/>
        </w:rPr>
        <w:fldChar w:fldCharType="begin" w:fldLock="1"/>
      </w:r>
      <w:r w:rsidR="00ED3FC2">
        <w:rPr>
          <w:sz w:val="24"/>
          <w:szCs w:val="24"/>
        </w:rPr>
        <w:instrText>ADDIN CSL_CITATION {"citationItems":[{"id":"ITEM-1","itemData":{"DOI":"10.1038/mt.2016.143","ISSN":"1525-0016","author":[{"dropping-particle":"","family":"Schott","given":"Juliane W","non-dropping-particle":"","parse-names":false,"suffix":""},{"dropping-particle":"","family":"Morgan","given":"Michael","non-dropping-particle":"","parse-names":false,"suffix":""},{"dropping-particle":"","family":"Galla","given":"Melanie","non-dropping-particle":"","parse-names":false,"suffix":""},{"dropping-particle":"","family":"Schambach","given":"Axel","non-dropping-particle":"","parse-names":false,"suffix":""}],"container-title":"Molecular Therapy","id":"ITEM-1","issued":{"date-parts":[["2016","7","5"]]},"publisher":"Nature Publishing Group","title":"Viral and synthetic RNA vector technologies and applications","type":"article-journal"},"uris":["http://www.mendeley.com/documents/?uuid=4d9cbdea-3ad7-360e-9a83-571550f2a321"]}],"mendeley":{"formattedCitation":"&lt;sup&gt;44&lt;/sup&gt;","plainTextFormattedCitation":"44","previouslyFormattedCitation":"&lt;sup&gt;44&lt;/sup&gt;"},"properties":{"noteIndex":0},"schema":"https://github.com/citation-style-language/schema/raw/master/csl-citation.json"}</w:instrText>
      </w:r>
      <w:r w:rsidR="00C036B0">
        <w:rPr>
          <w:sz w:val="24"/>
          <w:szCs w:val="24"/>
        </w:rPr>
        <w:fldChar w:fldCharType="separate"/>
      </w:r>
      <w:r w:rsidR="00C036B0" w:rsidRPr="00C036B0">
        <w:rPr>
          <w:noProof/>
          <w:sz w:val="24"/>
          <w:szCs w:val="24"/>
          <w:vertAlign w:val="superscript"/>
        </w:rPr>
        <w:t>44</w:t>
      </w:r>
      <w:r w:rsidR="00C036B0">
        <w:rPr>
          <w:sz w:val="24"/>
          <w:szCs w:val="24"/>
        </w:rPr>
        <w:fldChar w:fldCharType="end"/>
      </w:r>
      <w:r w:rsidR="00776F31">
        <w:rPr>
          <w:sz w:val="24"/>
          <w:szCs w:val="24"/>
        </w:rPr>
        <w:t>.</w:t>
      </w:r>
    </w:p>
    <w:p w14:paraId="3FB23103" w14:textId="4906F611" w:rsidR="00646B0B" w:rsidRDefault="00646B0B" w:rsidP="00646B0B">
      <w:pPr>
        <w:spacing w:line="480" w:lineRule="auto"/>
        <w:rPr>
          <w:sz w:val="24"/>
          <w:szCs w:val="24"/>
        </w:rPr>
      </w:pPr>
      <w:bookmarkStart w:id="3" w:name="_1fob9te" w:colFirst="0" w:colLast="0"/>
      <w:bookmarkEnd w:id="3"/>
      <w:r w:rsidRPr="004D16DF">
        <w:rPr>
          <w:sz w:val="24"/>
          <w:szCs w:val="24"/>
        </w:rPr>
        <w:t>In summary, our results establish an initial proof-of concept study for the utility of a mammalian CFPS in prototyping commonly used regulatory elements. Our method shows that systematic measurements and replicate analyses are required to ensure accurate interpretations in a high-throughput context and that prototyping in HeLa extracts can be relevant to activity in transfected mammalian cell lines. Furthermore, our methods can be expanded to test large combinatorial libraries and prototype different regulatory modules before use in mammalian cell lines.  We can also obtain simultaneous measurements of transcription and translation from the same plasmid design which allows the opportunity for detailed mathematical modelling</w:t>
      </w:r>
      <w:r w:rsidR="00AA51AD" w:rsidRPr="0019690F">
        <w:rPr>
          <w:sz w:val="24"/>
          <w:szCs w:val="24"/>
        </w:rPr>
        <w:fldChar w:fldCharType="begin" w:fldLock="1"/>
      </w:r>
      <w:r w:rsidR="00ED3FC2">
        <w:rPr>
          <w:sz w:val="24"/>
          <w:szCs w:val="24"/>
        </w:rPr>
        <w:instrText>ADDIN CSL_CITATION {"citationItems":[{"id":"ITEM-1","itemData":{"DOI":"10.1073/pnas.1715806115","ISSN":"1091-6490","PMID":"29666238","abstract":"Native cell-free transcription-translation systems offer a rapid route to characterize the regulatory elements (promoters, transcription factors) for gene expression from nonmodel microbial hosts, which can be difficult to assess through traditional in vivo approaches. One such host, Bacillus megaterium, is a giant Gram-positive bacterium with potential biotechnology applications, although many of its regulatory elements remain uncharacterized. Here, we have developed a rapid automated platform for measuring and modeling in vitro cell-free reactions and have applied this to B. megaterium to quantify a range of ribosome binding site variants and previously uncharacterized endogenous constitutive and inducible promoters. To provide quantitative models for cell-free systems, we have also applied a Bayesian approach to infer ordinary differential equation model parameters by simultaneously using time-course data from multiple experimental conditions. Using this modeling framework, we were able to infer previously unknown transcription factor binding affinities and quantify the sharing of cell-free transcription-translation resources (energy, ribosomes, RNA polymerases, nucleotides, and amino acids) using a promoter competition experiment. This allows insights into resource limiting-factors in batch cell-free synthesis mode. Our combined automated and modeling platform allows for the rapid acquisition and model-based analysis of cell-free transcription-translation data from uncharacterized microbial cell hosts, as well as resource competition within cell-free systems, which potentially can be applied to a range of cell-free synthetic biology and biotechnology applications.","author":[{"dropping-particle":"","family":"Moore","given":"Simon J","non-dropping-particle":"","parse-names":false,"suffix":""},{"dropping-particle":"","family":"MacDonald","given":"James T","non-dropping-particle":"","parse-names":false,"suffix":""},{"dropping-particle":"","family":"Wienecke","given":"Sarah","non-dropping-particle":"","parse-names":false,"suffix":""},{"dropping-particle":"","family":"Ishwarbhai","given":"Alka","non-dropping-particle":"","parse-names":false,"suffix":""},{"dropping-particle":"","family":"Tsipa","given":"Argyro","non-dropping-particle":"","parse-names":false,"suffix":""},{"dropping-particle":"","family":"Aw","given":"Rochelle","non-dropping-particle":"","parse-names":false,"suffix":""},{"dropping-particle":"","family":"Kylilis","given":"Nicolas","non-dropping-particle":"","parse-names":false,"suffix":""},{"dropping-particle":"","family":"Bell","given":"David J","non-dropping-particle":"","parse-names":false,"suffix":""},{"dropping-particle":"","family":"McClymont","given":"David W","non-dropping-particle":"","parse-names":false,"suffix":""},{"dropping-particle":"","family":"Jensen","given":"Kirsten","non-dropping-particle":"","parse-names":false,"suffix":""},{"dropping-particle":"","family":"Polizzi","given":"Karen M","non-dropping-particle":"","parse-names":false,"suffix":""},{"dropping-particle":"","family":"Biedendieck","given":"Rebekka","non-dropping-particle":"","parse-names":false,"suffix":""},{"dropping-particle":"","family":"Freemont","given":"Paul S","non-dropping-particle":"","parse-names":false,"suffix":""}],"container-title":"Proceedings of the National Academy of Sciences of the United States of America","id":"ITEM-1","issue":"19","issued":{"date-parts":[["2018","5","8"]]},"page":"E4340-E4349","publisher":"National Academy of Sciences","title":"Rapid acquisition and model-based analysis of cell-free transcription-translation reactions from nonmodel bacteria.","type":"article-journal","volume":"115"},"uris":["http://www.mendeley.com/documents/?uuid=cc5b94d2-d68a-363c-9d6c-1616485a1c5e"]},{"id":"ITEM-2","itemData":{"DOI":"10.7554/eLife.09771","ISSN":"2050-084X","abstract":"While complex dynamic biological networks control gene expression in all living organisms, the forward engineering of comparable synthetic networks remains challenging. The current paradigm of characterizing synthetic networks in cells results in lengthy design-build-test cycles, minimal data collection, and poor quantitative characterization. Cell-free systems are appealing alternative environments, but it remains questionable whether biological networks behave similarly in cell-free systems and in cells. We characterized in a cell-free system the ‘repressilator’, a three-node synthetic oscillator. We then engineered novel three, four, and five-gene ring architectures, from characterization of circuit components to rapid analysis of complete networks. When implemented in cells, our novel 3-node networks produced population-wide oscillations and 95% of 5-node oscillator cells oscillated for up to 72 hr. Oscillation periods in cells matched the cell-free system results for all networks tested. An alternate forward engineering paradigm using cell-free systems can thus accurately capture cellular behavior.","author":[{"dropping-particle":"","family":"Niederholtmeyer","given":"Henrike","non-dropping-particle":"","parse-names":false,"suffix":""},{"dropping-particle":"","family":"Sun","given":"Zachary Z","non-dropping-particle":"","parse-names":false,"suffix":""},{"dropping-particle":"","family":"Hori","given":"Yutaka","non-dropping-particle":"","parse-names":false,"suffix":""},{"dropping-particle":"","family":"Yeung","given":"Enoch","non-dropping-particle":"","parse-names":false,"suffix":""},{"dropping-particle":"","family":"Verpoorte","given":"Amanda","non-dropping-particle":"","parse-names":false,"suffix":""},{"dropping-particle":"","family":"Murray","given":"Richard M","non-dropping-particle":"","parse-names":false,"suffix":""},{"dropping-particle":"","family":"Maerkl","given":"Sebastian J","non-dropping-particle":"","parse-names":false,"suffix":""},{"dropping-particle":"","family":"Fe","given":"Polytechnique","non-dropping-particle":"","parse-names":false,"suffix":""}],"container-title":"eLife","id":"ITEM-2","issued":{"date-parts":[["2015","10","5"]]},"publisher":"eLife Sciences Publications Limited","title":"Rapid cell-free forward engineering of novel genetic ring oscillators","type":"article-journal","volume":"4"},"uris":["http://www.mendeley.com/documents/?uuid=5b639f79-f111-4319-9d33-6ee5aa379904"]},{"id":"ITEM-3","itemData":{"DOI":"10.1021/acssynbio.7b00440","ISSN":"2161-5063","abstract":"RNA regulators are powerful components of the synthetic biology toolbox. Here, we expand the repertoire of synthetic gene networks built from these regulators by constructing a transcriptional negative autoregulation (NAR) network out of small RNAs (sRNAs). NAR network motifs are core motifs of natural genetic networks, and are known for reducing network response time and steady state signal. Here we use cell-free transcription–translation (TX-TL) reactions and a computational model to design and prototype sRNA NAR constructs. Using parameter sensitivity analysis, we design a simple set of experiments that allow us to accurately predict NAR function in TX-TL. We transfer successful network designs into Escherichia coli and show that our sRNA transcriptional network reduces both network response time and steady-state gene expression. This work broadens our ability to construct increasingly sophisticated RNA genetic networks with predictable function.","author":[{"dropping-particle":"","family":"Hu","given":"Chelsea Y.","non-dropping-particle":"","parse-names":false,"suffix":""},{"dropping-particle":"","family":"Takahashi","given":"Melissa K.","non-dropping-particle":"","parse-names":false,"suffix":""},{"dropping-particle":"","family":"Zhang","given":"Yan","non-dropping-particle":"","parse-names":false,"suffix":""},{"dropping-particle":"","family":"Lucks","given":"Julius B.","non-dropping-particle":"","parse-names":false,"suffix":""}],"container-title":"ACS Synthetic Biology","id":"ITEM-3","issued":{"date-parts":[["2018","5","22"]]},"page":"acssynbio.7b00440","publisher":"American Chemical Society","title":"Engineering a functional small RNA negative autoregulation network with model-guided design","type":"article-journal"},"uris":["http://www.mendeley.com/documents/?uuid=72ac1447-79d9-3a5f-98c0-30de950428a9"]}],"mendeley":{"formattedCitation":"&lt;sup&gt;15,17,45&lt;/sup&gt;","plainTextFormattedCitation":"15,17,45","previouslyFormattedCitation":"&lt;sup&gt;15,17,45&lt;/sup&gt;"},"properties":{"noteIndex":0},"schema":"https://github.com/citation-style-language/schema/raw/master/csl-citation.json"}</w:instrText>
      </w:r>
      <w:r w:rsidR="00AA51AD" w:rsidRPr="0019690F">
        <w:rPr>
          <w:sz w:val="24"/>
          <w:szCs w:val="24"/>
        </w:rPr>
        <w:fldChar w:fldCharType="separate"/>
      </w:r>
      <w:r w:rsidR="00C036B0" w:rsidRPr="00C036B0">
        <w:rPr>
          <w:noProof/>
          <w:sz w:val="24"/>
          <w:szCs w:val="24"/>
          <w:vertAlign w:val="superscript"/>
        </w:rPr>
        <w:t>15,17,45</w:t>
      </w:r>
      <w:r w:rsidR="00AA51AD" w:rsidRPr="0019690F">
        <w:rPr>
          <w:sz w:val="24"/>
          <w:szCs w:val="24"/>
        </w:rPr>
        <w:fldChar w:fldCharType="end"/>
      </w:r>
      <w:r w:rsidR="00AA51AD">
        <w:rPr>
          <w:sz w:val="24"/>
          <w:szCs w:val="24"/>
        </w:rPr>
        <w:t xml:space="preserve">. </w:t>
      </w:r>
      <w:r w:rsidRPr="004D16DF">
        <w:rPr>
          <w:sz w:val="24"/>
          <w:szCs w:val="24"/>
        </w:rPr>
        <w:t>We believe that a mammalian high-throughput prototyping platform using CFPS will facilitate a wider range of mammalian synthetic biology tools and applications to be developed and tested.</w:t>
      </w:r>
    </w:p>
    <w:p w14:paraId="320F192E" w14:textId="77777777" w:rsidR="00646B0B" w:rsidRPr="00646B0B" w:rsidRDefault="00646B0B" w:rsidP="00646B0B">
      <w:pPr>
        <w:spacing w:line="480" w:lineRule="auto"/>
        <w:rPr>
          <w:b/>
          <w:sz w:val="24"/>
          <w:szCs w:val="24"/>
        </w:rPr>
      </w:pPr>
      <w:r w:rsidRPr="00646B0B">
        <w:rPr>
          <w:b/>
          <w:sz w:val="24"/>
          <w:szCs w:val="24"/>
        </w:rPr>
        <w:lastRenderedPageBreak/>
        <w:t>Materials and Methods</w:t>
      </w:r>
    </w:p>
    <w:p w14:paraId="0845D26E" w14:textId="77777777" w:rsidR="00646B0B" w:rsidRPr="00646B0B" w:rsidRDefault="00646B0B" w:rsidP="00646B0B">
      <w:pPr>
        <w:spacing w:line="480" w:lineRule="auto"/>
        <w:rPr>
          <w:b/>
          <w:sz w:val="24"/>
          <w:szCs w:val="24"/>
        </w:rPr>
      </w:pPr>
      <w:r w:rsidRPr="00646B0B">
        <w:rPr>
          <w:b/>
          <w:sz w:val="24"/>
          <w:szCs w:val="24"/>
        </w:rPr>
        <w:t>Cloning of PT7-IRES-turboGFP constructs</w:t>
      </w:r>
    </w:p>
    <w:p w14:paraId="79A67BD5" w14:textId="77777777" w:rsidR="00646B0B" w:rsidRDefault="00646B0B" w:rsidP="00646B0B">
      <w:pPr>
        <w:spacing w:line="480" w:lineRule="auto"/>
        <w:rPr>
          <w:sz w:val="24"/>
          <w:szCs w:val="24"/>
        </w:rPr>
      </w:pPr>
      <w:r w:rsidRPr="00646B0B">
        <w:rPr>
          <w:sz w:val="24"/>
          <w:szCs w:val="24"/>
        </w:rPr>
        <w:t>Site-directed mutagenesis via PCR was used to generate the T7 promoter and EMCV IRE</w:t>
      </w:r>
      <w:r w:rsidR="000A1EBE">
        <w:rPr>
          <w:sz w:val="24"/>
          <w:szCs w:val="24"/>
        </w:rPr>
        <w:t>S mutants (Supplementary Table 5</w:t>
      </w:r>
      <w:r w:rsidRPr="00646B0B">
        <w:rPr>
          <w:sz w:val="24"/>
          <w:szCs w:val="24"/>
        </w:rPr>
        <w:t xml:space="preserve">) and the </w:t>
      </w:r>
      <w:proofErr w:type="spellStart"/>
      <w:r w:rsidRPr="00646B0B">
        <w:rPr>
          <w:sz w:val="24"/>
          <w:szCs w:val="24"/>
        </w:rPr>
        <w:t>Kt</w:t>
      </w:r>
      <w:proofErr w:type="spellEnd"/>
      <w:r w:rsidRPr="00646B0B">
        <w:rPr>
          <w:sz w:val="24"/>
          <w:szCs w:val="24"/>
        </w:rPr>
        <w:t xml:space="preserve"> aptamer construct (Figure 6A) using the </w:t>
      </w:r>
      <w:proofErr w:type="spellStart"/>
      <w:r w:rsidRPr="00646B0B">
        <w:rPr>
          <w:sz w:val="24"/>
          <w:szCs w:val="24"/>
        </w:rPr>
        <w:t>pCFE</w:t>
      </w:r>
      <w:proofErr w:type="spellEnd"/>
      <w:r w:rsidRPr="00646B0B">
        <w:rPr>
          <w:sz w:val="24"/>
          <w:szCs w:val="24"/>
        </w:rPr>
        <w:t xml:space="preserve">-GFP control plasmid provided by Thermo Fisher Scientific as a template. The </w:t>
      </w:r>
      <w:proofErr w:type="spellStart"/>
      <w:r w:rsidRPr="00646B0B">
        <w:rPr>
          <w:sz w:val="24"/>
          <w:szCs w:val="24"/>
        </w:rPr>
        <w:t>pCFE</w:t>
      </w:r>
      <w:proofErr w:type="spellEnd"/>
      <w:r w:rsidRPr="00646B0B">
        <w:rPr>
          <w:sz w:val="24"/>
          <w:szCs w:val="24"/>
        </w:rPr>
        <w:t xml:space="preserve">-GFP control plasmid contains a T7 promoter for transcription labelled the T7-P variant (for positive control), Encephalomyocarditis virus (EMCV) IRES element version labelled IRES-P (for positive control) for translation initiation and the </w:t>
      </w:r>
      <w:proofErr w:type="spellStart"/>
      <w:r w:rsidRPr="00646B0B">
        <w:rPr>
          <w:sz w:val="24"/>
          <w:szCs w:val="24"/>
        </w:rPr>
        <w:t>TurboGFP</w:t>
      </w:r>
      <w:proofErr w:type="spellEnd"/>
      <w:r w:rsidRPr="00646B0B">
        <w:rPr>
          <w:sz w:val="24"/>
          <w:szCs w:val="24"/>
        </w:rPr>
        <w:t xml:space="preserve"> variant of GFP. In the mutants generated, only either the promoter or the IRES variant was changed.</w:t>
      </w:r>
    </w:p>
    <w:p w14:paraId="02E98B3A" w14:textId="77777777" w:rsidR="00646B0B" w:rsidRPr="00646B0B" w:rsidRDefault="00646B0B" w:rsidP="00646B0B">
      <w:pPr>
        <w:spacing w:line="480" w:lineRule="auto"/>
        <w:rPr>
          <w:b/>
          <w:sz w:val="24"/>
          <w:szCs w:val="24"/>
        </w:rPr>
      </w:pPr>
      <w:r w:rsidRPr="00646B0B">
        <w:rPr>
          <w:b/>
          <w:sz w:val="24"/>
          <w:szCs w:val="24"/>
        </w:rPr>
        <w:t>Cloning of dCas9 promoters containing dCas9 binding sites</w:t>
      </w:r>
    </w:p>
    <w:p w14:paraId="548ED276" w14:textId="77777777" w:rsidR="00646B0B" w:rsidRDefault="00646B0B" w:rsidP="00646B0B">
      <w:pPr>
        <w:spacing w:line="480" w:lineRule="auto"/>
        <w:rPr>
          <w:sz w:val="24"/>
          <w:szCs w:val="24"/>
        </w:rPr>
      </w:pPr>
      <w:r w:rsidRPr="00646B0B">
        <w:rPr>
          <w:sz w:val="24"/>
          <w:szCs w:val="24"/>
        </w:rPr>
        <w:t>A total of four oligos including two dCas9 binding sites and the T7-WT promoter were designed for each promoter construct (Table 1). Oligos were annealed by heating to 80°C for 10 minutes, cooled to room temperature slowly over three hours by turning off the heat block. The annealed oligos were phosphorylated and ligated into the previously digested (</w:t>
      </w:r>
      <w:proofErr w:type="spellStart"/>
      <w:r w:rsidRPr="00646B0B">
        <w:rPr>
          <w:i/>
          <w:sz w:val="24"/>
          <w:szCs w:val="24"/>
        </w:rPr>
        <w:t>SacI</w:t>
      </w:r>
      <w:proofErr w:type="spellEnd"/>
      <w:r w:rsidRPr="00646B0B">
        <w:rPr>
          <w:sz w:val="24"/>
          <w:szCs w:val="24"/>
        </w:rPr>
        <w:t xml:space="preserve"> and </w:t>
      </w:r>
      <w:proofErr w:type="spellStart"/>
      <w:r w:rsidRPr="00646B0B">
        <w:rPr>
          <w:i/>
          <w:sz w:val="24"/>
          <w:szCs w:val="24"/>
        </w:rPr>
        <w:t>BamHI</w:t>
      </w:r>
      <w:proofErr w:type="spellEnd"/>
      <w:r w:rsidRPr="00646B0B">
        <w:rPr>
          <w:sz w:val="24"/>
          <w:szCs w:val="24"/>
        </w:rPr>
        <w:t xml:space="preserve">) and dephosphorylated </w:t>
      </w:r>
      <w:proofErr w:type="spellStart"/>
      <w:r w:rsidRPr="00646B0B">
        <w:rPr>
          <w:sz w:val="24"/>
          <w:szCs w:val="24"/>
        </w:rPr>
        <w:t>pCFE</w:t>
      </w:r>
      <w:proofErr w:type="spellEnd"/>
      <w:r w:rsidRPr="00646B0B">
        <w:rPr>
          <w:sz w:val="24"/>
          <w:szCs w:val="24"/>
        </w:rPr>
        <w:t>-GFP backbone.</w:t>
      </w:r>
    </w:p>
    <w:p w14:paraId="062CE106" w14:textId="77777777" w:rsidR="00FE6AC8" w:rsidRPr="00C33F24" w:rsidRDefault="00FE6AC8" w:rsidP="00FE6AC8">
      <w:pPr>
        <w:pStyle w:val="Caption"/>
        <w:keepNext/>
        <w:rPr>
          <w:i w:val="0"/>
          <w:color w:val="auto"/>
          <w:sz w:val="24"/>
          <w:szCs w:val="24"/>
        </w:rPr>
      </w:pPr>
      <w:r w:rsidRPr="00C33F24">
        <w:rPr>
          <w:b/>
          <w:i w:val="0"/>
          <w:color w:val="auto"/>
          <w:sz w:val="24"/>
          <w:szCs w:val="24"/>
        </w:rPr>
        <w:t xml:space="preserve">Table </w:t>
      </w:r>
      <w:r>
        <w:rPr>
          <w:b/>
          <w:i w:val="0"/>
          <w:color w:val="auto"/>
          <w:sz w:val="24"/>
          <w:szCs w:val="24"/>
        </w:rPr>
        <w:t>1</w:t>
      </w:r>
      <w:r w:rsidR="009B7609">
        <w:rPr>
          <w:b/>
          <w:i w:val="0"/>
          <w:color w:val="auto"/>
          <w:sz w:val="24"/>
          <w:szCs w:val="24"/>
        </w:rPr>
        <w:t xml:space="preserve">  </w:t>
      </w:r>
      <w:r w:rsidRPr="00C33F24">
        <w:rPr>
          <w:b/>
          <w:i w:val="0"/>
          <w:color w:val="auto"/>
          <w:sz w:val="24"/>
          <w:szCs w:val="24"/>
        </w:rPr>
        <w:t>Oligonucleotides used for the dCas9 promoter constructs.</w:t>
      </w:r>
      <w:r w:rsidRPr="00C33F24">
        <w:rPr>
          <w:i w:val="0"/>
          <w:color w:val="auto"/>
          <w:sz w:val="24"/>
          <w:szCs w:val="24"/>
        </w:rPr>
        <w:t xml:space="preserve"> Binding sites are underlined, T7-WT core promoter is bold, and overhangs are plain.</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543"/>
        <w:gridCol w:w="3828"/>
      </w:tblGrid>
      <w:tr w:rsidR="00FE6AC8" w14:paraId="43581C33" w14:textId="77777777" w:rsidTr="001C4A53">
        <w:trPr>
          <w:trHeight w:val="380"/>
        </w:trPr>
        <w:tc>
          <w:tcPr>
            <w:tcW w:w="1555" w:type="dxa"/>
            <w:shd w:val="clear" w:color="auto" w:fill="auto"/>
            <w:vAlign w:val="center"/>
          </w:tcPr>
          <w:p w14:paraId="02C159BB" w14:textId="77777777" w:rsidR="00FE6AC8" w:rsidRPr="00FE6AC8" w:rsidRDefault="00FE6AC8" w:rsidP="00AB5BC5">
            <w:pPr>
              <w:spacing w:line="276" w:lineRule="auto"/>
              <w:jc w:val="center"/>
              <w:rPr>
                <w:rFonts w:asciiTheme="minorHAnsi" w:hAnsiTheme="minorHAnsi"/>
                <w:b/>
                <w:sz w:val="24"/>
                <w:szCs w:val="24"/>
              </w:rPr>
            </w:pPr>
            <w:r w:rsidRPr="00FE6AC8">
              <w:rPr>
                <w:rFonts w:asciiTheme="minorHAnsi" w:hAnsiTheme="minorHAnsi"/>
                <w:b/>
                <w:sz w:val="24"/>
                <w:szCs w:val="24"/>
              </w:rPr>
              <w:t>Variant</w:t>
            </w:r>
          </w:p>
        </w:tc>
        <w:tc>
          <w:tcPr>
            <w:tcW w:w="3543" w:type="dxa"/>
            <w:shd w:val="clear" w:color="auto" w:fill="auto"/>
            <w:vAlign w:val="center"/>
          </w:tcPr>
          <w:p w14:paraId="4E9C1766" w14:textId="77777777" w:rsidR="00FE6AC8" w:rsidRPr="00FE6AC8" w:rsidRDefault="00FE6AC8" w:rsidP="00AB5BC5">
            <w:pPr>
              <w:spacing w:line="276" w:lineRule="auto"/>
              <w:jc w:val="center"/>
              <w:rPr>
                <w:rFonts w:asciiTheme="minorHAnsi" w:hAnsiTheme="minorHAnsi"/>
                <w:b/>
                <w:sz w:val="24"/>
                <w:szCs w:val="24"/>
              </w:rPr>
            </w:pPr>
            <w:r w:rsidRPr="00FE6AC8">
              <w:rPr>
                <w:rFonts w:asciiTheme="minorHAnsi" w:hAnsiTheme="minorHAnsi"/>
                <w:b/>
                <w:sz w:val="24"/>
                <w:szCs w:val="24"/>
              </w:rPr>
              <w:t>Forward Oligos</w:t>
            </w:r>
          </w:p>
        </w:tc>
        <w:tc>
          <w:tcPr>
            <w:tcW w:w="3828" w:type="dxa"/>
            <w:shd w:val="clear" w:color="auto" w:fill="auto"/>
            <w:vAlign w:val="center"/>
          </w:tcPr>
          <w:p w14:paraId="553A944C" w14:textId="77777777" w:rsidR="00FE6AC8" w:rsidRPr="00FE6AC8" w:rsidRDefault="00FE6AC8" w:rsidP="00AB5BC5">
            <w:pPr>
              <w:spacing w:line="276" w:lineRule="auto"/>
              <w:jc w:val="center"/>
              <w:rPr>
                <w:rFonts w:asciiTheme="minorHAnsi" w:hAnsiTheme="minorHAnsi"/>
                <w:b/>
                <w:sz w:val="24"/>
                <w:szCs w:val="24"/>
              </w:rPr>
            </w:pPr>
            <w:r w:rsidRPr="00FE6AC8">
              <w:rPr>
                <w:rFonts w:asciiTheme="minorHAnsi" w:hAnsiTheme="minorHAnsi"/>
                <w:b/>
                <w:sz w:val="24"/>
                <w:szCs w:val="24"/>
              </w:rPr>
              <w:t>Reverse Oligos</w:t>
            </w:r>
          </w:p>
        </w:tc>
      </w:tr>
      <w:tr w:rsidR="00FE6AC8" w14:paraId="71EF1950" w14:textId="77777777" w:rsidTr="001C4A53">
        <w:trPr>
          <w:trHeight w:val="892"/>
        </w:trPr>
        <w:tc>
          <w:tcPr>
            <w:tcW w:w="1555" w:type="dxa"/>
            <w:vMerge w:val="restart"/>
            <w:shd w:val="clear" w:color="auto" w:fill="auto"/>
            <w:vAlign w:val="center"/>
          </w:tcPr>
          <w:p w14:paraId="263E9C48" w14:textId="77777777" w:rsidR="00FE6AC8" w:rsidRPr="00FE6AC8" w:rsidRDefault="00FE6AC8" w:rsidP="00AB5BC5">
            <w:pPr>
              <w:spacing w:line="276" w:lineRule="auto"/>
              <w:jc w:val="center"/>
              <w:rPr>
                <w:rFonts w:asciiTheme="minorHAnsi" w:hAnsiTheme="minorHAnsi"/>
                <w:b/>
                <w:sz w:val="24"/>
                <w:szCs w:val="24"/>
              </w:rPr>
            </w:pPr>
            <w:r w:rsidRPr="00FE6AC8">
              <w:rPr>
                <w:rFonts w:asciiTheme="minorHAnsi" w:hAnsiTheme="minorHAnsi"/>
                <w:b/>
                <w:sz w:val="24"/>
                <w:szCs w:val="24"/>
              </w:rPr>
              <w:t>Cas9 target A</w:t>
            </w:r>
          </w:p>
        </w:tc>
        <w:tc>
          <w:tcPr>
            <w:tcW w:w="3543" w:type="dxa"/>
            <w:shd w:val="clear" w:color="auto" w:fill="auto"/>
            <w:vAlign w:val="center"/>
          </w:tcPr>
          <w:p w14:paraId="4AFE4222" w14:textId="77777777" w:rsidR="00FE6AC8" w:rsidRPr="00AB5BC5" w:rsidRDefault="00FE6AC8" w:rsidP="00AB5BC5">
            <w:pPr>
              <w:spacing w:line="276" w:lineRule="auto"/>
              <w:jc w:val="center"/>
              <w:rPr>
                <w:rFonts w:asciiTheme="minorHAnsi" w:hAnsiTheme="minorHAnsi"/>
              </w:rPr>
            </w:pPr>
            <w:r w:rsidRPr="00AB5BC5">
              <w:rPr>
                <w:rFonts w:asciiTheme="minorHAnsi" w:hAnsiTheme="minorHAnsi"/>
              </w:rPr>
              <w:t>CCCA</w:t>
            </w:r>
            <w:r w:rsidRPr="00AB5BC5">
              <w:rPr>
                <w:rFonts w:asciiTheme="minorHAnsi" w:hAnsiTheme="minorHAnsi"/>
                <w:u w:val="single"/>
              </w:rPr>
              <w:t>GCTCGTAGGTGAAGCCGACG</w:t>
            </w:r>
            <w:r w:rsidRPr="00AB5BC5">
              <w:rPr>
                <w:rFonts w:asciiTheme="minorHAnsi" w:hAnsiTheme="minorHAnsi"/>
                <w:b/>
              </w:rPr>
              <w:t>TAATACGACTCACTATAG</w:t>
            </w:r>
          </w:p>
        </w:tc>
        <w:tc>
          <w:tcPr>
            <w:tcW w:w="3828" w:type="dxa"/>
            <w:shd w:val="clear" w:color="auto" w:fill="auto"/>
            <w:vAlign w:val="center"/>
          </w:tcPr>
          <w:p w14:paraId="173BF33D" w14:textId="77777777" w:rsidR="00FE6AC8" w:rsidRPr="00AB5BC5" w:rsidRDefault="00FE6AC8" w:rsidP="00AB5BC5">
            <w:pPr>
              <w:spacing w:line="276" w:lineRule="auto"/>
              <w:jc w:val="center"/>
              <w:rPr>
                <w:rFonts w:asciiTheme="minorHAnsi" w:hAnsiTheme="minorHAnsi"/>
              </w:rPr>
            </w:pPr>
            <w:r w:rsidRPr="00AB5BC5">
              <w:rPr>
                <w:rFonts w:asciiTheme="minorHAnsi" w:hAnsiTheme="minorHAnsi"/>
                <w:b/>
              </w:rPr>
              <w:t>GTATTA</w:t>
            </w:r>
            <w:r w:rsidRPr="00AB5BC5">
              <w:rPr>
                <w:rFonts w:asciiTheme="minorHAnsi" w:hAnsiTheme="minorHAnsi"/>
                <w:u w:val="single"/>
              </w:rPr>
              <w:t>CGTCGGCTTCACCTACGAGC</w:t>
            </w:r>
            <w:r w:rsidRPr="00AB5BC5">
              <w:rPr>
                <w:rFonts w:asciiTheme="minorHAnsi" w:hAnsiTheme="minorHAnsi"/>
              </w:rPr>
              <w:t>TGGGAGCT</w:t>
            </w:r>
          </w:p>
        </w:tc>
      </w:tr>
      <w:tr w:rsidR="00FE6AC8" w14:paraId="5F6D7555" w14:textId="77777777" w:rsidTr="001C4A53">
        <w:tc>
          <w:tcPr>
            <w:tcW w:w="1555" w:type="dxa"/>
            <w:vMerge/>
            <w:vAlign w:val="center"/>
          </w:tcPr>
          <w:p w14:paraId="7CAB0E11" w14:textId="77777777" w:rsidR="00FE6AC8" w:rsidRPr="00FE6AC8" w:rsidRDefault="00FE6AC8" w:rsidP="00AB5BC5">
            <w:pPr>
              <w:widowControl w:val="0"/>
              <w:pBdr>
                <w:top w:val="nil"/>
                <w:left w:val="nil"/>
                <w:bottom w:val="nil"/>
                <w:right w:val="nil"/>
                <w:between w:val="nil"/>
              </w:pBdr>
              <w:spacing w:line="276" w:lineRule="auto"/>
              <w:jc w:val="center"/>
              <w:rPr>
                <w:rFonts w:asciiTheme="minorHAnsi" w:hAnsiTheme="minorHAnsi"/>
                <w:b/>
                <w:sz w:val="24"/>
                <w:szCs w:val="24"/>
              </w:rPr>
            </w:pPr>
          </w:p>
        </w:tc>
        <w:tc>
          <w:tcPr>
            <w:tcW w:w="3543" w:type="dxa"/>
            <w:vAlign w:val="center"/>
          </w:tcPr>
          <w:p w14:paraId="494793B1" w14:textId="77777777" w:rsidR="00FE6AC8" w:rsidRPr="00AB5BC5" w:rsidRDefault="00FE6AC8" w:rsidP="00AB5BC5">
            <w:pPr>
              <w:spacing w:line="276" w:lineRule="auto"/>
              <w:jc w:val="center"/>
              <w:rPr>
                <w:rFonts w:asciiTheme="minorHAnsi" w:hAnsiTheme="minorHAnsi"/>
              </w:rPr>
            </w:pPr>
            <w:r w:rsidRPr="00AB5BC5">
              <w:rPr>
                <w:rFonts w:asciiTheme="minorHAnsi" w:hAnsiTheme="minorHAnsi"/>
              </w:rPr>
              <w:t>GGAGA</w:t>
            </w:r>
            <w:r w:rsidRPr="00AB5BC5">
              <w:rPr>
                <w:rFonts w:asciiTheme="minorHAnsi" w:hAnsiTheme="minorHAnsi"/>
                <w:u w:val="single"/>
              </w:rPr>
              <w:t>CGTCGGCTTCACCTACGAGC</w:t>
            </w:r>
            <w:r w:rsidRPr="00AB5BC5">
              <w:rPr>
                <w:rFonts w:asciiTheme="minorHAnsi" w:hAnsiTheme="minorHAnsi"/>
                <w:b/>
              </w:rPr>
              <w:t>TGGG</w:t>
            </w:r>
          </w:p>
        </w:tc>
        <w:tc>
          <w:tcPr>
            <w:tcW w:w="3828" w:type="dxa"/>
            <w:vAlign w:val="center"/>
          </w:tcPr>
          <w:p w14:paraId="59F9CE55" w14:textId="77777777" w:rsidR="00FE6AC8" w:rsidRPr="00AB5BC5" w:rsidRDefault="00FE6AC8" w:rsidP="00AB5BC5">
            <w:pPr>
              <w:spacing w:line="276" w:lineRule="auto"/>
              <w:jc w:val="center"/>
              <w:rPr>
                <w:rFonts w:asciiTheme="minorHAnsi" w:hAnsiTheme="minorHAnsi"/>
              </w:rPr>
            </w:pPr>
            <w:r w:rsidRPr="00AB5BC5">
              <w:rPr>
                <w:rFonts w:asciiTheme="minorHAnsi" w:hAnsiTheme="minorHAnsi"/>
              </w:rPr>
              <w:t>GATCCCCA</w:t>
            </w:r>
            <w:r w:rsidRPr="00AB5BC5">
              <w:rPr>
                <w:rFonts w:asciiTheme="minorHAnsi" w:hAnsiTheme="minorHAnsi"/>
                <w:u w:val="single"/>
              </w:rPr>
              <w:t>GCTCGTAGGTGAAGCCGACG</w:t>
            </w:r>
            <w:r w:rsidRPr="00AB5BC5">
              <w:rPr>
                <w:rFonts w:asciiTheme="minorHAnsi" w:hAnsiTheme="minorHAnsi"/>
                <w:b/>
              </w:rPr>
              <w:t>TCTCCCTATAGTGAGTC</w:t>
            </w:r>
          </w:p>
        </w:tc>
      </w:tr>
      <w:tr w:rsidR="00FE6AC8" w14:paraId="3CA8D85A" w14:textId="77777777" w:rsidTr="001C4A53">
        <w:tc>
          <w:tcPr>
            <w:tcW w:w="1555" w:type="dxa"/>
            <w:vMerge w:val="restart"/>
            <w:vAlign w:val="center"/>
          </w:tcPr>
          <w:p w14:paraId="053B31A6" w14:textId="77777777" w:rsidR="00FE6AC8" w:rsidRPr="00FE6AC8" w:rsidRDefault="00FE6AC8" w:rsidP="00AB5BC5">
            <w:pPr>
              <w:spacing w:line="276" w:lineRule="auto"/>
              <w:jc w:val="center"/>
              <w:rPr>
                <w:rFonts w:asciiTheme="minorHAnsi" w:hAnsiTheme="minorHAnsi"/>
                <w:b/>
                <w:sz w:val="24"/>
                <w:szCs w:val="24"/>
              </w:rPr>
            </w:pPr>
            <w:r w:rsidRPr="00FE6AC8">
              <w:rPr>
                <w:rFonts w:asciiTheme="minorHAnsi" w:hAnsiTheme="minorHAnsi"/>
                <w:b/>
                <w:sz w:val="24"/>
                <w:szCs w:val="24"/>
              </w:rPr>
              <w:t>Cas9 target B</w:t>
            </w:r>
          </w:p>
        </w:tc>
        <w:tc>
          <w:tcPr>
            <w:tcW w:w="3543" w:type="dxa"/>
            <w:vAlign w:val="center"/>
          </w:tcPr>
          <w:p w14:paraId="4AEC52C5" w14:textId="77777777" w:rsidR="00FE6AC8" w:rsidRPr="00AB5BC5" w:rsidRDefault="00FE6AC8" w:rsidP="00AB5BC5">
            <w:pPr>
              <w:spacing w:line="276" w:lineRule="auto"/>
              <w:jc w:val="center"/>
              <w:rPr>
                <w:rFonts w:asciiTheme="minorHAnsi" w:hAnsiTheme="minorHAnsi"/>
              </w:rPr>
            </w:pPr>
            <w:r w:rsidRPr="00AB5BC5">
              <w:rPr>
                <w:rFonts w:asciiTheme="minorHAnsi" w:hAnsiTheme="minorHAnsi"/>
              </w:rPr>
              <w:t>CCCA</w:t>
            </w:r>
            <w:r w:rsidRPr="00AB5BC5">
              <w:rPr>
                <w:rFonts w:asciiTheme="minorHAnsi" w:hAnsiTheme="minorHAnsi"/>
                <w:u w:val="single"/>
              </w:rPr>
              <w:t>CTTCGCACTCTGACGACGGG</w:t>
            </w:r>
            <w:r w:rsidRPr="00AB5BC5">
              <w:rPr>
                <w:rFonts w:asciiTheme="minorHAnsi" w:hAnsiTheme="minorHAnsi"/>
              </w:rPr>
              <w:t>T</w:t>
            </w:r>
            <w:r w:rsidRPr="00AB5BC5">
              <w:rPr>
                <w:rFonts w:asciiTheme="minorHAnsi" w:hAnsiTheme="minorHAnsi"/>
                <w:b/>
              </w:rPr>
              <w:t>AATACGACTCACTATAG</w:t>
            </w:r>
          </w:p>
        </w:tc>
        <w:tc>
          <w:tcPr>
            <w:tcW w:w="3828" w:type="dxa"/>
            <w:vAlign w:val="center"/>
          </w:tcPr>
          <w:p w14:paraId="67302283" w14:textId="77777777" w:rsidR="00FE6AC8" w:rsidRPr="00AB5BC5" w:rsidRDefault="00FE6AC8" w:rsidP="00AB5BC5">
            <w:pPr>
              <w:spacing w:line="276" w:lineRule="auto"/>
              <w:jc w:val="center"/>
              <w:rPr>
                <w:rFonts w:asciiTheme="minorHAnsi" w:hAnsiTheme="minorHAnsi"/>
              </w:rPr>
            </w:pPr>
            <w:r w:rsidRPr="00AB5BC5">
              <w:rPr>
                <w:rFonts w:asciiTheme="minorHAnsi" w:hAnsiTheme="minorHAnsi"/>
                <w:b/>
              </w:rPr>
              <w:t>GTATTA</w:t>
            </w:r>
            <w:r w:rsidRPr="00AB5BC5">
              <w:rPr>
                <w:rFonts w:asciiTheme="minorHAnsi" w:hAnsiTheme="minorHAnsi"/>
                <w:u w:val="single"/>
              </w:rPr>
              <w:t>CCCGTCGTCAGAGTGCGAAG</w:t>
            </w:r>
            <w:r w:rsidRPr="00AB5BC5">
              <w:rPr>
                <w:rFonts w:asciiTheme="minorHAnsi" w:hAnsiTheme="minorHAnsi"/>
              </w:rPr>
              <w:t>TGGGAGCT</w:t>
            </w:r>
          </w:p>
        </w:tc>
      </w:tr>
      <w:tr w:rsidR="00FE6AC8" w14:paraId="4B4A9EE5" w14:textId="77777777" w:rsidTr="001C4A53">
        <w:tc>
          <w:tcPr>
            <w:tcW w:w="1555" w:type="dxa"/>
            <w:vMerge/>
            <w:vAlign w:val="center"/>
          </w:tcPr>
          <w:p w14:paraId="3480C997" w14:textId="77777777" w:rsidR="00FE6AC8" w:rsidRPr="00FE6AC8" w:rsidRDefault="00FE6AC8" w:rsidP="00AB5BC5">
            <w:pPr>
              <w:widowControl w:val="0"/>
              <w:pBdr>
                <w:top w:val="nil"/>
                <w:left w:val="nil"/>
                <w:bottom w:val="nil"/>
                <w:right w:val="nil"/>
                <w:between w:val="nil"/>
              </w:pBdr>
              <w:spacing w:line="276" w:lineRule="auto"/>
              <w:jc w:val="center"/>
              <w:rPr>
                <w:rFonts w:asciiTheme="minorHAnsi" w:hAnsiTheme="minorHAnsi"/>
                <w:sz w:val="24"/>
                <w:szCs w:val="24"/>
              </w:rPr>
            </w:pPr>
          </w:p>
        </w:tc>
        <w:tc>
          <w:tcPr>
            <w:tcW w:w="3543" w:type="dxa"/>
            <w:vAlign w:val="center"/>
          </w:tcPr>
          <w:p w14:paraId="4BC277FA" w14:textId="77777777" w:rsidR="00FE6AC8" w:rsidRPr="00AB5BC5" w:rsidRDefault="00FE6AC8" w:rsidP="00AB5BC5">
            <w:pPr>
              <w:spacing w:line="276" w:lineRule="auto"/>
              <w:jc w:val="center"/>
              <w:rPr>
                <w:rFonts w:asciiTheme="minorHAnsi" w:hAnsiTheme="minorHAnsi"/>
              </w:rPr>
            </w:pPr>
            <w:r w:rsidRPr="00AB5BC5">
              <w:rPr>
                <w:rFonts w:asciiTheme="minorHAnsi" w:hAnsiTheme="minorHAnsi"/>
                <w:b/>
              </w:rPr>
              <w:t>GGAGA</w:t>
            </w:r>
            <w:r w:rsidRPr="00AB5BC5">
              <w:rPr>
                <w:rFonts w:asciiTheme="minorHAnsi" w:hAnsiTheme="minorHAnsi"/>
                <w:u w:val="single"/>
              </w:rPr>
              <w:t>CCCGTCGTCAGAGTGCGAAG</w:t>
            </w:r>
            <w:r w:rsidRPr="00AB5BC5">
              <w:rPr>
                <w:rFonts w:asciiTheme="minorHAnsi" w:hAnsiTheme="minorHAnsi"/>
              </w:rPr>
              <w:t>TGGG</w:t>
            </w:r>
          </w:p>
        </w:tc>
        <w:tc>
          <w:tcPr>
            <w:tcW w:w="3828" w:type="dxa"/>
            <w:vAlign w:val="center"/>
          </w:tcPr>
          <w:p w14:paraId="7E818EA7" w14:textId="77777777" w:rsidR="00FE6AC8" w:rsidRPr="00AB5BC5" w:rsidRDefault="00FE6AC8" w:rsidP="00AB5BC5">
            <w:pPr>
              <w:spacing w:line="276" w:lineRule="auto"/>
              <w:jc w:val="center"/>
              <w:rPr>
                <w:rFonts w:asciiTheme="minorHAnsi" w:hAnsiTheme="minorHAnsi"/>
              </w:rPr>
            </w:pPr>
            <w:r w:rsidRPr="00AB5BC5">
              <w:rPr>
                <w:rFonts w:asciiTheme="minorHAnsi" w:hAnsiTheme="minorHAnsi"/>
              </w:rPr>
              <w:t>GATCCCCA</w:t>
            </w:r>
            <w:r w:rsidRPr="00AB5BC5">
              <w:rPr>
                <w:rFonts w:asciiTheme="minorHAnsi" w:hAnsiTheme="minorHAnsi"/>
                <w:u w:val="single"/>
              </w:rPr>
              <w:t>CTTCGCACTCTGACGACGGG</w:t>
            </w:r>
            <w:r w:rsidRPr="00AB5BC5">
              <w:rPr>
                <w:rFonts w:asciiTheme="minorHAnsi" w:hAnsiTheme="minorHAnsi"/>
                <w:b/>
              </w:rPr>
              <w:t>TCTCCCTATAGTGAGTC</w:t>
            </w:r>
          </w:p>
        </w:tc>
      </w:tr>
    </w:tbl>
    <w:p w14:paraId="08BE8558" w14:textId="77777777" w:rsidR="00FE6AC8" w:rsidRDefault="00FE6AC8" w:rsidP="00FE6AC8">
      <w:pPr>
        <w:spacing w:after="0" w:line="480" w:lineRule="auto"/>
        <w:rPr>
          <w:b/>
          <w:sz w:val="24"/>
          <w:szCs w:val="24"/>
        </w:rPr>
      </w:pPr>
      <w:r>
        <w:rPr>
          <w:b/>
          <w:sz w:val="24"/>
          <w:szCs w:val="24"/>
        </w:rPr>
        <w:t>DNA Purification and Quantification</w:t>
      </w:r>
    </w:p>
    <w:p w14:paraId="100E45C2" w14:textId="77777777" w:rsidR="00FE6AC8" w:rsidRDefault="00FE6AC8" w:rsidP="00FE6AC8">
      <w:pPr>
        <w:spacing w:line="480" w:lineRule="auto"/>
        <w:rPr>
          <w:sz w:val="24"/>
          <w:szCs w:val="24"/>
        </w:rPr>
      </w:pPr>
      <w:r>
        <w:rPr>
          <w:sz w:val="24"/>
          <w:szCs w:val="24"/>
        </w:rPr>
        <w:t xml:space="preserve">All DNA plasmids were purified from 100 mL cultures using the QIAGEN Plasmid Plus Kit using a vacuum manifold according to manufacturer's specifications. The </w:t>
      </w:r>
      <w:proofErr w:type="spellStart"/>
      <w:r>
        <w:rPr>
          <w:sz w:val="24"/>
          <w:szCs w:val="24"/>
        </w:rPr>
        <w:t>PicoGreen</w:t>
      </w:r>
      <w:proofErr w:type="spellEnd"/>
      <w:r>
        <w:rPr>
          <w:sz w:val="24"/>
          <w:szCs w:val="24"/>
        </w:rPr>
        <w:t xml:space="preserve"> Kit (Thermo Fisher P11496) was used to measure the DNA concentration. 50 </w:t>
      </w:r>
      <w:proofErr w:type="spellStart"/>
      <w:r>
        <w:rPr>
          <w:sz w:val="24"/>
          <w:szCs w:val="24"/>
        </w:rPr>
        <w:t>nL</w:t>
      </w:r>
      <w:proofErr w:type="spellEnd"/>
      <w:r>
        <w:rPr>
          <w:sz w:val="24"/>
          <w:szCs w:val="24"/>
        </w:rPr>
        <w:t xml:space="preserve"> </w:t>
      </w:r>
      <w:proofErr w:type="spellStart"/>
      <w:r>
        <w:rPr>
          <w:sz w:val="24"/>
          <w:szCs w:val="24"/>
        </w:rPr>
        <w:t>PicoGreen</w:t>
      </w:r>
      <w:proofErr w:type="spellEnd"/>
      <w:r>
        <w:rPr>
          <w:sz w:val="24"/>
          <w:szCs w:val="24"/>
        </w:rPr>
        <w:t xml:space="preserve"> reagent was added to wells of a black 384-well plate with flat clear bottom, then 19900 </w:t>
      </w:r>
      <w:proofErr w:type="spellStart"/>
      <w:r>
        <w:rPr>
          <w:sz w:val="24"/>
          <w:szCs w:val="24"/>
        </w:rPr>
        <w:t>nL</w:t>
      </w:r>
      <w:proofErr w:type="spellEnd"/>
      <w:r>
        <w:rPr>
          <w:sz w:val="24"/>
          <w:szCs w:val="24"/>
        </w:rPr>
        <w:t xml:space="preserve"> TE was added plus 100 </w:t>
      </w:r>
      <w:proofErr w:type="spellStart"/>
      <w:r>
        <w:rPr>
          <w:sz w:val="24"/>
          <w:szCs w:val="24"/>
        </w:rPr>
        <w:t>nL</w:t>
      </w:r>
      <w:proofErr w:type="spellEnd"/>
      <w:r>
        <w:rPr>
          <w:sz w:val="24"/>
          <w:szCs w:val="24"/>
        </w:rPr>
        <w:t xml:space="preserve"> DNA sample. The plate was centrifuged briefly to mix the reagents and kept in the dark for an additional 3 minutes. Fluorescence was measured using 485 excitation and 520 emission wavelength settings on a </w:t>
      </w:r>
      <w:proofErr w:type="spellStart"/>
      <w:r>
        <w:rPr>
          <w:sz w:val="24"/>
          <w:szCs w:val="24"/>
        </w:rPr>
        <w:t>Biotek</w:t>
      </w:r>
      <w:proofErr w:type="spellEnd"/>
      <w:r>
        <w:rPr>
          <w:sz w:val="24"/>
          <w:szCs w:val="24"/>
        </w:rPr>
        <w:t xml:space="preserve"> </w:t>
      </w:r>
      <w:proofErr w:type="spellStart"/>
      <w:r>
        <w:rPr>
          <w:sz w:val="24"/>
          <w:szCs w:val="24"/>
        </w:rPr>
        <w:t>Synergy™MX</w:t>
      </w:r>
      <w:proofErr w:type="spellEnd"/>
      <w:r>
        <w:rPr>
          <w:sz w:val="24"/>
          <w:szCs w:val="24"/>
        </w:rPr>
        <w:t xml:space="preserve"> plate reader. A standard curve was obtained by transferring serial dilutions of genomic λ phage DNA and used for unit conversion.</w:t>
      </w:r>
    </w:p>
    <w:p w14:paraId="0E96CD37" w14:textId="77777777" w:rsidR="00FE6AC8" w:rsidRPr="00FE6AC8" w:rsidRDefault="00FE6AC8" w:rsidP="00FE6AC8">
      <w:pPr>
        <w:pStyle w:val="Heading3"/>
        <w:spacing w:line="480" w:lineRule="auto"/>
        <w:rPr>
          <w:rFonts w:asciiTheme="minorHAnsi" w:hAnsiTheme="minorHAnsi"/>
          <w:b/>
          <w:color w:val="auto"/>
        </w:rPr>
      </w:pPr>
      <w:r w:rsidRPr="00FE6AC8">
        <w:rPr>
          <w:rFonts w:asciiTheme="minorHAnsi" w:hAnsiTheme="minorHAnsi"/>
          <w:b/>
          <w:color w:val="auto"/>
        </w:rPr>
        <w:t>Cloning of the L7Ae construct</w:t>
      </w:r>
    </w:p>
    <w:p w14:paraId="4A4B7120" w14:textId="6E81B36C" w:rsidR="00FE6AC8" w:rsidRDefault="00FE6AC8" w:rsidP="00FE6AC8">
      <w:pPr>
        <w:spacing w:line="480" w:lineRule="auto"/>
        <w:rPr>
          <w:sz w:val="24"/>
          <w:szCs w:val="24"/>
        </w:rPr>
      </w:pPr>
      <w:r>
        <w:rPr>
          <w:sz w:val="24"/>
          <w:szCs w:val="24"/>
        </w:rPr>
        <w:t xml:space="preserve">The pT7-RBS-L7Ae-6His plasmid (used for L7Ae expression in </w:t>
      </w:r>
      <w:r>
        <w:rPr>
          <w:i/>
          <w:sz w:val="24"/>
          <w:szCs w:val="24"/>
        </w:rPr>
        <w:t>E.coli</w:t>
      </w:r>
      <w:r>
        <w:rPr>
          <w:sz w:val="24"/>
          <w:szCs w:val="24"/>
        </w:rPr>
        <w:t xml:space="preserve"> and protein purification) was cloned from Level 0 </w:t>
      </w:r>
      <w:proofErr w:type="spellStart"/>
      <w:r>
        <w:rPr>
          <w:sz w:val="24"/>
          <w:szCs w:val="24"/>
        </w:rPr>
        <w:t>MoClo</w:t>
      </w:r>
      <w:proofErr w:type="spellEnd"/>
      <w:r>
        <w:rPr>
          <w:sz w:val="24"/>
          <w:szCs w:val="24"/>
        </w:rPr>
        <w:t xml:space="preserve"> parts, including synthetic DNA fragments encoding L7Ae coding sequence, a fragment encoding T7 promoter - RBS - </w:t>
      </w:r>
      <w:proofErr w:type="spellStart"/>
      <w:r>
        <w:rPr>
          <w:sz w:val="24"/>
          <w:szCs w:val="24"/>
        </w:rPr>
        <w:t>hexahistidine</w:t>
      </w:r>
      <w:proofErr w:type="spellEnd"/>
      <w:r>
        <w:rPr>
          <w:sz w:val="24"/>
          <w:szCs w:val="24"/>
        </w:rPr>
        <w:t xml:space="preserve"> tag and pTU1-A backbone</w:t>
      </w:r>
      <w:r w:rsidR="00AA51AD">
        <w:rPr>
          <w:sz w:val="24"/>
          <w:szCs w:val="24"/>
        </w:rPr>
        <w:fldChar w:fldCharType="begin" w:fldLock="1"/>
      </w:r>
      <w:r w:rsidR="00ED3FC2">
        <w:rPr>
          <w:sz w:val="24"/>
          <w:szCs w:val="24"/>
        </w:rPr>
        <w:instrText>ADDIN CSL_CITATION {"citationItems":[{"id":"ITEM-1","itemData":{"DOI":"10.1021/acssynbio.6b00031","abstract":"Golden Gate cloning is a prominent DNA assembly tool in synthetic biology for the assembly of plasmid constructs often used in combinatorial pathway optimization, with a number of assembly kits developed specifically for yeast and plant-based expression. However, its use for synthetic biology in commonly used bacterial systems such as Escherichia coli has surprisingly been overlooked. Here, we introduce EcoFlex a simplified modular package of DNA parts for a variety of applications in E. coli, cell-free protein synthesis, protein purification and hierarchical assembly of transcription units based on the MoClo assembly standard. The kit features a library of constitutive promoters, T7 expression, RBS strength variants, synthetic terminators, protein purification tags and fluorescence proteins. We validate EcoFlex by assembling a 68-part containing (20 genes) plasmid (31 kb), characterize in vivo and in vitro library parts, and perform combinatorial pathway assembly, using pooled libraries of either fluores...","author":[{"dropping-particle":"","family":"Moore","given":"Simon J.","non-dropping-particle":"","parse-names":false,"suffix":""},{"dropping-particle":"","family":"Lai","given":"Hung-En","non-dropping-particle":"","parse-names":false,"suffix":""},{"dropping-particle":"","family":"Kelwick","given":"Richard J. R.","non-dropping-particle":"","parse-names":false,"suffix":""},{"dropping-particle":"","family":"Chee","given":"Soo Mei","non-dropping-particle":"","parse-names":false,"suffix":""},{"dropping-particle":"","family":"Bell","given":"David J.","non-dropping-particle":"","parse-names":false,"suffix":""},{"dropping-particle":"","family":"Polizzi","given":"Karen Marie","non-dropping-particle":"","parse-names":false,"suffix":""},{"dropping-particle":"","family":"Freemont","given":"Paul S.","non-dropping-particle":"","parse-names":false,"suffix":""}],"container-title":"ACS Synthetic Biology","id":"ITEM-1","issue":"10","issued":{"date-parts":[["2016","10","21"]]},"page":"1059-1069","publisher":"American Chemical Society","title":"EcoFlex: A multifunctional MoClo kit for E. coli synthetic Biology","type":"article-journal","volume":"5"},"uris":["http://www.mendeley.com/documents/?uuid=c1bbea08-a873-34bd-a7ea-1704b1df3068"]}],"mendeley":{"formattedCitation":"&lt;sup&gt;46&lt;/sup&gt;","plainTextFormattedCitation":"46","previouslyFormattedCitation":"&lt;sup&gt;46&lt;/sup&gt;"},"properties":{"noteIndex":0},"schema":"https://github.com/citation-style-language/schema/raw/master/csl-citation.json"}</w:instrText>
      </w:r>
      <w:r w:rsidR="00AA51AD">
        <w:rPr>
          <w:sz w:val="24"/>
          <w:szCs w:val="24"/>
        </w:rPr>
        <w:fldChar w:fldCharType="separate"/>
      </w:r>
      <w:r w:rsidR="00C036B0" w:rsidRPr="00C036B0">
        <w:rPr>
          <w:noProof/>
          <w:sz w:val="24"/>
          <w:szCs w:val="24"/>
          <w:vertAlign w:val="superscript"/>
        </w:rPr>
        <w:t>46</w:t>
      </w:r>
      <w:r w:rsidR="00AA51AD">
        <w:rPr>
          <w:sz w:val="24"/>
          <w:szCs w:val="24"/>
        </w:rPr>
        <w:fldChar w:fldCharType="end"/>
      </w:r>
      <w:r w:rsidR="00AA51AD">
        <w:rPr>
          <w:sz w:val="24"/>
          <w:szCs w:val="24"/>
        </w:rPr>
        <w:t xml:space="preserve">. </w:t>
      </w:r>
      <w:r>
        <w:rPr>
          <w:sz w:val="24"/>
          <w:szCs w:val="24"/>
        </w:rPr>
        <w:t xml:space="preserve">The Level 0 plasmids were assembled with BsaI-HFv2 (New England Biolabs Inc.) and T4 DNA Ligase (Promega). Linkers were designed and the reaction carried out according to the specifications of previously published </w:t>
      </w:r>
      <w:proofErr w:type="spellStart"/>
      <w:r>
        <w:rPr>
          <w:sz w:val="24"/>
          <w:szCs w:val="24"/>
        </w:rPr>
        <w:t>EcoFlex</w:t>
      </w:r>
      <w:proofErr w:type="spellEnd"/>
      <w:r>
        <w:rPr>
          <w:sz w:val="24"/>
          <w:szCs w:val="24"/>
        </w:rPr>
        <w:t xml:space="preserve"> standard</w:t>
      </w:r>
      <w:r w:rsidR="00AA51AD">
        <w:rPr>
          <w:sz w:val="24"/>
          <w:szCs w:val="24"/>
        </w:rPr>
        <w:fldChar w:fldCharType="begin" w:fldLock="1"/>
      </w:r>
      <w:r w:rsidR="00ED3FC2">
        <w:rPr>
          <w:sz w:val="24"/>
          <w:szCs w:val="24"/>
        </w:rPr>
        <w:instrText>ADDIN CSL_CITATION {"citationItems":[{"id":"ITEM-1","itemData":{"DOI":"10.1021/acssynbio.6b00031","abstract":"Golden Gate cloning is a prominent DNA assembly tool in synthetic biology for the assembly of plasmid constructs often used in combinatorial pathway optimization, with a number of assembly kits developed specifically for yeast and plant-based expression. However, its use for synthetic biology in commonly used bacterial systems such as Escherichia coli has surprisingly been overlooked. Here, we introduce EcoFlex a simplified modular package of DNA parts for a variety of applications in E. coli, cell-free protein synthesis, protein purification and hierarchical assembly of transcription units based on the MoClo assembly standard. The kit features a library of constitutive promoters, T7 expression, RBS strength variants, synthetic terminators, protein purification tags and fluorescence proteins. We validate EcoFlex by assembling a 68-part containing (20 genes) plasmid (31 kb), characterize in vivo and in vitro library parts, and perform combinatorial pathway assembly, using pooled libraries of either fluores...","author":[{"dropping-particle":"","family":"Moore","given":"Simon J.","non-dropping-particle":"","parse-names":false,"suffix":""},{"dropping-particle":"","family":"Lai","given":"Hung-En","non-dropping-particle":"","parse-names":false,"suffix":""},{"dropping-particle":"","family":"Kelwick","given":"Richard J. R.","non-dropping-particle":"","parse-names":false,"suffix":""},{"dropping-particle":"","family":"Chee","given":"Soo Mei","non-dropping-particle":"","parse-names":false,"suffix":""},{"dropping-particle":"","family":"Bell","given":"David J.","non-dropping-particle":"","parse-names":false,"suffix":""},{"dropping-particle":"","family":"Polizzi","given":"Karen Marie","non-dropping-particle":"","parse-names":false,"suffix":""},{"dropping-particle":"","family":"Freemont","given":"Paul S.","non-dropping-particle":"","parse-names":false,"suffix":""}],"container-title":"ACS Synthetic Biology","id":"ITEM-1","issue":"10","issued":{"date-parts":[["2016","10","21"]]},"page":"1059-1069","publisher":"American Chemical Society","title":"EcoFlex: A multifunctional MoClo kit for E. coli synthetic Biology","type":"article-journal","volume":"5"},"uris":["http://www.mendeley.com/documents/?uuid=c1bbea08-a873-34bd-a7ea-1704b1df3068"]}],"mendeley":{"formattedCitation":"&lt;sup&gt;46&lt;/sup&gt;","plainTextFormattedCitation":"46","previouslyFormattedCitation":"&lt;sup&gt;46&lt;/sup&gt;"},"properties":{"noteIndex":0},"schema":"https://github.com/citation-style-language/schema/raw/master/csl-citation.json"}</w:instrText>
      </w:r>
      <w:r w:rsidR="00AA51AD">
        <w:rPr>
          <w:sz w:val="24"/>
          <w:szCs w:val="24"/>
        </w:rPr>
        <w:fldChar w:fldCharType="separate"/>
      </w:r>
      <w:r w:rsidR="00C036B0" w:rsidRPr="00C036B0">
        <w:rPr>
          <w:noProof/>
          <w:sz w:val="24"/>
          <w:szCs w:val="24"/>
          <w:vertAlign w:val="superscript"/>
        </w:rPr>
        <w:t>46</w:t>
      </w:r>
      <w:r w:rsidR="00AA51AD">
        <w:rPr>
          <w:sz w:val="24"/>
          <w:szCs w:val="24"/>
        </w:rPr>
        <w:fldChar w:fldCharType="end"/>
      </w:r>
      <w:r>
        <w:rPr>
          <w:sz w:val="24"/>
          <w:szCs w:val="24"/>
        </w:rPr>
        <w:t>.</w:t>
      </w:r>
    </w:p>
    <w:p w14:paraId="4B3FB0AA" w14:textId="77777777" w:rsidR="00FE6AC8" w:rsidRPr="00203C3D" w:rsidRDefault="00FE6AC8" w:rsidP="00FE6AC8">
      <w:pPr>
        <w:spacing w:line="480" w:lineRule="auto"/>
        <w:rPr>
          <w:sz w:val="24"/>
          <w:szCs w:val="24"/>
        </w:rPr>
      </w:pPr>
      <w:r>
        <w:rPr>
          <w:b/>
          <w:sz w:val="24"/>
          <w:szCs w:val="24"/>
        </w:rPr>
        <w:t>L7Ae protein expression and purification</w:t>
      </w:r>
    </w:p>
    <w:p w14:paraId="65695401" w14:textId="77777777" w:rsidR="00FE6AC8" w:rsidRPr="00044056" w:rsidRDefault="00FE6AC8" w:rsidP="00FE6AC8">
      <w:pPr>
        <w:spacing w:after="0" w:line="480" w:lineRule="auto"/>
        <w:rPr>
          <w:color w:val="FF0000"/>
          <w:sz w:val="24"/>
          <w:szCs w:val="24"/>
        </w:rPr>
      </w:pPr>
      <w:r>
        <w:rPr>
          <w:sz w:val="24"/>
          <w:szCs w:val="24"/>
        </w:rPr>
        <w:t xml:space="preserve">KRX </w:t>
      </w:r>
      <w:r>
        <w:rPr>
          <w:i/>
          <w:sz w:val="24"/>
          <w:szCs w:val="24"/>
        </w:rPr>
        <w:t>E. coli</w:t>
      </w:r>
      <w:r>
        <w:rPr>
          <w:sz w:val="24"/>
          <w:szCs w:val="24"/>
        </w:rPr>
        <w:t xml:space="preserve"> cells transformed with the pT7-RBS-L7Ae-6His plasmid were used to express the L7Ae protein. A 10 ml starter culture was grown overnight in LB medium supplemented with antibiotics. The overnight culture was diluted 1:100 in 1 L LB media containing 0.1% Rhamnose and grown for 5 hours at 37°C (shaking) and then transferred to a 25°C shaking incubator overnight. Cells were harvested by centrifugation at 2500 rpm for 20 minutes and </w:t>
      </w:r>
      <w:r>
        <w:rPr>
          <w:sz w:val="24"/>
          <w:szCs w:val="24"/>
        </w:rPr>
        <w:lastRenderedPageBreak/>
        <w:t xml:space="preserve">resuspended in Binding buffer (20 mM Tris-HCl pH 8, 500 mM NaCl, 5 mM Imidazole) and sonicated on ice. The lysate was incubated at 85°C for 20 min to denature other endogenous proteins, centrifuged and the supernatant loaded on a Nickel column for His-tag purification and eluted with 20 </w:t>
      </w:r>
      <w:proofErr w:type="spellStart"/>
      <w:r>
        <w:rPr>
          <w:sz w:val="24"/>
          <w:szCs w:val="24"/>
        </w:rPr>
        <w:t>nM</w:t>
      </w:r>
      <w:proofErr w:type="spellEnd"/>
      <w:r>
        <w:rPr>
          <w:sz w:val="24"/>
          <w:szCs w:val="24"/>
        </w:rPr>
        <w:t xml:space="preserve"> Tris-HCl pH 8, 500 mM NaCl and 400 mM Imidazole.  The eluted fractions containing the purified protein were dialyzed against buffer containing 20 mM HEPES-KOH (pH 7.5), 150 mM </w:t>
      </w:r>
      <w:proofErr w:type="spellStart"/>
      <w:r>
        <w:rPr>
          <w:sz w:val="24"/>
          <w:szCs w:val="24"/>
        </w:rPr>
        <w:t>KCl</w:t>
      </w:r>
      <w:proofErr w:type="spellEnd"/>
      <w:r>
        <w:rPr>
          <w:sz w:val="24"/>
          <w:szCs w:val="24"/>
        </w:rPr>
        <w:t>, 1.5 mM MgCl</w:t>
      </w:r>
      <w:r w:rsidRPr="00044056">
        <w:rPr>
          <w:sz w:val="24"/>
          <w:szCs w:val="24"/>
          <w:vertAlign w:val="subscript"/>
        </w:rPr>
        <w:t>2</w:t>
      </w:r>
      <w:r>
        <w:rPr>
          <w:sz w:val="24"/>
          <w:szCs w:val="24"/>
        </w:rPr>
        <w:t xml:space="preserve">, and 5% glycerol using a 3.5 </w:t>
      </w:r>
      <w:proofErr w:type="spellStart"/>
      <w:r>
        <w:rPr>
          <w:sz w:val="24"/>
          <w:szCs w:val="24"/>
        </w:rPr>
        <w:t>kDa</w:t>
      </w:r>
      <w:proofErr w:type="spellEnd"/>
      <w:r>
        <w:rPr>
          <w:sz w:val="24"/>
          <w:szCs w:val="24"/>
        </w:rPr>
        <w:t xml:space="preserve"> MWCO </w:t>
      </w:r>
      <w:proofErr w:type="spellStart"/>
      <w:r>
        <w:rPr>
          <w:sz w:val="24"/>
          <w:szCs w:val="24"/>
        </w:rPr>
        <w:t>GeBaFlex</w:t>
      </w:r>
      <w:proofErr w:type="spellEnd"/>
      <w:r>
        <w:rPr>
          <w:sz w:val="24"/>
          <w:szCs w:val="24"/>
        </w:rPr>
        <w:t>-Maxi tube (</w:t>
      </w:r>
      <w:proofErr w:type="spellStart"/>
      <w:r>
        <w:rPr>
          <w:sz w:val="24"/>
          <w:szCs w:val="24"/>
        </w:rPr>
        <w:t>Generon</w:t>
      </w:r>
      <w:proofErr w:type="spellEnd"/>
      <w:r>
        <w:rPr>
          <w:sz w:val="24"/>
          <w:szCs w:val="24"/>
        </w:rPr>
        <w:t xml:space="preserve">) at 16°C overnight. L7Ae was buffer-exchanged into storage buffer (20 mM HEPES-KOH at pH 7.5, 150 mM </w:t>
      </w:r>
      <w:proofErr w:type="spellStart"/>
      <w:r>
        <w:rPr>
          <w:sz w:val="24"/>
          <w:szCs w:val="24"/>
        </w:rPr>
        <w:t>KCl</w:t>
      </w:r>
      <w:proofErr w:type="spellEnd"/>
      <w:r>
        <w:rPr>
          <w:sz w:val="24"/>
          <w:szCs w:val="24"/>
        </w:rPr>
        <w:t>, 1.5 mM MgCl</w:t>
      </w:r>
      <w:r w:rsidRPr="00044056">
        <w:rPr>
          <w:sz w:val="24"/>
          <w:szCs w:val="24"/>
          <w:vertAlign w:val="subscript"/>
        </w:rPr>
        <w:t>2</w:t>
      </w:r>
      <w:r>
        <w:rPr>
          <w:sz w:val="24"/>
          <w:szCs w:val="24"/>
        </w:rPr>
        <w:t xml:space="preserve">, and 40% glycerol), snap frozen in liquid nitrogen and stored at -80°C. The purification method was previously described by </w:t>
      </w:r>
      <w:r w:rsidRPr="00044056">
        <w:rPr>
          <w:sz w:val="24"/>
          <w:szCs w:val="24"/>
        </w:rPr>
        <w:t>Saito</w:t>
      </w:r>
      <w:r>
        <w:rPr>
          <w:sz w:val="24"/>
          <w:szCs w:val="24"/>
        </w:rPr>
        <w:t xml:space="preserve"> et al., 2011.</w:t>
      </w:r>
    </w:p>
    <w:p w14:paraId="14C899EF" w14:textId="77777777" w:rsidR="00FE6AC8" w:rsidRPr="00FE6AC8" w:rsidRDefault="00FE6AC8" w:rsidP="00FE6AC8">
      <w:pPr>
        <w:pStyle w:val="Heading3"/>
        <w:spacing w:line="480" w:lineRule="auto"/>
        <w:rPr>
          <w:rFonts w:asciiTheme="minorHAnsi" w:hAnsiTheme="minorHAnsi"/>
          <w:b/>
          <w:color w:val="auto"/>
        </w:rPr>
      </w:pPr>
      <w:r w:rsidRPr="00FE6AC8">
        <w:rPr>
          <w:rFonts w:asciiTheme="minorHAnsi" w:hAnsiTheme="minorHAnsi"/>
          <w:b/>
          <w:color w:val="auto"/>
        </w:rPr>
        <w:t>Cloning of the dCas9 construct</w:t>
      </w:r>
    </w:p>
    <w:p w14:paraId="6EC62B0E" w14:textId="72C810DB" w:rsidR="00FE6AC8" w:rsidRDefault="00FE6AC8" w:rsidP="00FE6AC8">
      <w:pPr>
        <w:spacing w:line="480" w:lineRule="auto"/>
        <w:rPr>
          <w:sz w:val="24"/>
          <w:szCs w:val="24"/>
        </w:rPr>
      </w:pPr>
      <w:r>
        <w:rPr>
          <w:sz w:val="24"/>
          <w:szCs w:val="24"/>
        </w:rPr>
        <w:t>The dCas9 expression vector was made by introducing the D10A (</w:t>
      </w:r>
      <w:proofErr w:type="spellStart"/>
      <w:r>
        <w:rPr>
          <w:sz w:val="24"/>
          <w:szCs w:val="24"/>
        </w:rPr>
        <w:t>RuvC</w:t>
      </w:r>
      <w:proofErr w:type="spellEnd"/>
      <w:r>
        <w:rPr>
          <w:sz w:val="24"/>
          <w:szCs w:val="24"/>
        </w:rPr>
        <w:t xml:space="preserve">) and H840A (HNH) mutations into the amino acid sequence of Cas9 encoded on pCas9-CR4 vector using Circular Polymerase Extension Cloning (Quan and Tian, 2011). pCas9-CR4 was a gift from </w:t>
      </w:r>
      <w:proofErr w:type="spellStart"/>
      <w:r>
        <w:rPr>
          <w:sz w:val="24"/>
          <w:szCs w:val="24"/>
        </w:rPr>
        <w:t>Kristala</w:t>
      </w:r>
      <w:proofErr w:type="spellEnd"/>
      <w:r>
        <w:rPr>
          <w:sz w:val="24"/>
          <w:szCs w:val="24"/>
        </w:rPr>
        <w:t xml:space="preserve"> Prather (</w:t>
      </w:r>
      <w:proofErr w:type="spellStart"/>
      <w:r>
        <w:rPr>
          <w:sz w:val="24"/>
          <w:szCs w:val="24"/>
        </w:rPr>
        <w:t>Addgene</w:t>
      </w:r>
      <w:proofErr w:type="spellEnd"/>
      <w:r>
        <w:rPr>
          <w:sz w:val="24"/>
          <w:szCs w:val="24"/>
        </w:rPr>
        <w:t xml:space="preserve"> plasmid # 62655). dCas9 was then PCR-amplified and cloned into form pBP-dCas9 before being assembled together with a T7 promoter, His-tag and Ribosome Binding Site, and a BB0015 terminator to create pTU1A-T7_His6_dCas9_BB0015 using a </w:t>
      </w:r>
      <w:proofErr w:type="spellStart"/>
      <w:r>
        <w:rPr>
          <w:sz w:val="24"/>
          <w:szCs w:val="24"/>
        </w:rPr>
        <w:t>MoClo</w:t>
      </w:r>
      <w:proofErr w:type="spellEnd"/>
      <w:r>
        <w:rPr>
          <w:sz w:val="24"/>
          <w:szCs w:val="24"/>
        </w:rPr>
        <w:t xml:space="preserve"> assembly method</w:t>
      </w:r>
      <w:r w:rsidR="000A3D47">
        <w:rPr>
          <w:sz w:val="24"/>
          <w:szCs w:val="24"/>
        </w:rPr>
        <w:fldChar w:fldCharType="begin" w:fldLock="1"/>
      </w:r>
      <w:r w:rsidR="00ED3FC2">
        <w:rPr>
          <w:sz w:val="24"/>
          <w:szCs w:val="24"/>
        </w:rPr>
        <w:instrText>ADDIN CSL_CITATION {"citationItems":[{"id":"ITEM-1","itemData":{"DOI":"10.1021/acssynbio.6b00031","abstract":"Golden Gate cloning is a prominent DNA assembly tool in synthetic biology for the assembly of plasmid constructs often used in combinatorial pathway optimization, with a number of assembly kits developed specifically for yeast and plant-based expression. However, its use for synthetic biology in commonly used bacterial systems such as Escherichia coli has surprisingly been overlooked. Here, we introduce EcoFlex a simplified modular package of DNA parts for a variety of applications in E. coli, cell-free protein synthesis, protein purification and hierarchical assembly of transcription units based on the MoClo assembly standard. The kit features a library of constitutive promoters, T7 expression, RBS strength variants, synthetic terminators, protein purification tags and fluorescence proteins. We validate EcoFlex by assembling a 68-part containing (20 genes) plasmid (31 kb), characterize in vivo and in vitro library parts, and perform combinatorial pathway assembly, using pooled libraries of either fluores...","author":[{"dropping-particle":"","family":"Moore","given":"Simon J.","non-dropping-particle":"","parse-names":false,"suffix":""},{"dropping-particle":"","family":"Lai","given":"Hung-En","non-dropping-particle":"","parse-names":false,"suffix":""},{"dropping-particle":"","family":"Kelwick","given":"Richard J. R.","non-dropping-particle":"","parse-names":false,"suffix":""},{"dropping-particle":"","family":"Chee","given":"Soo Mei","non-dropping-particle":"","parse-names":false,"suffix":""},{"dropping-particle":"","family":"Bell","given":"David J.","non-dropping-particle":"","parse-names":false,"suffix":""},{"dropping-particle":"","family":"Polizzi","given":"Karen Marie","non-dropping-particle":"","parse-names":false,"suffix":""},{"dropping-particle":"","family":"Freemont","given":"Paul S.","non-dropping-particle":"","parse-names":false,"suffix":""}],"container-title":"ACS Synthetic Biology","id":"ITEM-1","issue":"10","issued":{"date-parts":[["2016","10","21"]]},"page":"1059-1069","publisher":"American Chemical Society","title":"EcoFlex: A multifunctional MoClo kit for E. coli synthetic Biology","type":"article-journal","volume":"5"},"uris":["http://www.mendeley.com/documents/?uuid=c1bbea08-a873-34bd-a7ea-1704b1df3068"]}],"mendeley":{"formattedCitation":"&lt;sup&gt;46&lt;/sup&gt;","plainTextFormattedCitation":"46","previouslyFormattedCitation":"&lt;sup&gt;46&lt;/sup&gt;"},"properties":{"noteIndex":0},"schema":"https://github.com/citation-style-language/schema/raw/master/csl-citation.json"}</w:instrText>
      </w:r>
      <w:r w:rsidR="000A3D47">
        <w:rPr>
          <w:sz w:val="24"/>
          <w:szCs w:val="24"/>
        </w:rPr>
        <w:fldChar w:fldCharType="separate"/>
      </w:r>
      <w:r w:rsidR="00C036B0" w:rsidRPr="00C036B0">
        <w:rPr>
          <w:noProof/>
          <w:sz w:val="24"/>
          <w:szCs w:val="24"/>
          <w:vertAlign w:val="superscript"/>
        </w:rPr>
        <w:t>46</w:t>
      </w:r>
      <w:r w:rsidR="000A3D47">
        <w:rPr>
          <w:sz w:val="24"/>
          <w:szCs w:val="24"/>
        </w:rPr>
        <w:fldChar w:fldCharType="end"/>
      </w:r>
      <w:r w:rsidR="000A3D47">
        <w:rPr>
          <w:sz w:val="24"/>
          <w:szCs w:val="24"/>
        </w:rPr>
        <w:t>.</w:t>
      </w:r>
    </w:p>
    <w:p w14:paraId="436EB1FF" w14:textId="77777777" w:rsidR="00FE6AC8" w:rsidRPr="00FE6AC8" w:rsidRDefault="00FE6AC8" w:rsidP="00FE6AC8">
      <w:pPr>
        <w:spacing w:after="0" w:line="480" w:lineRule="auto"/>
        <w:rPr>
          <w:rFonts w:asciiTheme="minorHAnsi" w:hAnsiTheme="minorHAnsi"/>
          <w:b/>
          <w:sz w:val="24"/>
          <w:szCs w:val="24"/>
        </w:rPr>
      </w:pPr>
      <w:r w:rsidRPr="00FE6AC8">
        <w:rPr>
          <w:rFonts w:asciiTheme="minorHAnsi" w:hAnsiTheme="minorHAnsi"/>
          <w:b/>
          <w:sz w:val="24"/>
          <w:szCs w:val="24"/>
        </w:rPr>
        <w:t xml:space="preserve">dCas9 protein expression and purification </w:t>
      </w:r>
    </w:p>
    <w:p w14:paraId="08AF4B7F" w14:textId="789DD731" w:rsidR="00FE6AC8" w:rsidRPr="00FE6AC8" w:rsidRDefault="00FE6AC8" w:rsidP="00FE6AC8">
      <w:pPr>
        <w:spacing w:line="480" w:lineRule="auto"/>
        <w:rPr>
          <w:rFonts w:asciiTheme="minorHAnsi" w:hAnsiTheme="minorHAnsi"/>
          <w:sz w:val="24"/>
          <w:szCs w:val="24"/>
        </w:rPr>
      </w:pPr>
      <w:r w:rsidRPr="00FE6AC8">
        <w:rPr>
          <w:rFonts w:asciiTheme="minorHAnsi" w:hAnsiTheme="minorHAnsi"/>
          <w:sz w:val="24"/>
          <w:szCs w:val="24"/>
        </w:rPr>
        <w:t>dCas9 was expressed from pTU1A-T7_His6_dCas9_BB0015 in Rosetta 2(DE3) cells (EMD Biosciences) grown in Terrific Broth supplemented with 5052 autoinduction media</w:t>
      </w:r>
      <w:r w:rsidR="000A3D47">
        <w:rPr>
          <w:rFonts w:asciiTheme="minorHAnsi" w:hAnsiTheme="minorHAnsi"/>
          <w:sz w:val="24"/>
          <w:szCs w:val="24"/>
        </w:rPr>
        <w:fldChar w:fldCharType="begin" w:fldLock="1"/>
      </w:r>
      <w:r w:rsidR="00ED3FC2">
        <w:rPr>
          <w:rFonts w:asciiTheme="minorHAnsi" w:hAnsiTheme="minorHAnsi"/>
          <w:sz w:val="24"/>
          <w:szCs w:val="24"/>
        </w:rPr>
        <w:instrText>ADDIN CSL_CITATION {"citationItems":[{"id":"ITEM-1","itemData":{"DOI":"10.1016/J.PEP.2005.01.016","ISSN":"1046-5928","abstract":"Inducible expression systems in which T7 RNA polymerase transcribes coding sequences cloned under control of a T7lac promoter efficiently produce a wide variety of proteins in Escherichia coli. Investigation of factors that affect stability, growth, and induction of T7 expression strains in shaking vessels led to the recognition that sporadic, unintended induction of expression in complex media, previously reported by others, is almost certainly caused by small amounts of lactose. Glucose prevents induction by lactose by well-studied mechanisms. Amino acids also inhibit induction by lactose during log-phase growth, and high rates of aeration inhibit induction at low lactose concentrations. These observations, and metabolic balancing of pH, allowed development of reliable non-inducing and auto-inducing media in which batch cultures grow to high densities. Expression strains grown to saturation in non-inducing media retain plasmid and remain fully viable for weeks in the refrigerator, making it easy to prepare many freezer stocks in parallel and use working stocks for an extended period. Auto-induction allows efficient screening of many clones in parallel for expression and solubility, as cultures have only to be inoculated and grown to saturation, and yields of target protein are typically several-fold higher than obtained by conventional IPTG induction. Auto-inducing media have been developed for labeling proteins with selenomethionine, 15N or 13C, and for production of target proteins by arabinose induction of T7 RNA polymerase from the pBAD promoter in BL21-AI. Selenomethionine labeling was equally efficient in the commonly used methionine auxotroph B834(DE3) (found to be metE) or the prototroph BL21(DE3).","author":[{"dropping-particle":"","family":"Studier","given":"F. William","non-dropping-particle":"","parse-names":false,"suffix":""}],"container-title":"Protein Expression and Purification","id":"ITEM-1","issue":"1","issued":{"date-parts":[["2005","5","1"]]},"page":"207-234","publisher":"Academic Press","title":"Protein production by auto-induction in high-density shaking cultures","type":"article-journal","volume":"41"},"uris":["http://www.mendeley.com/documents/?uuid=20c46d6e-f9d8-31d5-a33c-e81fcf669ed3"]}],"mendeley":{"formattedCitation":"&lt;sup&gt;47&lt;/sup&gt;","plainTextFormattedCitation":"47","previouslyFormattedCitation":"&lt;sup&gt;47&lt;/sup&gt;"},"properties":{"noteIndex":0},"schema":"https://github.com/citation-style-language/schema/raw/master/csl-citation.json"}</w:instrText>
      </w:r>
      <w:r w:rsidR="000A3D47">
        <w:rPr>
          <w:rFonts w:asciiTheme="minorHAnsi" w:hAnsiTheme="minorHAnsi"/>
          <w:sz w:val="24"/>
          <w:szCs w:val="24"/>
        </w:rPr>
        <w:fldChar w:fldCharType="separate"/>
      </w:r>
      <w:r w:rsidR="00C036B0" w:rsidRPr="00C036B0">
        <w:rPr>
          <w:rFonts w:asciiTheme="minorHAnsi" w:hAnsiTheme="minorHAnsi"/>
          <w:noProof/>
          <w:sz w:val="24"/>
          <w:szCs w:val="24"/>
          <w:vertAlign w:val="superscript"/>
        </w:rPr>
        <w:t>47</w:t>
      </w:r>
      <w:r w:rsidR="000A3D47">
        <w:rPr>
          <w:rFonts w:asciiTheme="minorHAnsi" w:hAnsiTheme="minorHAnsi"/>
          <w:sz w:val="24"/>
          <w:szCs w:val="24"/>
        </w:rPr>
        <w:fldChar w:fldCharType="end"/>
      </w:r>
      <w:r w:rsidRPr="00FE6AC8">
        <w:rPr>
          <w:rFonts w:asciiTheme="minorHAnsi" w:hAnsiTheme="minorHAnsi"/>
          <w:sz w:val="24"/>
          <w:szCs w:val="24"/>
        </w:rPr>
        <w:t xml:space="preserve">. The culture was grown in a shaking incubator at 180 rpm at 37°C until an OD of 1 and the temperature was then decreased to 25°C overnight. Protein purification was performed using </w:t>
      </w:r>
      <w:r w:rsidRPr="00FE6AC8">
        <w:rPr>
          <w:rFonts w:asciiTheme="minorHAnsi" w:hAnsiTheme="minorHAnsi"/>
          <w:sz w:val="24"/>
          <w:szCs w:val="24"/>
        </w:rPr>
        <w:lastRenderedPageBreak/>
        <w:t>an affinity chromatography method described previously</w:t>
      </w:r>
      <w:r w:rsidR="000A3D47">
        <w:rPr>
          <w:sz w:val="24"/>
          <w:szCs w:val="24"/>
        </w:rPr>
        <w:fldChar w:fldCharType="begin" w:fldLock="1"/>
      </w:r>
      <w:r w:rsidR="00ED3FC2">
        <w:rPr>
          <w:sz w:val="24"/>
          <w:szCs w:val="24"/>
        </w:rPr>
        <w:instrText>ADDIN CSL_CITATION {"citationItems":[{"id":"ITEM-1","itemData":{"DOI":"10.1126/science.1225829","ISSN":"0036-8075","PMID":"22745249","abstract":"Clustered regularly interspaced short palindromic repeats (CRISPR)/CRISPR-associated (Cas) systems provide bacteria and archaea with adaptive immunity against viruses and plasmids by using CRISPR RNAs (crRNAs) to guide the silencing of invading nucleic acids. We show here that in a subset of these systems, the mature crRNA that is base-paired to trans-activating crRNA (tracrRNA) forms a two-RNA structure that directs the CRISPR-associated protein Cas9 to introduce double-stranded (ds) breaks in target DNA. At sites complementary to the crRNA-guide sequence, the Cas9 HNH nuclease domain cleaves the complementary strand, whereas the Cas9 RuvC-like domain cleaves the noncomplementary strand. The dual-tracrRNA:crRNA, when engineered as a single RNA chimera, also directs sequence-specific Cas9 dsDNA cleavage. Our study reveals a family of endonucleases that use dual-RNAs for site-specific DNA cleavage and highlights the potential to exploit the system for RNA-programmable genome editing.","author":[{"dropping-particle":"","family":"Jinek","given":"M.","non-dropping-particle":"","parse-names":false,"suffix":""},{"dropping-particle":"","family":"Chylinski","given":"K.","non-dropping-particle":"","parse-names":false,"suffix":""},{"dropping-particle":"","family":"Fonfara","given":"I.","non-dropping-particle":"","parse-names":false,"suffix":""},{"dropping-particle":"","family":"Hauer","given":"M.","non-dropping-particle":"","parse-names":false,"suffix":""},{"dropping-particle":"","family":"Doudna","given":"J. A.","non-dropping-particle":"","parse-names":false,"suffix":""},{"dropping-particle":"","family":"Charpentier","given":"E.","non-dropping-particle":"","parse-names":false,"suffix":""}],"container-title":"Science","id":"ITEM-1","issue":"6096","issued":{"date-parts":[["2012","8","17"]]},"page":"816-821","title":"A Programmable Dual-RNA-Guided DNA Endonuclease in Adaptive Bacterial Immunity","type":"article-journal","volume":"337"},"uris":["http://www.mendeley.com/documents/?uuid=2d729143-9509-3bff-bfdc-b575b57af5b5"]}],"mendeley":{"formattedCitation":"&lt;sup&gt;48&lt;/sup&gt;","plainTextFormattedCitation":"48","previouslyFormattedCitation":"&lt;sup&gt;48&lt;/sup&gt;"},"properties":{"noteIndex":0},"schema":"https://github.com/citation-style-language/schema/raw/master/csl-citation.json"}</w:instrText>
      </w:r>
      <w:r w:rsidR="000A3D47">
        <w:rPr>
          <w:sz w:val="24"/>
          <w:szCs w:val="24"/>
        </w:rPr>
        <w:fldChar w:fldCharType="separate"/>
      </w:r>
      <w:r w:rsidR="00C036B0" w:rsidRPr="00C036B0">
        <w:rPr>
          <w:noProof/>
          <w:sz w:val="24"/>
          <w:szCs w:val="24"/>
          <w:vertAlign w:val="superscript"/>
        </w:rPr>
        <w:t>48</w:t>
      </w:r>
      <w:r w:rsidR="000A3D47">
        <w:rPr>
          <w:sz w:val="24"/>
          <w:szCs w:val="24"/>
        </w:rPr>
        <w:fldChar w:fldCharType="end"/>
      </w:r>
      <w:r w:rsidR="000A3D47" w:rsidRPr="00FE6AC8" w:rsidDel="000A3D47">
        <w:rPr>
          <w:rFonts w:asciiTheme="minorHAnsi" w:hAnsiTheme="minorHAnsi"/>
          <w:sz w:val="24"/>
          <w:szCs w:val="24"/>
        </w:rPr>
        <w:t xml:space="preserve"> </w:t>
      </w:r>
      <w:r w:rsidRPr="00FE6AC8">
        <w:rPr>
          <w:rFonts w:asciiTheme="minorHAnsi" w:hAnsiTheme="minorHAnsi"/>
          <w:sz w:val="24"/>
          <w:szCs w:val="24"/>
        </w:rPr>
        <w:t>with a modified storage buffer (10 mM Tris pH 7.4, 500 mM NaCl, 0.1 mM EDTA, 1 mM DTT).</w:t>
      </w:r>
    </w:p>
    <w:p w14:paraId="47F00208" w14:textId="77777777" w:rsidR="00FE6AC8" w:rsidRPr="00FE6AC8" w:rsidRDefault="00FE6AC8" w:rsidP="00FE6AC8">
      <w:pPr>
        <w:spacing w:line="480" w:lineRule="auto"/>
        <w:rPr>
          <w:rFonts w:asciiTheme="minorHAnsi" w:hAnsiTheme="minorHAnsi"/>
          <w:sz w:val="24"/>
          <w:szCs w:val="24"/>
        </w:rPr>
      </w:pPr>
      <w:r w:rsidRPr="00FE6AC8">
        <w:rPr>
          <w:rFonts w:asciiTheme="minorHAnsi" w:hAnsiTheme="minorHAnsi"/>
          <w:b/>
          <w:sz w:val="24"/>
          <w:szCs w:val="24"/>
        </w:rPr>
        <w:t>sgRNA annealing</w:t>
      </w:r>
    </w:p>
    <w:p w14:paraId="5D8ABDE7" w14:textId="77777777" w:rsidR="00FE6AC8" w:rsidRPr="00FE6AC8" w:rsidRDefault="00FE6AC8" w:rsidP="00FE6AC8">
      <w:pPr>
        <w:spacing w:line="480" w:lineRule="auto"/>
        <w:rPr>
          <w:rFonts w:asciiTheme="minorHAnsi" w:hAnsiTheme="minorHAnsi"/>
          <w:sz w:val="24"/>
          <w:szCs w:val="24"/>
        </w:rPr>
      </w:pPr>
      <w:r w:rsidRPr="00FE6AC8">
        <w:rPr>
          <w:rFonts w:asciiTheme="minorHAnsi" w:hAnsiTheme="minorHAnsi"/>
          <w:sz w:val="24"/>
          <w:szCs w:val="24"/>
        </w:rPr>
        <w:t xml:space="preserve">Synthetic crRNA and </w:t>
      </w:r>
      <w:proofErr w:type="spellStart"/>
      <w:r w:rsidRPr="00FE6AC8">
        <w:rPr>
          <w:rFonts w:asciiTheme="minorHAnsi" w:hAnsiTheme="minorHAnsi"/>
          <w:sz w:val="24"/>
          <w:szCs w:val="24"/>
        </w:rPr>
        <w:t>tracrRNA</w:t>
      </w:r>
      <w:proofErr w:type="spellEnd"/>
      <w:r w:rsidRPr="00FE6AC8">
        <w:rPr>
          <w:rFonts w:asciiTheme="minorHAnsi" w:hAnsiTheme="minorHAnsi"/>
          <w:sz w:val="24"/>
          <w:szCs w:val="24"/>
        </w:rPr>
        <w:t xml:space="preserve"> oligos </w:t>
      </w:r>
      <w:r>
        <w:rPr>
          <w:rFonts w:asciiTheme="minorHAnsi" w:hAnsiTheme="minorHAnsi"/>
          <w:sz w:val="24"/>
          <w:szCs w:val="24"/>
        </w:rPr>
        <w:t>(Table 2</w:t>
      </w:r>
      <w:r w:rsidRPr="00FE6AC8">
        <w:rPr>
          <w:rFonts w:asciiTheme="minorHAnsi" w:hAnsiTheme="minorHAnsi"/>
          <w:sz w:val="24"/>
          <w:szCs w:val="24"/>
        </w:rPr>
        <w:t>) were annealed at a 1:1 molecular ratio according to Alt-R CRISPR-Cas9 System specifications (IDT). The annealed oligos were incubated with a 1:1 molecular ratio of dCas9 in Cas9 buffer (New England Biolabs Inc.; 1x composition: 20 mM HEPES, 100 mM NaCl, 5 mM MgCl</w:t>
      </w:r>
      <w:r w:rsidRPr="00FE6AC8">
        <w:rPr>
          <w:rFonts w:asciiTheme="minorHAnsi" w:hAnsiTheme="minorHAnsi"/>
          <w:sz w:val="24"/>
          <w:szCs w:val="24"/>
          <w:vertAlign w:val="subscript"/>
        </w:rPr>
        <w:t>2</w:t>
      </w:r>
      <w:r w:rsidRPr="00FE6AC8">
        <w:rPr>
          <w:rFonts w:asciiTheme="minorHAnsi" w:hAnsiTheme="minorHAnsi"/>
          <w:sz w:val="24"/>
          <w:szCs w:val="24"/>
        </w:rPr>
        <w:t>, 0.1 mM EDTA, pH 6.5 at 25°C) for 10 minutes at room temperature before being added to the CFPS reactions.</w:t>
      </w:r>
    </w:p>
    <w:tbl>
      <w:tblPr>
        <w:tblpPr w:leftFromText="180" w:rightFromText="180" w:vertAnchor="text" w:horzAnchor="margin" w:tblpY="412"/>
        <w:tblW w:w="9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2"/>
        <w:gridCol w:w="1315"/>
        <w:gridCol w:w="5645"/>
      </w:tblGrid>
      <w:tr w:rsidR="00FE6AC8" w:rsidRPr="00FE6AC8" w14:paraId="65D4243D" w14:textId="77777777" w:rsidTr="00FE6AC8">
        <w:trPr>
          <w:trHeight w:val="314"/>
        </w:trPr>
        <w:tc>
          <w:tcPr>
            <w:tcW w:w="2332" w:type="dxa"/>
            <w:shd w:val="clear" w:color="auto" w:fill="auto"/>
            <w:vAlign w:val="center"/>
          </w:tcPr>
          <w:p w14:paraId="2EA42E52" w14:textId="77777777" w:rsidR="00FE6AC8" w:rsidRPr="00FE6AC8" w:rsidRDefault="00FE6AC8" w:rsidP="00FE6AC8">
            <w:pPr>
              <w:spacing w:line="276" w:lineRule="auto"/>
              <w:jc w:val="center"/>
              <w:rPr>
                <w:rFonts w:asciiTheme="minorHAnsi" w:hAnsiTheme="minorHAnsi"/>
                <w:b/>
                <w:sz w:val="24"/>
                <w:szCs w:val="24"/>
              </w:rPr>
            </w:pPr>
            <w:bookmarkStart w:id="4" w:name="_Ref19111110"/>
          </w:p>
        </w:tc>
        <w:tc>
          <w:tcPr>
            <w:tcW w:w="1315" w:type="dxa"/>
            <w:shd w:val="clear" w:color="auto" w:fill="auto"/>
            <w:vAlign w:val="center"/>
          </w:tcPr>
          <w:p w14:paraId="6B91CCBD" w14:textId="77777777" w:rsidR="00FE6AC8" w:rsidRPr="00FE6AC8" w:rsidRDefault="00FE6AC8" w:rsidP="00FE6AC8">
            <w:pPr>
              <w:spacing w:line="276" w:lineRule="auto"/>
              <w:jc w:val="center"/>
              <w:rPr>
                <w:rFonts w:asciiTheme="minorHAnsi" w:hAnsiTheme="minorHAnsi"/>
                <w:b/>
                <w:sz w:val="24"/>
                <w:szCs w:val="24"/>
              </w:rPr>
            </w:pPr>
            <w:r w:rsidRPr="00FE6AC8">
              <w:rPr>
                <w:rFonts w:asciiTheme="minorHAnsi" w:hAnsiTheme="minorHAnsi"/>
                <w:b/>
                <w:sz w:val="24"/>
                <w:szCs w:val="24"/>
              </w:rPr>
              <w:t>Source</w:t>
            </w:r>
          </w:p>
        </w:tc>
        <w:tc>
          <w:tcPr>
            <w:tcW w:w="5645" w:type="dxa"/>
            <w:shd w:val="clear" w:color="auto" w:fill="auto"/>
            <w:vAlign w:val="center"/>
          </w:tcPr>
          <w:p w14:paraId="53685D67" w14:textId="77777777" w:rsidR="00FE6AC8" w:rsidRPr="00FE6AC8" w:rsidRDefault="00FE6AC8" w:rsidP="00FE6AC8">
            <w:pPr>
              <w:spacing w:line="276" w:lineRule="auto"/>
              <w:jc w:val="center"/>
              <w:rPr>
                <w:rFonts w:asciiTheme="minorHAnsi" w:hAnsiTheme="minorHAnsi"/>
                <w:b/>
                <w:sz w:val="24"/>
                <w:szCs w:val="24"/>
              </w:rPr>
            </w:pPr>
            <w:r w:rsidRPr="00FE6AC8">
              <w:rPr>
                <w:rFonts w:asciiTheme="minorHAnsi" w:hAnsiTheme="minorHAnsi"/>
                <w:b/>
                <w:sz w:val="24"/>
                <w:szCs w:val="24"/>
              </w:rPr>
              <w:t>Sequence</w:t>
            </w:r>
          </w:p>
        </w:tc>
      </w:tr>
      <w:tr w:rsidR="00FE6AC8" w:rsidRPr="00FE6AC8" w14:paraId="65D9AD23" w14:textId="77777777" w:rsidTr="00FE6AC8">
        <w:trPr>
          <w:trHeight w:val="753"/>
        </w:trPr>
        <w:tc>
          <w:tcPr>
            <w:tcW w:w="2332" w:type="dxa"/>
            <w:shd w:val="clear" w:color="auto" w:fill="auto"/>
            <w:vAlign w:val="center"/>
          </w:tcPr>
          <w:p w14:paraId="167F209D" w14:textId="77777777" w:rsidR="00FE6AC8" w:rsidRPr="00FE6AC8" w:rsidRDefault="00FE6AC8" w:rsidP="00FE6AC8">
            <w:pPr>
              <w:spacing w:line="276" w:lineRule="auto"/>
              <w:jc w:val="center"/>
              <w:rPr>
                <w:rFonts w:asciiTheme="minorHAnsi" w:hAnsiTheme="minorHAnsi"/>
                <w:b/>
                <w:sz w:val="24"/>
                <w:szCs w:val="24"/>
              </w:rPr>
            </w:pPr>
            <w:r w:rsidRPr="00FE6AC8">
              <w:rPr>
                <w:rFonts w:asciiTheme="minorHAnsi" w:hAnsiTheme="minorHAnsi"/>
                <w:b/>
                <w:sz w:val="24"/>
                <w:szCs w:val="24"/>
              </w:rPr>
              <w:t xml:space="preserve">Alt-R® CRISPR-Cas9 </w:t>
            </w:r>
            <w:proofErr w:type="spellStart"/>
            <w:r w:rsidRPr="00FE6AC8">
              <w:rPr>
                <w:rFonts w:asciiTheme="minorHAnsi" w:hAnsiTheme="minorHAnsi"/>
                <w:b/>
                <w:sz w:val="24"/>
                <w:szCs w:val="24"/>
              </w:rPr>
              <w:t>tracrRNA</w:t>
            </w:r>
            <w:proofErr w:type="spellEnd"/>
          </w:p>
        </w:tc>
        <w:tc>
          <w:tcPr>
            <w:tcW w:w="1315" w:type="dxa"/>
            <w:shd w:val="clear" w:color="auto" w:fill="auto"/>
            <w:vAlign w:val="center"/>
          </w:tcPr>
          <w:p w14:paraId="2612E275" w14:textId="77777777" w:rsidR="00FE6AC8" w:rsidRPr="00FE6AC8" w:rsidRDefault="00FE6AC8" w:rsidP="00FE6AC8">
            <w:pPr>
              <w:spacing w:line="276" w:lineRule="auto"/>
              <w:jc w:val="center"/>
              <w:rPr>
                <w:rFonts w:asciiTheme="minorHAnsi" w:hAnsiTheme="minorHAnsi"/>
                <w:sz w:val="24"/>
                <w:szCs w:val="24"/>
              </w:rPr>
            </w:pPr>
            <w:r w:rsidRPr="00FE6AC8">
              <w:rPr>
                <w:rFonts w:asciiTheme="minorHAnsi" w:hAnsiTheme="minorHAnsi"/>
                <w:sz w:val="24"/>
                <w:szCs w:val="24"/>
              </w:rPr>
              <w:t>IDT</w:t>
            </w:r>
          </w:p>
        </w:tc>
        <w:tc>
          <w:tcPr>
            <w:tcW w:w="5645" w:type="dxa"/>
            <w:shd w:val="clear" w:color="auto" w:fill="auto"/>
            <w:vAlign w:val="center"/>
          </w:tcPr>
          <w:p w14:paraId="3D86578E" w14:textId="77777777" w:rsidR="00FE6AC8" w:rsidRPr="00FE6AC8" w:rsidRDefault="00FE6AC8" w:rsidP="00FE6AC8">
            <w:pPr>
              <w:spacing w:line="276" w:lineRule="auto"/>
              <w:jc w:val="center"/>
              <w:rPr>
                <w:rFonts w:asciiTheme="minorHAnsi" w:hAnsiTheme="minorHAnsi"/>
                <w:sz w:val="24"/>
                <w:szCs w:val="24"/>
              </w:rPr>
            </w:pPr>
            <w:r w:rsidRPr="00FE6AC8">
              <w:rPr>
                <w:rFonts w:asciiTheme="minorHAnsi" w:hAnsiTheme="minorHAnsi"/>
                <w:sz w:val="24"/>
                <w:szCs w:val="24"/>
              </w:rPr>
              <w:t>Proprietary</w:t>
            </w:r>
          </w:p>
        </w:tc>
      </w:tr>
      <w:tr w:rsidR="00FE6AC8" w:rsidRPr="00FE6AC8" w14:paraId="15DE3F49" w14:textId="77777777" w:rsidTr="00FE6AC8">
        <w:trPr>
          <w:trHeight w:val="642"/>
        </w:trPr>
        <w:tc>
          <w:tcPr>
            <w:tcW w:w="2332" w:type="dxa"/>
            <w:vAlign w:val="center"/>
          </w:tcPr>
          <w:p w14:paraId="6AD40DA6" w14:textId="77777777" w:rsidR="00FE6AC8" w:rsidRPr="00FE6AC8" w:rsidRDefault="00FE6AC8" w:rsidP="00FE6AC8">
            <w:pPr>
              <w:spacing w:line="276" w:lineRule="auto"/>
              <w:jc w:val="center"/>
              <w:rPr>
                <w:rFonts w:asciiTheme="minorHAnsi" w:hAnsiTheme="minorHAnsi"/>
                <w:b/>
                <w:sz w:val="24"/>
                <w:szCs w:val="24"/>
              </w:rPr>
            </w:pPr>
            <w:proofErr w:type="spellStart"/>
            <w:r w:rsidRPr="00FE6AC8">
              <w:rPr>
                <w:rFonts w:asciiTheme="minorHAnsi" w:hAnsiTheme="minorHAnsi"/>
                <w:b/>
                <w:sz w:val="24"/>
                <w:szCs w:val="24"/>
              </w:rPr>
              <w:t>crRNA_A</w:t>
            </w:r>
            <w:proofErr w:type="spellEnd"/>
          </w:p>
        </w:tc>
        <w:tc>
          <w:tcPr>
            <w:tcW w:w="1315" w:type="dxa"/>
            <w:vAlign w:val="center"/>
          </w:tcPr>
          <w:p w14:paraId="641C95C2" w14:textId="77777777" w:rsidR="00FE6AC8" w:rsidRPr="00FE6AC8" w:rsidRDefault="00FE6AC8" w:rsidP="00FE6AC8">
            <w:pPr>
              <w:spacing w:line="276" w:lineRule="auto"/>
              <w:jc w:val="center"/>
              <w:rPr>
                <w:rFonts w:asciiTheme="minorHAnsi" w:hAnsiTheme="minorHAnsi"/>
                <w:sz w:val="24"/>
                <w:szCs w:val="24"/>
              </w:rPr>
            </w:pPr>
            <w:r w:rsidRPr="00FE6AC8">
              <w:rPr>
                <w:rFonts w:asciiTheme="minorHAnsi" w:hAnsiTheme="minorHAnsi"/>
                <w:sz w:val="24"/>
                <w:szCs w:val="24"/>
              </w:rPr>
              <w:t>IDT</w:t>
            </w:r>
          </w:p>
        </w:tc>
        <w:tc>
          <w:tcPr>
            <w:tcW w:w="5645" w:type="dxa"/>
            <w:vAlign w:val="center"/>
          </w:tcPr>
          <w:p w14:paraId="37AA2871" w14:textId="77777777" w:rsidR="00FE6AC8" w:rsidRPr="00FE6AC8" w:rsidRDefault="00FE6AC8" w:rsidP="00FE6AC8">
            <w:pPr>
              <w:spacing w:line="276" w:lineRule="auto"/>
              <w:jc w:val="center"/>
              <w:rPr>
                <w:rFonts w:asciiTheme="minorHAnsi" w:hAnsiTheme="minorHAnsi"/>
                <w:sz w:val="24"/>
                <w:szCs w:val="24"/>
              </w:rPr>
            </w:pPr>
            <w:r w:rsidRPr="00FE6AC8">
              <w:rPr>
                <w:rFonts w:asciiTheme="minorHAnsi" w:hAnsiTheme="minorHAnsi"/>
                <w:sz w:val="24"/>
                <w:szCs w:val="24"/>
              </w:rPr>
              <w:t>rCrGrUrCrGrGrCrUrUrCrArCrCrUrArCrGrArGrCrGrUrUrUrUrArGrArGrCrUrArUrGrCrU/AlTR2</w:t>
            </w:r>
          </w:p>
        </w:tc>
      </w:tr>
      <w:tr w:rsidR="00FE6AC8" w:rsidRPr="00FE6AC8" w14:paraId="463A6120" w14:textId="77777777" w:rsidTr="00FE6AC8">
        <w:trPr>
          <w:trHeight w:val="629"/>
        </w:trPr>
        <w:tc>
          <w:tcPr>
            <w:tcW w:w="2332" w:type="dxa"/>
            <w:vAlign w:val="center"/>
          </w:tcPr>
          <w:p w14:paraId="0A2E8AE5" w14:textId="77777777" w:rsidR="00FE6AC8" w:rsidRPr="00FE6AC8" w:rsidRDefault="00FE6AC8" w:rsidP="00FE6AC8">
            <w:pPr>
              <w:spacing w:line="276" w:lineRule="auto"/>
              <w:jc w:val="center"/>
              <w:rPr>
                <w:rFonts w:asciiTheme="minorHAnsi" w:hAnsiTheme="minorHAnsi"/>
                <w:b/>
                <w:sz w:val="24"/>
                <w:szCs w:val="24"/>
              </w:rPr>
            </w:pPr>
            <w:proofErr w:type="spellStart"/>
            <w:r w:rsidRPr="00FE6AC8">
              <w:rPr>
                <w:rFonts w:asciiTheme="minorHAnsi" w:hAnsiTheme="minorHAnsi"/>
                <w:b/>
                <w:sz w:val="24"/>
                <w:szCs w:val="24"/>
              </w:rPr>
              <w:t>crRNA_B</w:t>
            </w:r>
            <w:proofErr w:type="spellEnd"/>
          </w:p>
        </w:tc>
        <w:tc>
          <w:tcPr>
            <w:tcW w:w="1315" w:type="dxa"/>
            <w:vAlign w:val="center"/>
          </w:tcPr>
          <w:p w14:paraId="36932F96" w14:textId="77777777" w:rsidR="00FE6AC8" w:rsidRPr="00FE6AC8" w:rsidRDefault="00FE6AC8" w:rsidP="00FE6AC8">
            <w:pPr>
              <w:spacing w:line="276" w:lineRule="auto"/>
              <w:jc w:val="center"/>
              <w:rPr>
                <w:rFonts w:asciiTheme="minorHAnsi" w:hAnsiTheme="minorHAnsi"/>
                <w:sz w:val="24"/>
                <w:szCs w:val="24"/>
              </w:rPr>
            </w:pPr>
            <w:r w:rsidRPr="00FE6AC8">
              <w:rPr>
                <w:rFonts w:asciiTheme="minorHAnsi" w:hAnsiTheme="minorHAnsi"/>
                <w:sz w:val="24"/>
                <w:szCs w:val="24"/>
              </w:rPr>
              <w:t>IDT</w:t>
            </w:r>
          </w:p>
        </w:tc>
        <w:tc>
          <w:tcPr>
            <w:tcW w:w="5645" w:type="dxa"/>
            <w:vAlign w:val="center"/>
          </w:tcPr>
          <w:p w14:paraId="47955067" w14:textId="77777777" w:rsidR="00FE6AC8" w:rsidRPr="00FE6AC8" w:rsidRDefault="00FE6AC8" w:rsidP="00FE6AC8">
            <w:pPr>
              <w:spacing w:line="276" w:lineRule="auto"/>
              <w:jc w:val="center"/>
              <w:rPr>
                <w:rFonts w:asciiTheme="minorHAnsi" w:hAnsiTheme="minorHAnsi"/>
                <w:sz w:val="24"/>
                <w:szCs w:val="24"/>
              </w:rPr>
            </w:pPr>
            <w:r w:rsidRPr="00FE6AC8">
              <w:rPr>
                <w:rFonts w:asciiTheme="minorHAnsi" w:hAnsiTheme="minorHAnsi"/>
                <w:sz w:val="24"/>
                <w:szCs w:val="24"/>
              </w:rPr>
              <w:t>rCrCrCrGrUrCrGrUrCrArGrArGrUrGrCrGrArArGrGrUrUrUrUrArGrArGrCrUrArUrGrCrU/AlTR2</w:t>
            </w:r>
          </w:p>
        </w:tc>
      </w:tr>
    </w:tbl>
    <w:p w14:paraId="48ACDD12" w14:textId="77777777" w:rsidR="00FE6AC8" w:rsidRPr="00FE6AC8" w:rsidRDefault="00FE6AC8" w:rsidP="00FE6AC8">
      <w:pPr>
        <w:spacing w:line="480" w:lineRule="auto"/>
        <w:rPr>
          <w:rFonts w:asciiTheme="minorHAnsi" w:hAnsiTheme="minorHAnsi"/>
          <w:b/>
          <w:sz w:val="24"/>
          <w:szCs w:val="24"/>
        </w:rPr>
      </w:pPr>
      <w:r w:rsidRPr="00FE6AC8">
        <w:rPr>
          <w:rFonts w:asciiTheme="minorHAnsi" w:hAnsiTheme="minorHAnsi"/>
          <w:b/>
          <w:sz w:val="24"/>
          <w:szCs w:val="24"/>
        </w:rPr>
        <w:t xml:space="preserve">Table </w:t>
      </w:r>
      <w:bookmarkEnd w:id="4"/>
      <w:r>
        <w:rPr>
          <w:rFonts w:asciiTheme="minorHAnsi" w:hAnsiTheme="minorHAnsi"/>
          <w:b/>
          <w:noProof/>
          <w:sz w:val="24"/>
          <w:szCs w:val="24"/>
        </w:rPr>
        <w:t>2</w:t>
      </w:r>
      <w:r w:rsidR="009B7609">
        <w:rPr>
          <w:rFonts w:asciiTheme="minorHAnsi" w:hAnsiTheme="minorHAnsi"/>
          <w:b/>
          <w:sz w:val="24"/>
          <w:szCs w:val="24"/>
        </w:rPr>
        <w:t xml:space="preserve">  </w:t>
      </w:r>
      <w:r w:rsidRPr="00FE6AC8">
        <w:rPr>
          <w:rFonts w:asciiTheme="minorHAnsi" w:hAnsiTheme="minorHAnsi"/>
          <w:b/>
          <w:sz w:val="24"/>
          <w:szCs w:val="24"/>
        </w:rPr>
        <w:t>Synthetic sgRNA oligos.</w:t>
      </w:r>
    </w:p>
    <w:p w14:paraId="2AA9CA37" w14:textId="77777777" w:rsidR="00FE6AC8" w:rsidRPr="00FE6AC8" w:rsidRDefault="00FE6AC8" w:rsidP="00FE6AC8">
      <w:pPr>
        <w:spacing w:line="480" w:lineRule="auto"/>
        <w:rPr>
          <w:b/>
          <w:sz w:val="24"/>
          <w:szCs w:val="24"/>
        </w:rPr>
      </w:pPr>
      <w:r w:rsidRPr="00FE6AC8">
        <w:rPr>
          <w:b/>
          <w:sz w:val="24"/>
          <w:szCs w:val="24"/>
        </w:rPr>
        <w:t xml:space="preserve">Cloning of </w:t>
      </w:r>
      <w:proofErr w:type="spellStart"/>
      <w:r w:rsidRPr="00FE6AC8">
        <w:rPr>
          <w:b/>
          <w:sz w:val="24"/>
          <w:szCs w:val="24"/>
        </w:rPr>
        <w:t>pCFE</w:t>
      </w:r>
      <w:proofErr w:type="spellEnd"/>
      <w:r w:rsidRPr="00FE6AC8">
        <w:rPr>
          <w:b/>
          <w:sz w:val="24"/>
          <w:szCs w:val="24"/>
        </w:rPr>
        <w:t>-GFP-</w:t>
      </w:r>
      <w:proofErr w:type="spellStart"/>
      <w:r w:rsidRPr="00FE6AC8">
        <w:rPr>
          <w:b/>
          <w:sz w:val="24"/>
          <w:szCs w:val="24"/>
        </w:rPr>
        <w:t>MGapt</w:t>
      </w:r>
      <w:proofErr w:type="spellEnd"/>
      <w:r w:rsidRPr="00FE6AC8">
        <w:rPr>
          <w:b/>
          <w:sz w:val="24"/>
          <w:szCs w:val="24"/>
        </w:rPr>
        <w:t xml:space="preserve"> constructs</w:t>
      </w:r>
    </w:p>
    <w:p w14:paraId="4EBF6F2E" w14:textId="77777777" w:rsidR="00FE6AC8" w:rsidRPr="00FE6AC8" w:rsidRDefault="00FE6AC8" w:rsidP="00FE6AC8">
      <w:pPr>
        <w:spacing w:line="480" w:lineRule="auto"/>
        <w:rPr>
          <w:sz w:val="24"/>
          <w:szCs w:val="24"/>
        </w:rPr>
      </w:pPr>
      <w:r w:rsidRPr="00FE6AC8">
        <w:rPr>
          <w:sz w:val="24"/>
          <w:szCs w:val="24"/>
        </w:rPr>
        <w:t xml:space="preserve">Two malachite green aptamer sequences were synthesised as DNA fragments by Integrated DNA Technologies (IDT), varying only in the linker sequences flanking the aptamer encoding region (Supplementary Figure 3 and Supplementary Table </w:t>
      </w:r>
      <w:r w:rsidR="000A1EBE">
        <w:rPr>
          <w:sz w:val="24"/>
          <w:szCs w:val="24"/>
        </w:rPr>
        <w:t>4</w:t>
      </w:r>
      <w:r w:rsidRPr="00FE6AC8">
        <w:rPr>
          <w:sz w:val="24"/>
          <w:szCs w:val="24"/>
        </w:rPr>
        <w:t xml:space="preserve">). The aptamer DNA was ligated into </w:t>
      </w:r>
      <w:proofErr w:type="spellStart"/>
      <w:r w:rsidRPr="00FE6AC8">
        <w:rPr>
          <w:sz w:val="24"/>
          <w:szCs w:val="24"/>
        </w:rPr>
        <w:t>pCFE</w:t>
      </w:r>
      <w:proofErr w:type="spellEnd"/>
      <w:r w:rsidRPr="00FE6AC8">
        <w:rPr>
          <w:sz w:val="24"/>
          <w:szCs w:val="24"/>
        </w:rPr>
        <w:t xml:space="preserve">-GFP using the restriction enzymes </w:t>
      </w:r>
      <w:proofErr w:type="spellStart"/>
      <w:r w:rsidRPr="00FE6AC8">
        <w:rPr>
          <w:i/>
          <w:sz w:val="24"/>
          <w:szCs w:val="24"/>
        </w:rPr>
        <w:t>XhoI</w:t>
      </w:r>
      <w:proofErr w:type="spellEnd"/>
      <w:r w:rsidRPr="00FE6AC8">
        <w:rPr>
          <w:i/>
          <w:sz w:val="24"/>
          <w:szCs w:val="24"/>
        </w:rPr>
        <w:t xml:space="preserve"> </w:t>
      </w:r>
      <w:r w:rsidRPr="00FE6AC8">
        <w:rPr>
          <w:sz w:val="24"/>
          <w:szCs w:val="24"/>
        </w:rPr>
        <w:t xml:space="preserve">and </w:t>
      </w:r>
      <w:proofErr w:type="spellStart"/>
      <w:r w:rsidRPr="00FE6AC8">
        <w:rPr>
          <w:i/>
          <w:sz w:val="24"/>
          <w:szCs w:val="24"/>
        </w:rPr>
        <w:t>BglII</w:t>
      </w:r>
      <w:proofErr w:type="spellEnd"/>
      <w:r w:rsidRPr="00FE6AC8">
        <w:rPr>
          <w:sz w:val="24"/>
          <w:szCs w:val="24"/>
        </w:rPr>
        <w:t xml:space="preserve"> (New England </w:t>
      </w:r>
      <w:proofErr w:type="spellStart"/>
      <w:r w:rsidRPr="00FE6AC8">
        <w:rPr>
          <w:sz w:val="24"/>
          <w:szCs w:val="24"/>
        </w:rPr>
        <w:t>BioLabs</w:t>
      </w:r>
      <w:proofErr w:type="spellEnd"/>
      <w:r w:rsidRPr="00FE6AC8">
        <w:rPr>
          <w:sz w:val="24"/>
          <w:szCs w:val="24"/>
        </w:rPr>
        <w:t xml:space="preserve"> Inc.).  </w:t>
      </w:r>
    </w:p>
    <w:p w14:paraId="21191154" w14:textId="77777777" w:rsidR="00FE6AC8" w:rsidRPr="00FE6AC8" w:rsidRDefault="00FE6AC8" w:rsidP="00FE6AC8">
      <w:pPr>
        <w:spacing w:line="480" w:lineRule="auto"/>
        <w:rPr>
          <w:b/>
          <w:sz w:val="24"/>
          <w:szCs w:val="24"/>
        </w:rPr>
      </w:pPr>
      <w:r w:rsidRPr="00FE6AC8">
        <w:rPr>
          <w:b/>
          <w:sz w:val="24"/>
          <w:szCs w:val="24"/>
        </w:rPr>
        <w:t xml:space="preserve">Testing </w:t>
      </w:r>
      <w:proofErr w:type="spellStart"/>
      <w:r w:rsidRPr="00FE6AC8">
        <w:rPr>
          <w:b/>
          <w:sz w:val="24"/>
          <w:szCs w:val="24"/>
        </w:rPr>
        <w:t>pCFE</w:t>
      </w:r>
      <w:proofErr w:type="spellEnd"/>
      <w:r w:rsidRPr="00FE6AC8">
        <w:rPr>
          <w:b/>
          <w:sz w:val="24"/>
          <w:szCs w:val="24"/>
        </w:rPr>
        <w:t>-GFP-</w:t>
      </w:r>
      <w:proofErr w:type="spellStart"/>
      <w:r w:rsidRPr="00FE6AC8">
        <w:rPr>
          <w:b/>
          <w:sz w:val="24"/>
          <w:szCs w:val="24"/>
        </w:rPr>
        <w:t>MGapt</w:t>
      </w:r>
      <w:proofErr w:type="spellEnd"/>
      <w:r w:rsidRPr="00FE6AC8">
        <w:rPr>
          <w:b/>
          <w:sz w:val="24"/>
          <w:szCs w:val="24"/>
        </w:rPr>
        <w:t xml:space="preserve"> constructs</w:t>
      </w:r>
    </w:p>
    <w:p w14:paraId="59BA8048" w14:textId="77777777" w:rsidR="00FE6AC8" w:rsidRPr="00FE6AC8" w:rsidRDefault="00FE6AC8" w:rsidP="00FE6AC8">
      <w:pPr>
        <w:spacing w:line="480" w:lineRule="auto"/>
        <w:rPr>
          <w:sz w:val="24"/>
          <w:szCs w:val="24"/>
        </w:rPr>
      </w:pPr>
      <w:r w:rsidRPr="00FE6AC8">
        <w:rPr>
          <w:sz w:val="24"/>
          <w:szCs w:val="24"/>
        </w:rPr>
        <w:t xml:space="preserve">1-Step Human Coupled IVT Kit (Thermo Fisher Scientific, #88881) was used to test the malachite green aptamer constructs. Reaction components were used in accordance with the </w:t>
      </w:r>
      <w:r w:rsidRPr="00FE6AC8">
        <w:rPr>
          <w:sz w:val="24"/>
          <w:szCs w:val="24"/>
        </w:rPr>
        <w:lastRenderedPageBreak/>
        <w:t xml:space="preserve">manufacturer's protocol with two alterations; 25 </w:t>
      </w:r>
      <w:proofErr w:type="spellStart"/>
      <w:r w:rsidRPr="00FE6AC8">
        <w:rPr>
          <w:sz w:val="24"/>
          <w:szCs w:val="24"/>
        </w:rPr>
        <w:t>μM</w:t>
      </w:r>
      <w:proofErr w:type="spellEnd"/>
      <w:r w:rsidRPr="00FE6AC8">
        <w:rPr>
          <w:sz w:val="24"/>
          <w:szCs w:val="24"/>
        </w:rPr>
        <w:t xml:space="preserve"> malachite green dye (final concentration) and 68 </w:t>
      </w:r>
      <w:proofErr w:type="spellStart"/>
      <w:r w:rsidRPr="00FE6AC8">
        <w:rPr>
          <w:sz w:val="24"/>
          <w:szCs w:val="24"/>
        </w:rPr>
        <w:t>nM</w:t>
      </w:r>
      <w:proofErr w:type="spellEnd"/>
      <w:r w:rsidRPr="00FE6AC8">
        <w:rPr>
          <w:sz w:val="24"/>
          <w:szCs w:val="24"/>
        </w:rPr>
        <w:t xml:space="preserve"> of plasmid DNA was added.   Fluorescence output was detected using the </w:t>
      </w:r>
      <w:proofErr w:type="spellStart"/>
      <w:r w:rsidRPr="00FE6AC8">
        <w:rPr>
          <w:sz w:val="24"/>
          <w:szCs w:val="24"/>
        </w:rPr>
        <w:t>CLARIOstar</w:t>
      </w:r>
      <w:proofErr w:type="spellEnd"/>
      <w:r w:rsidRPr="00FE6AC8">
        <w:rPr>
          <w:sz w:val="24"/>
          <w:szCs w:val="24"/>
        </w:rPr>
        <w:t xml:space="preserve"> </w:t>
      </w:r>
      <w:proofErr w:type="spellStart"/>
      <w:r w:rsidRPr="00FE6AC8">
        <w:rPr>
          <w:sz w:val="24"/>
          <w:szCs w:val="24"/>
        </w:rPr>
        <w:t>platereader</w:t>
      </w:r>
      <w:proofErr w:type="spellEnd"/>
      <w:r w:rsidRPr="00FE6AC8">
        <w:rPr>
          <w:sz w:val="24"/>
          <w:szCs w:val="24"/>
        </w:rPr>
        <w:t xml:space="preserve"> (BMG LABTECH) at excitation 610 nm and emission 650 nm for malachite green detection and excitation 483 nm and emission 530 nm for GFP detection. Reactions were run at 30°C with measurements taken every 2 minutes for 10 hours.</w:t>
      </w:r>
    </w:p>
    <w:p w14:paraId="62D82FE8" w14:textId="77777777" w:rsidR="00FE6AC8" w:rsidRPr="005747C9" w:rsidRDefault="00FE6AC8" w:rsidP="00FE6AC8">
      <w:pPr>
        <w:spacing w:line="480" w:lineRule="auto"/>
        <w:rPr>
          <w:b/>
          <w:sz w:val="24"/>
          <w:szCs w:val="24"/>
        </w:rPr>
      </w:pPr>
      <w:r w:rsidRPr="005747C9">
        <w:rPr>
          <w:b/>
          <w:sz w:val="24"/>
          <w:szCs w:val="24"/>
        </w:rPr>
        <w:t>CFPS</w:t>
      </w:r>
    </w:p>
    <w:p w14:paraId="1AB2CAC0" w14:textId="77777777" w:rsidR="00FE6AC8" w:rsidRPr="005747C9" w:rsidRDefault="00FE6AC8" w:rsidP="00FE6AC8">
      <w:pPr>
        <w:spacing w:line="480" w:lineRule="auto"/>
        <w:rPr>
          <w:sz w:val="24"/>
          <w:szCs w:val="24"/>
        </w:rPr>
      </w:pPr>
      <w:r w:rsidRPr="005747C9">
        <w:rPr>
          <w:sz w:val="24"/>
          <w:szCs w:val="24"/>
        </w:rPr>
        <w:t xml:space="preserve">The CFPS reactions were prepared using a master mix of the 1-Step Human Coupled IVT Kit (Thermo Fisher Scientific, #88881) components (lysate, accessory proteins, energy mix). Dilutions of the other components such as DNA, protein or RNA were prepared in 384-polypropylene plates and equal volumes of these diluted samples were transferred to the wells in the 384-destination plate (Small </w:t>
      </w:r>
      <w:proofErr w:type="spellStart"/>
      <w:r w:rsidRPr="005747C9">
        <w:rPr>
          <w:sz w:val="24"/>
          <w:szCs w:val="24"/>
        </w:rPr>
        <w:t>VolumeTM</w:t>
      </w:r>
      <w:proofErr w:type="spellEnd"/>
      <w:r w:rsidRPr="005747C9">
        <w:rPr>
          <w:sz w:val="24"/>
          <w:szCs w:val="24"/>
        </w:rPr>
        <w:t xml:space="preserve">, </w:t>
      </w:r>
      <w:proofErr w:type="spellStart"/>
      <w:r w:rsidRPr="005747C9">
        <w:rPr>
          <w:sz w:val="24"/>
          <w:szCs w:val="24"/>
        </w:rPr>
        <w:t>LoBase</w:t>
      </w:r>
      <w:proofErr w:type="spellEnd"/>
      <w:r w:rsidRPr="005747C9">
        <w:rPr>
          <w:sz w:val="24"/>
          <w:szCs w:val="24"/>
        </w:rPr>
        <w:t>, Greiner Bio-One) to achieve a range of concentrations. The location of the reactions was randomly allocated on the plate using Python scripts. The DNA, protein and RNA components were transferred first, using the AQ_BP setting of the Echo 525 (</w:t>
      </w:r>
      <w:proofErr w:type="spellStart"/>
      <w:r w:rsidRPr="005747C9">
        <w:rPr>
          <w:sz w:val="24"/>
          <w:szCs w:val="24"/>
        </w:rPr>
        <w:t>Labcyte</w:t>
      </w:r>
      <w:proofErr w:type="spellEnd"/>
      <w:r w:rsidRPr="005747C9">
        <w:rPr>
          <w:sz w:val="24"/>
          <w:szCs w:val="24"/>
        </w:rPr>
        <w:t xml:space="preserve"> Inc.). </w:t>
      </w:r>
      <w:proofErr w:type="spellStart"/>
      <w:r w:rsidRPr="005747C9">
        <w:rPr>
          <w:sz w:val="24"/>
          <w:szCs w:val="24"/>
        </w:rPr>
        <w:t>MilliQ</w:t>
      </w:r>
      <w:proofErr w:type="spellEnd"/>
      <w:r w:rsidRPr="005747C9">
        <w:rPr>
          <w:sz w:val="24"/>
          <w:szCs w:val="24"/>
        </w:rPr>
        <w:t xml:space="preserve"> water was used in blank reactions. Then, the master mix was transferred using the GSPA liquid setting and the plate was briefly centrifuged for mixing, sealed to minimise evaporation and put into a plate reader pre-heated to 37°C. The plate reader used for measurement of GFP fluorescence in automated experiments was the </w:t>
      </w:r>
      <w:proofErr w:type="spellStart"/>
      <w:r w:rsidRPr="005747C9">
        <w:rPr>
          <w:sz w:val="24"/>
          <w:szCs w:val="24"/>
        </w:rPr>
        <w:t>BioTek</w:t>
      </w:r>
      <w:proofErr w:type="spellEnd"/>
      <w:r w:rsidRPr="005747C9">
        <w:rPr>
          <w:sz w:val="24"/>
          <w:szCs w:val="24"/>
        </w:rPr>
        <w:t xml:space="preserve"> Synergy™ MX, at 470/515 nm excitation and emission settings, bottom optic reading, normal read speed, 100 </w:t>
      </w:r>
      <w:proofErr w:type="spellStart"/>
      <w:r w:rsidRPr="005747C9">
        <w:rPr>
          <w:sz w:val="24"/>
          <w:szCs w:val="24"/>
        </w:rPr>
        <w:t>ms</w:t>
      </w:r>
      <w:proofErr w:type="spellEnd"/>
      <w:r w:rsidRPr="005747C9">
        <w:rPr>
          <w:sz w:val="24"/>
          <w:szCs w:val="24"/>
        </w:rPr>
        <w:t xml:space="preserve"> delay, 10 measurements and 8 mm read height.</w:t>
      </w:r>
    </w:p>
    <w:p w14:paraId="5818D7B4" w14:textId="77777777" w:rsidR="00675E9E" w:rsidRPr="005747C9" w:rsidRDefault="00675E9E" w:rsidP="00675E9E">
      <w:pPr>
        <w:spacing w:line="480" w:lineRule="auto"/>
        <w:rPr>
          <w:sz w:val="24"/>
          <w:szCs w:val="24"/>
        </w:rPr>
      </w:pPr>
      <w:r w:rsidRPr="005747C9">
        <w:rPr>
          <w:sz w:val="24"/>
          <w:szCs w:val="24"/>
        </w:rPr>
        <w:t xml:space="preserve">For constitutive expression (T7 library and IRES library) experiments, DNA samples were quantified using the </w:t>
      </w:r>
      <w:proofErr w:type="spellStart"/>
      <w:r w:rsidRPr="005747C9">
        <w:rPr>
          <w:sz w:val="24"/>
          <w:szCs w:val="24"/>
        </w:rPr>
        <w:t>PicoGreen</w:t>
      </w:r>
      <w:proofErr w:type="spellEnd"/>
      <w:r w:rsidRPr="005747C9">
        <w:rPr>
          <w:sz w:val="24"/>
          <w:szCs w:val="24"/>
        </w:rPr>
        <w:t xml:space="preserve"> method and adjusted to a 100 ng/µL stock concentration. A </w:t>
      </w:r>
      <w:r w:rsidRPr="005747C9">
        <w:rPr>
          <w:sz w:val="24"/>
          <w:szCs w:val="24"/>
        </w:rPr>
        <w:lastRenderedPageBreak/>
        <w:t xml:space="preserve">range of dilutions were then prepared in 384-polypropylene plates and used for transfer to 384-Small </w:t>
      </w:r>
      <w:proofErr w:type="spellStart"/>
      <w:r w:rsidRPr="005747C9">
        <w:rPr>
          <w:sz w:val="24"/>
          <w:szCs w:val="24"/>
        </w:rPr>
        <w:t>Volume</w:t>
      </w:r>
      <w:r w:rsidRPr="005747C9">
        <w:rPr>
          <w:sz w:val="24"/>
          <w:szCs w:val="24"/>
          <w:vertAlign w:val="superscript"/>
        </w:rPr>
        <w:t>TM</w:t>
      </w:r>
      <w:proofErr w:type="spellEnd"/>
      <w:r w:rsidRPr="005747C9">
        <w:rPr>
          <w:sz w:val="24"/>
          <w:szCs w:val="24"/>
        </w:rPr>
        <w:t xml:space="preserve"> plates at 500 </w:t>
      </w:r>
      <w:proofErr w:type="spellStart"/>
      <w:r w:rsidRPr="005747C9">
        <w:rPr>
          <w:sz w:val="24"/>
          <w:szCs w:val="24"/>
        </w:rPr>
        <w:t>nL</w:t>
      </w:r>
      <w:proofErr w:type="spellEnd"/>
      <w:r w:rsidRPr="005747C9">
        <w:rPr>
          <w:sz w:val="24"/>
          <w:szCs w:val="24"/>
        </w:rPr>
        <w:t xml:space="preserve"> total volume for each CFPS reaction.</w:t>
      </w:r>
    </w:p>
    <w:p w14:paraId="4C17F7D2" w14:textId="77777777" w:rsidR="00675E9E" w:rsidRPr="005747C9" w:rsidRDefault="00675E9E" w:rsidP="00675E9E">
      <w:pPr>
        <w:spacing w:line="480" w:lineRule="auto"/>
        <w:rPr>
          <w:sz w:val="24"/>
          <w:szCs w:val="24"/>
        </w:rPr>
      </w:pPr>
      <w:r w:rsidRPr="005747C9">
        <w:rPr>
          <w:sz w:val="24"/>
          <w:szCs w:val="24"/>
        </w:rPr>
        <w:t xml:space="preserve">For L7Ae regulated expression, L7Ae protein in storage buffer (20 mM HEPES-KOH at pH 7.5, 150 mM </w:t>
      </w:r>
      <w:proofErr w:type="spellStart"/>
      <w:r w:rsidRPr="005747C9">
        <w:rPr>
          <w:sz w:val="24"/>
          <w:szCs w:val="24"/>
        </w:rPr>
        <w:t>KCl</w:t>
      </w:r>
      <w:proofErr w:type="spellEnd"/>
      <w:r w:rsidRPr="005747C9">
        <w:rPr>
          <w:sz w:val="24"/>
          <w:szCs w:val="24"/>
        </w:rPr>
        <w:t>, 1.5 mM MgCl</w:t>
      </w:r>
      <w:r w:rsidRPr="005747C9">
        <w:rPr>
          <w:sz w:val="24"/>
          <w:szCs w:val="24"/>
          <w:vertAlign w:val="subscript"/>
        </w:rPr>
        <w:t>2</w:t>
      </w:r>
      <w:r w:rsidRPr="005747C9">
        <w:rPr>
          <w:sz w:val="24"/>
          <w:szCs w:val="24"/>
        </w:rPr>
        <w:t xml:space="preserve">, and 40% glycerol) was defrosted on ice, diluted 10-fold in buffer (20 mM HEPES-KOH at pH 7.5, 150 mM </w:t>
      </w:r>
      <w:proofErr w:type="spellStart"/>
      <w:r w:rsidRPr="005747C9">
        <w:rPr>
          <w:sz w:val="24"/>
          <w:szCs w:val="24"/>
        </w:rPr>
        <w:t>KCl</w:t>
      </w:r>
      <w:proofErr w:type="spellEnd"/>
      <w:r w:rsidRPr="005747C9">
        <w:rPr>
          <w:sz w:val="24"/>
          <w:szCs w:val="24"/>
        </w:rPr>
        <w:t>, 1.5 mM MgCl</w:t>
      </w:r>
      <w:r w:rsidRPr="005747C9">
        <w:rPr>
          <w:sz w:val="24"/>
          <w:szCs w:val="24"/>
          <w:vertAlign w:val="subscript"/>
        </w:rPr>
        <w:t>2</w:t>
      </w:r>
      <w:r w:rsidRPr="005747C9">
        <w:rPr>
          <w:sz w:val="24"/>
          <w:szCs w:val="24"/>
        </w:rPr>
        <w:t xml:space="preserve">, and 5% glycerol) and dilutions for experiments were prepared. The DNA samples and L7Ae were transferred in one run from the same source-plates, the DNA accounted for 250 </w:t>
      </w:r>
      <w:proofErr w:type="spellStart"/>
      <w:r w:rsidRPr="005747C9">
        <w:rPr>
          <w:sz w:val="24"/>
          <w:szCs w:val="24"/>
        </w:rPr>
        <w:t>nL</w:t>
      </w:r>
      <w:proofErr w:type="spellEnd"/>
      <w:r w:rsidRPr="005747C9">
        <w:rPr>
          <w:sz w:val="24"/>
          <w:szCs w:val="24"/>
        </w:rPr>
        <w:t xml:space="preserve"> and L7Ae for 250 </w:t>
      </w:r>
      <w:proofErr w:type="spellStart"/>
      <w:r w:rsidRPr="005747C9">
        <w:rPr>
          <w:sz w:val="24"/>
          <w:szCs w:val="24"/>
        </w:rPr>
        <w:t>nL</w:t>
      </w:r>
      <w:proofErr w:type="spellEnd"/>
      <w:r w:rsidRPr="005747C9">
        <w:rPr>
          <w:sz w:val="24"/>
          <w:szCs w:val="24"/>
        </w:rPr>
        <w:t xml:space="preserve"> volume in the reaction.</w:t>
      </w:r>
    </w:p>
    <w:p w14:paraId="4E8B0E8D" w14:textId="77777777" w:rsidR="00675E9E" w:rsidRDefault="00675E9E" w:rsidP="00675E9E">
      <w:pPr>
        <w:spacing w:line="480" w:lineRule="auto"/>
        <w:rPr>
          <w:sz w:val="24"/>
          <w:szCs w:val="24"/>
        </w:rPr>
      </w:pPr>
      <w:r>
        <w:rPr>
          <w:sz w:val="24"/>
          <w:szCs w:val="24"/>
        </w:rPr>
        <w:t xml:space="preserve">For dCas9 regulated expression, dCas9 protein in storage buffer was defrosted on ice, diluted 10-fold in dCas9 storage buffer and used for the preparation of the dCas9-sgRNA complex. Annealed sgRNA and dCas9 were mixed at equimolar concentrations and incubated at room temperature for 10 minutes. Dilutions of the complex were prepared in 384-polypropylene plates and used for transfer to 384-V bottom plates. </w:t>
      </w:r>
      <w:r w:rsidRPr="00A609D1">
        <w:rPr>
          <w:sz w:val="24"/>
          <w:szCs w:val="24"/>
        </w:rPr>
        <w:t xml:space="preserve">CFPS reactions contained 125 </w:t>
      </w:r>
      <w:proofErr w:type="spellStart"/>
      <w:r w:rsidRPr="00A609D1">
        <w:rPr>
          <w:sz w:val="24"/>
          <w:szCs w:val="24"/>
        </w:rPr>
        <w:t>nL</w:t>
      </w:r>
      <w:proofErr w:type="spellEnd"/>
      <w:r w:rsidRPr="00A609D1">
        <w:rPr>
          <w:sz w:val="24"/>
          <w:szCs w:val="24"/>
        </w:rPr>
        <w:t xml:space="preserve"> DNA and 375 </w:t>
      </w:r>
      <w:proofErr w:type="spellStart"/>
      <w:r w:rsidRPr="00A609D1">
        <w:rPr>
          <w:sz w:val="24"/>
          <w:szCs w:val="24"/>
        </w:rPr>
        <w:t>nL</w:t>
      </w:r>
      <w:proofErr w:type="spellEnd"/>
      <w:r w:rsidRPr="00A609D1">
        <w:rPr>
          <w:sz w:val="24"/>
          <w:szCs w:val="24"/>
        </w:rPr>
        <w:t xml:space="preserve"> dCas9-sgRNA complex in terms of volume.</w:t>
      </w:r>
    </w:p>
    <w:p w14:paraId="47BA1A34" w14:textId="77777777" w:rsidR="00675E9E" w:rsidRDefault="00675E9E" w:rsidP="00675E9E">
      <w:pPr>
        <w:spacing w:after="0" w:line="480" w:lineRule="auto"/>
        <w:rPr>
          <w:b/>
          <w:sz w:val="24"/>
          <w:szCs w:val="24"/>
        </w:rPr>
      </w:pPr>
      <w:r>
        <w:rPr>
          <w:b/>
          <w:sz w:val="24"/>
          <w:szCs w:val="24"/>
        </w:rPr>
        <w:t xml:space="preserve">Unit conversion and </w:t>
      </w:r>
      <w:r w:rsidRPr="003760D8">
        <w:rPr>
          <w:rFonts w:asciiTheme="minorHAnsi" w:hAnsiTheme="minorHAnsi"/>
          <w:b/>
          <w:sz w:val="24"/>
          <w:szCs w:val="24"/>
        </w:rPr>
        <w:t>data analysis</w:t>
      </w:r>
    </w:p>
    <w:p w14:paraId="498C14B5" w14:textId="1AE58F7C" w:rsidR="00675E9E" w:rsidRDefault="00675E9E" w:rsidP="00675E9E">
      <w:pPr>
        <w:spacing w:line="480" w:lineRule="auto"/>
        <w:rPr>
          <w:sz w:val="24"/>
          <w:szCs w:val="24"/>
        </w:rPr>
      </w:pPr>
      <w:r>
        <w:rPr>
          <w:sz w:val="24"/>
          <w:szCs w:val="24"/>
        </w:rPr>
        <w:t xml:space="preserve">A GFP unit conversion curve was obtained with various concentrations of purified </w:t>
      </w:r>
      <w:proofErr w:type="spellStart"/>
      <w:r>
        <w:rPr>
          <w:sz w:val="24"/>
          <w:szCs w:val="24"/>
        </w:rPr>
        <w:t>TurboGFP</w:t>
      </w:r>
      <w:proofErr w:type="spellEnd"/>
      <w:r>
        <w:rPr>
          <w:sz w:val="24"/>
          <w:szCs w:val="24"/>
        </w:rPr>
        <w:t xml:space="preserve"> (</w:t>
      </w:r>
      <w:proofErr w:type="spellStart"/>
      <w:r>
        <w:rPr>
          <w:sz w:val="24"/>
          <w:szCs w:val="24"/>
        </w:rPr>
        <w:t>Evrogen</w:t>
      </w:r>
      <w:proofErr w:type="spellEnd"/>
      <w:r>
        <w:rPr>
          <w:sz w:val="24"/>
          <w:szCs w:val="24"/>
        </w:rPr>
        <w:t xml:space="preserve"> #FP552) spiked into blank CFPS reactions. The blank corrected arbitrary fluorescent units were converted to </w:t>
      </w:r>
      <w:proofErr w:type="spellStart"/>
      <w:r>
        <w:rPr>
          <w:sz w:val="24"/>
          <w:szCs w:val="24"/>
        </w:rPr>
        <w:t>nM</w:t>
      </w:r>
      <w:proofErr w:type="spellEnd"/>
      <w:r>
        <w:rPr>
          <w:sz w:val="24"/>
          <w:szCs w:val="24"/>
        </w:rPr>
        <w:t xml:space="preserve"> GFP equivalent units using the obtained standard curve (1 </w:t>
      </w:r>
      <w:proofErr w:type="spellStart"/>
      <w:r>
        <w:rPr>
          <w:sz w:val="24"/>
          <w:szCs w:val="24"/>
        </w:rPr>
        <w:t>afu</w:t>
      </w:r>
      <w:proofErr w:type="spellEnd"/>
      <w:r>
        <w:rPr>
          <w:sz w:val="24"/>
          <w:szCs w:val="24"/>
        </w:rPr>
        <w:t xml:space="preserve"> = 0.015 </w:t>
      </w:r>
      <w:proofErr w:type="spellStart"/>
      <w:r>
        <w:rPr>
          <w:sz w:val="24"/>
          <w:szCs w:val="24"/>
        </w:rPr>
        <w:t>nM</w:t>
      </w:r>
      <w:proofErr w:type="spellEnd"/>
      <w:r>
        <w:rPr>
          <w:sz w:val="24"/>
          <w:szCs w:val="24"/>
        </w:rPr>
        <w:t xml:space="preserve"> GFP). Z’ values were calculated using: </w:t>
      </w:r>
      <w:hyperlink r:id="rId18">
        <w:r w:rsidRPr="003760D8">
          <w:rPr>
            <w:color w:val="0000FF"/>
            <w:sz w:val="24"/>
            <w:szCs w:val="24"/>
            <w:u w:val="single"/>
          </w:rPr>
          <w:t>http://www.screeningunit-fmp.net/tools/z-prime.php</w:t>
        </w:r>
      </w:hyperlink>
      <w:r w:rsidRPr="003760D8">
        <w:rPr>
          <w:sz w:val="24"/>
          <w:szCs w:val="24"/>
        </w:rPr>
        <w:t>.</w:t>
      </w:r>
    </w:p>
    <w:p w14:paraId="618BD2BE" w14:textId="4C1B5298" w:rsidR="003760D8" w:rsidRPr="003760D8" w:rsidRDefault="003760D8" w:rsidP="00675E9E">
      <w:pPr>
        <w:spacing w:line="480" w:lineRule="auto"/>
        <w:rPr>
          <w:b/>
          <w:sz w:val="24"/>
          <w:szCs w:val="24"/>
        </w:rPr>
      </w:pPr>
      <w:r w:rsidRPr="003760D8">
        <w:rPr>
          <w:b/>
          <w:sz w:val="24"/>
          <w:szCs w:val="24"/>
        </w:rPr>
        <w:t>Supporting Information</w:t>
      </w:r>
    </w:p>
    <w:p w14:paraId="708D78AA" w14:textId="0C697439" w:rsidR="007D3CF1" w:rsidRPr="003760D8" w:rsidRDefault="00524D30" w:rsidP="007D3CF1">
      <w:pPr>
        <w:rPr>
          <w:sz w:val="24"/>
          <w:szCs w:val="24"/>
        </w:rPr>
      </w:pPr>
      <w:r w:rsidRPr="003760D8">
        <w:rPr>
          <w:sz w:val="24"/>
          <w:szCs w:val="24"/>
        </w:rPr>
        <w:t xml:space="preserve">This material is available free of charge via the </w:t>
      </w:r>
      <w:r w:rsidR="00722A5C">
        <w:rPr>
          <w:sz w:val="24"/>
          <w:szCs w:val="24"/>
        </w:rPr>
        <w:t>internet at http://pubs.acs.org.</w:t>
      </w:r>
    </w:p>
    <w:p w14:paraId="2C6E486C" w14:textId="32B8483A" w:rsidR="00900C46" w:rsidRPr="003760D8" w:rsidRDefault="00900C46" w:rsidP="007C109A">
      <w:pPr>
        <w:pStyle w:val="ListParagraph"/>
        <w:numPr>
          <w:ilvl w:val="0"/>
          <w:numId w:val="2"/>
        </w:numPr>
        <w:rPr>
          <w:sz w:val="24"/>
          <w:szCs w:val="24"/>
        </w:rPr>
      </w:pPr>
      <w:r w:rsidRPr="003760D8">
        <w:rPr>
          <w:sz w:val="24"/>
          <w:szCs w:val="24"/>
        </w:rPr>
        <w:t>Supplementary Tables 1-5 (including sequences)</w:t>
      </w:r>
    </w:p>
    <w:p w14:paraId="6C8086C7" w14:textId="781A0B47" w:rsidR="007D3CF1" w:rsidRPr="003760D8" w:rsidRDefault="00900C46" w:rsidP="007C109A">
      <w:pPr>
        <w:pStyle w:val="ListParagraph"/>
        <w:numPr>
          <w:ilvl w:val="0"/>
          <w:numId w:val="2"/>
        </w:numPr>
        <w:rPr>
          <w:sz w:val="24"/>
          <w:szCs w:val="24"/>
        </w:rPr>
      </w:pPr>
      <w:r w:rsidRPr="003760D8">
        <w:rPr>
          <w:sz w:val="24"/>
          <w:szCs w:val="24"/>
        </w:rPr>
        <w:lastRenderedPageBreak/>
        <w:t>Supplementary Figures 1-4</w:t>
      </w:r>
    </w:p>
    <w:p w14:paraId="4C1C416E" w14:textId="77777777" w:rsidR="007D3CF1" w:rsidRPr="003760D8" w:rsidRDefault="007D3CF1" w:rsidP="007C109A">
      <w:pPr>
        <w:rPr>
          <w:rFonts w:asciiTheme="minorHAnsi" w:hAnsiTheme="minorHAnsi" w:cstheme="minorHAnsi"/>
          <w:b/>
          <w:sz w:val="24"/>
          <w:szCs w:val="24"/>
        </w:rPr>
      </w:pPr>
      <w:r w:rsidRPr="003760D8">
        <w:rPr>
          <w:rFonts w:asciiTheme="minorHAnsi" w:hAnsiTheme="minorHAnsi" w:cstheme="minorHAnsi"/>
          <w:b/>
          <w:sz w:val="24"/>
          <w:szCs w:val="24"/>
        </w:rPr>
        <w:t>Author Contributions</w:t>
      </w:r>
    </w:p>
    <w:p w14:paraId="49C6ED06" w14:textId="12BF03B7" w:rsidR="00FA1047" w:rsidRPr="008F6B61" w:rsidRDefault="00FA1047" w:rsidP="008F6B61">
      <w:pPr>
        <w:shd w:val="clear" w:color="auto" w:fill="FFFFFF"/>
        <w:rPr>
          <w:rFonts w:asciiTheme="minorHAnsi" w:hAnsiTheme="minorHAnsi" w:cstheme="minorHAnsi"/>
          <w:color w:val="222222"/>
          <w:sz w:val="24"/>
          <w:szCs w:val="24"/>
        </w:rPr>
      </w:pPr>
      <w:r w:rsidRPr="0092051A">
        <w:rPr>
          <w:rFonts w:asciiTheme="minorHAnsi" w:hAnsiTheme="minorHAnsi" w:cstheme="minorHAnsi"/>
          <w:color w:val="222222"/>
          <w:sz w:val="24"/>
          <w:szCs w:val="24"/>
        </w:rPr>
        <w:t xml:space="preserve">M. B. K., C. C., K. J. and P. S. F. designed the research. M. B. K. and C. C. carried out experiments and analysed data. M. A. C. </w:t>
      </w:r>
      <w:r w:rsidRPr="0092051A">
        <w:rPr>
          <w:rFonts w:asciiTheme="minorHAnsi" w:hAnsiTheme="minorHAnsi" w:cstheme="minorHAnsi"/>
          <w:i/>
          <w:color w:val="222222"/>
          <w:sz w:val="24"/>
          <w:szCs w:val="24"/>
        </w:rPr>
        <w:t>in vitro</w:t>
      </w:r>
      <w:r w:rsidRPr="0092051A">
        <w:rPr>
          <w:rFonts w:asciiTheme="minorHAnsi" w:hAnsiTheme="minorHAnsi" w:cstheme="minorHAnsi"/>
          <w:color w:val="222222"/>
          <w:sz w:val="24"/>
          <w:szCs w:val="24"/>
        </w:rPr>
        <w:t xml:space="preserve"> transcribed sgRNAs and purified dCas9 protein used in experiments corresponding to Figure 5</w:t>
      </w:r>
      <w:r w:rsidR="006069E4" w:rsidRPr="0092051A">
        <w:rPr>
          <w:rFonts w:asciiTheme="minorHAnsi" w:hAnsiTheme="minorHAnsi" w:cstheme="minorHAnsi"/>
          <w:color w:val="222222"/>
          <w:sz w:val="24"/>
          <w:szCs w:val="24"/>
        </w:rPr>
        <w:t>.</w:t>
      </w:r>
      <w:r w:rsidRPr="0092051A">
        <w:rPr>
          <w:rFonts w:asciiTheme="minorHAnsi" w:hAnsiTheme="minorHAnsi" w:cstheme="minorHAnsi"/>
          <w:color w:val="222222"/>
          <w:sz w:val="24"/>
          <w:szCs w:val="24"/>
        </w:rPr>
        <w:t xml:space="preserve"> L. S. developed the method for accurate DNA concentration quantification. B. G. made the DNA constructs used in experiments corresponding to Figure 5. D. W. M. advised on acoustic liquid handling. J. T. M. designed sgRNA sequences</w:t>
      </w:r>
      <w:r w:rsidR="00145FB7">
        <w:rPr>
          <w:rFonts w:asciiTheme="minorHAnsi" w:hAnsiTheme="minorHAnsi" w:cstheme="minorHAnsi"/>
          <w:color w:val="222222"/>
          <w:sz w:val="24"/>
          <w:szCs w:val="24"/>
        </w:rPr>
        <w:t xml:space="preserve"> and</w:t>
      </w:r>
      <w:r w:rsidR="0024642C">
        <w:rPr>
          <w:rFonts w:asciiTheme="minorHAnsi" w:hAnsiTheme="minorHAnsi" w:cstheme="minorHAnsi"/>
          <w:color w:val="222222"/>
          <w:sz w:val="24"/>
          <w:szCs w:val="24"/>
        </w:rPr>
        <w:t xml:space="preserve"> purified </w:t>
      </w:r>
      <w:r w:rsidR="00202408">
        <w:rPr>
          <w:rFonts w:asciiTheme="minorHAnsi" w:hAnsiTheme="minorHAnsi" w:cstheme="minorHAnsi"/>
          <w:color w:val="222222"/>
          <w:sz w:val="24"/>
          <w:szCs w:val="24"/>
        </w:rPr>
        <w:t>dC</w:t>
      </w:r>
      <w:r w:rsidR="0024642C">
        <w:rPr>
          <w:rFonts w:asciiTheme="minorHAnsi" w:hAnsiTheme="minorHAnsi" w:cstheme="minorHAnsi"/>
          <w:color w:val="222222"/>
          <w:sz w:val="24"/>
          <w:szCs w:val="24"/>
        </w:rPr>
        <w:t>as9 protein</w:t>
      </w:r>
      <w:r w:rsidR="00FA197A">
        <w:rPr>
          <w:rFonts w:asciiTheme="minorHAnsi" w:hAnsiTheme="minorHAnsi" w:cstheme="minorHAnsi"/>
          <w:color w:val="222222"/>
          <w:sz w:val="24"/>
          <w:szCs w:val="24"/>
        </w:rPr>
        <w:t xml:space="preserve"> and advised on automation</w:t>
      </w:r>
      <w:r w:rsidR="00145FB7">
        <w:rPr>
          <w:rFonts w:asciiTheme="minorHAnsi" w:hAnsiTheme="minorHAnsi" w:cstheme="minorHAnsi"/>
          <w:color w:val="222222"/>
          <w:sz w:val="24"/>
          <w:szCs w:val="24"/>
        </w:rPr>
        <w:t>.</w:t>
      </w:r>
      <w:r w:rsidRPr="0092051A">
        <w:rPr>
          <w:rFonts w:asciiTheme="minorHAnsi" w:hAnsiTheme="minorHAnsi" w:cstheme="minorHAnsi"/>
          <w:color w:val="222222"/>
          <w:sz w:val="24"/>
          <w:szCs w:val="24"/>
        </w:rPr>
        <w:t xml:space="preserve">  V. S. advised on CRISPR/Cas9 technologies and mammalian synthetic biology. M. B. K., C. C., K. J. and</w:t>
      </w:r>
      <w:r w:rsidR="008F6B61">
        <w:rPr>
          <w:rFonts w:asciiTheme="minorHAnsi" w:hAnsiTheme="minorHAnsi" w:cstheme="minorHAnsi"/>
          <w:color w:val="222222"/>
          <w:sz w:val="24"/>
          <w:szCs w:val="24"/>
        </w:rPr>
        <w:t xml:space="preserve"> P. S. F. wrote the manuscript.</w:t>
      </w:r>
    </w:p>
    <w:p w14:paraId="4C0C9DBD" w14:textId="347D6636" w:rsidR="00274797" w:rsidRPr="003760D8" w:rsidRDefault="00900C46" w:rsidP="007C109A">
      <w:pPr>
        <w:rPr>
          <w:rFonts w:asciiTheme="minorHAnsi" w:hAnsiTheme="minorHAnsi"/>
          <w:b/>
          <w:sz w:val="24"/>
          <w:szCs w:val="24"/>
        </w:rPr>
      </w:pPr>
      <w:r w:rsidRPr="003760D8">
        <w:rPr>
          <w:rFonts w:asciiTheme="minorHAnsi" w:hAnsiTheme="minorHAnsi"/>
          <w:b/>
          <w:sz w:val="24"/>
          <w:szCs w:val="24"/>
        </w:rPr>
        <w:t>Funding Sources</w:t>
      </w:r>
    </w:p>
    <w:p w14:paraId="0255599E" w14:textId="77777777" w:rsidR="00274797" w:rsidRPr="007C109A" w:rsidRDefault="00274797" w:rsidP="007C109A">
      <w:pPr>
        <w:rPr>
          <w:rFonts w:asciiTheme="minorHAnsi" w:hAnsiTheme="minorHAnsi" w:cs="Times New Roman"/>
          <w:color w:val="000000"/>
          <w:sz w:val="24"/>
          <w:szCs w:val="24"/>
        </w:rPr>
      </w:pPr>
      <w:r w:rsidRPr="007C109A">
        <w:rPr>
          <w:rFonts w:asciiTheme="minorHAnsi" w:hAnsiTheme="minorHAnsi"/>
          <w:sz w:val="24"/>
          <w:szCs w:val="24"/>
        </w:rPr>
        <w:t>The research was in part supported by the Engineering and Physical Sciences Research Council (EPSRC) [EP/L011573/1, EP/M006700/1, EP/N023854/1] and the DNA Synthesis Capital Award [BB/M025632/1]. MBK was supported by an EPSRC PhD studentship awarded to Imperial College DTP.</w:t>
      </w:r>
      <w:r w:rsidRPr="007C109A">
        <w:rPr>
          <w:rFonts w:asciiTheme="minorHAnsi" w:hAnsiTheme="minorHAnsi" w:cs="Times New Roman"/>
          <w:color w:val="000000"/>
          <w:sz w:val="24"/>
          <w:szCs w:val="24"/>
        </w:rPr>
        <w:t xml:space="preserve"> </w:t>
      </w:r>
    </w:p>
    <w:p w14:paraId="429F18E0" w14:textId="6A198AAA" w:rsidR="007D3CF1" w:rsidRPr="008F6B61" w:rsidRDefault="00274797" w:rsidP="007C109A">
      <w:pPr>
        <w:rPr>
          <w:rFonts w:asciiTheme="minorHAnsi" w:hAnsiTheme="minorHAnsi" w:cs="Times New Roman"/>
          <w:sz w:val="24"/>
          <w:szCs w:val="24"/>
        </w:rPr>
      </w:pPr>
      <w:r w:rsidRPr="007C109A">
        <w:rPr>
          <w:rFonts w:asciiTheme="minorHAnsi" w:hAnsiTheme="minorHAnsi" w:cs="Times New Roman"/>
          <w:color w:val="000000"/>
          <w:sz w:val="24"/>
          <w:szCs w:val="24"/>
        </w:rPr>
        <w:t>The authors declare no competing financial interest</w:t>
      </w:r>
      <w:r w:rsidR="00EA4265">
        <w:rPr>
          <w:rFonts w:asciiTheme="minorHAnsi" w:hAnsiTheme="minorHAnsi" w:cs="Times New Roman"/>
          <w:color w:val="000000"/>
          <w:sz w:val="24"/>
          <w:szCs w:val="24"/>
        </w:rPr>
        <w:t xml:space="preserve"> or conflict of interest</w:t>
      </w:r>
      <w:r w:rsidRPr="007C109A">
        <w:rPr>
          <w:rFonts w:asciiTheme="minorHAnsi" w:hAnsiTheme="minorHAnsi" w:cs="Times New Roman"/>
          <w:color w:val="000000"/>
          <w:sz w:val="24"/>
          <w:szCs w:val="24"/>
        </w:rPr>
        <w:t>.</w:t>
      </w:r>
    </w:p>
    <w:p w14:paraId="01C7B2AC" w14:textId="77777777" w:rsidR="00675E9E" w:rsidRPr="002114FD" w:rsidRDefault="00675E9E" w:rsidP="00675E9E">
      <w:pPr>
        <w:pStyle w:val="Heading2"/>
        <w:spacing w:line="480" w:lineRule="auto"/>
        <w:rPr>
          <w:smallCaps w:val="0"/>
          <w:sz w:val="24"/>
          <w:szCs w:val="24"/>
        </w:rPr>
      </w:pPr>
      <w:r w:rsidRPr="002114FD">
        <w:rPr>
          <w:smallCaps w:val="0"/>
          <w:sz w:val="24"/>
          <w:szCs w:val="24"/>
        </w:rPr>
        <w:t>Acknowledgements</w:t>
      </w:r>
    </w:p>
    <w:p w14:paraId="651E1C64" w14:textId="75F935AD" w:rsidR="00675E9E" w:rsidRPr="004D16DF" w:rsidRDefault="00675E9E" w:rsidP="00675E9E">
      <w:pPr>
        <w:spacing w:after="0" w:line="480" w:lineRule="auto"/>
        <w:rPr>
          <w:sz w:val="24"/>
          <w:szCs w:val="24"/>
        </w:rPr>
      </w:pPr>
      <w:bookmarkStart w:id="5" w:name="_3znysh7" w:colFirst="0" w:colLast="0"/>
      <w:bookmarkEnd w:id="5"/>
      <w:r w:rsidRPr="004D16DF">
        <w:rPr>
          <w:sz w:val="24"/>
          <w:szCs w:val="24"/>
        </w:rPr>
        <w:t xml:space="preserve">We thank members of the Freemont group for helpful comments but specifically </w:t>
      </w:r>
      <w:proofErr w:type="spellStart"/>
      <w:r w:rsidRPr="004D16DF">
        <w:rPr>
          <w:sz w:val="24"/>
          <w:szCs w:val="24"/>
        </w:rPr>
        <w:t>Ke</w:t>
      </w:r>
      <w:proofErr w:type="spellEnd"/>
      <w:r w:rsidRPr="004D16DF">
        <w:rPr>
          <w:sz w:val="24"/>
          <w:szCs w:val="24"/>
        </w:rPr>
        <w:t xml:space="preserve"> Yan Wen, </w:t>
      </w:r>
      <w:r w:rsidR="00312AF4">
        <w:rPr>
          <w:sz w:val="24"/>
          <w:szCs w:val="24"/>
        </w:rPr>
        <w:t>Loren</w:t>
      </w:r>
      <w:r w:rsidR="00266C17">
        <w:rPr>
          <w:sz w:val="24"/>
          <w:szCs w:val="24"/>
        </w:rPr>
        <w:t xml:space="preserve"> P.</w:t>
      </w:r>
      <w:r w:rsidR="00312AF4">
        <w:rPr>
          <w:sz w:val="24"/>
          <w:szCs w:val="24"/>
        </w:rPr>
        <w:t xml:space="preserve"> Cameron, Richard </w:t>
      </w:r>
      <w:proofErr w:type="spellStart"/>
      <w:r w:rsidR="00312AF4">
        <w:rPr>
          <w:sz w:val="24"/>
          <w:szCs w:val="24"/>
        </w:rPr>
        <w:t>Kelwick</w:t>
      </w:r>
      <w:proofErr w:type="spellEnd"/>
      <w:r w:rsidR="00312AF4">
        <w:rPr>
          <w:sz w:val="24"/>
          <w:szCs w:val="24"/>
        </w:rPr>
        <w:t xml:space="preserve"> and Simon </w:t>
      </w:r>
      <w:r w:rsidR="00FF06EB">
        <w:rPr>
          <w:sz w:val="24"/>
          <w:szCs w:val="24"/>
        </w:rPr>
        <w:t xml:space="preserve">J. </w:t>
      </w:r>
      <w:r w:rsidR="00312AF4">
        <w:rPr>
          <w:sz w:val="24"/>
          <w:szCs w:val="24"/>
        </w:rPr>
        <w:t>Moore</w:t>
      </w:r>
      <w:r w:rsidRPr="004D16DF">
        <w:rPr>
          <w:sz w:val="24"/>
          <w:szCs w:val="24"/>
        </w:rPr>
        <w:t xml:space="preserve">. </w:t>
      </w:r>
    </w:p>
    <w:p w14:paraId="4F34131A" w14:textId="77777777" w:rsidR="00675E9E" w:rsidRDefault="00675E9E" w:rsidP="00675E9E">
      <w:pPr>
        <w:rPr>
          <w:b/>
          <w:smallCaps/>
          <w:sz w:val="24"/>
          <w:szCs w:val="24"/>
        </w:rPr>
      </w:pPr>
    </w:p>
    <w:p w14:paraId="1BCDB712" w14:textId="77777777" w:rsidR="00675E9E" w:rsidRDefault="00675E9E" w:rsidP="00675E9E">
      <w:pPr>
        <w:rPr>
          <w:b/>
          <w:smallCaps/>
          <w:sz w:val="24"/>
          <w:szCs w:val="24"/>
        </w:rPr>
      </w:pPr>
    </w:p>
    <w:p w14:paraId="059B5507" w14:textId="77777777" w:rsidR="00675E9E" w:rsidRDefault="00675E9E" w:rsidP="00675E9E">
      <w:pPr>
        <w:rPr>
          <w:b/>
          <w:smallCaps/>
          <w:sz w:val="24"/>
          <w:szCs w:val="24"/>
        </w:rPr>
      </w:pPr>
    </w:p>
    <w:p w14:paraId="748D15EC" w14:textId="77777777" w:rsidR="00266C17" w:rsidRDefault="00266C17" w:rsidP="00675E9E">
      <w:pPr>
        <w:rPr>
          <w:b/>
          <w:smallCaps/>
          <w:sz w:val="24"/>
          <w:szCs w:val="24"/>
        </w:rPr>
      </w:pPr>
    </w:p>
    <w:p w14:paraId="638EE41C" w14:textId="77777777" w:rsidR="00266C17" w:rsidRDefault="00266C17" w:rsidP="00675E9E">
      <w:pPr>
        <w:rPr>
          <w:b/>
          <w:smallCaps/>
          <w:sz w:val="24"/>
          <w:szCs w:val="24"/>
        </w:rPr>
      </w:pPr>
    </w:p>
    <w:p w14:paraId="3319B088" w14:textId="77777777" w:rsidR="00675E9E" w:rsidRDefault="00675E9E" w:rsidP="00675E9E">
      <w:pPr>
        <w:rPr>
          <w:b/>
          <w:smallCaps/>
          <w:sz w:val="24"/>
          <w:szCs w:val="24"/>
        </w:rPr>
      </w:pPr>
    </w:p>
    <w:p w14:paraId="7B9613B7" w14:textId="77777777" w:rsidR="00675E9E" w:rsidRDefault="00675E9E" w:rsidP="00675E9E">
      <w:pPr>
        <w:rPr>
          <w:b/>
          <w:smallCaps/>
          <w:sz w:val="24"/>
          <w:szCs w:val="24"/>
        </w:rPr>
      </w:pPr>
    </w:p>
    <w:p w14:paraId="477F4A2B" w14:textId="77777777" w:rsidR="00675E9E" w:rsidRDefault="00675E9E" w:rsidP="00675E9E">
      <w:pPr>
        <w:rPr>
          <w:b/>
          <w:smallCaps/>
          <w:sz w:val="24"/>
          <w:szCs w:val="24"/>
        </w:rPr>
      </w:pPr>
    </w:p>
    <w:p w14:paraId="794D22AB" w14:textId="77777777" w:rsidR="00675E9E" w:rsidRDefault="00675E9E" w:rsidP="00675E9E">
      <w:pPr>
        <w:rPr>
          <w:b/>
          <w:smallCaps/>
          <w:sz w:val="24"/>
          <w:szCs w:val="24"/>
        </w:rPr>
      </w:pPr>
    </w:p>
    <w:p w14:paraId="1F37EC2A" w14:textId="77777777" w:rsidR="00675E9E" w:rsidRDefault="00675E9E" w:rsidP="00675E9E">
      <w:pPr>
        <w:rPr>
          <w:b/>
          <w:smallCaps/>
          <w:sz w:val="24"/>
          <w:szCs w:val="24"/>
        </w:rPr>
      </w:pPr>
    </w:p>
    <w:p w14:paraId="3F6BCC6B" w14:textId="77777777" w:rsidR="00675E9E" w:rsidRDefault="00675E9E" w:rsidP="00675E9E">
      <w:pPr>
        <w:rPr>
          <w:b/>
          <w:smallCaps/>
          <w:sz w:val="24"/>
          <w:szCs w:val="24"/>
        </w:rPr>
      </w:pPr>
    </w:p>
    <w:p w14:paraId="258DF173" w14:textId="77777777" w:rsidR="00675E9E" w:rsidRDefault="00675E9E" w:rsidP="00675E9E">
      <w:pPr>
        <w:rPr>
          <w:b/>
          <w:smallCaps/>
          <w:sz w:val="24"/>
          <w:szCs w:val="24"/>
        </w:rPr>
      </w:pPr>
    </w:p>
    <w:p w14:paraId="517494AE" w14:textId="77777777" w:rsidR="00675E9E" w:rsidRDefault="00675E9E" w:rsidP="00675E9E">
      <w:pPr>
        <w:rPr>
          <w:b/>
          <w:smallCaps/>
          <w:sz w:val="24"/>
          <w:szCs w:val="24"/>
        </w:rPr>
      </w:pPr>
    </w:p>
    <w:p w14:paraId="21C8F224" w14:textId="105DDAFB" w:rsidR="0029688B" w:rsidRDefault="00675E9E" w:rsidP="0029688B">
      <w:pPr>
        <w:widowControl w:val="0"/>
        <w:spacing w:line="480" w:lineRule="auto"/>
        <w:ind w:left="480" w:hanging="480"/>
        <w:rPr>
          <w:b/>
          <w:sz w:val="24"/>
          <w:szCs w:val="24"/>
        </w:rPr>
      </w:pPr>
      <w:r>
        <w:rPr>
          <w:b/>
          <w:sz w:val="24"/>
          <w:szCs w:val="24"/>
        </w:rPr>
        <w:lastRenderedPageBreak/>
        <w:t>References</w:t>
      </w:r>
    </w:p>
    <w:p w14:paraId="325ACD03" w14:textId="60905A3B" w:rsidR="00ED3FC2" w:rsidRPr="00ED3FC2" w:rsidRDefault="00E22800" w:rsidP="00ED3FC2">
      <w:pPr>
        <w:widowControl w:val="0"/>
        <w:autoSpaceDE w:val="0"/>
        <w:autoSpaceDN w:val="0"/>
        <w:adjustRightInd w:val="0"/>
        <w:spacing w:line="480" w:lineRule="auto"/>
        <w:ind w:left="640" w:hanging="640"/>
        <w:rPr>
          <w:rFonts w:cs="Times New Roman"/>
          <w:noProof/>
          <w:sz w:val="24"/>
          <w:lang w:val="en-US"/>
        </w:rPr>
      </w:pPr>
      <w:r>
        <w:rPr>
          <w:b/>
          <w:sz w:val="24"/>
          <w:szCs w:val="24"/>
        </w:rPr>
        <w:fldChar w:fldCharType="begin" w:fldLock="1"/>
      </w:r>
      <w:r>
        <w:rPr>
          <w:b/>
          <w:sz w:val="24"/>
          <w:szCs w:val="24"/>
        </w:rPr>
        <w:instrText xml:space="preserve">ADDIN Mendeley Bibliography CSL_BIBLIOGRAPHY </w:instrText>
      </w:r>
      <w:r>
        <w:rPr>
          <w:b/>
          <w:sz w:val="24"/>
          <w:szCs w:val="24"/>
        </w:rPr>
        <w:fldChar w:fldCharType="separate"/>
      </w:r>
      <w:r w:rsidR="00ED3FC2" w:rsidRPr="00ED3FC2">
        <w:rPr>
          <w:rFonts w:cs="Times New Roman"/>
          <w:noProof/>
          <w:sz w:val="24"/>
          <w:lang w:val="en-US"/>
        </w:rPr>
        <w:t xml:space="preserve">(1) </w:t>
      </w:r>
      <w:r w:rsidR="00ED3FC2" w:rsidRPr="00ED3FC2">
        <w:rPr>
          <w:rFonts w:cs="Times New Roman"/>
          <w:noProof/>
          <w:sz w:val="24"/>
          <w:lang w:val="en-US"/>
        </w:rPr>
        <w:tab/>
        <w:t xml:space="preserve">M Purnick, P. E.; Weiss, R. The Second Wave of Synthetic Biology: From Modules to Systems. </w:t>
      </w:r>
      <w:r w:rsidR="00ED3FC2" w:rsidRPr="00ED3FC2">
        <w:rPr>
          <w:rFonts w:cs="Times New Roman"/>
          <w:i/>
          <w:iCs/>
          <w:noProof/>
          <w:sz w:val="24"/>
          <w:lang w:val="en-US"/>
        </w:rPr>
        <w:t>Nat. Rev. Mol. Cell Biol.</w:t>
      </w:r>
      <w:r w:rsidR="00ED3FC2" w:rsidRPr="00ED3FC2">
        <w:rPr>
          <w:rFonts w:cs="Times New Roman"/>
          <w:noProof/>
          <w:sz w:val="24"/>
          <w:lang w:val="en-US"/>
        </w:rPr>
        <w:t xml:space="preserve"> </w:t>
      </w:r>
      <w:r w:rsidR="00ED3FC2" w:rsidRPr="00ED3FC2">
        <w:rPr>
          <w:rFonts w:cs="Times New Roman"/>
          <w:b/>
          <w:bCs/>
          <w:noProof/>
          <w:sz w:val="24"/>
          <w:lang w:val="en-US"/>
        </w:rPr>
        <w:t>2009</w:t>
      </w:r>
      <w:r w:rsidR="00ED3FC2" w:rsidRPr="00ED3FC2">
        <w:rPr>
          <w:rFonts w:cs="Times New Roman"/>
          <w:noProof/>
          <w:sz w:val="24"/>
          <w:lang w:val="en-US"/>
        </w:rPr>
        <w:t xml:space="preserve">, </w:t>
      </w:r>
      <w:r w:rsidR="00ED3FC2" w:rsidRPr="00ED3FC2">
        <w:rPr>
          <w:rFonts w:cs="Times New Roman"/>
          <w:i/>
          <w:iCs/>
          <w:noProof/>
          <w:sz w:val="24"/>
          <w:lang w:val="en-US"/>
        </w:rPr>
        <w:t>10</w:t>
      </w:r>
      <w:r w:rsidR="00ED3FC2" w:rsidRPr="00ED3FC2">
        <w:rPr>
          <w:rFonts w:cs="Times New Roman"/>
          <w:noProof/>
          <w:sz w:val="24"/>
          <w:lang w:val="en-US"/>
        </w:rPr>
        <w:t xml:space="preserve"> (6), 410–422. </w:t>
      </w:r>
    </w:p>
    <w:p w14:paraId="6077AFF9" w14:textId="1CE27E06"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 </w:t>
      </w:r>
      <w:r w:rsidRPr="00ED3FC2">
        <w:rPr>
          <w:rFonts w:cs="Times New Roman"/>
          <w:noProof/>
          <w:sz w:val="24"/>
          <w:lang w:val="en-US"/>
        </w:rPr>
        <w:tab/>
        <w:t xml:space="preserve">Myers, C. J.; Beal, J.; Gorochowski, T. E.; Kuwahara, H.; Madsen, C.; McLaughlin, J. A.; Mısırlı, G.; Nguyen, T.; Oberortner, E.; Samineni, M.; et al. A Standard-Enabled Workflow for Synthetic Biology. </w:t>
      </w:r>
      <w:r w:rsidRPr="00ED3FC2">
        <w:rPr>
          <w:rFonts w:cs="Times New Roman"/>
          <w:i/>
          <w:iCs/>
          <w:noProof/>
          <w:sz w:val="24"/>
          <w:lang w:val="en-US"/>
        </w:rPr>
        <w:t>Biochem. Soc. Trans.</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45</w:t>
      </w:r>
      <w:r w:rsidRPr="00ED3FC2">
        <w:rPr>
          <w:rFonts w:cs="Times New Roman"/>
          <w:noProof/>
          <w:sz w:val="24"/>
          <w:lang w:val="en-US"/>
        </w:rPr>
        <w:t xml:space="preserve"> (3), 793–803. </w:t>
      </w:r>
    </w:p>
    <w:p w14:paraId="6AA6D306" w14:textId="380977EF"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 </w:t>
      </w:r>
      <w:r w:rsidRPr="00ED3FC2">
        <w:rPr>
          <w:rFonts w:cs="Times New Roman"/>
          <w:noProof/>
          <w:sz w:val="24"/>
          <w:lang w:val="en-US"/>
        </w:rPr>
        <w:tab/>
        <w:t xml:space="preserve">Appleton, E.; Densmore, D.; Madsen, C.; Roehner, N.; Ellis, T.; Jewett, M. Needs and Opportunities in Bio-Design Automation: Four Areas for Focus. </w:t>
      </w:r>
      <w:r w:rsidRPr="00ED3FC2">
        <w:rPr>
          <w:rFonts w:cs="Times New Roman"/>
          <w:i/>
          <w:iCs/>
          <w:noProof/>
          <w:sz w:val="24"/>
          <w:lang w:val="en-US"/>
        </w:rPr>
        <w:t>Curr. Opin. Chem. Biol.</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40</w:t>
      </w:r>
      <w:r w:rsidRPr="00ED3FC2">
        <w:rPr>
          <w:rFonts w:cs="Times New Roman"/>
          <w:noProof/>
          <w:sz w:val="24"/>
          <w:lang w:val="en-US"/>
        </w:rPr>
        <w:t xml:space="preserve">, 111–118. </w:t>
      </w:r>
    </w:p>
    <w:p w14:paraId="1CFA78C7" w14:textId="5E4AD7CD"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 </w:t>
      </w:r>
      <w:r w:rsidRPr="00ED3FC2">
        <w:rPr>
          <w:rFonts w:cs="Times New Roman"/>
          <w:noProof/>
          <w:sz w:val="24"/>
          <w:lang w:val="en-US"/>
        </w:rPr>
        <w:tab/>
        <w:t xml:space="preserve">Bhatia, S. P.; Smanski, M. J.; Voigt, C. A.; Densmore, D. M. Genetic Design via Combinatorial Constraint Specification. </w:t>
      </w:r>
      <w:r w:rsidRPr="00ED3FC2">
        <w:rPr>
          <w:rFonts w:cs="Times New Roman"/>
          <w:i/>
          <w:iCs/>
          <w:noProof/>
          <w:sz w:val="24"/>
          <w:lang w:val="en-US"/>
        </w:rPr>
        <w:t>ACS Synth. Biol.</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6</w:t>
      </w:r>
      <w:r w:rsidRPr="00ED3FC2">
        <w:rPr>
          <w:rFonts w:cs="Times New Roman"/>
          <w:noProof/>
          <w:sz w:val="24"/>
          <w:lang w:val="en-US"/>
        </w:rPr>
        <w:t xml:space="preserve"> (11), 2130–2135. </w:t>
      </w:r>
    </w:p>
    <w:p w14:paraId="4FF83DD6" w14:textId="7845B45A"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(5) </w:t>
      </w:r>
      <w:r w:rsidRPr="00ED3FC2">
        <w:rPr>
          <w:rFonts w:cs="Times New Roman"/>
          <w:noProof/>
          <w:sz w:val="24"/>
          <w:lang w:val="en-US"/>
        </w:rPr>
        <w:tab/>
        <w:t xml:space="preserve">Porcar, M.; Peretó, J. Nature versus Design: Synthetic Biology or How to Build a Biological Non-Machine. </w:t>
      </w:r>
      <w:r w:rsidRPr="00ED3FC2">
        <w:rPr>
          <w:rFonts w:cs="Times New Roman"/>
          <w:i/>
          <w:iCs/>
          <w:noProof/>
          <w:sz w:val="24"/>
          <w:lang w:val="en-US"/>
        </w:rPr>
        <w:t>Integr. Biol. Integr. Biol</w:t>
      </w:r>
      <w:r w:rsidRPr="00ED3FC2">
        <w:rPr>
          <w:rFonts w:cs="Times New Roman"/>
          <w:noProof/>
          <w:sz w:val="24"/>
          <w:lang w:val="en-US"/>
        </w:rPr>
        <w:t xml:space="preserve"> </w:t>
      </w:r>
      <w:r w:rsidRPr="00ED3FC2">
        <w:rPr>
          <w:rFonts w:cs="Times New Roman"/>
          <w:b/>
          <w:bCs/>
          <w:noProof/>
          <w:sz w:val="24"/>
          <w:lang w:val="en-US"/>
        </w:rPr>
        <w:t>2016</w:t>
      </w:r>
      <w:r w:rsidRPr="00ED3FC2">
        <w:rPr>
          <w:rFonts w:cs="Times New Roman"/>
          <w:noProof/>
          <w:sz w:val="24"/>
          <w:lang w:val="en-US"/>
        </w:rPr>
        <w:t xml:space="preserve">, </w:t>
      </w:r>
      <w:r w:rsidRPr="00ED3FC2">
        <w:rPr>
          <w:rFonts w:cs="Times New Roman"/>
          <w:i/>
          <w:iCs/>
          <w:noProof/>
          <w:sz w:val="24"/>
          <w:lang w:val="en-US"/>
        </w:rPr>
        <w:t>8</w:t>
      </w:r>
      <w:r w:rsidRPr="00ED3FC2">
        <w:rPr>
          <w:rFonts w:cs="Times New Roman"/>
          <w:noProof/>
          <w:sz w:val="24"/>
          <w:lang w:val="en-US"/>
        </w:rPr>
        <w:t xml:space="preserve">, 451–455. </w:t>
      </w:r>
    </w:p>
    <w:p w14:paraId="016928E4" w14:textId="2524DB94"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(6) </w:t>
      </w:r>
      <w:r w:rsidRPr="00ED3FC2">
        <w:rPr>
          <w:rFonts w:cs="Times New Roman"/>
          <w:noProof/>
          <w:sz w:val="24"/>
          <w:lang w:val="en-US"/>
        </w:rPr>
        <w:tab/>
        <w:t xml:space="preserve">Rogers, J. K.; Church, G. M. Multiplexed Engineering in Biology. </w:t>
      </w:r>
      <w:r w:rsidRPr="00ED3FC2">
        <w:rPr>
          <w:rFonts w:cs="Times New Roman"/>
          <w:i/>
          <w:iCs/>
          <w:noProof/>
          <w:sz w:val="24"/>
          <w:lang w:val="en-US"/>
        </w:rPr>
        <w:t>Trends Biotechnol.</w:t>
      </w:r>
      <w:r w:rsidRPr="00ED3FC2">
        <w:rPr>
          <w:rFonts w:cs="Times New Roman"/>
          <w:noProof/>
          <w:sz w:val="24"/>
          <w:lang w:val="en-US"/>
        </w:rPr>
        <w:t xml:space="preserve"> </w:t>
      </w:r>
      <w:r w:rsidRPr="00ED3FC2">
        <w:rPr>
          <w:rFonts w:cs="Times New Roman"/>
          <w:b/>
          <w:bCs/>
          <w:noProof/>
          <w:sz w:val="24"/>
          <w:lang w:val="en-US"/>
        </w:rPr>
        <w:t>2016</w:t>
      </w:r>
      <w:r w:rsidRPr="00ED3FC2">
        <w:rPr>
          <w:rFonts w:cs="Times New Roman"/>
          <w:noProof/>
          <w:sz w:val="24"/>
          <w:lang w:val="en-US"/>
        </w:rPr>
        <w:t xml:space="preserve">, </w:t>
      </w:r>
      <w:r w:rsidRPr="00ED3FC2">
        <w:rPr>
          <w:rFonts w:cs="Times New Roman"/>
          <w:i/>
          <w:iCs/>
          <w:noProof/>
          <w:sz w:val="24"/>
          <w:lang w:val="en-US"/>
        </w:rPr>
        <w:t>34</w:t>
      </w:r>
      <w:r w:rsidRPr="00ED3FC2">
        <w:rPr>
          <w:rFonts w:cs="Times New Roman"/>
          <w:noProof/>
          <w:sz w:val="24"/>
          <w:lang w:val="en-US"/>
        </w:rPr>
        <w:t xml:space="preserve"> (3), 198–206. </w:t>
      </w:r>
    </w:p>
    <w:p w14:paraId="3A5266C1" w14:textId="6DE59138"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(7) </w:t>
      </w:r>
      <w:r w:rsidRPr="00ED3FC2">
        <w:rPr>
          <w:rFonts w:cs="Times New Roman"/>
          <w:noProof/>
          <w:sz w:val="24"/>
          <w:lang w:val="en-US"/>
        </w:rPr>
        <w:tab/>
        <w:t xml:space="preserve">De Lorenzo, V.; Schmidt, M. Biological Standards for the Knowledge-Based BioEconomy: What Is at Stake. </w:t>
      </w:r>
      <w:r w:rsidRPr="00ED3FC2">
        <w:rPr>
          <w:rFonts w:cs="Times New Roman"/>
          <w:i/>
          <w:iCs/>
          <w:noProof/>
          <w:sz w:val="24"/>
          <w:lang w:val="en-US"/>
        </w:rPr>
        <w:t>N. Biotechnol.</w:t>
      </w:r>
      <w:r w:rsidRPr="00ED3FC2">
        <w:rPr>
          <w:rFonts w:cs="Times New Roman"/>
          <w:noProof/>
          <w:sz w:val="24"/>
          <w:lang w:val="en-US"/>
        </w:rPr>
        <w:t xml:space="preserve"> </w:t>
      </w:r>
      <w:r w:rsidRPr="00ED3FC2">
        <w:rPr>
          <w:rFonts w:cs="Times New Roman"/>
          <w:b/>
          <w:bCs/>
          <w:noProof/>
          <w:sz w:val="24"/>
          <w:lang w:val="en-US"/>
        </w:rPr>
        <w:t>2018</w:t>
      </w:r>
      <w:r w:rsidRPr="00ED3FC2">
        <w:rPr>
          <w:rFonts w:cs="Times New Roman"/>
          <w:noProof/>
          <w:sz w:val="24"/>
          <w:lang w:val="en-US"/>
        </w:rPr>
        <w:t xml:space="preserve">, </w:t>
      </w:r>
      <w:r w:rsidRPr="00ED3FC2">
        <w:rPr>
          <w:rFonts w:cs="Times New Roman"/>
          <w:i/>
          <w:iCs/>
          <w:noProof/>
          <w:sz w:val="24"/>
          <w:lang w:val="en-US"/>
        </w:rPr>
        <w:t>40</w:t>
      </w:r>
      <w:r w:rsidRPr="00ED3FC2">
        <w:rPr>
          <w:rFonts w:cs="Times New Roman"/>
          <w:noProof/>
          <w:sz w:val="24"/>
          <w:lang w:val="en-US"/>
        </w:rPr>
        <w:t xml:space="preserve">, 170–180. </w:t>
      </w:r>
    </w:p>
    <w:p w14:paraId="063CCF3D" w14:textId="1B0111B3"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(8) </w:t>
      </w:r>
      <w:r w:rsidRPr="00ED3FC2">
        <w:rPr>
          <w:rFonts w:cs="Times New Roman"/>
          <w:noProof/>
          <w:sz w:val="24"/>
          <w:lang w:val="en-US"/>
        </w:rPr>
        <w:tab/>
        <w:t xml:space="preserve">Chavez, M.; Ho, J.; Tan, C. Reproducibility of High-Throughput Plate-Reader Experiments in Synthetic Biology. </w:t>
      </w:r>
      <w:r w:rsidRPr="00ED3FC2">
        <w:rPr>
          <w:rFonts w:cs="Times New Roman"/>
          <w:i/>
          <w:iCs/>
          <w:noProof/>
          <w:sz w:val="24"/>
          <w:lang w:val="en-US"/>
        </w:rPr>
        <w:t>ACS Synth. Biol.</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6</w:t>
      </w:r>
      <w:r w:rsidRPr="00ED3FC2">
        <w:rPr>
          <w:rFonts w:cs="Times New Roman"/>
          <w:noProof/>
          <w:sz w:val="24"/>
          <w:lang w:val="en-US"/>
        </w:rPr>
        <w:t xml:space="preserve"> (2), 375–380. </w:t>
      </w:r>
    </w:p>
    <w:p w14:paraId="65E6FCEC" w14:textId="03A36374"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(9) </w:t>
      </w:r>
      <w:r w:rsidRPr="00ED3FC2">
        <w:rPr>
          <w:rFonts w:cs="Times New Roman"/>
          <w:noProof/>
          <w:sz w:val="24"/>
          <w:lang w:val="en-US"/>
        </w:rPr>
        <w:tab/>
        <w:t xml:space="preserve">Beal, J.; Haddock-Angelli, T.; Gershater, M.; de Mora, K.; Lizarazo, M.; Hollenhorst, J.; Rettberg, R.; Contributors,  iGEM I. S. Reproducibility of Fluorescent Expression from </w:t>
      </w:r>
      <w:r w:rsidRPr="00ED3FC2">
        <w:rPr>
          <w:rFonts w:cs="Times New Roman"/>
          <w:noProof/>
          <w:sz w:val="24"/>
          <w:lang w:val="en-US"/>
        </w:rPr>
        <w:lastRenderedPageBreak/>
        <w:t xml:space="preserve">Engineered Biological Constructs in E. Coli. </w:t>
      </w:r>
      <w:r w:rsidRPr="00ED3FC2">
        <w:rPr>
          <w:rFonts w:cs="Times New Roman"/>
          <w:i/>
          <w:iCs/>
          <w:noProof/>
          <w:sz w:val="24"/>
          <w:lang w:val="en-US"/>
        </w:rPr>
        <w:t>PLoS One</w:t>
      </w:r>
      <w:r w:rsidRPr="00ED3FC2">
        <w:rPr>
          <w:rFonts w:cs="Times New Roman"/>
          <w:noProof/>
          <w:sz w:val="24"/>
          <w:lang w:val="en-US"/>
        </w:rPr>
        <w:t xml:space="preserve"> </w:t>
      </w:r>
      <w:r w:rsidRPr="00ED3FC2">
        <w:rPr>
          <w:rFonts w:cs="Times New Roman"/>
          <w:b/>
          <w:bCs/>
          <w:noProof/>
          <w:sz w:val="24"/>
          <w:lang w:val="en-US"/>
        </w:rPr>
        <w:t>2016</w:t>
      </w:r>
      <w:r w:rsidRPr="00ED3FC2">
        <w:rPr>
          <w:rFonts w:cs="Times New Roman"/>
          <w:noProof/>
          <w:sz w:val="24"/>
          <w:lang w:val="en-US"/>
        </w:rPr>
        <w:t xml:space="preserve">, </w:t>
      </w:r>
      <w:r w:rsidRPr="00ED3FC2">
        <w:rPr>
          <w:rFonts w:cs="Times New Roman"/>
          <w:i/>
          <w:iCs/>
          <w:noProof/>
          <w:sz w:val="24"/>
          <w:lang w:val="en-US"/>
        </w:rPr>
        <w:t>11</w:t>
      </w:r>
      <w:r w:rsidRPr="00ED3FC2">
        <w:rPr>
          <w:rFonts w:cs="Times New Roman"/>
          <w:noProof/>
          <w:sz w:val="24"/>
          <w:lang w:val="en-US"/>
        </w:rPr>
        <w:t xml:space="preserve"> (3), e0150182. </w:t>
      </w:r>
    </w:p>
    <w:p w14:paraId="6981D88D" w14:textId="78F7E869"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(10) </w:t>
      </w:r>
      <w:r w:rsidRPr="00ED3FC2">
        <w:rPr>
          <w:rFonts w:cs="Times New Roman"/>
          <w:noProof/>
          <w:sz w:val="24"/>
          <w:lang w:val="en-US"/>
        </w:rPr>
        <w:tab/>
        <w:t xml:space="preserve">Chao, R.; Mishra, S.; Si, T.; Zhao, H. Engineering Biological Systems Using Automated Biofoundries. </w:t>
      </w:r>
      <w:r w:rsidRPr="00ED3FC2">
        <w:rPr>
          <w:rFonts w:cs="Times New Roman"/>
          <w:i/>
          <w:iCs/>
          <w:noProof/>
          <w:sz w:val="24"/>
          <w:lang w:val="en-US"/>
        </w:rPr>
        <w:t>Metab. Eng.</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42</w:t>
      </w:r>
      <w:r w:rsidRPr="00ED3FC2">
        <w:rPr>
          <w:rFonts w:cs="Times New Roman"/>
          <w:noProof/>
          <w:sz w:val="24"/>
          <w:lang w:val="en-US"/>
        </w:rPr>
        <w:t xml:space="preserve">, 98–108. </w:t>
      </w:r>
    </w:p>
    <w:p w14:paraId="355D8BDD" w14:textId="4AD77982"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(11) </w:t>
      </w:r>
      <w:r w:rsidRPr="00ED3FC2">
        <w:rPr>
          <w:rFonts w:cs="Times New Roman"/>
          <w:noProof/>
          <w:sz w:val="24"/>
          <w:lang w:val="en-US"/>
        </w:rPr>
        <w:tab/>
        <w:t xml:space="preserve">Chappell, J.; Jensen, K.; Freemont, P. S. Validation of an Entirely in Vitro Approach for Rapid Prototyping of DNA Regulatory Elements for Synthetic Biology. </w:t>
      </w:r>
      <w:r w:rsidRPr="00ED3FC2">
        <w:rPr>
          <w:rFonts w:cs="Times New Roman"/>
          <w:b/>
          <w:bCs/>
          <w:noProof/>
          <w:sz w:val="24"/>
          <w:lang w:val="en-US"/>
        </w:rPr>
        <w:t>2013</w:t>
      </w:r>
      <w:r w:rsidRPr="00ED3FC2">
        <w:rPr>
          <w:rFonts w:cs="Times New Roman"/>
          <w:noProof/>
          <w:sz w:val="24"/>
          <w:lang w:val="en-US"/>
        </w:rPr>
        <w:t xml:space="preserve">, </w:t>
      </w:r>
      <w:r w:rsidRPr="00ED3FC2">
        <w:rPr>
          <w:rFonts w:cs="Times New Roman"/>
          <w:i/>
          <w:iCs/>
          <w:noProof/>
          <w:sz w:val="24"/>
          <w:lang w:val="en-US"/>
        </w:rPr>
        <w:t>41</w:t>
      </w:r>
      <w:r w:rsidRPr="00ED3FC2">
        <w:rPr>
          <w:rFonts w:cs="Times New Roman"/>
          <w:noProof/>
          <w:sz w:val="24"/>
          <w:lang w:val="en-US"/>
        </w:rPr>
        <w:t xml:space="preserve"> (5), </w:t>
      </w:r>
    </w:p>
    <w:p w14:paraId="60CB73AD" w14:textId="4AFD376E"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(12) </w:t>
      </w:r>
      <w:r w:rsidRPr="00ED3FC2">
        <w:rPr>
          <w:rFonts w:cs="Times New Roman"/>
          <w:noProof/>
          <w:sz w:val="24"/>
          <w:lang w:val="en-US"/>
        </w:rPr>
        <w:tab/>
        <w:t xml:space="preserve">Perez, J. G.; Stark, J. C.; Jewett, M. C. Cell-Free Synthetic Biology: Engineering Beyond the Cell. </w:t>
      </w:r>
      <w:r w:rsidRPr="00ED3FC2">
        <w:rPr>
          <w:rFonts w:cs="Times New Roman"/>
          <w:i/>
          <w:iCs/>
          <w:noProof/>
          <w:sz w:val="24"/>
          <w:lang w:val="en-US"/>
        </w:rPr>
        <w:t>Cold Spring Harb. Perspect. Biol.</w:t>
      </w:r>
      <w:r w:rsidRPr="00ED3FC2">
        <w:rPr>
          <w:rFonts w:cs="Times New Roman"/>
          <w:noProof/>
          <w:sz w:val="24"/>
          <w:lang w:val="en-US"/>
        </w:rPr>
        <w:t xml:space="preserve"> </w:t>
      </w:r>
      <w:r w:rsidRPr="00ED3FC2">
        <w:rPr>
          <w:rFonts w:cs="Times New Roman"/>
          <w:b/>
          <w:bCs/>
          <w:noProof/>
          <w:sz w:val="24"/>
          <w:lang w:val="en-US"/>
        </w:rPr>
        <w:t>2016</w:t>
      </w:r>
      <w:r w:rsidRPr="00ED3FC2">
        <w:rPr>
          <w:rFonts w:cs="Times New Roman"/>
          <w:noProof/>
          <w:sz w:val="24"/>
          <w:lang w:val="en-US"/>
        </w:rPr>
        <w:t xml:space="preserve">, </w:t>
      </w:r>
      <w:r w:rsidRPr="00ED3FC2">
        <w:rPr>
          <w:rFonts w:cs="Times New Roman"/>
          <w:i/>
          <w:iCs/>
          <w:noProof/>
          <w:sz w:val="24"/>
          <w:lang w:val="en-US"/>
        </w:rPr>
        <w:t>8</w:t>
      </w:r>
      <w:r w:rsidRPr="00ED3FC2">
        <w:rPr>
          <w:rFonts w:cs="Times New Roman"/>
          <w:noProof/>
          <w:sz w:val="24"/>
          <w:lang w:val="en-US"/>
        </w:rPr>
        <w:t xml:space="preserve"> (12), a023853. </w:t>
      </w:r>
    </w:p>
    <w:p w14:paraId="78219E3E" w14:textId="7427B99F"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(13) </w:t>
      </w:r>
      <w:r w:rsidRPr="00ED3FC2">
        <w:rPr>
          <w:rFonts w:cs="Times New Roman"/>
          <w:noProof/>
          <w:sz w:val="24"/>
          <w:lang w:val="en-US"/>
        </w:rPr>
        <w:tab/>
        <w:t xml:space="preserve">Ueno, S.; Hirai, T.; Sato, S.; Biyani, M.; Kuramochi, H.; Iizuka, R.; Akagi, T.; Funatsu, T.; Ichiki, T. In Situ Synthesis and Immobilization of Enzyme Molecules on Microreactor Array Chips. </w:t>
      </w:r>
      <w:r w:rsidRPr="00ED3FC2">
        <w:rPr>
          <w:rFonts w:cs="Times New Roman"/>
          <w:i/>
          <w:iCs/>
          <w:noProof/>
          <w:sz w:val="24"/>
          <w:lang w:val="en-US"/>
        </w:rPr>
        <w:t>J. Photopolym. Sci. Technol.</w:t>
      </w:r>
      <w:r w:rsidRPr="00ED3FC2">
        <w:rPr>
          <w:rFonts w:cs="Times New Roman"/>
          <w:noProof/>
          <w:sz w:val="24"/>
          <w:lang w:val="en-US"/>
        </w:rPr>
        <w:t xml:space="preserve"> </w:t>
      </w:r>
      <w:r w:rsidRPr="00ED3FC2">
        <w:rPr>
          <w:rFonts w:cs="Times New Roman"/>
          <w:b/>
          <w:bCs/>
          <w:noProof/>
          <w:sz w:val="24"/>
          <w:lang w:val="en-US"/>
        </w:rPr>
        <w:t>2015</w:t>
      </w:r>
      <w:r w:rsidRPr="00ED3FC2">
        <w:rPr>
          <w:rFonts w:cs="Times New Roman"/>
          <w:noProof/>
          <w:sz w:val="24"/>
          <w:lang w:val="en-US"/>
        </w:rPr>
        <w:t xml:space="preserve">, </w:t>
      </w:r>
      <w:r w:rsidRPr="00ED3FC2">
        <w:rPr>
          <w:rFonts w:cs="Times New Roman"/>
          <w:i/>
          <w:iCs/>
          <w:noProof/>
          <w:sz w:val="24"/>
          <w:lang w:val="en-US"/>
        </w:rPr>
        <w:t>28</w:t>
      </w:r>
      <w:r w:rsidRPr="00ED3FC2">
        <w:rPr>
          <w:rFonts w:cs="Times New Roman"/>
          <w:noProof/>
          <w:sz w:val="24"/>
          <w:lang w:val="en-US"/>
        </w:rPr>
        <w:t xml:space="preserve"> (5), 719–725. </w:t>
      </w:r>
    </w:p>
    <w:p w14:paraId="3CC0AE07" w14:textId="71364C3E"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(14) </w:t>
      </w:r>
      <w:r w:rsidRPr="00ED3FC2">
        <w:rPr>
          <w:rFonts w:cs="Times New Roman"/>
          <w:noProof/>
          <w:sz w:val="24"/>
          <w:lang w:val="en-US"/>
        </w:rPr>
        <w:tab/>
        <w:t xml:space="preserve">Jackson, K.; Jin, S.; Fan, Z. H. Optimization of a Miniaturized Fluid Array Device for Cell-Free Protein Synthesis. </w:t>
      </w:r>
      <w:r w:rsidRPr="00ED3FC2">
        <w:rPr>
          <w:rFonts w:cs="Times New Roman"/>
          <w:i/>
          <w:iCs/>
          <w:noProof/>
          <w:sz w:val="24"/>
          <w:lang w:val="en-US"/>
        </w:rPr>
        <w:t>Biotechnol. Bioeng.</w:t>
      </w:r>
      <w:r w:rsidRPr="00ED3FC2">
        <w:rPr>
          <w:rFonts w:cs="Times New Roman"/>
          <w:noProof/>
          <w:sz w:val="24"/>
          <w:lang w:val="en-US"/>
        </w:rPr>
        <w:t xml:space="preserve"> </w:t>
      </w:r>
      <w:r w:rsidRPr="00ED3FC2">
        <w:rPr>
          <w:rFonts w:cs="Times New Roman"/>
          <w:b/>
          <w:bCs/>
          <w:noProof/>
          <w:sz w:val="24"/>
          <w:lang w:val="en-US"/>
        </w:rPr>
        <w:t>2015</w:t>
      </w:r>
      <w:r w:rsidRPr="00ED3FC2">
        <w:rPr>
          <w:rFonts w:cs="Times New Roman"/>
          <w:noProof/>
          <w:sz w:val="24"/>
          <w:lang w:val="en-US"/>
        </w:rPr>
        <w:t xml:space="preserve">, </w:t>
      </w:r>
      <w:r w:rsidRPr="00ED3FC2">
        <w:rPr>
          <w:rFonts w:cs="Times New Roman"/>
          <w:i/>
          <w:iCs/>
          <w:noProof/>
          <w:sz w:val="24"/>
          <w:lang w:val="en-US"/>
        </w:rPr>
        <w:t>112</w:t>
      </w:r>
      <w:r w:rsidRPr="00ED3FC2">
        <w:rPr>
          <w:rFonts w:cs="Times New Roman"/>
          <w:noProof/>
          <w:sz w:val="24"/>
          <w:lang w:val="en-US"/>
        </w:rPr>
        <w:t xml:space="preserve"> (12), 2459–2467. </w:t>
      </w:r>
    </w:p>
    <w:p w14:paraId="46E125F9" w14:textId="7B1BE1F7"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(15) </w:t>
      </w:r>
      <w:r w:rsidRPr="00ED3FC2">
        <w:rPr>
          <w:rFonts w:cs="Times New Roman"/>
          <w:noProof/>
          <w:sz w:val="24"/>
          <w:lang w:val="en-US"/>
        </w:rPr>
        <w:tab/>
        <w:t xml:space="preserve">Niederholtmeyer, H.; Sun, Z. Z.; Hori, Y.; Yeung, E.; Verpoorte, A.; Murray, R. M.; Maerkl, S. J.; Fe, P. Rapid Cell-Free Forward Engineering of Novel Genetic Ring Oscillators. </w:t>
      </w:r>
      <w:r w:rsidRPr="00ED3FC2">
        <w:rPr>
          <w:rFonts w:cs="Times New Roman"/>
          <w:i/>
          <w:iCs/>
          <w:noProof/>
          <w:sz w:val="24"/>
          <w:lang w:val="en-US"/>
        </w:rPr>
        <w:t>Elife</w:t>
      </w:r>
      <w:r w:rsidRPr="00ED3FC2">
        <w:rPr>
          <w:rFonts w:cs="Times New Roman"/>
          <w:noProof/>
          <w:sz w:val="24"/>
          <w:lang w:val="en-US"/>
        </w:rPr>
        <w:t xml:space="preserve"> </w:t>
      </w:r>
      <w:r w:rsidRPr="00ED3FC2">
        <w:rPr>
          <w:rFonts w:cs="Times New Roman"/>
          <w:b/>
          <w:bCs/>
          <w:noProof/>
          <w:sz w:val="24"/>
          <w:lang w:val="en-US"/>
        </w:rPr>
        <w:t>2015</w:t>
      </w:r>
      <w:r w:rsidRPr="00ED3FC2">
        <w:rPr>
          <w:rFonts w:cs="Times New Roman"/>
          <w:noProof/>
          <w:sz w:val="24"/>
          <w:lang w:val="en-US"/>
        </w:rPr>
        <w:t xml:space="preserve">, </w:t>
      </w:r>
      <w:r w:rsidRPr="00ED3FC2">
        <w:rPr>
          <w:rFonts w:cs="Times New Roman"/>
          <w:i/>
          <w:iCs/>
          <w:noProof/>
          <w:sz w:val="24"/>
          <w:lang w:val="en-US"/>
        </w:rPr>
        <w:t>4</w:t>
      </w:r>
      <w:r w:rsidRPr="00ED3FC2">
        <w:rPr>
          <w:rFonts w:cs="Times New Roman"/>
          <w:noProof/>
          <w:sz w:val="24"/>
          <w:lang w:val="en-US"/>
        </w:rPr>
        <w:t xml:space="preserve">. </w:t>
      </w:r>
    </w:p>
    <w:p w14:paraId="467A9CB8" w14:textId="41E5FF0F"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(16) </w:t>
      </w:r>
      <w:r w:rsidRPr="00ED3FC2">
        <w:rPr>
          <w:rFonts w:cs="Times New Roman"/>
          <w:noProof/>
          <w:sz w:val="24"/>
          <w:lang w:val="en-US"/>
        </w:rPr>
        <w:tab/>
        <w:t xml:space="preserve">Pardee, K.; Green, A. A.; Ferrante, T.; Cameron, D. E.; Daleykeyser, A.; Yin, P. Paper-Based Synthetic Gene Networks. </w:t>
      </w:r>
      <w:r w:rsidRPr="00ED3FC2">
        <w:rPr>
          <w:rFonts w:cs="Times New Roman"/>
          <w:i/>
          <w:iCs/>
          <w:noProof/>
          <w:sz w:val="24"/>
          <w:lang w:val="en-US"/>
        </w:rPr>
        <w:t>Cell</w:t>
      </w:r>
      <w:r w:rsidRPr="00ED3FC2">
        <w:rPr>
          <w:rFonts w:cs="Times New Roman"/>
          <w:noProof/>
          <w:sz w:val="24"/>
          <w:lang w:val="en-US"/>
        </w:rPr>
        <w:t xml:space="preserve"> </w:t>
      </w:r>
      <w:r w:rsidRPr="00ED3FC2">
        <w:rPr>
          <w:rFonts w:cs="Times New Roman"/>
          <w:b/>
          <w:bCs/>
          <w:noProof/>
          <w:sz w:val="24"/>
          <w:lang w:val="en-US"/>
        </w:rPr>
        <w:t>2014</w:t>
      </w:r>
      <w:r w:rsidRPr="00ED3FC2">
        <w:rPr>
          <w:rFonts w:cs="Times New Roman"/>
          <w:noProof/>
          <w:sz w:val="24"/>
          <w:lang w:val="en-US"/>
        </w:rPr>
        <w:t xml:space="preserve">, 1–15. </w:t>
      </w:r>
    </w:p>
    <w:p w14:paraId="68DB21D2" w14:textId="1FDBC90C"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(17) </w:t>
      </w:r>
      <w:r w:rsidRPr="00ED3FC2">
        <w:rPr>
          <w:rFonts w:cs="Times New Roman"/>
          <w:noProof/>
          <w:sz w:val="24"/>
          <w:lang w:val="en-US"/>
        </w:rPr>
        <w:tab/>
        <w:t xml:space="preserve">Moore, S. J.; MacDonald, J. T.; Wienecke, S.; Ishwarbhai, A.; Tsipa, A.; Aw, R.; Kylilis, N.; Bell, D. J.; McClymont, D. W.; Jensen, K.; et al. Rapid Acquisition and Model-Based Analysis of Cell-Free Transcription-Translation Reactions from Nonmodel Bacteria. </w:t>
      </w:r>
      <w:r w:rsidRPr="00ED3FC2">
        <w:rPr>
          <w:rFonts w:cs="Times New Roman"/>
          <w:i/>
          <w:iCs/>
          <w:noProof/>
          <w:sz w:val="24"/>
          <w:lang w:val="en-US"/>
        </w:rPr>
        <w:t>Proc. Natl. Acad. Sci. U. S. A.</w:t>
      </w:r>
      <w:r w:rsidRPr="00ED3FC2">
        <w:rPr>
          <w:rFonts w:cs="Times New Roman"/>
          <w:noProof/>
          <w:sz w:val="24"/>
          <w:lang w:val="en-US"/>
        </w:rPr>
        <w:t xml:space="preserve"> </w:t>
      </w:r>
      <w:r w:rsidRPr="00ED3FC2">
        <w:rPr>
          <w:rFonts w:cs="Times New Roman"/>
          <w:b/>
          <w:bCs/>
          <w:noProof/>
          <w:sz w:val="24"/>
          <w:lang w:val="en-US"/>
        </w:rPr>
        <w:t>2018</w:t>
      </w:r>
      <w:r w:rsidRPr="00ED3FC2">
        <w:rPr>
          <w:rFonts w:cs="Times New Roman"/>
          <w:noProof/>
          <w:sz w:val="24"/>
          <w:lang w:val="en-US"/>
        </w:rPr>
        <w:t xml:space="preserve">, </w:t>
      </w:r>
      <w:r w:rsidRPr="00ED3FC2">
        <w:rPr>
          <w:rFonts w:cs="Times New Roman"/>
          <w:i/>
          <w:iCs/>
          <w:noProof/>
          <w:sz w:val="24"/>
          <w:lang w:val="en-US"/>
        </w:rPr>
        <w:t>115</w:t>
      </w:r>
      <w:r w:rsidRPr="00ED3FC2">
        <w:rPr>
          <w:rFonts w:cs="Times New Roman"/>
          <w:noProof/>
          <w:sz w:val="24"/>
          <w:lang w:val="en-US"/>
        </w:rPr>
        <w:t xml:space="preserve"> (19), E4340–E4349. </w:t>
      </w:r>
    </w:p>
    <w:p w14:paraId="39AD7378" w14:textId="3FEB4E2A"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lastRenderedPageBreak/>
        <w:t xml:space="preserve">(18) </w:t>
      </w:r>
      <w:r w:rsidRPr="00ED3FC2">
        <w:rPr>
          <w:rFonts w:cs="Times New Roman"/>
          <w:noProof/>
          <w:sz w:val="24"/>
          <w:lang w:val="en-US"/>
        </w:rPr>
        <w:tab/>
        <w:t xml:space="preserve">Sun, Z. Z.; Yeung, E.; Hayes, C. A.; Noireaux, V.; Murray, R. M. Linear DNA for Rapid Prototyping of Synthetic Biological Circuits in an Escherichia Coli Based TX-TL Cell-Free System. </w:t>
      </w:r>
      <w:r w:rsidRPr="00ED3FC2">
        <w:rPr>
          <w:rFonts w:cs="Times New Roman"/>
          <w:i/>
          <w:iCs/>
          <w:noProof/>
          <w:sz w:val="24"/>
          <w:lang w:val="en-US"/>
        </w:rPr>
        <w:t>ACS Synth. Biol.</w:t>
      </w:r>
      <w:r w:rsidRPr="00ED3FC2">
        <w:rPr>
          <w:rFonts w:cs="Times New Roman"/>
          <w:noProof/>
          <w:sz w:val="24"/>
          <w:lang w:val="en-US"/>
        </w:rPr>
        <w:t xml:space="preserve"> </w:t>
      </w:r>
      <w:r w:rsidRPr="00ED3FC2">
        <w:rPr>
          <w:rFonts w:cs="Times New Roman"/>
          <w:b/>
          <w:bCs/>
          <w:noProof/>
          <w:sz w:val="24"/>
          <w:lang w:val="en-US"/>
        </w:rPr>
        <w:t>2014</w:t>
      </w:r>
      <w:r w:rsidRPr="00ED3FC2">
        <w:rPr>
          <w:rFonts w:cs="Times New Roman"/>
          <w:noProof/>
          <w:sz w:val="24"/>
          <w:lang w:val="en-US"/>
        </w:rPr>
        <w:t xml:space="preserve">, </w:t>
      </w:r>
      <w:r w:rsidRPr="00ED3FC2">
        <w:rPr>
          <w:rFonts w:cs="Times New Roman"/>
          <w:i/>
          <w:iCs/>
          <w:noProof/>
          <w:sz w:val="24"/>
          <w:lang w:val="en-US"/>
        </w:rPr>
        <w:t>3</w:t>
      </w:r>
      <w:r w:rsidRPr="00ED3FC2">
        <w:rPr>
          <w:rFonts w:cs="Times New Roman"/>
          <w:noProof/>
          <w:sz w:val="24"/>
          <w:lang w:val="en-US"/>
        </w:rPr>
        <w:t xml:space="preserve"> (6), 387–397. </w:t>
      </w:r>
    </w:p>
    <w:p w14:paraId="4E3397F0" w14:textId="02148DE8"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(19) </w:t>
      </w:r>
      <w:r w:rsidRPr="00ED3FC2">
        <w:rPr>
          <w:rFonts w:cs="Times New Roman"/>
          <w:noProof/>
          <w:sz w:val="24"/>
          <w:lang w:val="en-US"/>
        </w:rPr>
        <w:tab/>
        <w:t xml:space="preserve">Hartsough, E. M.; Shah, P.; Larsen, A. C.; Chaput, J. C. Comparative Analysis of Eukaryotic Cell-Free Expression Systems. </w:t>
      </w:r>
      <w:r w:rsidRPr="00ED3FC2">
        <w:rPr>
          <w:rFonts w:cs="Times New Roman"/>
          <w:i/>
          <w:iCs/>
          <w:noProof/>
          <w:sz w:val="24"/>
          <w:lang w:val="en-US"/>
        </w:rPr>
        <w:t>Biotechniques</w:t>
      </w:r>
      <w:r w:rsidRPr="00ED3FC2">
        <w:rPr>
          <w:rFonts w:cs="Times New Roman"/>
          <w:noProof/>
          <w:sz w:val="24"/>
          <w:lang w:val="en-US"/>
        </w:rPr>
        <w:t xml:space="preserve"> </w:t>
      </w:r>
      <w:r w:rsidRPr="00ED3FC2">
        <w:rPr>
          <w:rFonts w:cs="Times New Roman"/>
          <w:b/>
          <w:bCs/>
          <w:noProof/>
          <w:sz w:val="24"/>
          <w:lang w:val="en-US"/>
        </w:rPr>
        <w:t>2015</w:t>
      </w:r>
      <w:r w:rsidRPr="00ED3FC2">
        <w:rPr>
          <w:rFonts w:cs="Times New Roman"/>
          <w:noProof/>
          <w:sz w:val="24"/>
          <w:lang w:val="en-US"/>
        </w:rPr>
        <w:t xml:space="preserve">, </w:t>
      </w:r>
      <w:r w:rsidRPr="00ED3FC2">
        <w:rPr>
          <w:rFonts w:cs="Times New Roman"/>
          <w:i/>
          <w:iCs/>
          <w:noProof/>
          <w:sz w:val="24"/>
          <w:lang w:val="en-US"/>
        </w:rPr>
        <w:t>59</w:t>
      </w:r>
      <w:r w:rsidRPr="00ED3FC2">
        <w:rPr>
          <w:rFonts w:cs="Times New Roman"/>
          <w:noProof/>
          <w:sz w:val="24"/>
          <w:lang w:val="en-US"/>
        </w:rPr>
        <w:t xml:space="preserve"> (3), 149–151. </w:t>
      </w:r>
    </w:p>
    <w:p w14:paraId="2C58A7C2" w14:textId="73DEF0E1"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(20) </w:t>
      </w:r>
      <w:r w:rsidRPr="00ED3FC2">
        <w:rPr>
          <w:rFonts w:cs="Times New Roman"/>
          <w:noProof/>
          <w:sz w:val="24"/>
          <w:lang w:val="en-US"/>
        </w:rPr>
        <w:tab/>
        <w:t xml:space="preserve">Thoring, L.; Dondapati, S. K.; Stech, M.; Wüstenhagen, D. A.; Kubick, S. High-Yield Production of “Difficult-to-Express” Proteins in a Continuous Exchange Cell-Free System Based on CHO Cell Lysates. </w:t>
      </w:r>
      <w:r w:rsidRPr="00ED3FC2">
        <w:rPr>
          <w:rFonts w:cs="Times New Roman"/>
          <w:i/>
          <w:iCs/>
          <w:noProof/>
          <w:sz w:val="24"/>
          <w:lang w:val="en-US"/>
        </w:rPr>
        <w:t>Sci. Rep.</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7</w:t>
      </w:r>
      <w:r w:rsidRPr="00ED3FC2">
        <w:rPr>
          <w:rFonts w:cs="Times New Roman"/>
          <w:noProof/>
          <w:sz w:val="24"/>
          <w:lang w:val="en-US"/>
        </w:rPr>
        <w:t xml:space="preserve"> (1), 11710. </w:t>
      </w:r>
    </w:p>
    <w:p w14:paraId="60288196" w14:textId="03D0C134"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(21) </w:t>
      </w:r>
      <w:r w:rsidRPr="00ED3FC2">
        <w:rPr>
          <w:rFonts w:cs="Times New Roman"/>
          <w:noProof/>
          <w:sz w:val="24"/>
          <w:lang w:val="en-US"/>
        </w:rPr>
        <w:tab/>
        <w:t xml:space="preserve">Ayoglu, B.; Schwenk, J. M.; Nilsson, P. Antigen Arrays for Profiling Autoantibody Repertoires. </w:t>
      </w:r>
      <w:r w:rsidRPr="00ED3FC2">
        <w:rPr>
          <w:rFonts w:cs="Times New Roman"/>
          <w:i/>
          <w:iCs/>
          <w:noProof/>
          <w:sz w:val="24"/>
          <w:lang w:val="en-US"/>
        </w:rPr>
        <w:t>Bioanalysis</w:t>
      </w:r>
      <w:r w:rsidRPr="00ED3FC2">
        <w:rPr>
          <w:rFonts w:cs="Times New Roman"/>
          <w:noProof/>
          <w:sz w:val="24"/>
          <w:lang w:val="en-US"/>
        </w:rPr>
        <w:t xml:space="preserve"> </w:t>
      </w:r>
      <w:r w:rsidRPr="00ED3FC2">
        <w:rPr>
          <w:rFonts w:cs="Times New Roman"/>
          <w:b/>
          <w:bCs/>
          <w:noProof/>
          <w:sz w:val="24"/>
          <w:lang w:val="en-US"/>
        </w:rPr>
        <w:t>2016</w:t>
      </w:r>
      <w:r w:rsidRPr="00ED3FC2">
        <w:rPr>
          <w:rFonts w:cs="Times New Roman"/>
          <w:noProof/>
          <w:sz w:val="24"/>
          <w:lang w:val="en-US"/>
        </w:rPr>
        <w:t xml:space="preserve">, </w:t>
      </w:r>
      <w:r w:rsidRPr="00ED3FC2">
        <w:rPr>
          <w:rFonts w:cs="Times New Roman"/>
          <w:i/>
          <w:iCs/>
          <w:noProof/>
          <w:sz w:val="24"/>
          <w:lang w:val="en-US"/>
        </w:rPr>
        <w:t>8</w:t>
      </w:r>
      <w:r w:rsidRPr="00ED3FC2">
        <w:rPr>
          <w:rFonts w:cs="Times New Roman"/>
          <w:noProof/>
          <w:sz w:val="24"/>
          <w:lang w:val="en-US"/>
        </w:rPr>
        <w:t xml:space="preserve"> (10), 1105–1126. </w:t>
      </w:r>
    </w:p>
    <w:p w14:paraId="0D00359B" w14:textId="20C823F7"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(22) </w:t>
      </w:r>
      <w:r w:rsidRPr="00ED3FC2">
        <w:rPr>
          <w:rFonts w:cs="Times New Roman"/>
          <w:noProof/>
          <w:sz w:val="24"/>
          <w:lang w:val="en-US"/>
        </w:rPr>
        <w:tab/>
        <w:t xml:space="preserve">Smanski, M. J.; Bhatia, S.; Zhao, D.; Park, Y.; B A Woodruff, L.; Giannoukos, G.; Ciulla, D.; Busby, M.; Calderon, J.; Nicol, R.; et al. Functional Optimization of Gene Clusters by Combinatorial Design and Assembly. </w:t>
      </w:r>
      <w:r w:rsidRPr="00ED3FC2">
        <w:rPr>
          <w:rFonts w:cs="Times New Roman"/>
          <w:i/>
          <w:iCs/>
          <w:noProof/>
          <w:sz w:val="24"/>
          <w:lang w:val="en-US"/>
        </w:rPr>
        <w:t>Nat. Biotechnol.</w:t>
      </w:r>
      <w:r w:rsidRPr="00ED3FC2">
        <w:rPr>
          <w:rFonts w:cs="Times New Roman"/>
          <w:noProof/>
          <w:sz w:val="24"/>
          <w:lang w:val="en-US"/>
        </w:rPr>
        <w:t xml:space="preserve"> </w:t>
      </w:r>
      <w:r w:rsidRPr="00ED3FC2">
        <w:rPr>
          <w:rFonts w:cs="Times New Roman"/>
          <w:b/>
          <w:bCs/>
          <w:noProof/>
          <w:sz w:val="24"/>
          <w:lang w:val="en-US"/>
        </w:rPr>
        <w:t>2014</w:t>
      </w:r>
      <w:r w:rsidRPr="00ED3FC2">
        <w:rPr>
          <w:rFonts w:cs="Times New Roman"/>
          <w:noProof/>
          <w:sz w:val="24"/>
          <w:lang w:val="en-US"/>
        </w:rPr>
        <w:t xml:space="preserve">, </w:t>
      </w:r>
      <w:r w:rsidRPr="00ED3FC2">
        <w:rPr>
          <w:rFonts w:cs="Times New Roman"/>
          <w:i/>
          <w:iCs/>
          <w:noProof/>
          <w:sz w:val="24"/>
          <w:lang w:val="en-US"/>
        </w:rPr>
        <w:t>32</w:t>
      </w:r>
      <w:r w:rsidRPr="00ED3FC2">
        <w:rPr>
          <w:rFonts w:cs="Times New Roman"/>
          <w:noProof/>
          <w:sz w:val="24"/>
          <w:lang w:val="en-US"/>
        </w:rPr>
        <w:t xml:space="preserve"> (12), 1241–1249. </w:t>
      </w:r>
    </w:p>
    <w:p w14:paraId="5C15342E" w14:textId="30039117"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(23) </w:t>
      </w:r>
      <w:r w:rsidRPr="00ED3FC2">
        <w:rPr>
          <w:rFonts w:cs="Times New Roman"/>
          <w:noProof/>
          <w:sz w:val="24"/>
          <w:lang w:val="en-US"/>
        </w:rPr>
        <w:tab/>
        <w:t xml:space="preserve">Komura, R.; Aoki, W.; Motone, K.; Satomura, A.; Ueda, M. High-Throughput Evaluation of T7 Promoter Variants Using Biased Randomization and DNA Barcoding. </w:t>
      </w:r>
      <w:r w:rsidRPr="00ED3FC2">
        <w:rPr>
          <w:rFonts w:cs="Times New Roman"/>
          <w:i/>
          <w:iCs/>
          <w:noProof/>
          <w:sz w:val="24"/>
          <w:lang w:val="en-US"/>
        </w:rPr>
        <w:t>PLoS One</w:t>
      </w:r>
      <w:r w:rsidRPr="00ED3FC2">
        <w:rPr>
          <w:rFonts w:cs="Times New Roman"/>
          <w:noProof/>
          <w:sz w:val="24"/>
          <w:lang w:val="en-US"/>
        </w:rPr>
        <w:t xml:space="preserve"> </w:t>
      </w:r>
      <w:r w:rsidRPr="00ED3FC2">
        <w:rPr>
          <w:rFonts w:cs="Times New Roman"/>
          <w:b/>
          <w:bCs/>
          <w:noProof/>
          <w:sz w:val="24"/>
          <w:lang w:val="en-US"/>
        </w:rPr>
        <w:t>2018</w:t>
      </w:r>
      <w:r w:rsidRPr="00ED3FC2">
        <w:rPr>
          <w:rFonts w:cs="Times New Roman"/>
          <w:noProof/>
          <w:sz w:val="24"/>
          <w:lang w:val="en-US"/>
        </w:rPr>
        <w:t xml:space="preserve">, </w:t>
      </w:r>
      <w:r w:rsidRPr="00ED3FC2">
        <w:rPr>
          <w:rFonts w:cs="Times New Roman"/>
          <w:i/>
          <w:iCs/>
          <w:noProof/>
          <w:sz w:val="24"/>
          <w:lang w:val="en-US"/>
        </w:rPr>
        <w:t>13</w:t>
      </w:r>
      <w:r w:rsidRPr="00ED3FC2">
        <w:rPr>
          <w:rFonts w:cs="Times New Roman"/>
          <w:noProof/>
          <w:sz w:val="24"/>
          <w:lang w:val="en-US"/>
        </w:rPr>
        <w:t xml:space="preserve"> (5).</w:t>
      </w:r>
    </w:p>
    <w:p w14:paraId="347F9D62" w14:textId="7C016483"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(24) </w:t>
      </w:r>
      <w:r w:rsidRPr="00ED3FC2">
        <w:rPr>
          <w:rFonts w:cs="Times New Roman"/>
          <w:noProof/>
          <w:sz w:val="24"/>
          <w:lang w:val="en-US"/>
        </w:rPr>
        <w:tab/>
        <w:t xml:space="preserve">Temme, K.; Hill, R.; Segall-Shapiro, T. H.; Moser, F.; Voigt, C. A. Modular Control of Multiple Pathways Using Engineered Orthogonal T7 Polymerases. </w:t>
      </w:r>
      <w:r w:rsidRPr="00ED3FC2">
        <w:rPr>
          <w:rFonts w:cs="Times New Roman"/>
          <w:b/>
          <w:bCs/>
          <w:noProof/>
          <w:sz w:val="24"/>
          <w:lang w:val="en-US"/>
        </w:rPr>
        <w:t>2012</w:t>
      </w:r>
      <w:r w:rsidRPr="00ED3FC2">
        <w:rPr>
          <w:rFonts w:cs="Times New Roman"/>
          <w:noProof/>
          <w:sz w:val="24"/>
          <w:lang w:val="en-US"/>
        </w:rPr>
        <w:t xml:space="preserve">, </w:t>
      </w:r>
      <w:r w:rsidRPr="00ED3FC2">
        <w:rPr>
          <w:rFonts w:cs="Times New Roman"/>
          <w:i/>
          <w:iCs/>
          <w:noProof/>
          <w:sz w:val="24"/>
          <w:lang w:val="en-US"/>
        </w:rPr>
        <w:t>40</w:t>
      </w:r>
      <w:r w:rsidRPr="00ED3FC2">
        <w:rPr>
          <w:rFonts w:cs="Times New Roman"/>
          <w:noProof/>
          <w:sz w:val="24"/>
          <w:lang w:val="en-US"/>
        </w:rPr>
        <w:t xml:space="preserve"> (17). </w:t>
      </w:r>
    </w:p>
    <w:p w14:paraId="1EC575D2" w14:textId="2E434009"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(25) </w:t>
      </w:r>
      <w:r w:rsidRPr="00ED3FC2">
        <w:rPr>
          <w:rFonts w:cs="Times New Roman"/>
          <w:noProof/>
          <w:sz w:val="24"/>
          <w:lang w:val="en-US"/>
        </w:rPr>
        <w:tab/>
        <w:t xml:space="preserve">Koh, E. Y. C.; Ho, S. C. L.; Mariati; Song, Z.; Bi, X.; Bardor, M.; Yang, Y. An Internal Ribosome Entry Site (IRES) Mutant Library for Tuning Expression Level of Multiple Genes in Mammalian Cells. </w:t>
      </w:r>
      <w:r w:rsidRPr="00ED3FC2">
        <w:rPr>
          <w:rFonts w:cs="Times New Roman"/>
          <w:i/>
          <w:iCs/>
          <w:noProof/>
          <w:sz w:val="24"/>
          <w:lang w:val="en-US"/>
        </w:rPr>
        <w:t>PLoS One</w:t>
      </w:r>
      <w:r w:rsidRPr="00ED3FC2">
        <w:rPr>
          <w:rFonts w:cs="Times New Roman"/>
          <w:noProof/>
          <w:sz w:val="24"/>
          <w:lang w:val="en-US"/>
        </w:rPr>
        <w:t xml:space="preserve"> </w:t>
      </w:r>
      <w:r w:rsidRPr="00ED3FC2">
        <w:rPr>
          <w:rFonts w:cs="Times New Roman"/>
          <w:b/>
          <w:bCs/>
          <w:noProof/>
          <w:sz w:val="24"/>
          <w:lang w:val="en-US"/>
        </w:rPr>
        <w:t>2013</w:t>
      </w:r>
      <w:r w:rsidRPr="00ED3FC2">
        <w:rPr>
          <w:rFonts w:cs="Times New Roman"/>
          <w:noProof/>
          <w:sz w:val="24"/>
          <w:lang w:val="en-US"/>
        </w:rPr>
        <w:t xml:space="preserve">, </w:t>
      </w:r>
      <w:r w:rsidRPr="00ED3FC2">
        <w:rPr>
          <w:rFonts w:cs="Times New Roman"/>
          <w:i/>
          <w:iCs/>
          <w:noProof/>
          <w:sz w:val="24"/>
          <w:lang w:val="en-US"/>
        </w:rPr>
        <w:t>8</w:t>
      </w:r>
      <w:r w:rsidRPr="00ED3FC2">
        <w:rPr>
          <w:rFonts w:cs="Times New Roman"/>
          <w:noProof/>
          <w:sz w:val="24"/>
          <w:lang w:val="en-US"/>
        </w:rPr>
        <w:t xml:space="preserve"> (12), e82100. </w:t>
      </w:r>
    </w:p>
    <w:p w14:paraId="1845BC21" w14:textId="6690D1EA"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(26) </w:t>
      </w:r>
      <w:r w:rsidRPr="00ED3FC2">
        <w:rPr>
          <w:rFonts w:cs="Times New Roman"/>
          <w:noProof/>
          <w:sz w:val="24"/>
          <w:lang w:val="en-US"/>
        </w:rPr>
        <w:tab/>
        <w:t xml:space="preserve">Gilbert, L. a; Larson, M. H.; Morsut, L.; Liu, Z.; Brar, G. a; Torres, S. E.; Stern-Ginossar, </w:t>
      </w:r>
      <w:r w:rsidRPr="00ED3FC2">
        <w:rPr>
          <w:rFonts w:cs="Times New Roman"/>
          <w:noProof/>
          <w:sz w:val="24"/>
          <w:lang w:val="en-US"/>
        </w:rPr>
        <w:lastRenderedPageBreak/>
        <w:t xml:space="preserve">N.; Brandman, O.; Whitehead, E. H.; Doudna, J. a; et al. CRISPR-Mediated Modular RNA-Guided Regulation of Transcription in Eukaryotes. </w:t>
      </w:r>
      <w:r w:rsidRPr="00ED3FC2">
        <w:rPr>
          <w:rFonts w:cs="Times New Roman"/>
          <w:i/>
          <w:iCs/>
          <w:noProof/>
          <w:sz w:val="24"/>
          <w:lang w:val="en-US"/>
        </w:rPr>
        <w:t>Cell</w:t>
      </w:r>
      <w:r w:rsidRPr="00ED3FC2">
        <w:rPr>
          <w:rFonts w:cs="Times New Roman"/>
          <w:noProof/>
          <w:sz w:val="24"/>
          <w:lang w:val="en-US"/>
        </w:rPr>
        <w:t xml:space="preserve"> </w:t>
      </w:r>
      <w:r w:rsidRPr="00ED3FC2">
        <w:rPr>
          <w:rFonts w:cs="Times New Roman"/>
          <w:b/>
          <w:bCs/>
          <w:noProof/>
          <w:sz w:val="24"/>
          <w:lang w:val="en-US"/>
        </w:rPr>
        <w:t>2013</w:t>
      </w:r>
      <w:r w:rsidRPr="00ED3FC2">
        <w:rPr>
          <w:rFonts w:cs="Times New Roman"/>
          <w:noProof/>
          <w:sz w:val="24"/>
          <w:lang w:val="en-US"/>
        </w:rPr>
        <w:t xml:space="preserve">, </w:t>
      </w:r>
      <w:r w:rsidRPr="00ED3FC2">
        <w:rPr>
          <w:rFonts w:cs="Times New Roman"/>
          <w:i/>
          <w:iCs/>
          <w:noProof/>
          <w:sz w:val="24"/>
          <w:lang w:val="en-US"/>
        </w:rPr>
        <w:t>154</w:t>
      </w:r>
      <w:r w:rsidRPr="00ED3FC2">
        <w:rPr>
          <w:rFonts w:cs="Times New Roman"/>
          <w:noProof/>
          <w:sz w:val="24"/>
          <w:lang w:val="en-US"/>
        </w:rPr>
        <w:t xml:space="preserve"> (2), 442–451. </w:t>
      </w:r>
    </w:p>
    <w:p w14:paraId="464EF25D" w14:textId="2A5F0AA5"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(27) </w:t>
      </w:r>
      <w:r w:rsidRPr="00ED3FC2">
        <w:rPr>
          <w:rFonts w:cs="Times New Roman"/>
          <w:noProof/>
          <w:sz w:val="24"/>
          <w:lang w:val="en-US"/>
        </w:rPr>
        <w:tab/>
        <w:t xml:space="preserve">Saito, H.; Kobayashi, T.; Hara, T.; Fujita, Y.; Hayashi, K.; Furushima, R.; Inoue, T. Synthetic Translational Regulation by an L7Ae-Kink-Turn RNP Switch. </w:t>
      </w:r>
      <w:r w:rsidRPr="00ED3FC2">
        <w:rPr>
          <w:rFonts w:cs="Times New Roman"/>
          <w:i/>
          <w:iCs/>
          <w:noProof/>
          <w:sz w:val="24"/>
          <w:lang w:val="en-US"/>
        </w:rPr>
        <w:t>Nat. Chem. Biol.</w:t>
      </w:r>
      <w:r w:rsidRPr="00ED3FC2">
        <w:rPr>
          <w:rFonts w:cs="Times New Roman"/>
          <w:noProof/>
          <w:sz w:val="24"/>
          <w:lang w:val="en-US"/>
        </w:rPr>
        <w:t xml:space="preserve"> </w:t>
      </w:r>
      <w:r w:rsidRPr="00ED3FC2">
        <w:rPr>
          <w:rFonts w:cs="Times New Roman"/>
          <w:b/>
          <w:bCs/>
          <w:noProof/>
          <w:sz w:val="24"/>
          <w:lang w:val="en-US"/>
        </w:rPr>
        <w:t>2010</w:t>
      </w:r>
      <w:r w:rsidRPr="00ED3FC2">
        <w:rPr>
          <w:rFonts w:cs="Times New Roman"/>
          <w:noProof/>
          <w:sz w:val="24"/>
          <w:lang w:val="en-US"/>
        </w:rPr>
        <w:t xml:space="preserve">, </w:t>
      </w:r>
      <w:r w:rsidRPr="00ED3FC2">
        <w:rPr>
          <w:rFonts w:cs="Times New Roman"/>
          <w:i/>
          <w:iCs/>
          <w:noProof/>
          <w:sz w:val="24"/>
          <w:lang w:val="en-US"/>
        </w:rPr>
        <w:t>6</w:t>
      </w:r>
      <w:r w:rsidRPr="00ED3FC2">
        <w:rPr>
          <w:rFonts w:cs="Times New Roman"/>
          <w:noProof/>
          <w:sz w:val="24"/>
          <w:lang w:val="en-US"/>
        </w:rPr>
        <w:t xml:space="preserve"> (1), 71–78. </w:t>
      </w:r>
    </w:p>
    <w:p w14:paraId="5DB4B259" w14:textId="77777777"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(28) </w:t>
      </w:r>
      <w:r w:rsidRPr="00ED3FC2">
        <w:rPr>
          <w:rFonts w:cs="Times New Roman"/>
          <w:noProof/>
          <w:sz w:val="24"/>
          <w:lang w:val="en-US"/>
        </w:rPr>
        <w:tab/>
        <w:t xml:space="preserve">Casini, A.; Christodoulou, G.; Freemont, P. S.; Baldwin, G. S.; Ellis, T.; Macdonald, J. T. R2oDNA Designer: Computational Design of Biologically Neutral Synthetic DNA Sequences. </w:t>
      </w:r>
      <w:r w:rsidRPr="00ED3FC2">
        <w:rPr>
          <w:rFonts w:cs="Times New Roman"/>
          <w:b/>
          <w:bCs/>
          <w:noProof/>
          <w:sz w:val="24"/>
          <w:lang w:val="en-US"/>
        </w:rPr>
        <w:t>2014</w:t>
      </w:r>
      <w:r w:rsidRPr="00ED3FC2">
        <w:rPr>
          <w:rFonts w:cs="Times New Roman"/>
          <w:noProof/>
          <w:sz w:val="24"/>
          <w:lang w:val="en-US"/>
        </w:rPr>
        <w:t>.</w:t>
      </w:r>
    </w:p>
    <w:p w14:paraId="782AF4FE" w14:textId="6E76CB42"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(29) </w:t>
      </w:r>
      <w:r w:rsidRPr="00ED3FC2">
        <w:rPr>
          <w:rFonts w:cs="Times New Roman"/>
          <w:noProof/>
          <w:sz w:val="24"/>
          <w:lang w:val="en-US"/>
        </w:rPr>
        <w:tab/>
        <w:t xml:space="preserve">Huang, L.; Lilley, D. M. J. The Molecular Recognition of Kink-Turn Structure by the L7Ae Class of Proteins. </w:t>
      </w:r>
      <w:r w:rsidRPr="00ED3FC2">
        <w:rPr>
          <w:rFonts w:cs="Times New Roman"/>
          <w:i/>
          <w:iCs/>
          <w:noProof/>
          <w:sz w:val="24"/>
          <w:lang w:val="en-US"/>
        </w:rPr>
        <w:t>RNA</w:t>
      </w:r>
      <w:r w:rsidRPr="00ED3FC2">
        <w:rPr>
          <w:rFonts w:cs="Times New Roman"/>
          <w:noProof/>
          <w:sz w:val="24"/>
          <w:lang w:val="en-US"/>
        </w:rPr>
        <w:t xml:space="preserve"> </w:t>
      </w:r>
      <w:r w:rsidRPr="00ED3FC2">
        <w:rPr>
          <w:rFonts w:cs="Times New Roman"/>
          <w:b/>
          <w:bCs/>
          <w:noProof/>
          <w:sz w:val="24"/>
          <w:lang w:val="en-US"/>
        </w:rPr>
        <w:t>2013</w:t>
      </w:r>
      <w:r w:rsidRPr="00ED3FC2">
        <w:rPr>
          <w:rFonts w:cs="Times New Roman"/>
          <w:noProof/>
          <w:sz w:val="24"/>
          <w:lang w:val="en-US"/>
        </w:rPr>
        <w:t xml:space="preserve">, </w:t>
      </w:r>
      <w:r w:rsidRPr="00ED3FC2">
        <w:rPr>
          <w:rFonts w:cs="Times New Roman"/>
          <w:i/>
          <w:iCs/>
          <w:noProof/>
          <w:sz w:val="24"/>
          <w:lang w:val="en-US"/>
        </w:rPr>
        <w:t>19</w:t>
      </w:r>
      <w:r w:rsidRPr="00ED3FC2">
        <w:rPr>
          <w:rFonts w:cs="Times New Roman"/>
          <w:noProof/>
          <w:sz w:val="24"/>
          <w:lang w:val="en-US"/>
        </w:rPr>
        <w:t xml:space="preserve"> (12), 1703–1710. </w:t>
      </w:r>
    </w:p>
    <w:p w14:paraId="2305AD5C" w14:textId="2A74448D"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(30) </w:t>
      </w:r>
      <w:r w:rsidRPr="00ED3FC2">
        <w:rPr>
          <w:rFonts w:cs="Times New Roman"/>
          <w:noProof/>
          <w:sz w:val="24"/>
          <w:lang w:val="en-US"/>
        </w:rPr>
        <w:tab/>
        <w:t xml:space="preserve">Daume, M.; Uhl, M.; Backofen, R.; Randau, L. RIP-Seq Suggests Translational Regulation by L7Ae in </w:t>
      </w:r>
      <w:r w:rsidRPr="00ED3FC2">
        <w:rPr>
          <w:rFonts w:cs="Times New Roman"/>
          <w:i/>
          <w:iCs/>
          <w:noProof/>
          <w:sz w:val="24"/>
          <w:lang w:val="en-US"/>
        </w:rPr>
        <w:t>Archaea</w:t>
      </w:r>
      <w:r w:rsidRPr="00ED3FC2">
        <w:rPr>
          <w:rFonts w:cs="Times New Roman"/>
          <w:noProof/>
          <w:sz w:val="24"/>
          <w:lang w:val="en-US"/>
        </w:rPr>
        <w:t xml:space="preserve">. </w:t>
      </w:r>
      <w:r w:rsidRPr="00ED3FC2">
        <w:rPr>
          <w:rFonts w:cs="Times New Roman"/>
          <w:i/>
          <w:iCs/>
          <w:noProof/>
          <w:sz w:val="24"/>
          <w:lang w:val="en-US"/>
        </w:rPr>
        <w:t>MBio</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8</w:t>
      </w:r>
      <w:r w:rsidRPr="00ED3FC2">
        <w:rPr>
          <w:rFonts w:cs="Times New Roman"/>
          <w:noProof/>
          <w:sz w:val="24"/>
          <w:lang w:val="en-US"/>
        </w:rPr>
        <w:t xml:space="preserve"> (4), e00730-17. </w:t>
      </w:r>
    </w:p>
    <w:p w14:paraId="2BD86A48" w14:textId="0058C9E1"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(31) </w:t>
      </w:r>
      <w:r w:rsidRPr="00ED3FC2">
        <w:rPr>
          <w:rFonts w:cs="Times New Roman"/>
          <w:noProof/>
          <w:sz w:val="24"/>
          <w:lang w:val="en-US"/>
        </w:rPr>
        <w:tab/>
        <w:t xml:space="preserve">Kolpashchikov, D. M. Binary Malachite Green Aptamer for Fluorescent Detection of Nucleic Acids. </w:t>
      </w:r>
      <w:r w:rsidRPr="00ED3FC2">
        <w:rPr>
          <w:rFonts w:cs="Times New Roman"/>
          <w:b/>
          <w:bCs/>
          <w:noProof/>
          <w:sz w:val="24"/>
          <w:lang w:val="en-US"/>
        </w:rPr>
        <w:t>2005</w:t>
      </w:r>
      <w:r w:rsidRPr="00ED3FC2">
        <w:rPr>
          <w:rFonts w:cs="Times New Roman"/>
          <w:noProof/>
          <w:sz w:val="24"/>
          <w:lang w:val="en-US"/>
        </w:rPr>
        <w:t>.</w:t>
      </w:r>
    </w:p>
    <w:p w14:paraId="2872070D" w14:textId="323350D0"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(32) </w:t>
      </w:r>
      <w:r w:rsidRPr="00ED3FC2">
        <w:rPr>
          <w:rFonts w:cs="Times New Roman"/>
          <w:noProof/>
          <w:sz w:val="24"/>
          <w:lang w:val="en-US"/>
        </w:rPr>
        <w:tab/>
        <w:t xml:space="preserve">Pothoulakis, G.; Ceroni, F.; Reeve, B.; Ellis, T. The Spinach RNA Aptamer as a Characterization Tool for Synthetic Biology. </w:t>
      </w:r>
      <w:r w:rsidRPr="00ED3FC2">
        <w:rPr>
          <w:rFonts w:cs="Times New Roman"/>
          <w:i/>
          <w:iCs/>
          <w:noProof/>
          <w:sz w:val="24"/>
          <w:lang w:val="en-US"/>
        </w:rPr>
        <w:t>ACS Synth. Biol.</w:t>
      </w:r>
      <w:r w:rsidRPr="00ED3FC2">
        <w:rPr>
          <w:rFonts w:cs="Times New Roman"/>
          <w:noProof/>
          <w:sz w:val="24"/>
          <w:lang w:val="en-US"/>
        </w:rPr>
        <w:t xml:space="preserve"> </w:t>
      </w:r>
      <w:r w:rsidRPr="00ED3FC2">
        <w:rPr>
          <w:rFonts w:cs="Times New Roman"/>
          <w:b/>
          <w:bCs/>
          <w:noProof/>
          <w:sz w:val="24"/>
          <w:lang w:val="en-US"/>
        </w:rPr>
        <w:t>2014</w:t>
      </w:r>
      <w:r w:rsidRPr="00ED3FC2">
        <w:rPr>
          <w:rFonts w:cs="Times New Roman"/>
          <w:noProof/>
          <w:sz w:val="24"/>
          <w:lang w:val="en-US"/>
        </w:rPr>
        <w:t xml:space="preserve">, </w:t>
      </w:r>
      <w:r w:rsidRPr="00ED3FC2">
        <w:rPr>
          <w:rFonts w:cs="Times New Roman"/>
          <w:i/>
          <w:iCs/>
          <w:noProof/>
          <w:sz w:val="24"/>
          <w:lang w:val="en-US"/>
        </w:rPr>
        <w:t>3</w:t>
      </w:r>
      <w:r w:rsidRPr="00ED3FC2">
        <w:rPr>
          <w:rFonts w:cs="Times New Roman"/>
          <w:noProof/>
          <w:sz w:val="24"/>
          <w:lang w:val="en-US"/>
        </w:rPr>
        <w:t xml:space="preserve"> (3), 182–187. </w:t>
      </w:r>
    </w:p>
    <w:p w14:paraId="39854EB9" w14:textId="28CA3070"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(33) </w:t>
      </w:r>
      <w:r w:rsidRPr="00ED3FC2">
        <w:rPr>
          <w:rFonts w:cs="Times New Roman"/>
          <w:noProof/>
          <w:sz w:val="24"/>
          <w:lang w:val="en-US"/>
        </w:rPr>
        <w:tab/>
        <w:t xml:space="preserve">Endo, K.; Stapleton, J. a; Hayashi, K.; Saito, H.; Inoue, T. Quantitative and Simultaneous Translational Control of Distinct Mammalian MRNAs. </w:t>
      </w:r>
      <w:r w:rsidRPr="00ED3FC2">
        <w:rPr>
          <w:rFonts w:cs="Times New Roman"/>
          <w:i/>
          <w:iCs/>
          <w:noProof/>
          <w:sz w:val="24"/>
          <w:lang w:val="en-US"/>
        </w:rPr>
        <w:t>Nucleic Acids Res.</w:t>
      </w:r>
      <w:r w:rsidRPr="00ED3FC2">
        <w:rPr>
          <w:rFonts w:cs="Times New Roman"/>
          <w:noProof/>
          <w:sz w:val="24"/>
          <w:lang w:val="en-US"/>
        </w:rPr>
        <w:t xml:space="preserve"> </w:t>
      </w:r>
      <w:r w:rsidRPr="00ED3FC2">
        <w:rPr>
          <w:rFonts w:cs="Times New Roman"/>
          <w:b/>
          <w:bCs/>
          <w:noProof/>
          <w:sz w:val="24"/>
          <w:lang w:val="en-US"/>
        </w:rPr>
        <w:t>2013</w:t>
      </w:r>
      <w:r w:rsidRPr="00ED3FC2">
        <w:rPr>
          <w:rFonts w:cs="Times New Roman"/>
          <w:noProof/>
          <w:sz w:val="24"/>
          <w:lang w:val="en-US"/>
        </w:rPr>
        <w:t xml:space="preserve">, </w:t>
      </w:r>
      <w:r w:rsidRPr="00ED3FC2">
        <w:rPr>
          <w:rFonts w:cs="Times New Roman"/>
          <w:i/>
          <w:iCs/>
          <w:noProof/>
          <w:sz w:val="24"/>
          <w:lang w:val="en-US"/>
        </w:rPr>
        <w:t>41</w:t>
      </w:r>
      <w:r w:rsidRPr="00ED3FC2">
        <w:rPr>
          <w:rFonts w:cs="Times New Roman"/>
          <w:noProof/>
          <w:sz w:val="24"/>
          <w:lang w:val="en-US"/>
        </w:rPr>
        <w:t xml:space="preserve"> (13), </w:t>
      </w:r>
    </w:p>
    <w:p w14:paraId="4A29D03F" w14:textId="2D6EF5AA"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(34) </w:t>
      </w:r>
      <w:r w:rsidRPr="00ED3FC2">
        <w:rPr>
          <w:rFonts w:cs="Times New Roman"/>
          <w:noProof/>
          <w:sz w:val="24"/>
          <w:lang w:val="en-US"/>
        </w:rPr>
        <w:tab/>
        <w:t xml:space="preserve">Vigouroux, A.; Oldewurtel, E.; Cui, L.; Bikard, D.; van Teeffelen, S. Tuning DCas9’s Ability to Block Transcription Enables Robust, Noiseless Knockdown of Bacterial Genes. </w:t>
      </w:r>
      <w:r w:rsidRPr="00ED3FC2">
        <w:rPr>
          <w:rFonts w:cs="Times New Roman"/>
          <w:i/>
          <w:iCs/>
          <w:noProof/>
          <w:sz w:val="24"/>
          <w:lang w:val="en-US"/>
        </w:rPr>
        <w:t>Mol. Syst. Biol.</w:t>
      </w:r>
      <w:r w:rsidRPr="00ED3FC2">
        <w:rPr>
          <w:rFonts w:cs="Times New Roman"/>
          <w:noProof/>
          <w:sz w:val="24"/>
          <w:lang w:val="en-US"/>
        </w:rPr>
        <w:t xml:space="preserve"> </w:t>
      </w:r>
      <w:r w:rsidRPr="00ED3FC2">
        <w:rPr>
          <w:rFonts w:cs="Times New Roman"/>
          <w:b/>
          <w:bCs/>
          <w:noProof/>
          <w:sz w:val="24"/>
          <w:lang w:val="en-US"/>
        </w:rPr>
        <w:t>2018</w:t>
      </w:r>
      <w:r w:rsidRPr="00ED3FC2">
        <w:rPr>
          <w:rFonts w:cs="Times New Roman"/>
          <w:noProof/>
          <w:sz w:val="24"/>
          <w:lang w:val="en-US"/>
        </w:rPr>
        <w:t xml:space="preserve">, </w:t>
      </w:r>
      <w:r w:rsidRPr="00ED3FC2">
        <w:rPr>
          <w:rFonts w:cs="Times New Roman"/>
          <w:i/>
          <w:iCs/>
          <w:noProof/>
          <w:sz w:val="24"/>
          <w:lang w:val="en-US"/>
        </w:rPr>
        <w:t>14</w:t>
      </w:r>
      <w:r w:rsidRPr="00ED3FC2">
        <w:rPr>
          <w:rFonts w:cs="Times New Roman"/>
          <w:noProof/>
          <w:sz w:val="24"/>
          <w:lang w:val="en-US"/>
        </w:rPr>
        <w:t xml:space="preserve"> (3), e7899. </w:t>
      </w:r>
    </w:p>
    <w:p w14:paraId="4126CDD7" w14:textId="77777777"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lastRenderedPageBreak/>
        <w:t xml:space="preserve">(35) </w:t>
      </w:r>
      <w:r w:rsidRPr="00ED3FC2">
        <w:rPr>
          <w:rFonts w:cs="Times New Roman"/>
          <w:noProof/>
          <w:sz w:val="24"/>
          <w:lang w:val="en-US"/>
        </w:rPr>
        <w:tab/>
        <w:t xml:space="preserve">Elroy-Stein, O.; Moss, B. Cytoplasmic Expression System Based on Constitutive Synthesis of Bacteriophage T7 RNA Polymerase in Mammalian Cells. </w:t>
      </w:r>
      <w:r w:rsidRPr="00ED3FC2">
        <w:rPr>
          <w:rFonts w:cs="Times New Roman"/>
          <w:b/>
          <w:bCs/>
          <w:noProof/>
          <w:sz w:val="24"/>
          <w:lang w:val="en-US"/>
        </w:rPr>
        <w:t>1990</w:t>
      </w:r>
      <w:r w:rsidRPr="00ED3FC2">
        <w:rPr>
          <w:rFonts w:cs="Times New Roman"/>
          <w:noProof/>
          <w:sz w:val="24"/>
          <w:lang w:val="en-US"/>
        </w:rPr>
        <w:t xml:space="preserve">, </w:t>
      </w:r>
      <w:r w:rsidRPr="00ED3FC2">
        <w:rPr>
          <w:rFonts w:cs="Times New Roman"/>
          <w:i/>
          <w:iCs/>
          <w:noProof/>
          <w:sz w:val="24"/>
          <w:lang w:val="en-US"/>
        </w:rPr>
        <w:t>87</w:t>
      </w:r>
      <w:r w:rsidRPr="00ED3FC2">
        <w:rPr>
          <w:rFonts w:cs="Times New Roman"/>
          <w:noProof/>
          <w:sz w:val="24"/>
          <w:lang w:val="en-US"/>
        </w:rPr>
        <w:t xml:space="preserve"> (September), 6743–6747.</w:t>
      </w:r>
    </w:p>
    <w:p w14:paraId="08B3797D" w14:textId="77BDD38E"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(36) </w:t>
      </w:r>
      <w:r w:rsidRPr="00ED3FC2">
        <w:rPr>
          <w:rFonts w:cs="Times New Roman"/>
          <w:noProof/>
          <w:sz w:val="24"/>
          <w:lang w:val="en-US"/>
        </w:rPr>
        <w:tab/>
        <w:t xml:space="preserve">Ghassemi, F.; Madadgar, O.; Roohvand, F.; Rasekhian, M.; Etemadzadeh, M. H.; Boroujeni, G. R. N.; Langroudi, A. G.; Azadmanesh, K. Translational Efficiency of BVDV IRES and EMCV IRES for T7 RNA Polymerase Driven Cytoplasmic Expression in Mammalian Cell Lines. </w:t>
      </w:r>
      <w:r w:rsidRPr="00ED3FC2">
        <w:rPr>
          <w:rFonts w:cs="Times New Roman"/>
          <w:i/>
          <w:iCs/>
          <w:noProof/>
          <w:sz w:val="24"/>
          <w:lang w:val="en-US"/>
        </w:rPr>
        <w:t>Mol. Biol.</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51</w:t>
      </w:r>
      <w:r w:rsidRPr="00ED3FC2">
        <w:rPr>
          <w:rFonts w:cs="Times New Roman"/>
          <w:noProof/>
          <w:sz w:val="24"/>
          <w:lang w:val="en-US"/>
        </w:rPr>
        <w:t xml:space="preserve"> (2), 283–292. </w:t>
      </w:r>
    </w:p>
    <w:p w14:paraId="684875B7" w14:textId="004D3145"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(37) </w:t>
      </w:r>
      <w:r w:rsidRPr="00ED3FC2">
        <w:rPr>
          <w:rFonts w:cs="Times New Roman"/>
          <w:noProof/>
          <w:sz w:val="24"/>
          <w:lang w:val="en-US"/>
        </w:rPr>
        <w:tab/>
        <w:t xml:space="preserve">Farasat, I.; Salis, H. M. A Biophysical Model of CRISPR/Cas9 Activity for Rational Design of Genome Editing and Gene Regulation. </w:t>
      </w:r>
      <w:r w:rsidRPr="00ED3FC2">
        <w:rPr>
          <w:rFonts w:cs="Times New Roman"/>
          <w:i/>
          <w:iCs/>
          <w:noProof/>
          <w:sz w:val="24"/>
          <w:lang w:val="en-US"/>
        </w:rPr>
        <w:t>PLOS Comput. Biol.</w:t>
      </w:r>
      <w:r w:rsidRPr="00ED3FC2">
        <w:rPr>
          <w:rFonts w:cs="Times New Roman"/>
          <w:noProof/>
          <w:sz w:val="24"/>
          <w:lang w:val="en-US"/>
        </w:rPr>
        <w:t xml:space="preserve"> </w:t>
      </w:r>
      <w:r w:rsidRPr="00ED3FC2">
        <w:rPr>
          <w:rFonts w:cs="Times New Roman"/>
          <w:b/>
          <w:bCs/>
          <w:noProof/>
          <w:sz w:val="24"/>
          <w:lang w:val="en-US"/>
        </w:rPr>
        <w:t>2016</w:t>
      </w:r>
      <w:r w:rsidRPr="00ED3FC2">
        <w:rPr>
          <w:rFonts w:cs="Times New Roman"/>
          <w:noProof/>
          <w:sz w:val="24"/>
          <w:lang w:val="en-US"/>
        </w:rPr>
        <w:t xml:space="preserve">, </w:t>
      </w:r>
      <w:r w:rsidRPr="00ED3FC2">
        <w:rPr>
          <w:rFonts w:cs="Times New Roman"/>
          <w:i/>
          <w:iCs/>
          <w:noProof/>
          <w:sz w:val="24"/>
          <w:lang w:val="en-US"/>
        </w:rPr>
        <w:t>12</w:t>
      </w:r>
      <w:r w:rsidRPr="00ED3FC2">
        <w:rPr>
          <w:rFonts w:cs="Times New Roman"/>
          <w:noProof/>
          <w:sz w:val="24"/>
          <w:lang w:val="en-US"/>
        </w:rPr>
        <w:t xml:space="preserve"> (1), e1004724. </w:t>
      </w:r>
    </w:p>
    <w:p w14:paraId="3ED8EE5C" w14:textId="497D6C6D"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(38) </w:t>
      </w:r>
      <w:r w:rsidRPr="00ED3FC2">
        <w:rPr>
          <w:rFonts w:cs="Times New Roman"/>
          <w:noProof/>
          <w:sz w:val="24"/>
          <w:lang w:val="en-US"/>
        </w:rPr>
        <w:tab/>
        <w:t xml:space="preserve">Boyle, E. A.; Andreasson, J. O. L.; Chircus, L. M.; Sternberg, S. H.; Wu, M. J.; Guegler, C. K.; Doudna, J. A.; Greenleaf, W. J. High-Throughput Biochemical Profiling Reveals Sequence Determinants of DCas9 off-Target Binding and Unbinding. </w:t>
      </w:r>
      <w:r w:rsidRPr="00ED3FC2">
        <w:rPr>
          <w:rFonts w:cs="Times New Roman"/>
          <w:i/>
          <w:iCs/>
          <w:noProof/>
          <w:sz w:val="24"/>
          <w:lang w:val="en-US"/>
        </w:rPr>
        <w:t>Proc. Natl. Acad. Sci. U. S. A.</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114</w:t>
      </w:r>
      <w:r w:rsidRPr="00ED3FC2">
        <w:rPr>
          <w:rFonts w:cs="Times New Roman"/>
          <w:noProof/>
          <w:sz w:val="24"/>
          <w:lang w:val="en-US"/>
        </w:rPr>
        <w:t xml:space="preserve"> (21), 5461–5466. </w:t>
      </w:r>
    </w:p>
    <w:p w14:paraId="233D0316" w14:textId="30560C74"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(39) </w:t>
      </w:r>
      <w:r w:rsidRPr="00ED3FC2">
        <w:rPr>
          <w:rFonts w:cs="Times New Roman"/>
          <w:noProof/>
          <w:sz w:val="24"/>
          <w:lang w:val="en-US"/>
        </w:rPr>
        <w:tab/>
        <w:t xml:space="preserve">Stapleton, J. a; Endo, K.; Fujita, Y.; Hayashi, K.; Takinoue, M.; Saito, H.; Inoue, T. Feedback Control of Protein Expression in Mammalian Cells by Tunable Synthetic Translational Inhibition. </w:t>
      </w:r>
      <w:r w:rsidRPr="00ED3FC2">
        <w:rPr>
          <w:rFonts w:cs="Times New Roman"/>
          <w:i/>
          <w:iCs/>
          <w:noProof/>
          <w:sz w:val="24"/>
          <w:lang w:val="en-US"/>
        </w:rPr>
        <w:t>ACS Synth. Biol.</w:t>
      </w:r>
      <w:r w:rsidRPr="00ED3FC2">
        <w:rPr>
          <w:rFonts w:cs="Times New Roman"/>
          <w:noProof/>
          <w:sz w:val="24"/>
          <w:lang w:val="en-US"/>
        </w:rPr>
        <w:t xml:space="preserve"> </w:t>
      </w:r>
      <w:r w:rsidRPr="00ED3FC2">
        <w:rPr>
          <w:rFonts w:cs="Times New Roman"/>
          <w:b/>
          <w:bCs/>
          <w:noProof/>
          <w:sz w:val="24"/>
          <w:lang w:val="en-US"/>
        </w:rPr>
        <w:t>2012</w:t>
      </w:r>
      <w:r w:rsidRPr="00ED3FC2">
        <w:rPr>
          <w:rFonts w:cs="Times New Roman"/>
          <w:noProof/>
          <w:sz w:val="24"/>
          <w:lang w:val="en-US"/>
        </w:rPr>
        <w:t xml:space="preserve">, </w:t>
      </w:r>
      <w:r w:rsidRPr="00ED3FC2">
        <w:rPr>
          <w:rFonts w:cs="Times New Roman"/>
          <w:i/>
          <w:iCs/>
          <w:noProof/>
          <w:sz w:val="24"/>
          <w:lang w:val="en-US"/>
        </w:rPr>
        <w:t>1</w:t>
      </w:r>
      <w:r w:rsidRPr="00ED3FC2">
        <w:rPr>
          <w:rFonts w:cs="Times New Roman"/>
          <w:noProof/>
          <w:sz w:val="24"/>
          <w:lang w:val="en-US"/>
        </w:rPr>
        <w:t xml:space="preserve"> (3), 83–88. </w:t>
      </w:r>
    </w:p>
    <w:p w14:paraId="76AC174A" w14:textId="0F3148E3"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(40) </w:t>
      </w:r>
      <w:r w:rsidRPr="00ED3FC2">
        <w:rPr>
          <w:rFonts w:cs="Times New Roman"/>
          <w:noProof/>
          <w:sz w:val="24"/>
          <w:lang w:val="en-US"/>
        </w:rPr>
        <w:tab/>
        <w:t xml:space="preserve">Filipovska, A.; Rackham, O. Modular Recognition of Nucleic Acids by PUF, TALE and PPR Proteins. </w:t>
      </w:r>
      <w:r w:rsidRPr="00ED3FC2">
        <w:rPr>
          <w:rFonts w:cs="Times New Roman"/>
          <w:i/>
          <w:iCs/>
          <w:noProof/>
          <w:sz w:val="24"/>
          <w:lang w:val="en-US"/>
        </w:rPr>
        <w:t>Mol. Biosyst.</w:t>
      </w:r>
      <w:r w:rsidRPr="00ED3FC2">
        <w:rPr>
          <w:rFonts w:cs="Times New Roman"/>
          <w:noProof/>
          <w:sz w:val="24"/>
          <w:lang w:val="en-US"/>
        </w:rPr>
        <w:t xml:space="preserve"> </w:t>
      </w:r>
      <w:r w:rsidRPr="00ED3FC2">
        <w:rPr>
          <w:rFonts w:cs="Times New Roman"/>
          <w:b/>
          <w:bCs/>
          <w:noProof/>
          <w:sz w:val="24"/>
          <w:lang w:val="en-US"/>
        </w:rPr>
        <w:t>2012</w:t>
      </w:r>
      <w:r w:rsidRPr="00ED3FC2">
        <w:rPr>
          <w:rFonts w:cs="Times New Roman"/>
          <w:noProof/>
          <w:sz w:val="24"/>
          <w:lang w:val="en-US"/>
        </w:rPr>
        <w:t xml:space="preserve">, </w:t>
      </w:r>
      <w:r w:rsidRPr="00ED3FC2">
        <w:rPr>
          <w:rFonts w:cs="Times New Roman"/>
          <w:i/>
          <w:iCs/>
          <w:noProof/>
          <w:sz w:val="24"/>
          <w:lang w:val="en-US"/>
        </w:rPr>
        <w:t>8</w:t>
      </w:r>
      <w:r w:rsidRPr="00ED3FC2">
        <w:rPr>
          <w:rFonts w:cs="Times New Roman"/>
          <w:noProof/>
          <w:sz w:val="24"/>
          <w:lang w:val="en-US"/>
        </w:rPr>
        <w:t xml:space="preserve"> (3), 699–708. </w:t>
      </w:r>
    </w:p>
    <w:p w14:paraId="430669D8" w14:textId="10CED537"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(41) </w:t>
      </w:r>
      <w:r w:rsidRPr="00ED3FC2">
        <w:rPr>
          <w:rFonts w:cs="Times New Roman"/>
          <w:noProof/>
          <w:sz w:val="24"/>
          <w:lang w:val="en-US"/>
        </w:rPr>
        <w:tab/>
        <w:t xml:space="preserve">Filipovska, A.; Razif, M. F. M.; Nygård, K. K. a; Rackham, O. A Universal Code for RNA Recognition by PUF Proteins. </w:t>
      </w:r>
      <w:r w:rsidRPr="00ED3FC2">
        <w:rPr>
          <w:rFonts w:cs="Times New Roman"/>
          <w:i/>
          <w:iCs/>
          <w:noProof/>
          <w:sz w:val="24"/>
          <w:lang w:val="en-US"/>
        </w:rPr>
        <w:t>Nat. Chem. Biol.</w:t>
      </w:r>
      <w:r w:rsidRPr="00ED3FC2">
        <w:rPr>
          <w:rFonts w:cs="Times New Roman"/>
          <w:noProof/>
          <w:sz w:val="24"/>
          <w:lang w:val="en-US"/>
        </w:rPr>
        <w:t xml:space="preserve"> </w:t>
      </w:r>
      <w:r w:rsidRPr="00ED3FC2">
        <w:rPr>
          <w:rFonts w:cs="Times New Roman"/>
          <w:b/>
          <w:bCs/>
          <w:noProof/>
          <w:sz w:val="24"/>
          <w:lang w:val="en-US"/>
        </w:rPr>
        <w:t>2011</w:t>
      </w:r>
      <w:r w:rsidRPr="00ED3FC2">
        <w:rPr>
          <w:rFonts w:cs="Times New Roman"/>
          <w:noProof/>
          <w:sz w:val="24"/>
          <w:lang w:val="en-US"/>
        </w:rPr>
        <w:t xml:space="preserve">, </w:t>
      </w:r>
      <w:r w:rsidRPr="00ED3FC2">
        <w:rPr>
          <w:rFonts w:cs="Times New Roman"/>
          <w:i/>
          <w:iCs/>
          <w:noProof/>
          <w:sz w:val="24"/>
          <w:lang w:val="en-US"/>
        </w:rPr>
        <w:t>7</w:t>
      </w:r>
      <w:r w:rsidRPr="00ED3FC2">
        <w:rPr>
          <w:rFonts w:cs="Times New Roman"/>
          <w:noProof/>
          <w:sz w:val="24"/>
          <w:lang w:val="en-US"/>
        </w:rPr>
        <w:t xml:space="preserve"> (7), 425–427. </w:t>
      </w:r>
    </w:p>
    <w:p w14:paraId="681755F6" w14:textId="14ED57B4"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(42) </w:t>
      </w:r>
      <w:r w:rsidRPr="00ED3FC2">
        <w:rPr>
          <w:rFonts w:cs="Times New Roman"/>
          <w:noProof/>
          <w:sz w:val="24"/>
          <w:lang w:val="en-US"/>
        </w:rPr>
        <w:tab/>
        <w:t xml:space="preserve">Chen, Y.; Varani, G. Engineering RNA-Binding Proteins for Biology. </w:t>
      </w:r>
      <w:r w:rsidRPr="00ED3FC2">
        <w:rPr>
          <w:rFonts w:cs="Times New Roman"/>
          <w:i/>
          <w:iCs/>
          <w:noProof/>
          <w:sz w:val="24"/>
          <w:lang w:val="en-US"/>
        </w:rPr>
        <w:t>FEBS J.</w:t>
      </w:r>
      <w:r w:rsidRPr="00ED3FC2">
        <w:rPr>
          <w:rFonts w:cs="Times New Roman"/>
          <w:noProof/>
          <w:sz w:val="24"/>
          <w:lang w:val="en-US"/>
        </w:rPr>
        <w:t xml:space="preserve"> </w:t>
      </w:r>
      <w:r w:rsidRPr="00ED3FC2">
        <w:rPr>
          <w:rFonts w:cs="Times New Roman"/>
          <w:b/>
          <w:bCs/>
          <w:noProof/>
          <w:sz w:val="24"/>
          <w:lang w:val="en-US"/>
        </w:rPr>
        <w:t>2013</w:t>
      </w:r>
      <w:r w:rsidRPr="00ED3FC2">
        <w:rPr>
          <w:rFonts w:cs="Times New Roman"/>
          <w:noProof/>
          <w:sz w:val="24"/>
          <w:lang w:val="en-US"/>
        </w:rPr>
        <w:t xml:space="preserve">, </w:t>
      </w:r>
      <w:r w:rsidRPr="00ED3FC2">
        <w:rPr>
          <w:rFonts w:cs="Times New Roman"/>
          <w:i/>
          <w:iCs/>
          <w:noProof/>
          <w:sz w:val="24"/>
          <w:lang w:val="en-US"/>
        </w:rPr>
        <w:t>280</w:t>
      </w:r>
      <w:r w:rsidRPr="00ED3FC2">
        <w:rPr>
          <w:rFonts w:cs="Times New Roman"/>
          <w:noProof/>
          <w:sz w:val="24"/>
          <w:lang w:val="en-US"/>
        </w:rPr>
        <w:t xml:space="preserve"> (16), 3734–3754. </w:t>
      </w:r>
    </w:p>
    <w:p w14:paraId="6249BE0B" w14:textId="146FC0B6"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lastRenderedPageBreak/>
        <w:t xml:space="preserve">(43) </w:t>
      </w:r>
      <w:r w:rsidRPr="00ED3FC2">
        <w:rPr>
          <w:rFonts w:cs="Times New Roman"/>
          <w:noProof/>
          <w:sz w:val="24"/>
          <w:lang w:val="en-US"/>
        </w:rPr>
        <w:tab/>
        <w:t xml:space="preserve">Hori, Y.; Kantak, C.; Murray, R. M.; Abate, A. R. Cell-Free Extract Based Optimization of Biomolecular Circuits with Droplet Microfluidics. </w:t>
      </w:r>
      <w:r w:rsidRPr="00ED3FC2">
        <w:rPr>
          <w:rFonts w:cs="Times New Roman"/>
          <w:i/>
          <w:iCs/>
          <w:noProof/>
          <w:sz w:val="24"/>
          <w:lang w:val="en-US"/>
        </w:rPr>
        <w:t>Lab Chip</w:t>
      </w:r>
      <w:r w:rsidRPr="00ED3FC2">
        <w:rPr>
          <w:rFonts w:cs="Times New Roman"/>
          <w:noProof/>
          <w:sz w:val="24"/>
          <w:lang w:val="en-US"/>
        </w:rPr>
        <w:t xml:space="preserve"> </w:t>
      </w:r>
      <w:r w:rsidRPr="00ED3FC2">
        <w:rPr>
          <w:rFonts w:cs="Times New Roman"/>
          <w:b/>
          <w:bCs/>
          <w:noProof/>
          <w:sz w:val="24"/>
          <w:lang w:val="en-US"/>
        </w:rPr>
        <w:t>2017</w:t>
      </w:r>
      <w:r w:rsidRPr="00ED3FC2">
        <w:rPr>
          <w:rFonts w:cs="Times New Roman"/>
          <w:noProof/>
          <w:sz w:val="24"/>
          <w:lang w:val="en-US"/>
        </w:rPr>
        <w:t xml:space="preserve">, </w:t>
      </w:r>
      <w:r w:rsidRPr="00ED3FC2">
        <w:rPr>
          <w:rFonts w:cs="Times New Roman"/>
          <w:i/>
          <w:iCs/>
          <w:noProof/>
          <w:sz w:val="24"/>
          <w:lang w:val="en-US"/>
        </w:rPr>
        <w:t>17</w:t>
      </w:r>
      <w:r w:rsidRPr="00ED3FC2">
        <w:rPr>
          <w:rFonts w:cs="Times New Roman"/>
          <w:noProof/>
          <w:sz w:val="24"/>
          <w:lang w:val="en-US"/>
        </w:rPr>
        <w:t xml:space="preserve"> (18), 3037–3042. </w:t>
      </w:r>
    </w:p>
    <w:p w14:paraId="420C999E" w14:textId="340B8EAB"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(44) </w:t>
      </w:r>
      <w:r w:rsidRPr="00ED3FC2">
        <w:rPr>
          <w:rFonts w:cs="Times New Roman"/>
          <w:noProof/>
          <w:sz w:val="24"/>
          <w:lang w:val="en-US"/>
        </w:rPr>
        <w:tab/>
        <w:t xml:space="preserve">Schott, J. W.; Morgan, M.; Galla, M.; Schambach, A. Viral and Synthetic RNA Vector Technologies and Applications. </w:t>
      </w:r>
      <w:r w:rsidRPr="00ED3FC2">
        <w:rPr>
          <w:rFonts w:cs="Times New Roman"/>
          <w:i/>
          <w:iCs/>
          <w:noProof/>
          <w:sz w:val="24"/>
          <w:lang w:val="en-US"/>
        </w:rPr>
        <w:t>Mol. Ther.</w:t>
      </w:r>
      <w:r w:rsidRPr="00ED3FC2">
        <w:rPr>
          <w:rFonts w:cs="Times New Roman"/>
          <w:noProof/>
          <w:sz w:val="24"/>
          <w:lang w:val="en-US"/>
        </w:rPr>
        <w:t xml:space="preserve"> </w:t>
      </w:r>
      <w:r w:rsidRPr="00ED3FC2">
        <w:rPr>
          <w:rFonts w:cs="Times New Roman"/>
          <w:b/>
          <w:bCs/>
          <w:noProof/>
          <w:sz w:val="24"/>
          <w:lang w:val="en-US"/>
        </w:rPr>
        <w:t>2016</w:t>
      </w:r>
      <w:r w:rsidRPr="00ED3FC2">
        <w:rPr>
          <w:rFonts w:cs="Times New Roman"/>
          <w:noProof/>
          <w:sz w:val="24"/>
          <w:lang w:val="en-US"/>
        </w:rPr>
        <w:t xml:space="preserve">. </w:t>
      </w:r>
    </w:p>
    <w:p w14:paraId="786E1245" w14:textId="015395F3"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(45) </w:t>
      </w:r>
      <w:r w:rsidRPr="00ED3FC2">
        <w:rPr>
          <w:rFonts w:cs="Times New Roman"/>
          <w:noProof/>
          <w:sz w:val="24"/>
          <w:lang w:val="en-US"/>
        </w:rPr>
        <w:tab/>
        <w:t xml:space="preserve">Hu, C. Y.; Takahashi, M. K.; Zhang, Y.; Lucks, J. B. Engineering a Functional Small RNA Negative Autoregulation Network with Model-Guided Design. </w:t>
      </w:r>
      <w:r w:rsidRPr="00ED3FC2">
        <w:rPr>
          <w:rFonts w:cs="Times New Roman"/>
          <w:i/>
          <w:iCs/>
          <w:noProof/>
          <w:sz w:val="24"/>
          <w:lang w:val="en-US"/>
        </w:rPr>
        <w:t>ACS Synth. Biol.</w:t>
      </w:r>
      <w:r w:rsidRPr="00ED3FC2">
        <w:rPr>
          <w:rFonts w:cs="Times New Roman"/>
          <w:noProof/>
          <w:sz w:val="24"/>
          <w:lang w:val="en-US"/>
        </w:rPr>
        <w:t xml:space="preserve"> </w:t>
      </w:r>
      <w:r w:rsidRPr="00ED3FC2">
        <w:rPr>
          <w:rFonts w:cs="Times New Roman"/>
          <w:b/>
          <w:bCs/>
          <w:noProof/>
          <w:sz w:val="24"/>
          <w:lang w:val="en-US"/>
        </w:rPr>
        <w:t>2018</w:t>
      </w:r>
      <w:r w:rsidRPr="00ED3FC2">
        <w:rPr>
          <w:rFonts w:cs="Times New Roman"/>
          <w:noProof/>
          <w:sz w:val="24"/>
          <w:lang w:val="en-US"/>
        </w:rPr>
        <w:t>,</w:t>
      </w:r>
      <w:r w:rsidR="00D628AE">
        <w:rPr>
          <w:rFonts w:cs="Times New Roman"/>
          <w:noProof/>
          <w:sz w:val="24"/>
          <w:lang w:val="en-US"/>
        </w:rPr>
        <w:t xml:space="preserve"> </w:t>
      </w:r>
      <w:r w:rsidR="00D628AE" w:rsidRPr="007C109A">
        <w:rPr>
          <w:rFonts w:cs="Times New Roman"/>
          <w:i/>
          <w:noProof/>
          <w:sz w:val="24"/>
          <w:lang w:val="en-US"/>
        </w:rPr>
        <w:t>7</w:t>
      </w:r>
      <w:r w:rsidR="00D628AE">
        <w:rPr>
          <w:rFonts w:cs="Times New Roman"/>
          <w:noProof/>
          <w:sz w:val="24"/>
          <w:lang w:val="en-US"/>
        </w:rPr>
        <w:t xml:space="preserve"> </w:t>
      </w:r>
      <w:r w:rsidR="00D628AE" w:rsidRPr="00D628AE">
        <w:rPr>
          <w:rFonts w:cs="Times New Roman"/>
          <w:noProof/>
          <w:sz w:val="24"/>
          <w:lang w:val="en-US"/>
        </w:rPr>
        <w:t>(6)</w:t>
      </w:r>
      <w:r w:rsidR="00D628AE">
        <w:rPr>
          <w:rFonts w:cs="Times New Roman"/>
          <w:noProof/>
          <w:sz w:val="24"/>
          <w:lang w:val="en-US"/>
        </w:rPr>
        <w:t xml:space="preserve">, </w:t>
      </w:r>
      <w:r w:rsidR="00D628AE" w:rsidRPr="00D628AE">
        <w:rPr>
          <w:rFonts w:cs="Times New Roman"/>
          <w:noProof/>
          <w:sz w:val="24"/>
          <w:lang w:val="en-US"/>
        </w:rPr>
        <w:t>1507-1518</w:t>
      </w:r>
      <w:r w:rsidR="00D628AE">
        <w:rPr>
          <w:rFonts w:cs="Times New Roman"/>
          <w:noProof/>
          <w:sz w:val="24"/>
          <w:lang w:val="en-US"/>
        </w:rPr>
        <w:t>.</w:t>
      </w:r>
      <w:r w:rsidRPr="00ED3FC2">
        <w:rPr>
          <w:rFonts w:cs="Times New Roman"/>
          <w:noProof/>
          <w:sz w:val="24"/>
          <w:lang w:val="en-US"/>
        </w:rPr>
        <w:t xml:space="preserve"> </w:t>
      </w:r>
    </w:p>
    <w:p w14:paraId="31BFD309" w14:textId="30DC1360"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(46) </w:t>
      </w:r>
      <w:r w:rsidRPr="00ED3FC2">
        <w:rPr>
          <w:rFonts w:cs="Times New Roman"/>
          <w:noProof/>
          <w:sz w:val="24"/>
          <w:lang w:val="en-US"/>
        </w:rPr>
        <w:tab/>
        <w:t xml:space="preserve">Moore, S. J.; Lai, H.-E.; Kelwick, R. J. R.; Chee, S. M.; Bell, D. J.; Polizzi, K. M.; Freemont, P. S. EcoFlex: A Multifunctional MoClo Kit for E. Coli Synthetic Biology. </w:t>
      </w:r>
      <w:r w:rsidRPr="00ED3FC2">
        <w:rPr>
          <w:rFonts w:cs="Times New Roman"/>
          <w:i/>
          <w:iCs/>
          <w:noProof/>
          <w:sz w:val="24"/>
          <w:lang w:val="en-US"/>
        </w:rPr>
        <w:t>ACS Synth. Biol.</w:t>
      </w:r>
      <w:r w:rsidRPr="00ED3FC2">
        <w:rPr>
          <w:rFonts w:cs="Times New Roman"/>
          <w:noProof/>
          <w:sz w:val="24"/>
          <w:lang w:val="en-US"/>
        </w:rPr>
        <w:t xml:space="preserve"> </w:t>
      </w:r>
      <w:r w:rsidRPr="00ED3FC2">
        <w:rPr>
          <w:rFonts w:cs="Times New Roman"/>
          <w:b/>
          <w:bCs/>
          <w:noProof/>
          <w:sz w:val="24"/>
          <w:lang w:val="en-US"/>
        </w:rPr>
        <w:t>2016</w:t>
      </w:r>
      <w:r w:rsidRPr="00ED3FC2">
        <w:rPr>
          <w:rFonts w:cs="Times New Roman"/>
          <w:noProof/>
          <w:sz w:val="24"/>
          <w:lang w:val="en-US"/>
        </w:rPr>
        <w:t xml:space="preserve">, </w:t>
      </w:r>
      <w:r w:rsidRPr="00ED3FC2">
        <w:rPr>
          <w:rFonts w:cs="Times New Roman"/>
          <w:i/>
          <w:iCs/>
          <w:noProof/>
          <w:sz w:val="24"/>
          <w:lang w:val="en-US"/>
        </w:rPr>
        <w:t>5</w:t>
      </w:r>
      <w:r w:rsidRPr="00ED3FC2">
        <w:rPr>
          <w:rFonts w:cs="Times New Roman"/>
          <w:noProof/>
          <w:sz w:val="24"/>
          <w:lang w:val="en-US"/>
        </w:rPr>
        <w:t xml:space="preserve"> (10), 1059–1069. </w:t>
      </w:r>
    </w:p>
    <w:p w14:paraId="270FBE63" w14:textId="06FFCEA2" w:rsidR="00ED3FC2" w:rsidRP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(47) </w:t>
      </w:r>
      <w:r w:rsidRPr="00ED3FC2">
        <w:rPr>
          <w:rFonts w:cs="Times New Roman"/>
          <w:noProof/>
          <w:sz w:val="24"/>
          <w:lang w:val="en-US"/>
        </w:rPr>
        <w:tab/>
        <w:t xml:space="preserve">Studier, F. W. Protein Production by Auto-Induction in High-Density Shaking Cultures. </w:t>
      </w:r>
      <w:r w:rsidRPr="00ED3FC2">
        <w:rPr>
          <w:rFonts w:cs="Times New Roman"/>
          <w:i/>
          <w:iCs/>
          <w:noProof/>
          <w:sz w:val="24"/>
          <w:lang w:val="en-US"/>
        </w:rPr>
        <w:t>Protein Expr. Purif.</w:t>
      </w:r>
      <w:r w:rsidRPr="00ED3FC2">
        <w:rPr>
          <w:rFonts w:cs="Times New Roman"/>
          <w:noProof/>
          <w:sz w:val="24"/>
          <w:lang w:val="en-US"/>
        </w:rPr>
        <w:t xml:space="preserve"> </w:t>
      </w:r>
      <w:r w:rsidRPr="00ED3FC2">
        <w:rPr>
          <w:rFonts w:cs="Times New Roman"/>
          <w:b/>
          <w:bCs/>
          <w:noProof/>
          <w:sz w:val="24"/>
          <w:lang w:val="en-US"/>
        </w:rPr>
        <w:t>2005</w:t>
      </w:r>
      <w:r w:rsidRPr="00ED3FC2">
        <w:rPr>
          <w:rFonts w:cs="Times New Roman"/>
          <w:noProof/>
          <w:sz w:val="24"/>
          <w:lang w:val="en-US"/>
        </w:rPr>
        <w:t xml:space="preserve">, </w:t>
      </w:r>
      <w:r w:rsidRPr="00ED3FC2">
        <w:rPr>
          <w:rFonts w:cs="Times New Roman"/>
          <w:i/>
          <w:iCs/>
          <w:noProof/>
          <w:sz w:val="24"/>
          <w:lang w:val="en-US"/>
        </w:rPr>
        <w:t>41</w:t>
      </w:r>
      <w:r w:rsidRPr="00ED3FC2">
        <w:rPr>
          <w:rFonts w:cs="Times New Roman"/>
          <w:noProof/>
          <w:sz w:val="24"/>
          <w:lang w:val="en-US"/>
        </w:rPr>
        <w:t xml:space="preserve"> (1), 207–234.</w:t>
      </w:r>
    </w:p>
    <w:p w14:paraId="2207A5B2" w14:textId="3F23A23F" w:rsidR="00ED3FC2" w:rsidRDefault="00ED3FC2" w:rsidP="00ED3FC2">
      <w:pPr>
        <w:widowControl w:val="0"/>
        <w:autoSpaceDE w:val="0"/>
        <w:autoSpaceDN w:val="0"/>
        <w:adjustRightInd w:val="0"/>
        <w:spacing w:line="480" w:lineRule="auto"/>
        <w:ind w:left="640" w:hanging="640"/>
        <w:rPr>
          <w:rFonts w:cs="Times New Roman"/>
          <w:noProof/>
          <w:sz w:val="24"/>
          <w:lang w:val="en-US"/>
        </w:rPr>
      </w:pPr>
      <w:r w:rsidRPr="00ED3FC2">
        <w:rPr>
          <w:rFonts w:cs="Times New Roman"/>
          <w:noProof/>
          <w:sz w:val="24"/>
          <w:lang w:val="en-US"/>
        </w:rPr>
        <w:t xml:space="preserve">(48) </w:t>
      </w:r>
      <w:r w:rsidRPr="00ED3FC2">
        <w:rPr>
          <w:rFonts w:cs="Times New Roman"/>
          <w:noProof/>
          <w:sz w:val="24"/>
          <w:lang w:val="en-US"/>
        </w:rPr>
        <w:tab/>
        <w:t xml:space="preserve">Jinek, M.; Chylinski, K.; Fonfara, I.; Hauer, M.; Doudna, J. A.; Charpentier, E. A Programmable Dual-RNA-Guided DNA Endonuclease in Adaptive Bacterial Immunity. </w:t>
      </w:r>
      <w:r w:rsidRPr="00ED3FC2">
        <w:rPr>
          <w:rFonts w:cs="Times New Roman"/>
          <w:i/>
          <w:iCs/>
          <w:noProof/>
          <w:sz w:val="24"/>
          <w:lang w:val="en-US"/>
        </w:rPr>
        <w:t>Science (80-. ).</w:t>
      </w:r>
      <w:r w:rsidRPr="00ED3FC2">
        <w:rPr>
          <w:rFonts w:cs="Times New Roman"/>
          <w:noProof/>
          <w:sz w:val="24"/>
          <w:lang w:val="en-US"/>
        </w:rPr>
        <w:t xml:space="preserve"> </w:t>
      </w:r>
      <w:r w:rsidRPr="00ED3FC2">
        <w:rPr>
          <w:rFonts w:cs="Times New Roman"/>
          <w:b/>
          <w:bCs/>
          <w:noProof/>
          <w:sz w:val="24"/>
          <w:lang w:val="en-US"/>
        </w:rPr>
        <w:t>2012</w:t>
      </w:r>
      <w:r w:rsidRPr="00ED3FC2">
        <w:rPr>
          <w:rFonts w:cs="Times New Roman"/>
          <w:noProof/>
          <w:sz w:val="24"/>
          <w:lang w:val="en-US"/>
        </w:rPr>
        <w:t xml:space="preserve">, </w:t>
      </w:r>
      <w:r w:rsidRPr="00ED3FC2">
        <w:rPr>
          <w:rFonts w:cs="Times New Roman"/>
          <w:i/>
          <w:iCs/>
          <w:noProof/>
          <w:sz w:val="24"/>
          <w:lang w:val="en-US"/>
        </w:rPr>
        <w:t>337</w:t>
      </w:r>
      <w:r w:rsidRPr="00ED3FC2">
        <w:rPr>
          <w:rFonts w:cs="Times New Roman"/>
          <w:noProof/>
          <w:sz w:val="24"/>
          <w:lang w:val="en-US"/>
        </w:rPr>
        <w:t xml:space="preserve"> (6096), 816–821. </w:t>
      </w:r>
    </w:p>
    <w:p w14:paraId="551428FF" w14:textId="758F1ECA" w:rsidR="00225D9D" w:rsidRDefault="00225D9D" w:rsidP="00ED3FC2">
      <w:pPr>
        <w:widowControl w:val="0"/>
        <w:autoSpaceDE w:val="0"/>
        <w:autoSpaceDN w:val="0"/>
        <w:adjustRightInd w:val="0"/>
        <w:spacing w:line="480" w:lineRule="auto"/>
        <w:ind w:left="640" w:hanging="640"/>
        <w:rPr>
          <w:rFonts w:cs="Times New Roman"/>
          <w:noProof/>
          <w:sz w:val="24"/>
          <w:lang w:val="en-US"/>
        </w:rPr>
      </w:pPr>
    </w:p>
    <w:p w14:paraId="0E9D2016" w14:textId="3CE4AF0E" w:rsidR="00225D9D" w:rsidRDefault="00225D9D">
      <w:pPr>
        <w:jc w:val="left"/>
        <w:rPr>
          <w:rFonts w:cs="Times New Roman"/>
          <w:noProof/>
          <w:sz w:val="24"/>
          <w:lang w:val="en-US"/>
        </w:rPr>
      </w:pPr>
      <w:r>
        <w:rPr>
          <w:rFonts w:cs="Times New Roman"/>
          <w:noProof/>
          <w:sz w:val="24"/>
          <w:lang w:val="en-US"/>
        </w:rPr>
        <w:br w:type="page"/>
      </w:r>
    </w:p>
    <w:p w14:paraId="5ACF6359" w14:textId="77777777" w:rsidR="00225D9D" w:rsidRDefault="00225D9D" w:rsidP="00225D9D">
      <w:pPr>
        <w:pStyle w:val="Heading1"/>
        <w:jc w:val="center"/>
        <w:rPr>
          <w:sz w:val="28"/>
          <w:szCs w:val="28"/>
        </w:rPr>
      </w:pPr>
      <w:r>
        <w:rPr>
          <w:sz w:val="28"/>
          <w:szCs w:val="28"/>
        </w:rPr>
        <w:lastRenderedPageBreak/>
        <w:t>Supplementary Information: Cell-free protein synthesis as a prototyping platform for mammalian Synthetic Biology</w:t>
      </w:r>
    </w:p>
    <w:p w14:paraId="6123431E" w14:textId="77777777" w:rsidR="00225D9D" w:rsidRDefault="00225D9D" w:rsidP="00225D9D">
      <w:pPr>
        <w:spacing w:line="480" w:lineRule="auto"/>
        <w:jc w:val="center"/>
        <w:rPr>
          <w:sz w:val="24"/>
          <w:szCs w:val="24"/>
        </w:rPr>
      </w:pPr>
    </w:p>
    <w:p w14:paraId="20D2C46B" w14:textId="77777777" w:rsidR="00225D9D" w:rsidRDefault="00225D9D" w:rsidP="00225D9D">
      <w:pPr>
        <w:spacing w:line="480" w:lineRule="auto"/>
        <w:jc w:val="center"/>
        <w:rPr>
          <w:sz w:val="24"/>
          <w:szCs w:val="24"/>
        </w:rPr>
      </w:pPr>
      <w:r>
        <w:rPr>
          <w:sz w:val="24"/>
          <w:szCs w:val="24"/>
        </w:rPr>
        <w:t>Margarita B. Kopniczky</w:t>
      </w:r>
      <w:r>
        <w:rPr>
          <w:sz w:val="24"/>
          <w:szCs w:val="24"/>
          <w:vertAlign w:val="superscript"/>
        </w:rPr>
        <w:t>1</w:t>
      </w:r>
      <w:r>
        <w:rPr>
          <w:sz w:val="24"/>
          <w:szCs w:val="24"/>
        </w:rPr>
        <w:t>, Caoimhe Canavan</w:t>
      </w:r>
      <w:r>
        <w:rPr>
          <w:sz w:val="24"/>
          <w:szCs w:val="24"/>
          <w:vertAlign w:val="superscript"/>
        </w:rPr>
        <w:t>1</w:t>
      </w:r>
      <w:r>
        <w:rPr>
          <w:sz w:val="24"/>
          <w:szCs w:val="24"/>
        </w:rPr>
        <w:t>, David W. McClymont</w:t>
      </w:r>
      <w:r>
        <w:rPr>
          <w:sz w:val="24"/>
          <w:szCs w:val="24"/>
          <w:vertAlign w:val="superscript"/>
        </w:rPr>
        <w:t>1,2</w:t>
      </w:r>
      <w:r>
        <w:rPr>
          <w:sz w:val="24"/>
          <w:szCs w:val="24"/>
        </w:rPr>
        <w:t>, Michael A. Crone</w:t>
      </w:r>
      <w:r>
        <w:rPr>
          <w:sz w:val="24"/>
          <w:szCs w:val="24"/>
          <w:vertAlign w:val="superscript"/>
        </w:rPr>
        <w:t>1,3</w:t>
      </w:r>
      <w:r>
        <w:rPr>
          <w:sz w:val="24"/>
          <w:szCs w:val="24"/>
        </w:rPr>
        <w:t>, Lorna Suckling</w:t>
      </w:r>
      <w:r>
        <w:rPr>
          <w:sz w:val="24"/>
          <w:szCs w:val="24"/>
          <w:vertAlign w:val="superscript"/>
        </w:rPr>
        <w:t>2</w:t>
      </w:r>
      <w:r>
        <w:rPr>
          <w:sz w:val="24"/>
          <w:szCs w:val="24"/>
        </w:rPr>
        <w:t>, Bruno Goetzmann</w:t>
      </w:r>
      <w:r>
        <w:rPr>
          <w:sz w:val="24"/>
          <w:szCs w:val="24"/>
          <w:vertAlign w:val="superscript"/>
        </w:rPr>
        <w:t>1</w:t>
      </w:r>
      <w:r>
        <w:rPr>
          <w:sz w:val="24"/>
          <w:szCs w:val="24"/>
        </w:rPr>
        <w:t>, Velia Siciliano</w:t>
      </w:r>
      <w:r>
        <w:rPr>
          <w:sz w:val="24"/>
          <w:szCs w:val="24"/>
          <w:vertAlign w:val="superscript"/>
        </w:rPr>
        <w:t>1</w:t>
      </w:r>
      <w:r>
        <w:rPr>
          <w:sz w:val="24"/>
          <w:szCs w:val="24"/>
        </w:rPr>
        <w:t>, James T. MacDonald</w:t>
      </w:r>
      <w:r>
        <w:rPr>
          <w:sz w:val="24"/>
          <w:szCs w:val="24"/>
          <w:vertAlign w:val="superscript"/>
        </w:rPr>
        <w:t>1</w:t>
      </w:r>
      <w:r>
        <w:rPr>
          <w:sz w:val="24"/>
          <w:szCs w:val="24"/>
        </w:rPr>
        <w:t>, Kirsten Jensen</w:t>
      </w:r>
      <w:r>
        <w:rPr>
          <w:sz w:val="24"/>
          <w:szCs w:val="24"/>
          <w:vertAlign w:val="superscript"/>
        </w:rPr>
        <w:t>1,2,3</w:t>
      </w:r>
      <w:r>
        <w:rPr>
          <w:sz w:val="24"/>
          <w:szCs w:val="24"/>
        </w:rPr>
        <w:t xml:space="preserve"> and Paul S. Freemont</w:t>
      </w:r>
      <w:r>
        <w:rPr>
          <w:sz w:val="24"/>
          <w:szCs w:val="24"/>
          <w:vertAlign w:val="superscript"/>
        </w:rPr>
        <w:t>1,2,3</w:t>
      </w:r>
    </w:p>
    <w:p w14:paraId="50C613A3" w14:textId="77777777" w:rsidR="00225D9D" w:rsidRDefault="00225D9D" w:rsidP="00225D9D">
      <w:pPr>
        <w:spacing w:after="0" w:line="480" w:lineRule="auto"/>
        <w:jc w:val="center"/>
        <w:rPr>
          <w:sz w:val="24"/>
          <w:szCs w:val="24"/>
        </w:rPr>
      </w:pPr>
      <w:r>
        <w:rPr>
          <w:sz w:val="24"/>
          <w:szCs w:val="24"/>
          <w:vertAlign w:val="superscript"/>
        </w:rPr>
        <w:t>1</w:t>
      </w:r>
      <w:r w:rsidRPr="00E15678">
        <w:rPr>
          <w:sz w:val="24"/>
          <w:szCs w:val="24"/>
        </w:rPr>
        <w:t>Section of Structural and Synthetic Biology</w:t>
      </w:r>
      <w:r>
        <w:rPr>
          <w:sz w:val="24"/>
          <w:szCs w:val="24"/>
        </w:rPr>
        <w:t xml:space="preserve">, </w:t>
      </w:r>
      <w:r w:rsidRPr="00E15678">
        <w:rPr>
          <w:sz w:val="24"/>
          <w:szCs w:val="24"/>
        </w:rPr>
        <w:t>Department of Infectious Disease</w:t>
      </w:r>
      <w:r>
        <w:rPr>
          <w:sz w:val="24"/>
          <w:szCs w:val="24"/>
        </w:rPr>
        <w:t>, Imperial College London, London, SW7 2AZ, UK</w:t>
      </w:r>
    </w:p>
    <w:p w14:paraId="59EC3B17" w14:textId="77777777" w:rsidR="00225D9D" w:rsidRPr="006742CA" w:rsidRDefault="00225D9D" w:rsidP="00225D9D">
      <w:pPr>
        <w:spacing w:after="0" w:line="480" w:lineRule="auto"/>
        <w:jc w:val="center"/>
        <w:rPr>
          <w:sz w:val="24"/>
          <w:szCs w:val="24"/>
        </w:rPr>
      </w:pPr>
      <w:r>
        <w:rPr>
          <w:sz w:val="24"/>
          <w:szCs w:val="24"/>
          <w:vertAlign w:val="superscript"/>
        </w:rPr>
        <w:t>2</w:t>
      </w:r>
      <w:r>
        <w:rPr>
          <w:sz w:val="24"/>
          <w:szCs w:val="24"/>
        </w:rPr>
        <w:t xml:space="preserve">London </w:t>
      </w:r>
      <w:proofErr w:type="spellStart"/>
      <w:r>
        <w:rPr>
          <w:sz w:val="24"/>
          <w:szCs w:val="24"/>
        </w:rPr>
        <w:t>Biofoundry</w:t>
      </w:r>
      <w:proofErr w:type="spellEnd"/>
      <w:r>
        <w:rPr>
          <w:sz w:val="24"/>
          <w:szCs w:val="24"/>
        </w:rPr>
        <w:t xml:space="preserve">, </w:t>
      </w:r>
      <w:r w:rsidRPr="009235D5">
        <w:rPr>
          <w:sz w:val="24"/>
          <w:szCs w:val="24"/>
        </w:rPr>
        <w:t>Imperial College Translation &amp; Innovation Hub</w:t>
      </w:r>
      <w:r>
        <w:rPr>
          <w:sz w:val="24"/>
          <w:szCs w:val="24"/>
        </w:rPr>
        <w:t xml:space="preserve">, </w:t>
      </w:r>
      <w:r w:rsidRPr="009235D5">
        <w:rPr>
          <w:sz w:val="24"/>
          <w:szCs w:val="24"/>
        </w:rPr>
        <w:t xml:space="preserve">White City Campus, 80 </w:t>
      </w:r>
      <w:r w:rsidRPr="006742CA">
        <w:rPr>
          <w:sz w:val="24"/>
          <w:szCs w:val="24"/>
        </w:rPr>
        <w:t>Wood Lane, London W12 0BZ, UK</w:t>
      </w:r>
    </w:p>
    <w:p w14:paraId="56A3CA41" w14:textId="77777777" w:rsidR="00225D9D" w:rsidRPr="006742CA" w:rsidRDefault="00225D9D" w:rsidP="00225D9D">
      <w:pPr>
        <w:spacing w:after="120" w:line="360" w:lineRule="auto"/>
        <w:jc w:val="center"/>
        <w:rPr>
          <w:rFonts w:eastAsia="Arial" w:cstheme="minorHAnsi"/>
          <w:sz w:val="24"/>
          <w:szCs w:val="24"/>
        </w:rPr>
      </w:pPr>
      <w:r w:rsidRPr="006742CA">
        <w:rPr>
          <w:rFonts w:eastAsia="Arial" w:cstheme="minorHAnsi"/>
          <w:sz w:val="24"/>
          <w:szCs w:val="24"/>
          <w:vertAlign w:val="superscript"/>
        </w:rPr>
        <w:t>3</w:t>
      </w:r>
      <w:r w:rsidRPr="006742CA">
        <w:rPr>
          <w:rFonts w:eastAsia="Arial" w:cstheme="minorHAnsi"/>
          <w:sz w:val="24"/>
          <w:szCs w:val="24"/>
        </w:rPr>
        <w:t>UK Dementia Research Institute Care Research and Technology Centre, Imperial College London, Hammersmith Campus, Du Cane Road, London, W12 0NN</w:t>
      </w:r>
    </w:p>
    <w:p w14:paraId="649304D7" w14:textId="77777777" w:rsidR="00225D9D" w:rsidRDefault="00225D9D" w:rsidP="00225D9D">
      <w:pPr>
        <w:rPr>
          <w:b/>
          <w:sz w:val="24"/>
        </w:rPr>
      </w:pPr>
    </w:p>
    <w:p w14:paraId="772D9527" w14:textId="77777777" w:rsidR="00225D9D" w:rsidRPr="005D313D" w:rsidRDefault="00225D9D" w:rsidP="00225D9D">
      <w:pPr>
        <w:rPr>
          <w:b/>
          <w:sz w:val="28"/>
        </w:rPr>
      </w:pPr>
      <w:r w:rsidRPr="005D313D">
        <w:rPr>
          <w:b/>
          <w:sz w:val="28"/>
        </w:rPr>
        <w:t>Table of contents</w:t>
      </w:r>
    </w:p>
    <w:p w14:paraId="2ABFEC56" w14:textId="77777777" w:rsidR="00225D9D" w:rsidRPr="00534177" w:rsidRDefault="00225D9D" w:rsidP="00225D9D">
      <w:r w:rsidRPr="00534177">
        <w:t>Supplementary Tables</w:t>
      </w:r>
      <w:r>
        <w:t xml:space="preserve"> 1-5</w:t>
      </w:r>
    </w:p>
    <w:p w14:paraId="1FDA59C3" w14:textId="77777777" w:rsidR="00225D9D" w:rsidRPr="00534177" w:rsidRDefault="00225D9D" w:rsidP="00225D9D">
      <w:r w:rsidRPr="00534177">
        <w:t>Supplementary Figures</w:t>
      </w:r>
      <w:r>
        <w:t xml:space="preserve"> 1-4</w:t>
      </w:r>
    </w:p>
    <w:p w14:paraId="16B2625D" w14:textId="77777777" w:rsidR="00225D9D" w:rsidRDefault="00225D9D" w:rsidP="00225D9D"/>
    <w:p w14:paraId="54743910" w14:textId="77777777" w:rsidR="00225D9D" w:rsidRDefault="00225D9D" w:rsidP="00225D9D"/>
    <w:p w14:paraId="09BE0C42" w14:textId="77777777" w:rsidR="00225D9D" w:rsidRDefault="00225D9D" w:rsidP="00225D9D"/>
    <w:p w14:paraId="5AE8F39A" w14:textId="77777777" w:rsidR="00225D9D" w:rsidRDefault="00225D9D" w:rsidP="00225D9D"/>
    <w:p w14:paraId="35D63A8E" w14:textId="77777777" w:rsidR="00225D9D" w:rsidRDefault="00225D9D" w:rsidP="00225D9D"/>
    <w:p w14:paraId="76912ABB" w14:textId="77777777" w:rsidR="00225D9D" w:rsidRDefault="00225D9D" w:rsidP="00225D9D"/>
    <w:p w14:paraId="3A213D46" w14:textId="77777777" w:rsidR="00225D9D" w:rsidRDefault="00225D9D" w:rsidP="00225D9D"/>
    <w:p w14:paraId="28386B4A" w14:textId="77777777" w:rsidR="00225D9D" w:rsidRDefault="00225D9D" w:rsidP="00225D9D"/>
    <w:p w14:paraId="1778CCF4" w14:textId="77777777" w:rsidR="00225D9D" w:rsidRDefault="00225D9D" w:rsidP="00225D9D"/>
    <w:p w14:paraId="105B62AB" w14:textId="77777777" w:rsidR="00225D9D" w:rsidRDefault="00225D9D" w:rsidP="00225D9D"/>
    <w:p w14:paraId="1CE4EC2D" w14:textId="77777777" w:rsidR="00225D9D" w:rsidRDefault="00225D9D" w:rsidP="00225D9D"/>
    <w:p w14:paraId="15453AB7" w14:textId="77777777" w:rsidR="00225D9D" w:rsidRDefault="00225D9D" w:rsidP="00225D9D">
      <w:pPr>
        <w:pStyle w:val="Caption"/>
        <w:keepNext/>
        <w:rPr>
          <w:b/>
          <w:i w:val="0"/>
          <w:color w:val="auto"/>
          <w:sz w:val="24"/>
          <w:szCs w:val="22"/>
        </w:rPr>
      </w:pPr>
    </w:p>
    <w:p w14:paraId="1BEA3315" w14:textId="77777777" w:rsidR="00225D9D" w:rsidRDefault="00225D9D" w:rsidP="00225D9D">
      <w:pPr>
        <w:pStyle w:val="Caption"/>
        <w:keepNext/>
        <w:rPr>
          <w:b/>
          <w:i w:val="0"/>
          <w:color w:val="auto"/>
          <w:sz w:val="24"/>
          <w:szCs w:val="22"/>
        </w:rPr>
      </w:pPr>
      <w:r>
        <w:rPr>
          <w:b/>
          <w:i w:val="0"/>
          <w:color w:val="auto"/>
          <w:sz w:val="24"/>
          <w:szCs w:val="22"/>
        </w:rPr>
        <w:t>Supplementary Tables</w:t>
      </w:r>
    </w:p>
    <w:p w14:paraId="02B673BD" w14:textId="77777777" w:rsidR="00225D9D" w:rsidRPr="00D517B1" w:rsidRDefault="00225D9D" w:rsidP="00225D9D">
      <w:pPr>
        <w:keepNext/>
        <w:pBdr>
          <w:top w:val="nil"/>
          <w:left w:val="nil"/>
          <w:bottom w:val="nil"/>
          <w:right w:val="nil"/>
          <w:between w:val="nil"/>
        </w:pBdr>
        <w:spacing w:after="200" w:line="240" w:lineRule="auto"/>
      </w:pPr>
      <w:bookmarkStart w:id="6" w:name="_Ref19180448"/>
      <w:r w:rsidRPr="00D517B1">
        <w:rPr>
          <w:b/>
        </w:rPr>
        <w:t>Supplementary Table</w:t>
      </w:r>
      <w:bookmarkEnd w:id="6"/>
      <w:r>
        <w:rPr>
          <w:b/>
        </w:rPr>
        <w:t xml:space="preserve"> 1</w:t>
      </w:r>
      <w:r w:rsidRPr="00D517B1">
        <w:rPr>
          <w:b/>
          <w:color w:val="000000"/>
        </w:rPr>
        <w:t>: Quality of the CFPS measurement method.</w:t>
      </w:r>
      <w:r w:rsidRPr="00D517B1">
        <w:rPr>
          <w:color w:val="000000"/>
        </w:rPr>
        <w:t xml:space="preserve"> Z' is a statistical measure of a signal and takes into account both the fold-change and the variability of an assay. It is calculated given replicate measurements of a blank (or negative control) and that of the sample (or positive control). Its value can be 0-1 and an assay is commonly accepted as excellent above z’=0.5. The online tool used for the calculations is available at: </w:t>
      </w:r>
      <w:hyperlink r:id="rId19">
        <w:r w:rsidRPr="00D517B1">
          <w:rPr>
            <w:color w:val="0000FF"/>
            <w:u w:val="single"/>
          </w:rPr>
          <w:t>http://www.screeningunit-fmp.net/tools/z-prime.php</w:t>
        </w:r>
      </w:hyperlink>
      <w:r w:rsidRPr="00D517B1">
        <w:rPr>
          <w:color w:val="000000"/>
        </w:rPr>
        <w:t xml:space="preserve">. </w:t>
      </w:r>
    </w:p>
    <w:tbl>
      <w:tblPr>
        <w:tblW w:w="32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560"/>
      </w:tblGrid>
      <w:tr w:rsidR="00225D9D" w14:paraId="392D6042" w14:textId="77777777" w:rsidTr="00C27B4F">
        <w:trPr>
          <w:jc w:val="center"/>
        </w:trPr>
        <w:tc>
          <w:tcPr>
            <w:tcW w:w="1696" w:type="dxa"/>
            <w:shd w:val="clear" w:color="auto" w:fill="auto"/>
          </w:tcPr>
          <w:p w14:paraId="2C82DB99" w14:textId="77777777" w:rsidR="00225D9D" w:rsidRPr="00B657E1" w:rsidRDefault="00225D9D" w:rsidP="00C27B4F">
            <w:pPr>
              <w:jc w:val="center"/>
              <w:rPr>
                <w:b/>
              </w:rPr>
            </w:pPr>
            <w:r w:rsidRPr="00B657E1">
              <w:rPr>
                <w:b/>
              </w:rPr>
              <w:t>Experiment</w:t>
            </w:r>
          </w:p>
        </w:tc>
        <w:tc>
          <w:tcPr>
            <w:tcW w:w="1560" w:type="dxa"/>
            <w:shd w:val="clear" w:color="auto" w:fill="auto"/>
          </w:tcPr>
          <w:p w14:paraId="332F506E" w14:textId="77777777" w:rsidR="00225D9D" w:rsidRPr="00B657E1" w:rsidRDefault="00225D9D" w:rsidP="00C27B4F">
            <w:pPr>
              <w:jc w:val="center"/>
              <w:rPr>
                <w:b/>
              </w:rPr>
            </w:pPr>
            <w:r w:rsidRPr="00B657E1">
              <w:rPr>
                <w:b/>
              </w:rPr>
              <w:t>Z’ standard</w:t>
            </w:r>
          </w:p>
        </w:tc>
      </w:tr>
      <w:tr w:rsidR="00225D9D" w14:paraId="7B803199" w14:textId="77777777" w:rsidTr="00C27B4F">
        <w:trPr>
          <w:jc w:val="center"/>
        </w:trPr>
        <w:tc>
          <w:tcPr>
            <w:tcW w:w="1696" w:type="dxa"/>
          </w:tcPr>
          <w:p w14:paraId="1CD284B8" w14:textId="77777777" w:rsidR="00225D9D" w:rsidRPr="00B657E1" w:rsidRDefault="00225D9D" w:rsidP="00C27B4F">
            <w:pPr>
              <w:jc w:val="center"/>
              <w:rPr>
                <w:b/>
              </w:rPr>
            </w:pPr>
            <w:r w:rsidRPr="00B657E1">
              <w:rPr>
                <w:b/>
              </w:rPr>
              <w:t>T7_lib_I</w:t>
            </w:r>
          </w:p>
        </w:tc>
        <w:tc>
          <w:tcPr>
            <w:tcW w:w="1560" w:type="dxa"/>
          </w:tcPr>
          <w:p w14:paraId="533A37EC" w14:textId="77777777" w:rsidR="00225D9D" w:rsidRPr="00B657E1" w:rsidRDefault="00225D9D" w:rsidP="00C27B4F">
            <w:pPr>
              <w:jc w:val="center"/>
            </w:pPr>
            <w:r w:rsidRPr="00B657E1">
              <w:t>0.590</w:t>
            </w:r>
          </w:p>
        </w:tc>
      </w:tr>
      <w:tr w:rsidR="00225D9D" w14:paraId="4F7CDDC8" w14:textId="77777777" w:rsidTr="00C27B4F">
        <w:trPr>
          <w:jc w:val="center"/>
        </w:trPr>
        <w:tc>
          <w:tcPr>
            <w:tcW w:w="1696" w:type="dxa"/>
          </w:tcPr>
          <w:p w14:paraId="7FFBA4C0" w14:textId="77777777" w:rsidR="00225D9D" w:rsidRPr="00B657E1" w:rsidRDefault="00225D9D" w:rsidP="00C27B4F">
            <w:pPr>
              <w:jc w:val="center"/>
              <w:rPr>
                <w:b/>
              </w:rPr>
            </w:pPr>
            <w:r w:rsidRPr="00B657E1">
              <w:rPr>
                <w:b/>
              </w:rPr>
              <w:t>T7_lib_II</w:t>
            </w:r>
          </w:p>
        </w:tc>
        <w:tc>
          <w:tcPr>
            <w:tcW w:w="1560" w:type="dxa"/>
          </w:tcPr>
          <w:p w14:paraId="73EC68C9" w14:textId="77777777" w:rsidR="00225D9D" w:rsidRPr="00B657E1" w:rsidRDefault="00225D9D" w:rsidP="00C27B4F">
            <w:pPr>
              <w:jc w:val="center"/>
            </w:pPr>
            <w:r w:rsidRPr="00B657E1">
              <w:t>0.763</w:t>
            </w:r>
          </w:p>
        </w:tc>
      </w:tr>
      <w:tr w:rsidR="00225D9D" w14:paraId="06F4380F" w14:textId="77777777" w:rsidTr="00C27B4F">
        <w:trPr>
          <w:jc w:val="center"/>
        </w:trPr>
        <w:tc>
          <w:tcPr>
            <w:tcW w:w="1696" w:type="dxa"/>
          </w:tcPr>
          <w:p w14:paraId="045517C1" w14:textId="77777777" w:rsidR="00225D9D" w:rsidRPr="00B657E1" w:rsidRDefault="00225D9D" w:rsidP="00C27B4F">
            <w:pPr>
              <w:jc w:val="center"/>
              <w:rPr>
                <w:b/>
              </w:rPr>
            </w:pPr>
            <w:proofErr w:type="spellStart"/>
            <w:r w:rsidRPr="00B657E1">
              <w:rPr>
                <w:b/>
              </w:rPr>
              <w:t>IRES_lib_I</w:t>
            </w:r>
            <w:proofErr w:type="spellEnd"/>
          </w:p>
        </w:tc>
        <w:tc>
          <w:tcPr>
            <w:tcW w:w="1560" w:type="dxa"/>
          </w:tcPr>
          <w:p w14:paraId="4F7CEF46" w14:textId="77777777" w:rsidR="00225D9D" w:rsidRPr="00B657E1" w:rsidRDefault="00225D9D" w:rsidP="00C27B4F">
            <w:pPr>
              <w:jc w:val="center"/>
            </w:pPr>
            <w:r w:rsidRPr="00B657E1">
              <w:t>0.803</w:t>
            </w:r>
          </w:p>
        </w:tc>
      </w:tr>
      <w:tr w:rsidR="00225D9D" w14:paraId="2BB09C42" w14:textId="77777777" w:rsidTr="00C27B4F">
        <w:trPr>
          <w:jc w:val="center"/>
        </w:trPr>
        <w:tc>
          <w:tcPr>
            <w:tcW w:w="1696" w:type="dxa"/>
          </w:tcPr>
          <w:p w14:paraId="621752F1" w14:textId="77777777" w:rsidR="00225D9D" w:rsidRPr="00B657E1" w:rsidRDefault="00225D9D" w:rsidP="00C27B4F">
            <w:pPr>
              <w:jc w:val="center"/>
              <w:rPr>
                <w:b/>
              </w:rPr>
            </w:pPr>
            <w:proofErr w:type="spellStart"/>
            <w:r w:rsidRPr="00B657E1">
              <w:rPr>
                <w:b/>
              </w:rPr>
              <w:t>IRES_lib_II</w:t>
            </w:r>
            <w:proofErr w:type="spellEnd"/>
          </w:p>
        </w:tc>
        <w:tc>
          <w:tcPr>
            <w:tcW w:w="1560" w:type="dxa"/>
          </w:tcPr>
          <w:p w14:paraId="33D5C9EF" w14:textId="77777777" w:rsidR="00225D9D" w:rsidRPr="00B657E1" w:rsidRDefault="00225D9D" w:rsidP="00C27B4F">
            <w:pPr>
              <w:jc w:val="center"/>
            </w:pPr>
            <w:r w:rsidRPr="00B657E1">
              <w:t>0.837</w:t>
            </w:r>
          </w:p>
        </w:tc>
      </w:tr>
      <w:tr w:rsidR="00225D9D" w14:paraId="24C65568" w14:textId="77777777" w:rsidTr="00C27B4F">
        <w:trPr>
          <w:jc w:val="center"/>
        </w:trPr>
        <w:tc>
          <w:tcPr>
            <w:tcW w:w="1696" w:type="dxa"/>
          </w:tcPr>
          <w:p w14:paraId="31675FED" w14:textId="77777777" w:rsidR="00225D9D" w:rsidRPr="00B657E1" w:rsidRDefault="00225D9D" w:rsidP="00C27B4F">
            <w:pPr>
              <w:jc w:val="center"/>
              <w:rPr>
                <w:b/>
              </w:rPr>
            </w:pPr>
            <w:r w:rsidRPr="00B657E1">
              <w:rPr>
                <w:b/>
              </w:rPr>
              <w:t>dCas9_I</w:t>
            </w:r>
          </w:p>
        </w:tc>
        <w:tc>
          <w:tcPr>
            <w:tcW w:w="1560" w:type="dxa"/>
          </w:tcPr>
          <w:p w14:paraId="65D7D9AB" w14:textId="77777777" w:rsidR="00225D9D" w:rsidRPr="00B657E1" w:rsidRDefault="00225D9D" w:rsidP="00C27B4F">
            <w:pPr>
              <w:jc w:val="center"/>
            </w:pPr>
            <w:r w:rsidRPr="00B657E1">
              <w:t>0.622</w:t>
            </w:r>
          </w:p>
        </w:tc>
      </w:tr>
      <w:tr w:rsidR="00225D9D" w14:paraId="3421E7D8" w14:textId="77777777" w:rsidTr="00C27B4F">
        <w:trPr>
          <w:jc w:val="center"/>
        </w:trPr>
        <w:tc>
          <w:tcPr>
            <w:tcW w:w="1696" w:type="dxa"/>
          </w:tcPr>
          <w:p w14:paraId="67C739EA" w14:textId="77777777" w:rsidR="00225D9D" w:rsidRPr="00B657E1" w:rsidRDefault="00225D9D" w:rsidP="00C27B4F">
            <w:pPr>
              <w:jc w:val="center"/>
              <w:rPr>
                <w:b/>
              </w:rPr>
            </w:pPr>
            <w:r w:rsidRPr="00B657E1">
              <w:rPr>
                <w:b/>
              </w:rPr>
              <w:t>dCas9_II</w:t>
            </w:r>
          </w:p>
        </w:tc>
        <w:tc>
          <w:tcPr>
            <w:tcW w:w="1560" w:type="dxa"/>
          </w:tcPr>
          <w:p w14:paraId="6105BC9E" w14:textId="77777777" w:rsidR="00225D9D" w:rsidRPr="00B657E1" w:rsidRDefault="00225D9D" w:rsidP="00C27B4F">
            <w:pPr>
              <w:jc w:val="center"/>
            </w:pPr>
            <w:r w:rsidRPr="00B657E1">
              <w:t>0.578</w:t>
            </w:r>
          </w:p>
        </w:tc>
      </w:tr>
      <w:tr w:rsidR="00225D9D" w14:paraId="4A1F2B8D" w14:textId="77777777" w:rsidTr="00C27B4F">
        <w:trPr>
          <w:jc w:val="center"/>
        </w:trPr>
        <w:tc>
          <w:tcPr>
            <w:tcW w:w="1696" w:type="dxa"/>
          </w:tcPr>
          <w:p w14:paraId="13C81945" w14:textId="77777777" w:rsidR="00225D9D" w:rsidRPr="00B657E1" w:rsidRDefault="00225D9D" w:rsidP="00C27B4F">
            <w:pPr>
              <w:jc w:val="center"/>
              <w:rPr>
                <w:b/>
              </w:rPr>
            </w:pPr>
            <w:r w:rsidRPr="00B657E1">
              <w:rPr>
                <w:b/>
              </w:rPr>
              <w:t>L7Ae_I</w:t>
            </w:r>
          </w:p>
        </w:tc>
        <w:tc>
          <w:tcPr>
            <w:tcW w:w="1560" w:type="dxa"/>
          </w:tcPr>
          <w:p w14:paraId="7E7E30B2" w14:textId="77777777" w:rsidR="00225D9D" w:rsidRPr="00B657E1" w:rsidRDefault="00225D9D" w:rsidP="00C27B4F">
            <w:pPr>
              <w:jc w:val="center"/>
            </w:pPr>
            <w:r w:rsidRPr="00B657E1">
              <w:t>0.612</w:t>
            </w:r>
          </w:p>
        </w:tc>
      </w:tr>
      <w:tr w:rsidR="00225D9D" w14:paraId="3F040D92" w14:textId="77777777" w:rsidTr="00C27B4F">
        <w:trPr>
          <w:jc w:val="center"/>
        </w:trPr>
        <w:tc>
          <w:tcPr>
            <w:tcW w:w="1696" w:type="dxa"/>
          </w:tcPr>
          <w:p w14:paraId="28D6A90D" w14:textId="77777777" w:rsidR="00225D9D" w:rsidRPr="00B657E1" w:rsidRDefault="00225D9D" w:rsidP="00C27B4F">
            <w:pPr>
              <w:jc w:val="center"/>
              <w:rPr>
                <w:b/>
              </w:rPr>
            </w:pPr>
            <w:r w:rsidRPr="00B657E1">
              <w:rPr>
                <w:b/>
              </w:rPr>
              <w:t>L7Ae_II</w:t>
            </w:r>
          </w:p>
        </w:tc>
        <w:tc>
          <w:tcPr>
            <w:tcW w:w="1560" w:type="dxa"/>
          </w:tcPr>
          <w:p w14:paraId="4E200F9E" w14:textId="77777777" w:rsidR="00225D9D" w:rsidRPr="00B657E1" w:rsidRDefault="00225D9D" w:rsidP="00C27B4F">
            <w:pPr>
              <w:jc w:val="center"/>
            </w:pPr>
            <w:r w:rsidRPr="00B657E1">
              <w:t>0.756</w:t>
            </w:r>
          </w:p>
        </w:tc>
      </w:tr>
    </w:tbl>
    <w:p w14:paraId="19896678" w14:textId="77777777" w:rsidR="00225D9D" w:rsidRPr="00994145" w:rsidRDefault="00225D9D" w:rsidP="00225D9D"/>
    <w:p w14:paraId="472CC78F" w14:textId="77777777" w:rsidR="00225D9D" w:rsidRPr="00D517B1" w:rsidRDefault="00225D9D" w:rsidP="00225D9D">
      <w:pPr>
        <w:keepNext/>
        <w:pBdr>
          <w:top w:val="nil"/>
          <w:left w:val="nil"/>
          <w:bottom w:val="nil"/>
          <w:right w:val="nil"/>
          <w:between w:val="nil"/>
        </w:pBdr>
        <w:spacing w:after="200" w:line="240" w:lineRule="auto"/>
        <w:rPr>
          <w:b/>
        </w:rPr>
      </w:pPr>
      <w:bookmarkStart w:id="7" w:name="_Ref20133895"/>
      <w:bookmarkStart w:id="8" w:name="_Ref20133163"/>
      <w:bookmarkStart w:id="9" w:name="_Ref20133146"/>
      <w:r w:rsidRPr="00D517B1">
        <w:rPr>
          <w:b/>
        </w:rPr>
        <w:t xml:space="preserve">Supplementary Table </w:t>
      </w:r>
      <w:bookmarkEnd w:id="7"/>
      <w:r>
        <w:rPr>
          <w:b/>
        </w:rPr>
        <w:t>2:</w:t>
      </w:r>
      <w:r w:rsidRPr="00D517B1">
        <w:rPr>
          <w:color w:val="000000"/>
        </w:rPr>
        <w:t xml:space="preserve"> </w:t>
      </w:r>
      <w:r w:rsidRPr="00D517B1">
        <w:rPr>
          <w:b/>
          <w:color w:val="000000"/>
        </w:rPr>
        <w:t>Best fit values of curves fitted to dCas9 repression data.</w:t>
      </w:r>
      <w:r w:rsidRPr="00D517B1">
        <w:rPr>
          <w:color w:val="000000"/>
        </w:rPr>
        <w:t xml:space="preserve"> Fitting was carried out using </w:t>
      </w:r>
      <w:proofErr w:type="spellStart"/>
      <w:r w:rsidRPr="00D517B1">
        <w:rPr>
          <w:color w:val="000000"/>
        </w:rPr>
        <w:t>Graphpad</w:t>
      </w:r>
      <w:proofErr w:type="spellEnd"/>
      <w:r w:rsidRPr="00D517B1">
        <w:rPr>
          <w:color w:val="000000"/>
        </w:rPr>
        <w:t xml:space="preserve"> Prism with the inbuilt function: “[Inhibitor] vs. response -- Variable slope (four parameters)”. </w:t>
      </w:r>
    </w:p>
    <w:tbl>
      <w:tblPr>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0"/>
        <w:gridCol w:w="1905"/>
        <w:gridCol w:w="1732"/>
        <w:gridCol w:w="1906"/>
        <w:gridCol w:w="1906"/>
      </w:tblGrid>
      <w:tr w:rsidR="00225D9D" w14:paraId="3722B00E" w14:textId="77777777" w:rsidTr="00C27B4F">
        <w:trPr>
          <w:trHeight w:val="185"/>
        </w:trPr>
        <w:tc>
          <w:tcPr>
            <w:tcW w:w="1900" w:type="dxa"/>
          </w:tcPr>
          <w:p w14:paraId="1BF09B1C" w14:textId="77777777" w:rsidR="00225D9D" w:rsidRDefault="00225D9D" w:rsidP="00C27B4F">
            <w:pPr>
              <w:jc w:val="center"/>
              <w:rPr>
                <w:b/>
              </w:rPr>
            </w:pPr>
          </w:p>
        </w:tc>
        <w:tc>
          <w:tcPr>
            <w:tcW w:w="3637" w:type="dxa"/>
            <w:gridSpan w:val="2"/>
          </w:tcPr>
          <w:p w14:paraId="787B32B2" w14:textId="77777777" w:rsidR="00225D9D" w:rsidRDefault="00225D9D" w:rsidP="00C27B4F">
            <w:pPr>
              <w:jc w:val="center"/>
              <w:rPr>
                <w:b/>
              </w:rPr>
            </w:pPr>
            <w:r>
              <w:rPr>
                <w:b/>
              </w:rPr>
              <w:t>Cas9 promoter A</w:t>
            </w:r>
          </w:p>
        </w:tc>
        <w:tc>
          <w:tcPr>
            <w:tcW w:w="3812" w:type="dxa"/>
            <w:gridSpan w:val="2"/>
          </w:tcPr>
          <w:p w14:paraId="2954D957" w14:textId="77777777" w:rsidR="00225D9D" w:rsidRDefault="00225D9D" w:rsidP="00C27B4F">
            <w:pPr>
              <w:jc w:val="center"/>
              <w:rPr>
                <w:b/>
              </w:rPr>
            </w:pPr>
            <w:r>
              <w:rPr>
                <w:b/>
              </w:rPr>
              <w:t>Cas9 promoter B</w:t>
            </w:r>
          </w:p>
        </w:tc>
      </w:tr>
      <w:tr w:rsidR="00225D9D" w14:paraId="163C79F4" w14:textId="77777777" w:rsidTr="00C27B4F">
        <w:trPr>
          <w:trHeight w:val="222"/>
        </w:trPr>
        <w:tc>
          <w:tcPr>
            <w:tcW w:w="1900" w:type="dxa"/>
          </w:tcPr>
          <w:p w14:paraId="48C8CD92" w14:textId="77777777" w:rsidR="00225D9D" w:rsidRDefault="00225D9D" w:rsidP="00C27B4F">
            <w:pPr>
              <w:jc w:val="center"/>
            </w:pPr>
          </w:p>
        </w:tc>
        <w:tc>
          <w:tcPr>
            <w:tcW w:w="1905" w:type="dxa"/>
          </w:tcPr>
          <w:p w14:paraId="5A8334A0" w14:textId="77777777" w:rsidR="00225D9D" w:rsidRDefault="00225D9D" w:rsidP="00C27B4F">
            <w:pPr>
              <w:jc w:val="center"/>
              <w:rPr>
                <w:b/>
              </w:rPr>
            </w:pPr>
            <w:r>
              <w:rPr>
                <w:b/>
              </w:rPr>
              <w:t>Best-fit values</w:t>
            </w:r>
          </w:p>
        </w:tc>
        <w:tc>
          <w:tcPr>
            <w:tcW w:w="1731" w:type="dxa"/>
          </w:tcPr>
          <w:p w14:paraId="7686CF1D" w14:textId="77777777" w:rsidR="00225D9D" w:rsidRDefault="00225D9D" w:rsidP="00C27B4F">
            <w:pPr>
              <w:jc w:val="center"/>
              <w:rPr>
                <w:b/>
              </w:rPr>
            </w:pPr>
            <w:r>
              <w:rPr>
                <w:b/>
              </w:rPr>
              <w:t>Std. Error</w:t>
            </w:r>
          </w:p>
        </w:tc>
        <w:tc>
          <w:tcPr>
            <w:tcW w:w="1906" w:type="dxa"/>
          </w:tcPr>
          <w:p w14:paraId="2CC48871" w14:textId="77777777" w:rsidR="00225D9D" w:rsidRDefault="00225D9D" w:rsidP="00C27B4F">
            <w:pPr>
              <w:jc w:val="center"/>
              <w:rPr>
                <w:b/>
              </w:rPr>
            </w:pPr>
            <w:r>
              <w:rPr>
                <w:b/>
              </w:rPr>
              <w:t>Best-fit values</w:t>
            </w:r>
          </w:p>
        </w:tc>
        <w:tc>
          <w:tcPr>
            <w:tcW w:w="1905" w:type="dxa"/>
          </w:tcPr>
          <w:p w14:paraId="0AB3291A" w14:textId="77777777" w:rsidR="00225D9D" w:rsidRDefault="00225D9D" w:rsidP="00C27B4F">
            <w:pPr>
              <w:jc w:val="center"/>
              <w:rPr>
                <w:b/>
              </w:rPr>
            </w:pPr>
            <w:r>
              <w:rPr>
                <w:b/>
              </w:rPr>
              <w:t>Std. Error</w:t>
            </w:r>
          </w:p>
        </w:tc>
      </w:tr>
      <w:tr w:rsidR="00225D9D" w14:paraId="7E5B4C1A" w14:textId="77777777" w:rsidTr="00C27B4F">
        <w:trPr>
          <w:trHeight w:val="185"/>
        </w:trPr>
        <w:tc>
          <w:tcPr>
            <w:tcW w:w="1900" w:type="dxa"/>
          </w:tcPr>
          <w:p w14:paraId="291F3F43" w14:textId="77777777" w:rsidR="00225D9D" w:rsidRDefault="00225D9D" w:rsidP="00C27B4F">
            <w:pPr>
              <w:jc w:val="center"/>
              <w:rPr>
                <w:b/>
              </w:rPr>
            </w:pPr>
            <w:r>
              <w:rPr>
                <w:b/>
              </w:rPr>
              <w:t>Bottom</w:t>
            </w:r>
          </w:p>
        </w:tc>
        <w:tc>
          <w:tcPr>
            <w:tcW w:w="1905" w:type="dxa"/>
          </w:tcPr>
          <w:p w14:paraId="2ECABAF8" w14:textId="77777777" w:rsidR="00225D9D" w:rsidRDefault="00225D9D" w:rsidP="00C27B4F">
            <w:pPr>
              <w:jc w:val="center"/>
            </w:pPr>
            <w:r>
              <w:t>1.158</w:t>
            </w:r>
          </w:p>
        </w:tc>
        <w:tc>
          <w:tcPr>
            <w:tcW w:w="1731" w:type="dxa"/>
          </w:tcPr>
          <w:p w14:paraId="32737677" w14:textId="77777777" w:rsidR="00225D9D" w:rsidRDefault="00225D9D" w:rsidP="00C27B4F">
            <w:pPr>
              <w:jc w:val="center"/>
            </w:pPr>
            <w:r>
              <w:t>14.11</w:t>
            </w:r>
          </w:p>
        </w:tc>
        <w:tc>
          <w:tcPr>
            <w:tcW w:w="1906" w:type="dxa"/>
          </w:tcPr>
          <w:p w14:paraId="129479D1" w14:textId="77777777" w:rsidR="00225D9D" w:rsidRDefault="00225D9D" w:rsidP="00C27B4F">
            <w:pPr>
              <w:jc w:val="center"/>
            </w:pPr>
            <w:r>
              <w:t>-59.22</w:t>
            </w:r>
          </w:p>
        </w:tc>
        <w:tc>
          <w:tcPr>
            <w:tcW w:w="1905" w:type="dxa"/>
          </w:tcPr>
          <w:p w14:paraId="6511FE72" w14:textId="77777777" w:rsidR="00225D9D" w:rsidRDefault="00225D9D" w:rsidP="00C27B4F">
            <w:pPr>
              <w:jc w:val="center"/>
            </w:pPr>
            <w:r>
              <w:t>70.28</w:t>
            </w:r>
          </w:p>
        </w:tc>
      </w:tr>
      <w:tr w:rsidR="00225D9D" w14:paraId="3F21B1F1" w14:textId="77777777" w:rsidTr="00C27B4F">
        <w:trPr>
          <w:trHeight w:val="185"/>
        </w:trPr>
        <w:tc>
          <w:tcPr>
            <w:tcW w:w="1900" w:type="dxa"/>
          </w:tcPr>
          <w:p w14:paraId="0F8388D8" w14:textId="77777777" w:rsidR="00225D9D" w:rsidRDefault="00225D9D" w:rsidP="00C27B4F">
            <w:pPr>
              <w:jc w:val="center"/>
              <w:rPr>
                <w:b/>
              </w:rPr>
            </w:pPr>
            <w:r>
              <w:rPr>
                <w:b/>
              </w:rPr>
              <w:t>Top</w:t>
            </w:r>
          </w:p>
        </w:tc>
        <w:tc>
          <w:tcPr>
            <w:tcW w:w="1905" w:type="dxa"/>
          </w:tcPr>
          <w:p w14:paraId="442582A3" w14:textId="77777777" w:rsidR="00225D9D" w:rsidRDefault="00225D9D" w:rsidP="00C27B4F">
            <w:pPr>
              <w:jc w:val="center"/>
            </w:pPr>
            <w:r>
              <w:t>221.5</w:t>
            </w:r>
          </w:p>
        </w:tc>
        <w:tc>
          <w:tcPr>
            <w:tcW w:w="1731" w:type="dxa"/>
          </w:tcPr>
          <w:p w14:paraId="6E117B95" w14:textId="77777777" w:rsidR="00225D9D" w:rsidRDefault="00225D9D" w:rsidP="00C27B4F">
            <w:pPr>
              <w:jc w:val="center"/>
            </w:pPr>
            <w:r>
              <w:t>6.216</w:t>
            </w:r>
          </w:p>
        </w:tc>
        <w:tc>
          <w:tcPr>
            <w:tcW w:w="1906" w:type="dxa"/>
          </w:tcPr>
          <w:p w14:paraId="2FBEF133" w14:textId="77777777" w:rsidR="00225D9D" w:rsidRDefault="00225D9D" w:rsidP="00C27B4F">
            <w:pPr>
              <w:jc w:val="center"/>
            </w:pPr>
            <w:r>
              <w:t>218.2</w:t>
            </w:r>
          </w:p>
        </w:tc>
        <w:tc>
          <w:tcPr>
            <w:tcW w:w="1905" w:type="dxa"/>
          </w:tcPr>
          <w:p w14:paraId="4B3804EC" w14:textId="77777777" w:rsidR="00225D9D" w:rsidRDefault="00225D9D" w:rsidP="00C27B4F">
            <w:pPr>
              <w:jc w:val="center"/>
            </w:pPr>
            <w:r>
              <w:t>11.36</w:t>
            </w:r>
          </w:p>
        </w:tc>
      </w:tr>
      <w:tr w:rsidR="00225D9D" w14:paraId="56C706CE" w14:textId="77777777" w:rsidTr="00C27B4F">
        <w:trPr>
          <w:trHeight w:val="185"/>
        </w:trPr>
        <w:tc>
          <w:tcPr>
            <w:tcW w:w="1900" w:type="dxa"/>
          </w:tcPr>
          <w:p w14:paraId="0AB44D16" w14:textId="77777777" w:rsidR="00225D9D" w:rsidRDefault="00225D9D" w:rsidP="00C27B4F">
            <w:pPr>
              <w:jc w:val="center"/>
              <w:rPr>
                <w:b/>
              </w:rPr>
            </w:pPr>
            <w:proofErr w:type="spellStart"/>
            <w:r>
              <w:rPr>
                <w:b/>
              </w:rPr>
              <w:t>HillSlope</w:t>
            </w:r>
            <w:proofErr w:type="spellEnd"/>
          </w:p>
        </w:tc>
        <w:tc>
          <w:tcPr>
            <w:tcW w:w="1905" w:type="dxa"/>
          </w:tcPr>
          <w:p w14:paraId="41FDF300" w14:textId="77777777" w:rsidR="00225D9D" w:rsidRDefault="00225D9D" w:rsidP="00C27B4F">
            <w:pPr>
              <w:jc w:val="center"/>
            </w:pPr>
            <w:r>
              <w:t>7.268</w:t>
            </w:r>
          </w:p>
        </w:tc>
        <w:tc>
          <w:tcPr>
            <w:tcW w:w="1731" w:type="dxa"/>
          </w:tcPr>
          <w:p w14:paraId="46600EB5" w14:textId="77777777" w:rsidR="00225D9D" w:rsidRDefault="00225D9D" w:rsidP="00C27B4F">
            <w:pPr>
              <w:jc w:val="center"/>
            </w:pPr>
            <w:r>
              <w:t>2.382</w:t>
            </w:r>
          </w:p>
        </w:tc>
        <w:tc>
          <w:tcPr>
            <w:tcW w:w="1906" w:type="dxa"/>
          </w:tcPr>
          <w:p w14:paraId="6E210912" w14:textId="77777777" w:rsidR="00225D9D" w:rsidRDefault="00225D9D" w:rsidP="00C27B4F">
            <w:pPr>
              <w:jc w:val="center"/>
            </w:pPr>
            <w:r>
              <w:t>1.461</w:t>
            </w:r>
          </w:p>
        </w:tc>
        <w:tc>
          <w:tcPr>
            <w:tcW w:w="1905" w:type="dxa"/>
          </w:tcPr>
          <w:p w14:paraId="0465F725" w14:textId="77777777" w:rsidR="00225D9D" w:rsidRDefault="00225D9D" w:rsidP="00C27B4F">
            <w:pPr>
              <w:jc w:val="center"/>
            </w:pPr>
            <w:r>
              <w:t>0.5337</w:t>
            </w:r>
          </w:p>
        </w:tc>
      </w:tr>
      <w:tr w:rsidR="00225D9D" w14:paraId="20CAF310" w14:textId="77777777" w:rsidTr="00C27B4F">
        <w:trPr>
          <w:trHeight w:val="185"/>
        </w:trPr>
        <w:tc>
          <w:tcPr>
            <w:tcW w:w="1900" w:type="dxa"/>
          </w:tcPr>
          <w:p w14:paraId="2C5CE7CD" w14:textId="77777777" w:rsidR="00225D9D" w:rsidRDefault="00225D9D" w:rsidP="00C27B4F">
            <w:pPr>
              <w:jc w:val="center"/>
              <w:rPr>
                <w:b/>
              </w:rPr>
            </w:pPr>
            <w:r>
              <w:rPr>
                <w:b/>
              </w:rPr>
              <w:t>IC50</w:t>
            </w:r>
          </w:p>
        </w:tc>
        <w:tc>
          <w:tcPr>
            <w:tcW w:w="1905" w:type="dxa"/>
          </w:tcPr>
          <w:p w14:paraId="03356A95" w14:textId="77777777" w:rsidR="00225D9D" w:rsidRDefault="00225D9D" w:rsidP="00C27B4F">
            <w:pPr>
              <w:jc w:val="center"/>
            </w:pPr>
            <w:r>
              <w:t>35.07</w:t>
            </w:r>
          </w:p>
        </w:tc>
        <w:tc>
          <w:tcPr>
            <w:tcW w:w="1731" w:type="dxa"/>
          </w:tcPr>
          <w:p w14:paraId="33469811" w14:textId="77777777" w:rsidR="00225D9D" w:rsidRDefault="00225D9D" w:rsidP="00C27B4F">
            <w:pPr>
              <w:jc w:val="center"/>
            </w:pPr>
            <w:r>
              <w:t>1.519</w:t>
            </w:r>
          </w:p>
        </w:tc>
        <w:tc>
          <w:tcPr>
            <w:tcW w:w="1906" w:type="dxa"/>
          </w:tcPr>
          <w:p w14:paraId="36449806" w14:textId="77777777" w:rsidR="00225D9D" w:rsidRDefault="00225D9D" w:rsidP="00C27B4F">
            <w:pPr>
              <w:jc w:val="center"/>
            </w:pPr>
            <w:r>
              <w:t>28.24</w:t>
            </w:r>
          </w:p>
        </w:tc>
        <w:tc>
          <w:tcPr>
            <w:tcW w:w="1905" w:type="dxa"/>
          </w:tcPr>
          <w:p w14:paraId="0088F27A" w14:textId="77777777" w:rsidR="00225D9D" w:rsidRDefault="00225D9D" w:rsidP="00C27B4F">
            <w:pPr>
              <w:jc w:val="center"/>
            </w:pPr>
            <w:r>
              <w:t>11.62</w:t>
            </w:r>
          </w:p>
        </w:tc>
      </w:tr>
      <w:tr w:rsidR="00225D9D" w14:paraId="401DC7DD" w14:textId="77777777" w:rsidTr="00C27B4F">
        <w:trPr>
          <w:trHeight w:val="185"/>
        </w:trPr>
        <w:tc>
          <w:tcPr>
            <w:tcW w:w="1900" w:type="dxa"/>
          </w:tcPr>
          <w:p w14:paraId="24DB5DE5" w14:textId="77777777" w:rsidR="00225D9D" w:rsidRDefault="00225D9D" w:rsidP="00C27B4F">
            <w:pPr>
              <w:jc w:val="center"/>
              <w:rPr>
                <w:b/>
              </w:rPr>
            </w:pPr>
            <w:r>
              <w:rPr>
                <w:b/>
              </w:rPr>
              <w:t>logIC50</w:t>
            </w:r>
          </w:p>
        </w:tc>
        <w:tc>
          <w:tcPr>
            <w:tcW w:w="1905" w:type="dxa"/>
          </w:tcPr>
          <w:p w14:paraId="0EADD833" w14:textId="77777777" w:rsidR="00225D9D" w:rsidRDefault="00225D9D" w:rsidP="00C27B4F">
            <w:pPr>
              <w:jc w:val="center"/>
            </w:pPr>
            <w:r>
              <w:t>1.545</w:t>
            </w:r>
          </w:p>
        </w:tc>
        <w:tc>
          <w:tcPr>
            <w:tcW w:w="1731" w:type="dxa"/>
            <w:shd w:val="clear" w:color="auto" w:fill="000000" w:themeFill="text1"/>
          </w:tcPr>
          <w:p w14:paraId="3E4BC8A0" w14:textId="77777777" w:rsidR="00225D9D" w:rsidRDefault="00225D9D" w:rsidP="00C27B4F">
            <w:pPr>
              <w:jc w:val="center"/>
            </w:pPr>
          </w:p>
        </w:tc>
        <w:tc>
          <w:tcPr>
            <w:tcW w:w="1906" w:type="dxa"/>
          </w:tcPr>
          <w:p w14:paraId="7C5C64C5" w14:textId="77777777" w:rsidR="00225D9D" w:rsidRDefault="00225D9D" w:rsidP="00C27B4F">
            <w:pPr>
              <w:jc w:val="center"/>
            </w:pPr>
            <w:r>
              <w:t>1.451</w:t>
            </w:r>
          </w:p>
        </w:tc>
        <w:tc>
          <w:tcPr>
            <w:tcW w:w="1905" w:type="dxa"/>
            <w:shd w:val="clear" w:color="auto" w:fill="000000" w:themeFill="text1"/>
          </w:tcPr>
          <w:p w14:paraId="7F92DC63" w14:textId="77777777" w:rsidR="00225D9D" w:rsidRDefault="00225D9D" w:rsidP="00C27B4F">
            <w:pPr>
              <w:jc w:val="center"/>
            </w:pPr>
          </w:p>
        </w:tc>
      </w:tr>
      <w:tr w:rsidR="00225D9D" w14:paraId="13643D18" w14:textId="77777777" w:rsidTr="00C27B4F">
        <w:trPr>
          <w:trHeight w:val="235"/>
        </w:trPr>
        <w:tc>
          <w:tcPr>
            <w:tcW w:w="1900" w:type="dxa"/>
          </w:tcPr>
          <w:p w14:paraId="5189338A" w14:textId="77777777" w:rsidR="00225D9D" w:rsidRDefault="00225D9D" w:rsidP="00C27B4F">
            <w:pPr>
              <w:jc w:val="center"/>
              <w:rPr>
                <w:b/>
              </w:rPr>
            </w:pPr>
            <w:r>
              <w:rPr>
                <w:b/>
              </w:rPr>
              <w:t>Span</w:t>
            </w:r>
          </w:p>
        </w:tc>
        <w:tc>
          <w:tcPr>
            <w:tcW w:w="1905" w:type="dxa"/>
          </w:tcPr>
          <w:p w14:paraId="178B0F33" w14:textId="77777777" w:rsidR="00225D9D" w:rsidRDefault="00225D9D" w:rsidP="00C27B4F">
            <w:pPr>
              <w:jc w:val="center"/>
            </w:pPr>
            <w:r>
              <w:t>220.3</w:t>
            </w:r>
          </w:p>
        </w:tc>
        <w:tc>
          <w:tcPr>
            <w:tcW w:w="1731" w:type="dxa"/>
          </w:tcPr>
          <w:p w14:paraId="4CD2D7BE" w14:textId="77777777" w:rsidR="00225D9D" w:rsidRDefault="00225D9D" w:rsidP="00C27B4F">
            <w:pPr>
              <w:jc w:val="center"/>
            </w:pPr>
            <w:r>
              <w:t>15.61</w:t>
            </w:r>
          </w:p>
        </w:tc>
        <w:tc>
          <w:tcPr>
            <w:tcW w:w="1906" w:type="dxa"/>
          </w:tcPr>
          <w:p w14:paraId="4FAB610D" w14:textId="77777777" w:rsidR="00225D9D" w:rsidRDefault="00225D9D" w:rsidP="00C27B4F">
            <w:pPr>
              <w:jc w:val="center"/>
            </w:pPr>
            <w:r>
              <w:t>277.4</w:t>
            </w:r>
          </w:p>
        </w:tc>
        <w:tc>
          <w:tcPr>
            <w:tcW w:w="1905" w:type="dxa"/>
          </w:tcPr>
          <w:p w14:paraId="7CB6FF11" w14:textId="77777777" w:rsidR="00225D9D" w:rsidRDefault="00225D9D" w:rsidP="00C27B4F">
            <w:pPr>
              <w:jc w:val="center"/>
            </w:pPr>
            <w:r>
              <w:t>75.22</w:t>
            </w:r>
          </w:p>
        </w:tc>
      </w:tr>
    </w:tbl>
    <w:p w14:paraId="07887666" w14:textId="77777777" w:rsidR="00225D9D" w:rsidRDefault="00225D9D" w:rsidP="00225D9D"/>
    <w:p w14:paraId="1932CEC5" w14:textId="77777777" w:rsidR="00225D9D" w:rsidRDefault="00225D9D" w:rsidP="00225D9D">
      <w:pPr>
        <w:keepNext/>
        <w:pBdr>
          <w:top w:val="nil"/>
          <w:left w:val="nil"/>
          <w:bottom w:val="nil"/>
          <w:right w:val="nil"/>
          <w:between w:val="nil"/>
        </w:pBdr>
        <w:spacing w:after="200" w:line="240" w:lineRule="auto"/>
        <w:rPr>
          <w:b/>
        </w:rPr>
      </w:pPr>
      <w:bookmarkStart w:id="10" w:name="_Ref19182842"/>
    </w:p>
    <w:p w14:paraId="4D331962" w14:textId="77777777" w:rsidR="00225D9D" w:rsidRPr="00D517B1" w:rsidRDefault="00225D9D" w:rsidP="00225D9D">
      <w:pPr>
        <w:keepNext/>
        <w:pBdr>
          <w:top w:val="nil"/>
          <w:left w:val="nil"/>
          <w:bottom w:val="nil"/>
          <w:right w:val="nil"/>
          <w:between w:val="nil"/>
        </w:pBdr>
        <w:spacing w:after="200" w:line="240" w:lineRule="auto"/>
        <w:rPr>
          <w:b/>
        </w:rPr>
      </w:pPr>
      <w:r w:rsidRPr="00D517B1">
        <w:rPr>
          <w:b/>
        </w:rPr>
        <w:t xml:space="preserve">Supplementary Table </w:t>
      </w:r>
      <w:bookmarkEnd w:id="10"/>
      <w:r>
        <w:rPr>
          <w:b/>
        </w:rPr>
        <w:t>3</w:t>
      </w:r>
      <w:r w:rsidRPr="00D517B1">
        <w:rPr>
          <w:b/>
        </w:rPr>
        <w:t>:</w:t>
      </w:r>
      <w:r w:rsidRPr="00D517B1">
        <w:rPr>
          <w:color w:val="000000"/>
        </w:rPr>
        <w:t xml:space="preserve"> </w:t>
      </w:r>
      <w:r w:rsidRPr="00D517B1">
        <w:rPr>
          <w:b/>
          <w:color w:val="000000"/>
        </w:rPr>
        <w:t>Best fit values of curves fitted to L7Ae repression data.</w:t>
      </w:r>
      <w:r w:rsidRPr="00D517B1">
        <w:rPr>
          <w:color w:val="000000"/>
        </w:rPr>
        <w:t xml:space="preserve"> Fitting was carried out using </w:t>
      </w:r>
      <w:proofErr w:type="spellStart"/>
      <w:r w:rsidRPr="00D517B1">
        <w:rPr>
          <w:color w:val="000000"/>
        </w:rPr>
        <w:t>Graphpad</w:t>
      </w:r>
      <w:proofErr w:type="spellEnd"/>
      <w:r w:rsidRPr="00D517B1">
        <w:rPr>
          <w:color w:val="000000"/>
        </w:rPr>
        <w:t xml:space="preserve"> Prism with the in-built function “[Inhibitor] vs. response -- Variable slope (four parameters)”. </w:t>
      </w:r>
    </w:p>
    <w:tbl>
      <w:tblPr>
        <w:tblW w:w="4858" w:type="dxa"/>
        <w:tblInd w:w="24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2"/>
        <w:gridCol w:w="1667"/>
        <w:gridCol w:w="1529"/>
      </w:tblGrid>
      <w:tr w:rsidR="00225D9D" w14:paraId="33A51C9A" w14:textId="77777777" w:rsidTr="00C27B4F">
        <w:trPr>
          <w:trHeight w:val="239"/>
        </w:trPr>
        <w:tc>
          <w:tcPr>
            <w:tcW w:w="1662" w:type="dxa"/>
            <w:shd w:val="clear" w:color="auto" w:fill="auto"/>
          </w:tcPr>
          <w:p w14:paraId="3C6198D2" w14:textId="77777777" w:rsidR="00225D9D" w:rsidRPr="00F954CB" w:rsidRDefault="00225D9D" w:rsidP="00C27B4F">
            <w:pPr>
              <w:jc w:val="center"/>
              <w:rPr>
                <w:rFonts w:eastAsia="Arial" w:cs="Arial"/>
                <w:b/>
              </w:rPr>
            </w:pPr>
            <w:r w:rsidRPr="00F954CB">
              <w:rPr>
                <w:b/>
              </w:rPr>
              <w:t>L7Ae</w:t>
            </w:r>
          </w:p>
        </w:tc>
        <w:tc>
          <w:tcPr>
            <w:tcW w:w="1667" w:type="dxa"/>
            <w:shd w:val="clear" w:color="auto" w:fill="auto"/>
          </w:tcPr>
          <w:p w14:paraId="0730906D" w14:textId="77777777" w:rsidR="00225D9D" w:rsidRPr="00F954CB" w:rsidRDefault="00225D9D" w:rsidP="00C27B4F">
            <w:pPr>
              <w:jc w:val="center"/>
              <w:rPr>
                <w:b/>
              </w:rPr>
            </w:pPr>
            <w:r w:rsidRPr="00F954CB">
              <w:rPr>
                <w:rFonts w:eastAsia="Arial" w:cs="Arial"/>
                <w:b/>
              </w:rPr>
              <w:t>Best-fit values</w:t>
            </w:r>
          </w:p>
        </w:tc>
        <w:tc>
          <w:tcPr>
            <w:tcW w:w="1529" w:type="dxa"/>
            <w:shd w:val="clear" w:color="auto" w:fill="auto"/>
          </w:tcPr>
          <w:p w14:paraId="6D215ACB" w14:textId="77777777" w:rsidR="00225D9D" w:rsidRPr="00F954CB" w:rsidRDefault="00225D9D" w:rsidP="00C27B4F">
            <w:pPr>
              <w:jc w:val="center"/>
              <w:rPr>
                <w:b/>
              </w:rPr>
            </w:pPr>
            <w:r w:rsidRPr="00F954CB">
              <w:rPr>
                <w:b/>
              </w:rPr>
              <w:t>Std. Error</w:t>
            </w:r>
          </w:p>
        </w:tc>
      </w:tr>
      <w:tr w:rsidR="00225D9D" w14:paraId="450BB2A5" w14:textId="77777777" w:rsidTr="00C27B4F">
        <w:trPr>
          <w:trHeight w:val="137"/>
        </w:trPr>
        <w:tc>
          <w:tcPr>
            <w:tcW w:w="1662" w:type="dxa"/>
          </w:tcPr>
          <w:p w14:paraId="6047075A" w14:textId="77777777" w:rsidR="00225D9D" w:rsidRPr="00F954CB" w:rsidRDefault="00225D9D" w:rsidP="00C27B4F">
            <w:pPr>
              <w:jc w:val="center"/>
              <w:rPr>
                <w:b/>
              </w:rPr>
            </w:pPr>
            <w:r w:rsidRPr="00F954CB">
              <w:rPr>
                <w:b/>
              </w:rPr>
              <w:t>Bottom</w:t>
            </w:r>
          </w:p>
        </w:tc>
        <w:tc>
          <w:tcPr>
            <w:tcW w:w="1667" w:type="dxa"/>
          </w:tcPr>
          <w:p w14:paraId="1FF1E582" w14:textId="77777777" w:rsidR="00225D9D" w:rsidRPr="00F954CB" w:rsidRDefault="00225D9D" w:rsidP="00C27B4F">
            <w:pPr>
              <w:jc w:val="center"/>
            </w:pPr>
            <w:r w:rsidRPr="00F954CB">
              <w:t>0.7008</w:t>
            </w:r>
          </w:p>
        </w:tc>
        <w:tc>
          <w:tcPr>
            <w:tcW w:w="1529" w:type="dxa"/>
            <w:tcBorders>
              <w:top w:val="single" w:sz="4" w:space="0" w:color="000000"/>
              <w:left w:val="nil"/>
              <w:bottom w:val="single" w:sz="4" w:space="0" w:color="000000"/>
              <w:right w:val="single" w:sz="4" w:space="0" w:color="000000"/>
            </w:tcBorders>
            <w:shd w:val="clear" w:color="auto" w:fill="auto"/>
            <w:vAlign w:val="bottom"/>
          </w:tcPr>
          <w:p w14:paraId="1DFE6F97" w14:textId="77777777" w:rsidR="00225D9D" w:rsidRPr="00F954CB" w:rsidRDefault="00225D9D" w:rsidP="00C27B4F">
            <w:pPr>
              <w:jc w:val="center"/>
            </w:pPr>
            <w:r w:rsidRPr="00F954CB">
              <w:rPr>
                <w:rFonts w:eastAsia="Arial" w:cs="Arial"/>
              </w:rPr>
              <w:t>0.6964</w:t>
            </w:r>
          </w:p>
        </w:tc>
      </w:tr>
      <w:tr w:rsidR="00225D9D" w14:paraId="252A26D0" w14:textId="77777777" w:rsidTr="00C27B4F">
        <w:trPr>
          <w:trHeight w:val="330"/>
        </w:trPr>
        <w:tc>
          <w:tcPr>
            <w:tcW w:w="1662" w:type="dxa"/>
          </w:tcPr>
          <w:p w14:paraId="6CD14605" w14:textId="77777777" w:rsidR="00225D9D" w:rsidRPr="00F954CB" w:rsidRDefault="00225D9D" w:rsidP="00C27B4F">
            <w:pPr>
              <w:jc w:val="center"/>
              <w:rPr>
                <w:b/>
              </w:rPr>
            </w:pPr>
            <w:r w:rsidRPr="00F954CB">
              <w:rPr>
                <w:b/>
              </w:rPr>
              <w:t>Top</w:t>
            </w:r>
          </w:p>
        </w:tc>
        <w:tc>
          <w:tcPr>
            <w:tcW w:w="1667" w:type="dxa"/>
          </w:tcPr>
          <w:p w14:paraId="3378251A" w14:textId="77777777" w:rsidR="00225D9D" w:rsidRPr="00F954CB" w:rsidRDefault="00225D9D" w:rsidP="00C27B4F">
            <w:pPr>
              <w:jc w:val="center"/>
            </w:pPr>
            <w:r w:rsidRPr="00F954CB">
              <w:t>12.31</w:t>
            </w:r>
          </w:p>
        </w:tc>
        <w:tc>
          <w:tcPr>
            <w:tcW w:w="1529" w:type="dxa"/>
            <w:tcBorders>
              <w:top w:val="single" w:sz="4" w:space="0" w:color="000000"/>
              <w:left w:val="nil"/>
              <w:bottom w:val="single" w:sz="4" w:space="0" w:color="000000"/>
              <w:right w:val="single" w:sz="4" w:space="0" w:color="000000"/>
            </w:tcBorders>
            <w:shd w:val="clear" w:color="auto" w:fill="auto"/>
            <w:vAlign w:val="bottom"/>
          </w:tcPr>
          <w:p w14:paraId="233436E1" w14:textId="77777777" w:rsidR="00225D9D" w:rsidRPr="00F954CB" w:rsidRDefault="00225D9D" w:rsidP="00C27B4F">
            <w:pPr>
              <w:jc w:val="center"/>
            </w:pPr>
            <w:r w:rsidRPr="00F954CB">
              <w:rPr>
                <w:rFonts w:eastAsia="Arial" w:cs="Arial"/>
              </w:rPr>
              <w:t>0.6636</w:t>
            </w:r>
          </w:p>
        </w:tc>
      </w:tr>
      <w:tr w:rsidR="00225D9D" w14:paraId="05E7445B" w14:textId="77777777" w:rsidTr="00C27B4F">
        <w:trPr>
          <w:trHeight w:val="320"/>
        </w:trPr>
        <w:tc>
          <w:tcPr>
            <w:tcW w:w="1662" w:type="dxa"/>
          </w:tcPr>
          <w:p w14:paraId="5D1FC191" w14:textId="77777777" w:rsidR="00225D9D" w:rsidRPr="00F954CB" w:rsidRDefault="00225D9D" w:rsidP="00C27B4F">
            <w:pPr>
              <w:jc w:val="center"/>
              <w:rPr>
                <w:b/>
              </w:rPr>
            </w:pPr>
            <w:proofErr w:type="spellStart"/>
            <w:r w:rsidRPr="00F954CB">
              <w:rPr>
                <w:b/>
              </w:rPr>
              <w:t>HillSlope</w:t>
            </w:r>
            <w:proofErr w:type="spellEnd"/>
          </w:p>
        </w:tc>
        <w:tc>
          <w:tcPr>
            <w:tcW w:w="1667" w:type="dxa"/>
          </w:tcPr>
          <w:p w14:paraId="2651C6DF" w14:textId="77777777" w:rsidR="00225D9D" w:rsidRPr="00F954CB" w:rsidRDefault="00225D9D" w:rsidP="00C27B4F">
            <w:pPr>
              <w:jc w:val="center"/>
            </w:pPr>
            <w:r w:rsidRPr="00F954CB">
              <w:t>3.143</w:t>
            </w:r>
          </w:p>
        </w:tc>
        <w:tc>
          <w:tcPr>
            <w:tcW w:w="1529" w:type="dxa"/>
            <w:tcBorders>
              <w:top w:val="single" w:sz="4" w:space="0" w:color="000000"/>
              <w:left w:val="nil"/>
              <w:bottom w:val="single" w:sz="4" w:space="0" w:color="000000"/>
              <w:right w:val="single" w:sz="4" w:space="0" w:color="000000"/>
            </w:tcBorders>
            <w:shd w:val="clear" w:color="auto" w:fill="auto"/>
            <w:vAlign w:val="bottom"/>
          </w:tcPr>
          <w:p w14:paraId="2A4721C5" w14:textId="77777777" w:rsidR="00225D9D" w:rsidRPr="00F954CB" w:rsidRDefault="00225D9D" w:rsidP="00C27B4F">
            <w:pPr>
              <w:jc w:val="center"/>
            </w:pPr>
            <w:r w:rsidRPr="00F954CB">
              <w:rPr>
                <w:rFonts w:eastAsia="Arial" w:cs="Arial"/>
              </w:rPr>
              <w:t>1.155</w:t>
            </w:r>
          </w:p>
        </w:tc>
      </w:tr>
      <w:tr w:rsidR="00225D9D" w14:paraId="39B68A3B" w14:textId="77777777" w:rsidTr="00C27B4F">
        <w:trPr>
          <w:trHeight w:val="320"/>
        </w:trPr>
        <w:tc>
          <w:tcPr>
            <w:tcW w:w="1662" w:type="dxa"/>
          </w:tcPr>
          <w:p w14:paraId="14361CF8" w14:textId="77777777" w:rsidR="00225D9D" w:rsidRPr="00F954CB" w:rsidRDefault="00225D9D" w:rsidP="00C27B4F">
            <w:pPr>
              <w:jc w:val="center"/>
              <w:rPr>
                <w:b/>
              </w:rPr>
            </w:pPr>
            <w:r w:rsidRPr="00F954CB">
              <w:rPr>
                <w:b/>
              </w:rPr>
              <w:t>IC50</w:t>
            </w:r>
          </w:p>
        </w:tc>
        <w:tc>
          <w:tcPr>
            <w:tcW w:w="1667" w:type="dxa"/>
          </w:tcPr>
          <w:p w14:paraId="7B021BA0" w14:textId="77777777" w:rsidR="00225D9D" w:rsidRPr="00F954CB" w:rsidRDefault="00225D9D" w:rsidP="00C27B4F">
            <w:pPr>
              <w:jc w:val="center"/>
            </w:pPr>
            <w:r w:rsidRPr="00F954CB">
              <w:t>4.875</w:t>
            </w:r>
          </w:p>
        </w:tc>
        <w:tc>
          <w:tcPr>
            <w:tcW w:w="1529" w:type="dxa"/>
            <w:tcBorders>
              <w:top w:val="single" w:sz="4" w:space="0" w:color="000000"/>
              <w:left w:val="nil"/>
              <w:bottom w:val="single" w:sz="4" w:space="0" w:color="000000"/>
              <w:right w:val="single" w:sz="4" w:space="0" w:color="000000"/>
            </w:tcBorders>
            <w:shd w:val="clear" w:color="auto" w:fill="auto"/>
            <w:vAlign w:val="bottom"/>
          </w:tcPr>
          <w:p w14:paraId="1AEAB88C" w14:textId="77777777" w:rsidR="00225D9D" w:rsidRPr="00F954CB" w:rsidRDefault="00225D9D" w:rsidP="00C27B4F">
            <w:pPr>
              <w:jc w:val="center"/>
            </w:pPr>
            <w:r w:rsidRPr="00F954CB">
              <w:rPr>
                <w:rFonts w:eastAsia="Arial" w:cs="Arial"/>
              </w:rPr>
              <w:t>0.5675</w:t>
            </w:r>
          </w:p>
        </w:tc>
      </w:tr>
      <w:tr w:rsidR="00225D9D" w14:paraId="0CD0541A" w14:textId="77777777" w:rsidTr="00C27B4F">
        <w:trPr>
          <w:trHeight w:val="320"/>
        </w:trPr>
        <w:tc>
          <w:tcPr>
            <w:tcW w:w="1662" w:type="dxa"/>
          </w:tcPr>
          <w:p w14:paraId="2AE1DC31" w14:textId="77777777" w:rsidR="00225D9D" w:rsidRPr="00F954CB" w:rsidRDefault="00225D9D" w:rsidP="00C27B4F">
            <w:pPr>
              <w:jc w:val="center"/>
              <w:rPr>
                <w:b/>
              </w:rPr>
            </w:pPr>
            <w:r w:rsidRPr="00F954CB">
              <w:rPr>
                <w:b/>
              </w:rPr>
              <w:t>logIC50</w:t>
            </w:r>
          </w:p>
        </w:tc>
        <w:tc>
          <w:tcPr>
            <w:tcW w:w="1667" w:type="dxa"/>
          </w:tcPr>
          <w:p w14:paraId="35C906B6" w14:textId="77777777" w:rsidR="00225D9D" w:rsidRPr="00F954CB" w:rsidRDefault="00225D9D" w:rsidP="00C27B4F">
            <w:pPr>
              <w:jc w:val="center"/>
            </w:pPr>
            <w:r w:rsidRPr="00F954CB">
              <w:t>0.688</w:t>
            </w:r>
          </w:p>
        </w:tc>
        <w:tc>
          <w:tcPr>
            <w:tcW w:w="1529" w:type="dxa"/>
            <w:tcBorders>
              <w:top w:val="single" w:sz="4" w:space="0" w:color="000000"/>
              <w:left w:val="nil"/>
              <w:bottom w:val="single" w:sz="4" w:space="0" w:color="000000"/>
              <w:right w:val="single" w:sz="4" w:space="0" w:color="000000"/>
            </w:tcBorders>
            <w:shd w:val="clear" w:color="auto" w:fill="000000" w:themeFill="text1"/>
            <w:vAlign w:val="bottom"/>
          </w:tcPr>
          <w:p w14:paraId="7C1355D2" w14:textId="77777777" w:rsidR="00225D9D" w:rsidRPr="00F954CB" w:rsidRDefault="00225D9D" w:rsidP="00C27B4F">
            <w:pPr>
              <w:jc w:val="center"/>
            </w:pPr>
          </w:p>
        </w:tc>
      </w:tr>
      <w:tr w:rsidR="00225D9D" w14:paraId="4F3ECE46" w14:textId="77777777" w:rsidTr="00C27B4F">
        <w:trPr>
          <w:trHeight w:val="320"/>
        </w:trPr>
        <w:tc>
          <w:tcPr>
            <w:tcW w:w="1662" w:type="dxa"/>
          </w:tcPr>
          <w:p w14:paraId="2F3711D5" w14:textId="77777777" w:rsidR="00225D9D" w:rsidRPr="00F954CB" w:rsidRDefault="00225D9D" w:rsidP="00C27B4F">
            <w:pPr>
              <w:jc w:val="center"/>
              <w:rPr>
                <w:b/>
              </w:rPr>
            </w:pPr>
            <w:r w:rsidRPr="00F954CB">
              <w:rPr>
                <w:b/>
              </w:rPr>
              <w:t>Span</w:t>
            </w:r>
          </w:p>
        </w:tc>
        <w:tc>
          <w:tcPr>
            <w:tcW w:w="1667" w:type="dxa"/>
          </w:tcPr>
          <w:p w14:paraId="6EB3EE8B" w14:textId="77777777" w:rsidR="00225D9D" w:rsidRPr="00F954CB" w:rsidRDefault="00225D9D" w:rsidP="00C27B4F">
            <w:pPr>
              <w:jc w:val="center"/>
            </w:pPr>
            <w:r w:rsidRPr="00F954CB">
              <w:t>11.6</w:t>
            </w:r>
          </w:p>
        </w:tc>
        <w:tc>
          <w:tcPr>
            <w:tcW w:w="1529" w:type="dxa"/>
          </w:tcPr>
          <w:p w14:paraId="07D3465B" w14:textId="77777777" w:rsidR="00225D9D" w:rsidRPr="00F954CB" w:rsidRDefault="00225D9D" w:rsidP="00C27B4F">
            <w:pPr>
              <w:jc w:val="center"/>
            </w:pPr>
            <w:r w:rsidRPr="00F954CB">
              <w:rPr>
                <w:rFonts w:eastAsia="Arial" w:cs="Arial"/>
              </w:rPr>
              <w:t>1.043</w:t>
            </w:r>
          </w:p>
        </w:tc>
      </w:tr>
    </w:tbl>
    <w:p w14:paraId="377C3CA1" w14:textId="77777777" w:rsidR="00225D9D" w:rsidRDefault="00225D9D" w:rsidP="00225D9D"/>
    <w:p w14:paraId="342EC73A" w14:textId="77777777" w:rsidR="00225D9D" w:rsidRPr="008147E9" w:rsidRDefault="00225D9D" w:rsidP="00225D9D">
      <w:pPr>
        <w:pStyle w:val="Caption"/>
        <w:rPr>
          <w:i w:val="0"/>
          <w:color w:val="auto"/>
          <w:sz w:val="24"/>
          <w:szCs w:val="24"/>
        </w:rPr>
      </w:pPr>
      <w:r w:rsidRPr="008147E9">
        <w:rPr>
          <w:b/>
          <w:i w:val="0"/>
          <w:color w:val="auto"/>
          <w:sz w:val="24"/>
          <w:szCs w:val="24"/>
        </w:rPr>
        <w:t xml:space="preserve">Supplementary Table 4: Sequences for malachite green aptamer constructs. </w:t>
      </w:r>
      <w:r w:rsidRPr="008147E9">
        <w:rPr>
          <w:i w:val="0"/>
          <w:color w:val="auto"/>
          <w:sz w:val="24"/>
          <w:szCs w:val="24"/>
        </w:rPr>
        <w:t xml:space="preserve">Linker sequence are highlighted grey, tRNA scaffold is highlighted yellow and MG aptamer </w:t>
      </w:r>
      <w:r>
        <w:rPr>
          <w:i w:val="0"/>
          <w:color w:val="auto"/>
          <w:sz w:val="24"/>
          <w:szCs w:val="24"/>
        </w:rPr>
        <w:t>sequence is highlighted blue.</w:t>
      </w:r>
    </w:p>
    <w:tbl>
      <w:tblPr>
        <w:tblW w:w="9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7"/>
        <w:gridCol w:w="6818"/>
      </w:tblGrid>
      <w:tr w:rsidR="00225D9D" w:rsidRPr="00B657E1" w14:paraId="74D87DAC" w14:textId="77777777" w:rsidTr="00C27B4F">
        <w:trPr>
          <w:trHeight w:val="242"/>
        </w:trPr>
        <w:tc>
          <w:tcPr>
            <w:tcW w:w="2367" w:type="dxa"/>
            <w:shd w:val="clear" w:color="auto" w:fill="auto"/>
          </w:tcPr>
          <w:p w14:paraId="019DD4A4" w14:textId="77777777" w:rsidR="00225D9D" w:rsidRPr="00534177" w:rsidRDefault="00225D9D" w:rsidP="00C27B4F">
            <w:pPr>
              <w:spacing w:after="60"/>
              <w:ind w:firstLine="180"/>
              <w:jc w:val="center"/>
              <w:rPr>
                <w:rFonts w:asciiTheme="majorHAnsi" w:eastAsia="Arno Pro" w:hAnsiTheme="majorHAnsi" w:cs="Arno Pro"/>
                <w:b/>
              </w:rPr>
            </w:pPr>
            <w:r w:rsidRPr="00534177">
              <w:rPr>
                <w:b/>
              </w:rPr>
              <w:t xml:space="preserve">Plasmid </w:t>
            </w:r>
          </w:p>
        </w:tc>
        <w:tc>
          <w:tcPr>
            <w:tcW w:w="6818" w:type="dxa"/>
            <w:shd w:val="clear" w:color="auto" w:fill="auto"/>
          </w:tcPr>
          <w:p w14:paraId="1EF33F84" w14:textId="77777777" w:rsidR="00225D9D" w:rsidRPr="00534177" w:rsidRDefault="00225D9D" w:rsidP="00C27B4F">
            <w:pPr>
              <w:spacing w:after="60"/>
              <w:ind w:firstLine="180"/>
              <w:jc w:val="center"/>
              <w:rPr>
                <w:rFonts w:asciiTheme="majorHAnsi" w:eastAsia="Arno Pro" w:hAnsiTheme="majorHAnsi" w:cs="Arno Pro"/>
                <w:b/>
              </w:rPr>
            </w:pPr>
            <w:r>
              <w:rPr>
                <w:b/>
              </w:rPr>
              <w:t>Sequence</w:t>
            </w:r>
          </w:p>
        </w:tc>
      </w:tr>
      <w:tr w:rsidR="00225D9D" w:rsidRPr="00B657E1" w14:paraId="23627654" w14:textId="77777777" w:rsidTr="00C27B4F">
        <w:trPr>
          <w:trHeight w:val="371"/>
        </w:trPr>
        <w:tc>
          <w:tcPr>
            <w:tcW w:w="2367" w:type="dxa"/>
          </w:tcPr>
          <w:p w14:paraId="305A2935" w14:textId="77777777" w:rsidR="00225D9D" w:rsidRPr="00534177" w:rsidRDefault="00225D9D" w:rsidP="00C27B4F">
            <w:pPr>
              <w:spacing w:after="60"/>
              <w:ind w:firstLine="180"/>
              <w:jc w:val="center"/>
              <w:rPr>
                <w:rFonts w:asciiTheme="majorHAnsi" w:eastAsia="Arno Pro" w:hAnsiTheme="majorHAnsi" w:cs="Arno Pro"/>
                <w:b/>
              </w:rPr>
            </w:pPr>
            <w:r w:rsidRPr="00534177">
              <w:rPr>
                <w:b/>
              </w:rPr>
              <w:t>pCFE-GFP-MGapt15bp</w:t>
            </w:r>
          </w:p>
        </w:tc>
        <w:tc>
          <w:tcPr>
            <w:tcW w:w="6818" w:type="dxa"/>
          </w:tcPr>
          <w:p w14:paraId="0DEB9FE9" w14:textId="77777777" w:rsidR="00225D9D" w:rsidRPr="00B657E1" w:rsidRDefault="00225D9D" w:rsidP="00C27B4F">
            <w:pPr>
              <w:spacing w:after="60"/>
              <w:jc w:val="center"/>
              <w:rPr>
                <w:rFonts w:asciiTheme="majorHAnsi" w:eastAsia="Arno Pro" w:hAnsiTheme="majorHAnsi" w:cs="Arno Pro"/>
                <w:sz w:val="20"/>
                <w:szCs w:val="20"/>
              </w:rPr>
            </w:pPr>
            <w:r w:rsidRPr="00E85CE6">
              <w:rPr>
                <w:highlight w:val="lightGray"/>
              </w:rPr>
              <w:t>CGTGTCCACCGTGGA</w:t>
            </w:r>
            <w:r w:rsidRPr="00E85CE6">
              <w:rPr>
                <w:shd w:val="clear" w:color="auto" w:fill="FFFF00"/>
              </w:rPr>
              <w:t>GCCCGGATAGCTCAGTCGGTAGAGCAGCGGCCG</w:t>
            </w:r>
            <w:r w:rsidRPr="00E85CE6">
              <w:rPr>
                <w:shd w:val="clear" w:color="auto" w:fill="00B0F0"/>
              </w:rPr>
              <w:t>GGATCCCGACTGGCGAGAGCCAGGTAACGAATGGATCC</w:t>
            </w:r>
            <w:r w:rsidRPr="004E3BAD">
              <w:rPr>
                <w:shd w:val="clear" w:color="auto" w:fill="FFFF00"/>
              </w:rPr>
              <w:t>CGGCCGCGGGTCCAGGGTTCAAGTCCCTGTTCGGGCGCCA</w:t>
            </w:r>
            <w:r w:rsidRPr="00E85CE6">
              <w:rPr>
                <w:highlight w:val="lightGray"/>
              </w:rPr>
              <w:t>TGTGGAATCAAGATC</w:t>
            </w:r>
          </w:p>
        </w:tc>
      </w:tr>
      <w:tr w:rsidR="00225D9D" w:rsidRPr="00B657E1" w14:paraId="08E30298" w14:textId="77777777" w:rsidTr="00C27B4F">
        <w:trPr>
          <w:trHeight w:val="371"/>
        </w:trPr>
        <w:tc>
          <w:tcPr>
            <w:tcW w:w="2367" w:type="dxa"/>
          </w:tcPr>
          <w:p w14:paraId="13622F56" w14:textId="77777777" w:rsidR="00225D9D" w:rsidRPr="00534177" w:rsidRDefault="00225D9D" w:rsidP="00C27B4F">
            <w:pPr>
              <w:spacing w:after="60"/>
              <w:ind w:firstLine="180"/>
              <w:jc w:val="center"/>
              <w:rPr>
                <w:rFonts w:asciiTheme="majorHAnsi" w:eastAsia="Arno Pro" w:hAnsiTheme="majorHAnsi" w:cs="Arno Pro"/>
                <w:b/>
              </w:rPr>
            </w:pPr>
            <w:r w:rsidRPr="00534177">
              <w:rPr>
                <w:b/>
              </w:rPr>
              <w:t>pCFE-GFP-MGapt21bp</w:t>
            </w:r>
          </w:p>
        </w:tc>
        <w:tc>
          <w:tcPr>
            <w:tcW w:w="6818" w:type="dxa"/>
          </w:tcPr>
          <w:p w14:paraId="38BEC046" w14:textId="77777777" w:rsidR="00225D9D" w:rsidRPr="00B657E1" w:rsidRDefault="00225D9D" w:rsidP="00C27B4F">
            <w:pPr>
              <w:spacing w:after="60"/>
              <w:jc w:val="center"/>
              <w:rPr>
                <w:rFonts w:asciiTheme="majorHAnsi" w:eastAsia="Arno Pro" w:hAnsiTheme="majorHAnsi" w:cs="Arno Pro"/>
                <w:sz w:val="20"/>
                <w:szCs w:val="20"/>
              </w:rPr>
            </w:pPr>
            <w:r w:rsidRPr="00E85CE6">
              <w:rPr>
                <w:highlight w:val="lightGray"/>
              </w:rPr>
              <w:t>CGATAAGCAGCGGCTACCACC</w:t>
            </w:r>
            <w:r w:rsidRPr="00E85CE6">
              <w:rPr>
                <w:shd w:val="clear" w:color="auto" w:fill="FFFF00"/>
              </w:rPr>
              <w:t>GCCCGGATAGCTCAGTCGGTAGAGCAGCGGC</w:t>
            </w:r>
            <w:r w:rsidRPr="003005F7">
              <w:rPr>
                <w:shd w:val="clear" w:color="auto" w:fill="FFFF00"/>
              </w:rPr>
              <w:t>CG</w:t>
            </w:r>
            <w:r w:rsidRPr="00E85CE6">
              <w:rPr>
                <w:shd w:val="clear" w:color="auto" w:fill="00B0F0"/>
              </w:rPr>
              <w:t>GGATCCCGACTGGCGAGAGCCAGGTAACGAATGGATCC</w:t>
            </w:r>
            <w:r w:rsidRPr="00E85CE6">
              <w:rPr>
                <w:shd w:val="clear" w:color="auto" w:fill="FFFF00"/>
              </w:rPr>
              <w:t>CGGCCGCGGGTCCAGGGTTCAAGTCCCTGTTCGGGCGCCA</w:t>
            </w:r>
            <w:r w:rsidRPr="00E85CE6">
              <w:rPr>
                <w:highlight w:val="lightGray"/>
              </w:rPr>
              <w:t>CTTAGCTACGCGGCGAAGATC</w:t>
            </w:r>
          </w:p>
        </w:tc>
      </w:tr>
    </w:tbl>
    <w:p w14:paraId="07E72770" w14:textId="77777777" w:rsidR="00225D9D" w:rsidRDefault="00225D9D" w:rsidP="00225D9D">
      <w:pPr>
        <w:keepNext/>
        <w:pBdr>
          <w:top w:val="nil"/>
          <w:left w:val="nil"/>
          <w:bottom w:val="nil"/>
          <w:right w:val="nil"/>
          <w:between w:val="nil"/>
        </w:pBdr>
        <w:rPr>
          <w:b/>
          <w:sz w:val="24"/>
          <w:szCs w:val="24"/>
        </w:rPr>
      </w:pPr>
    </w:p>
    <w:p w14:paraId="49E0993A" w14:textId="77777777" w:rsidR="00225D9D" w:rsidRDefault="00225D9D" w:rsidP="00225D9D">
      <w:pPr>
        <w:keepNext/>
        <w:pBdr>
          <w:top w:val="nil"/>
          <w:left w:val="nil"/>
          <w:bottom w:val="nil"/>
          <w:right w:val="nil"/>
          <w:between w:val="nil"/>
        </w:pBdr>
        <w:rPr>
          <w:color w:val="000000"/>
          <w:sz w:val="24"/>
          <w:szCs w:val="24"/>
        </w:rPr>
      </w:pPr>
      <w:r w:rsidRPr="001548E0">
        <w:rPr>
          <w:b/>
          <w:sz w:val="24"/>
          <w:szCs w:val="24"/>
        </w:rPr>
        <w:t xml:space="preserve">Supplementary Table </w:t>
      </w:r>
      <w:bookmarkEnd w:id="8"/>
      <w:r>
        <w:rPr>
          <w:b/>
          <w:sz w:val="24"/>
          <w:szCs w:val="24"/>
        </w:rPr>
        <w:t>5</w:t>
      </w:r>
      <w:r w:rsidRPr="001548E0">
        <w:rPr>
          <w:b/>
          <w:color w:val="000000"/>
          <w:sz w:val="24"/>
          <w:szCs w:val="24"/>
        </w:rPr>
        <w:t xml:space="preserve">: Oligonucleotides used for cloning. </w:t>
      </w:r>
      <w:r w:rsidRPr="001548E0">
        <w:rPr>
          <w:color w:val="000000"/>
          <w:sz w:val="24"/>
          <w:szCs w:val="24"/>
        </w:rPr>
        <w:t>Mutations are underlined.</w:t>
      </w:r>
      <w:bookmarkEnd w:id="9"/>
      <w:r w:rsidRPr="001548E0">
        <w:rPr>
          <w:color w:val="000000"/>
          <w:sz w:val="24"/>
          <w:szCs w:val="24"/>
        </w:rPr>
        <w:t xml:space="preserve"> </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3827"/>
        <w:gridCol w:w="4394"/>
      </w:tblGrid>
      <w:tr w:rsidR="00225D9D" w14:paraId="6D62335A" w14:textId="77777777" w:rsidTr="00C27B4F">
        <w:trPr>
          <w:trHeight w:val="496"/>
        </w:trPr>
        <w:tc>
          <w:tcPr>
            <w:tcW w:w="988" w:type="dxa"/>
            <w:shd w:val="clear" w:color="auto" w:fill="auto"/>
            <w:vAlign w:val="center"/>
          </w:tcPr>
          <w:p w14:paraId="48631FFC" w14:textId="77777777" w:rsidR="00225D9D" w:rsidRPr="003005F7" w:rsidRDefault="00225D9D" w:rsidP="00C27B4F">
            <w:pPr>
              <w:jc w:val="center"/>
              <w:rPr>
                <w:b/>
              </w:rPr>
            </w:pPr>
            <w:r w:rsidRPr="003005F7">
              <w:rPr>
                <w:b/>
              </w:rPr>
              <w:t>Variant</w:t>
            </w:r>
          </w:p>
        </w:tc>
        <w:tc>
          <w:tcPr>
            <w:tcW w:w="3827" w:type="dxa"/>
            <w:shd w:val="clear" w:color="auto" w:fill="auto"/>
            <w:vAlign w:val="center"/>
          </w:tcPr>
          <w:p w14:paraId="1DCEDF31" w14:textId="77777777" w:rsidR="00225D9D" w:rsidRPr="003005F7" w:rsidRDefault="00225D9D" w:rsidP="00C27B4F">
            <w:pPr>
              <w:jc w:val="center"/>
              <w:rPr>
                <w:b/>
              </w:rPr>
            </w:pPr>
            <w:r w:rsidRPr="003005F7">
              <w:rPr>
                <w:b/>
              </w:rPr>
              <w:t>Forward primer</w:t>
            </w:r>
          </w:p>
        </w:tc>
        <w:tc>
          <w:tcPr>
            <w:tcW w:w="4394" w:type="dxa"/>
            <w:shd w:val="clear" w:color="auto" w:fill="auto"/>
            <w:vAlign w:val="center"/>
          </w:tcPr>
          <w:p w14:paraId="245509B5" w14:textId="77777777" w:rsidR="00225D9D" w:rsidRPr="003005F7" w:rsidRDefault="00225D9D" w:rsidP="00C27B4F">
            <w:pPr>
              <w:jc w:val="center"/>
              <w:rPr>
                <w:b/>
              </w:rPr>
            </w:pPr>
            <w:r w:rsidRPr="003005F7">
              <w:rPr>
                <w:b/>
              </w:rPr>
              <w:t>Reverse primer</w:t>
            </w:r>
          </w:p>
        </w:tc>
      </w:tr>
      <w:tr w:rsidR="00225D9D" w14:paraId="717D3F4F" w14:textId="77777777" w:rsidTr="00C27B4F">
        <w:trPr>
          <w:trHeight w:val="135"/>
        </w:trPr>
        <w:tc>
          <w:tcPr>
            <w:tcW w:w="988" w:type="dxa"/>
            <w:shd w:val="clear" w:color="auto" w:fill="auto"/>
            <w:vAlign w:val="center"/>
          </w:tcPr>
          <w:p w14:paraId="6B58F24A" w14:textId="77777777" w:rsidR="00225D9D" w:rsidRPr="003005F7" w:rsidRDefault="00225D9D" w:rsidP="00C27B4F">
            <w:pPr>
              <w:jc w:val="center"/>
              <w:rPr>
                <w:b/>
              </w:rPr>
            </w:pPr>
            <w:r w:rsidRPr="003005F7">
              <w:rPr>
                <w:b/>
              </w:rPr>
              <w:t>T7-WT</w:t>
            </w:r>
          </w:p>
        </w:tc>
        <w:tc>
          <w:tcPr>
            <w:tcW w:w="3827" w:type="dxa"/>
            <w:vAlign w:val="center"/>
          </w:tcPr>
          <w:p w14:paraId="4E53DE9E" w14:textId="77777777" w:rsidR="00225D9D" w:rsidRPr="003005F7" w:rsidRDefault="00225D9D" w:rsidP="00C27B4F">
            <w:pPr>
              <w:jc w:val="center"/>
            </w:pPr>
            <w:r w:rsidRPr="003005F7">
              <w:t>GGAGAATTAATTCCGGTTATTTTCCACC</w:t>
            </w:r>
          </w:p>
        </w:tc>
        <w:tc>
          <w:tcPr>
            <w:tcW w:w="4394" w:type="dxa"/>
            <w:vAlign w:val="center"/>
          </w:tcPr>
          <w:p w14:paraId="0290363C" w14:textId="77777777" w:rsidR="00225D9D" w:rsidRPr="003005F7" w:rsidRDefault="00225D9D" w:rsidP="00C27B4F">
            <w:pPr>
              <w:jc w:val="center"/>
            </w:pPr>
            <w:r w:rsidRPr="003005F7">
              <w:t>CTATAGTGAGTCGTATTACAATTCACTGGC</w:t>
            </w:r>
          </w:p>
        </w:tc>
      </w:tr>
      <w:tr w:rsidR="00225D9D" w14:paraId="08E7DB8F" w14:textId="77777777" w:rsidTr="00C27B4F">
        <w:trPr>
          <w:trHeight w:val="241"/>
        </w:trPr>
        <w:tc>
          <w:tcPr>
            <w:tcW w:w="988" w:type="dxa"/>
            <w:shd w:val="clear" w:color="auto" w:fill="auto"/>
            <w:vAlign w:val="center"/>
          </w:tcPr>
          <w:p w14:paraId="6CF2BDA6" w14:textId="77777777" w:rsidR="00225D9D" w:rsidRPr="003005F7" w:rsidRDefault="00225D9D" w:rsidP="00C27B4F">
            <w:pPr>
              <w:jc w:val="center"/>
              <w:rPr>
                <w:b/>
              </w:rPr>
            </w:pPr>
            <w:r w:rsidRPr="003005F7">
              <w:rPr>
                <w:b/>
              </w:rPr>
              <w:t>T7-1</w:t>
            </w:r>
          </w:p>
        </w:tc>
        <w:tc>
          <w:tcPr>
            <w:tcW w:w="3827" w:type="dxa"/>
            <w:vAlign w:val="center"/>
          </w:tcPr>
          <w:p w14:paraId="37627521" w14:textId="77777777" w:rsidR="00225D9D" w:rsidRPr="003005F7" w:rsidRDefault="00225D9D" w:rsidP="00C27B4F">
            <w:pPr>
              <w:jc w:val="center"/>
            </w:pPr>
            <w:r w:rsidRPr="003005F7">
              <w:t>G</w:t>
            </w:r>
            <w:r w:rsidRPr="003005F7">
              <w:rPr>
                <w:u w:val="single"/>
              </w:rPr>
              <w:t>C</w:t>
            </w:r>
            <w:r w:rsidRPr="003005F7">
              <w:t>AGAATTAATTCCGGTTATTTTCCACC</w:t>
            </w:r>
          </w:p>
        </w:tc>
        <w:tc>
          <w:tcPr>
            <w:tcW w:w="4394" w:type="dxa"/>
            <w:vAlign w:val="center"/>
          </w:tcPr>
          <w:p w14:paraId="57343526" w14:textId="77777777" w:rsidR="00225D9D" w:rsidRPr="003005F7" w:rsidRDefault="00225D9D" w:rsidP="00C27B4F">
            <w:pPr>
              <w:jc w:val="center"/>
            </w:pPr>
            <w:r w:rsidRPr="003005F7">
              <w:t>CT</w:t>
            </w:r>
            <w:r w:rsidRPr="003005F7">
              <w:rPr>
                <w:u w:val="single"/>
              </w:rPr>
              <w:t>G</w:t>
            </w:r>
            <w:r w:rsidRPr="003005F7">
              <w:t>TAGTGAGTCGTATTACAATTCACTGGC</w:t>
            </w:r>
          </w:p>
        </w:tc>
      </w:tr>
      <w:tr w:rsidR="00225D9D" w14:paraId="2F102ED6" w14:textId="77777777" w:rsidTr="00C27B4F">
        <w:trPr>
          <w:trHeight w:val="205"/>
        </w:trPr>
        <w:tc>
          <w:tcPr>
            <w:tcW w:w="988" w:type="dxa"/>
            <w:shd w:val="clear" w:color="auto" w:fill="auto"/>
            <w:vAlign w:val="center"/>
          </w:tcPr>
          <w:p w14:paraId="41DEADE1" w14:textId="77777777" w:rsidR="00225D9D" w:rsidRPr="003005F7" w:rsidRDefault="00225D9D" w:rsidP="00C27B4F">
            <w:pPr>
              <w:jc w:val="center"/>
              <w:rPr>
                <w:b/>
              </w:rPr>
            </w:pPr>
            <w:r w:rsidRPr="003005F7">
              <w:rPr>
                <w:b/>
              </w:rPr>
              <w:t>T7-2</w:t>
            </w:r>
          </w:p>
        </w:tc>
        <w:tc>
          <w:tcPr>
            <w:tcW w:w="3827" w:type="dxa"/>
            <w:vAlign w:val="center"/>
          </w:tcPr>
          <w:p w14:paraId="16C15BAB" w14:textId="77777777" w:rsidR="00225D9D" w:rsidRPr="003005F7" w:rsidRDefault="00225D9D" w:rsidP="00C27B4F">
            <w:pPr>
              <w:jc w:val="center"/>
            </w:pPr>
            <w:r w:rsidRPr="000747D1">
              <w:rPr>
                <w:u w:val="single"/>
              </w:rPr>
              <w:t>A</w:t>
            </w:r>
            <w:r w:rsidRPr="000747D1">
              <w:t>G</w:t>
            </w:r>
            <w:r w:rsidRPr="008357FB">
              <w:t>AG</w:t>
            </w:r>
            <w:r w:rsidRPr="000747D1">
              <w:t>A</w:t>
            </w:r>
            <w:r w:rsidRPr="008357FB">
              <w:t>ATTAATTCCGGTTATTTTCCACC</w:t>
            </w:r>
          </w:p>
        </w:tc>
        <w:tc>
          <w:tcPr>
            <w:tcW w:w="4394" w:type="dxa"/>
            <w:vAlign w:val="center"/>
          </w:tcPr>
          <w:p w14:paraId="12E67B2D" w14:textId="77777777" w:rsidR="00225D9D" w:rsidRPr="003005F7" w:rsidRDefault="00225D9D" w:rsidP="00C27B4F">
            <w:pPr>
              <w:jc w:val="center"/>
            </w:pPr>
            <w:r w:rsidRPr="00A534A6">
              <w:rPr>
                <w:rFonts w:eastAsia="Times New Roman" w:cs="Times New Roman"/>
                <w:color w:val="000000"/>
                <w:lang w:eastAsia="en-GB"/>
              </w:rPr>
              <w:t>CT</w:t>
            </w:r>
            <w:r w:rsidRPr="000747D1">
              <w:rPr>
                <w:rFonts w:eastAsia="Times New Roman" w:cs="Times New Roman"/>
                <w:color w:val="000000"/>
                <w:u w:val="single"/>
                <w:lang w:eastAsia="en-GB"/>
              </w:rPr>
              <w:t>C</w:t>
            </w:r>
            <w:r w:rsidRPr="00A534A6">
              <w:rPr>
                <w:rFonts w:eastAsia="Times New Roman" w:cs="Times New Roman"/>
                <w:color w:val="000000"/>
                <w:lang w:eastAsia="en-GB"/>
              </w:rPr>
              <w:t>TAGTGAGTCGTATTACAATTCACTGGC</w:t>
            </w:r>
          </w:p>
        </w:tc>
      </w:tr>
      <w:tr w:rsidR="00225D9D" w14:paraId="2D1151F7" w14:textId="77777777" w:rsidTr="00C27B4F">
        <w:trPr>
          <w:trHeight w:val="169"/>
        </w:trPr>
        <w:tc>
          <w:tcPr>
            <w:tcW w:w="988" w:type="dxa"/>
            <w:shd w:val="clear" w:color="auto" w:fill="auto"/>
            <w:vAlign w:val="center"/>
          </w:tcPr>
          <w:p w14:paraId="1AE19825" w14:textId="77777777" w:rsidR="00225D9D" w:rsidRPr="003005F7" w:rsidRDefault="00225D9D" w:rsidP="00C27B4F">
            <w:pPr>
              <w:jc w:val="center"/>
              <w:rPr>
                <w:b/>
              </w:rPr>
            </w:pPr>
            <w:r w:rsidRPr="003005F7">
              <w:rPr>
                <w:b/>
              </w:rPr>
              <w:t>T7-3</w:t>
            </w:r>
          </w:p>
        </w:tc>
        <w:tc>
          <w:tcPr>
            <w:tcW w:w="3827" w:type="dxa"/>
            <w:vAlign w:val="center"/>
          </w:tcPr>
          <w:p w14:paraId="5B967318" w14:textId="77777777" w:rsidR="00225D9D" w:rsidRPr="003005F7" w:rsidRDefault="00225D9D" w:rsidP="00C27B4F">
            <w:pPr>
              <w:jc w:val="center"/>
            </w:pPr>
            <w:r w:rsidRPr="003005F7">
              <w:t>GGAGAATTAATTCCGGTTATTTTCCACC</w:t>
            </w:r>
          </w:p>
        </w:tc>
        <w:tc>
          <w:tcPr>
            <w:tcW w:w="4394" w:type="dxa"/>
            <w:vAlign w:val="center"/>
          </w:tcPr>
          <w:p w14:paraId="35CA4DA4" w14:textId="77777777" w:rsidR="00225D9D" w:rsidRPr="003005F7" w:rsidRDefault="00225D9D" w:rsidP="00C27B4F">
            <w:pPr>
              <w:jc w:val="center"/>
            </w:pPr>
            <w:r w:rsidRPr="00CE4532">
              <w:t>CT</w:t>
            </w:r>
            <w:r w:rsidRPr="00EB0CF3">
              <w:rPr>
                <w:u w:val="single"/>
              </w:rPr>
              <w:t>T</w:t>
            </w:r>
            <w:r w:rsidRPr="00CE4532">
              <w:t>TAGTGAGTCGTATTACAATTCACTGGC</w:t>
            </w:r>
          </w:p>
        </w:tc>
      </w:tr>
      <w:tr w:rsidR="00225D9D" w14:paraId="65184D64" w14:textId="77777777" w:rsidTr="00C27B4F">
        <w:trPr>
          <w:trHeight w:val="133"/>
        </w:trPr>
        <w:tc>
          <w:tcPr>
            <w:tcW w:w="988" w:type="dxa"/>
            <w:shd w:val="clear" w:color="auto" w:fill="auto"/>
            <w:vAlign w:val="center"/>
          </w:tcPr>
          <w:p w14:paraId="0C822BDA" w14:textId="77777777" w:rsidR="00225D9D" w:rsidRPr="003005F7" w:rsidRDefault="00225D9D" w:rsidP="00C27B4F">
            <w:pPr>
              <w:jc w:val="center"/>
              <w:rPr>
                <w:b/>
              </w:rPr>
            </w:pPr>
            <w:r w:rsidRPr="003005F7">
              <w:rPr>
                <w:b/>
              </w:rPr>
              <w:t>T7-4</w:t>
            </w:r>
          </w:p>
        </w:tc>
        <w:tc>
          <w:tcPr>
            <w:tcW w:w="3827" w:type="dxa"/>
            <w:vAlign w:val="center"/>
          </w:tcPr>
          <w:p w14:paraId="78D909BB" w14:textId="77777777" w:rsidR="00225D9D" w:rsidRPr="003005F7" w:rsidRDefault="00225D9D" w:rsidP="00C27B4F">
            <w:pPr>
              <w:jc w:val="center"/>
            </w:pPr>
            <w:r w:rsidRPr="00AD759F">
              <w:rPr>
                <w:rFonts w:eastAsia="Times New Roman" w:cs="Times New Roman"/>
                <w:color w:val="000000"/>
                <w:lang w:eastAsia="en-GB"/>
              </w:rPr>
              <w:t>GGAGAATTAATTCCGGTTATTTTCCACC</w:t>
            </w:r>
            <w:r w:rsidRPr="003005F7" w:rsidDel="008357FB">
              <w:t xml:space="preserve"> </w:t>
            </w:r>
          </w:p>
        </w:tc>
        <w:tc>
          <w:tcPr>
            <w:tcW w:w="4394" w:type="dxa"/>
            <w:vAlign w:val="center"/>
          </w:tcPr>
          <w:p w14:paraId="39574C56" w14:textId="77777777" w:rsidR="00225D9D" w:rsidRPr="003005F7" w:rsidRDefault="00225D9D" w:rsidP="00C27B4F">
            <w:pPr>
              <w:jc w:val="center"/>
            </w:pPr>
            <w:r w:rsidRPr="00AD759F">
              <w:rPr>
                <w:rFonts w:eastAsia="Times New Roman" w:cs="Times New Roman"/>
                <w:color w:val="000000"/>
                <w:lang w:eastAsia="en-GB"/>
              </w:rPr>
              <w:t>C</w:t>
            </w:r>
            <w:r w:rsidRPr="00EB0CF3">
              <w:rPr>
                <w:rFonts w:eastAsia="Times New Roman" w:cs="Times New Roman"/>
                <w:color w:val="000000"/>
                <w:u w:val="single"/>
                <w:lang w:eastAsia="en-GB"/>
              </w:rPr>
              <w:t>A</w:t>
            </w:r>
            <w:r w:rsidRPr="00AD759F">
              <w:rPr>
                <w:rFonts w:eastAsia="Times New Roman" w:cs="Times New Roman"/>
                <w:color w:val="000000"/>
                <w:lang w:eastAsia="en-GB"/>
              </w:rPr>
              <w:t>ATAGTGAGTCGTATTACAATTCACTGGC</w:t>
            </w:r>
            <w:r w:rsidRPr="003005F7" w:rsidDel="008357FB">
              <w:t xml:space="preserve"> </w:t>
            </w:r>
          </w:p>
        </w:tc>
      </w:tr>
      <w:tr w:rsidR="00225D9D" w14:paraId="102C1E27" w14:textId="77777777" w:rsidTr="00C27B4F">
        <w:trPr>
          <w:trHeight w:val="253"/>
        </w:trPr>
        <w:tc>
          <w:tcPr>
            <w:tcW w:w="988" w:type="dxa"/>
            <w:shd w:val="clear" w:color="auto" w:fill="auto"/>
            <w:vAlign w:val="center"/>
          </w:tcPr>
          <w:p w14:paraId="705DE079" w14:textId="77777777" w:rsidR="00225D9D" w:rsidRPr="003005F7" w:rsidRDefault="00225D9D" w:rsidP="00C27B4F">
            <w:pPr>
              <w:jc w:val="center"/>
              <w:rPr>
                <w:b/>
              </w:rPr>
            </w:pPr>
            <w:r w:rsidRPr="003005F7">
              <w:rPr>
                <w:b/>
              </w:rPr>
              <w:t>IRES-WT</w:t>
            </w:r>
          </w:p>
        </w:tc>
        <w:tc>
          <w:tcPr>
            <w:tcW w:w="3827" w:type="dxa"/>
            <w:vAlign w:val="center"/>
          </w:tcPr>
          <w:p w14:paraId="5C79786B" w14:textId="77777777" w:rsidR="00225D9D" w:rsidRPr="003005F7" w:rsidRDefault="00225D9D" w:rsidP="00C27B4F">
            <w:pPr>
              <w:jc w:val="center"/>
            </w:pPr>
            <w:r w:rsidRPr="003005F7">
              <w:t>ACAACCATGGAGAGCGACGAGAGCG</w:t>
            </w:r>
          </w:p>
        </w:tc>
        <w:tc>
          <w:tcPr>
            <w:tcW w:w="4394" w:type="dxa"/>
            <w:vAlign w:val="center"/>
          </w:tcPr>
          <w:p w14:paraId="3B0D8174" w14:textId="77777777" w:rsidR="00225D9D" w:rsidRPr="003005F7" w:rsidRDefault="00225D9D" w:rsidP="00C27B4F">
            <w:pPr>
              <w:jc w:val="center"/>
            </w:pPr>
            <w:r w:rsidRPr="003005F7">
              <w:t>GGCCATATTATCATCGTGTTTTTCAAAGGAAAAC</w:t>
            </w:r>
          </w:p>
        </w:tc>
      </w:tr>
      <w:tr w:rsidR="00225D9D" w14:paraId="009BBD15" w14:textId="77777777" w:rsidTr="00C27B4F">
        <w:trPr>
          <w:trHeight w:val="416"/>
        </w:trPr>
        <w:tc>
          <w:tcPr>
            <w:tcW w:w="988" w:type="dxa"/>
            <w:shd w:val="clear" w:color="auto" w:fill="auto"/>
            <w:vAlign w:val="center"/>
          </w:tcPr>
          <w:p w14:paraId="078D7DF0" w14:textId="77777777" w:rsidR="00225D9D" w:rsidRPr="003005F7" w:rsidRDefault="00225D9D" w:rsidP="00C27B4F">
            <w:pPr>
              <w:jc w:val="center"/>
              <w:rPr>
                <w:b/>
              </w:rPr>
            </w:pPr>
            <w:r w:rsidRPr="003005F7">
              <w:rPr>
                <w:b/>
              </w:rPr>
              <w:t>IRES-1</w:t>
            </w:r>
          </w:p>
        </w:tc>
        <w:tc>
          <w:tcPr>
            <w:tcW w:w="3827" w:type="dxa"/>
            <w:vAlign w:val="center"/>
          </w:tcPr>
          <w:p w14:paraId="5A250367" w14:textId="77777777" w:rsidR="00225D9D" w:rsidRPr="003005F7" w:rsidRDefault="00225D9D" w:rsidP="00C27B4F">
            <w:pPr>
              <w:jc w:val="center"/>
            </w:pPr>
            <w:r w:rsidRPr="003005F7">
              <w:t>ACAACC</w:t>
            </w:r>
            <w:r w:rsidRPr="003005F7">
              <w:rPr>
                <w:u w:val="single"/>
              </w:rPr>
              <w:t>T</w:t>
            </w:r>
            <w:r w:rsidRPr="003005F7">
              <w:t>TGGAGAGCGACGAGAGCG</w:t>
            </w:r>
          </w:p>
        </w:tc>
        <w:tc>
          <w:tcPr>
            <w:tcW w:w="4394" w:type="dxa"/>
            <w:vAlign w:val="center"/>
          </w:tcPr>
          <w:p w14:paraId="59006E7E" w14:textId="77777777" w:rsidR="00225D9D" w:rsidRPr="003005F7" w:rsidRDefault="00225D9D" w:rsidP="00C27B4F">
            <w:pPr>
              <w:jc w:val="center"/>
            </w:pPr>
            <w:r w:rsidRPr="003005F7">
              <w:t>GGCCA</w:t>
            </w:r>
            <w:r w:rsidRPr="003005F7">
              <w:rPr>
                <w:u w:val="single"/>
              </w:rPr>
              <w:t>A</w:t>
            </w:r>
            <w:r w:rsidRPr="003005F7">
              <w:t>ATTATCATCGTGTTTTTCAAAGGAAAAC</w:t>
            </w:r>
          </w:p>
        </w:tc>
      </w:tr>
      <w:tr w:rsidR="00225D9D" w14:paraId="75E1DE69" w14:textId="77777777" w:rsidTr="00C27B4F">
        <w:trPr>
          <w:trHeight w:val="132"/>
        </w:trPr>
        <w:tc>
          <w:tcPr>
            <w:tcW w:w="988" w:type="dxa"/>
            <w:shd w:val="clear" w:color="auto" w:fill="auto"/>
            <w:vAlign w:val="center"/>
          </w:tcPr>
          <w:p w14:paraId="71B171EB" w14:textId="77777777" w:rsidR="00225D9D" w:rsidRPr="003005F7" w:rsidRDefault="00225D9D" w:rsidP="00C27B4F">
            <w:pPr>
              <w:jc w:val="center"/>
              <w:rPr>
                <w:b/>
              </w:rPr>
            </w:pPr>
            <w:r w:rsidRPr="003005F7">
              <w:rPr>
                <w:b/>
              </w:rPr>
              <w:t>IRES-2</w:t>
            </w:r>
          </w:p>
        </w:tc>
        <w:tc>
          <w:tcPr>
            <w:tcW w:w="3827" w:type="dxa"/>
            <w:vAlign w:val="center"/>
          </w:tcPr>
          <w:p w14:paraId="3F6C336B" w14:textId="77777777" w:rsidR="00225D9D" w:rsidRPr="003005F7" w:rsidRDefault="00225D9D" w:rsidP="00C27B4F">
            <w:pPr>
              <w:jc w:val="center"/>
            </w:pPr>
            <w:r w:rsidRPr="003005F7">
              <w:t>ACAACC</w:t>
            </w:r>
            <w:r w:rsidRPr="003005F7">
              <w:rPr>
                <w:u w:val="single"/>
              </w:rPr>
              <w:t>C</w:t>
            </w:r>
            <w:r w:rsidRPr="003005F7">
              <w:t>TGGAGAGCGACGAGAGCG</w:t>
            </w:r>
          </w:p>
        </w:tc>
        <w:tc>
          <w:tcPr>
            <w:tcW w:w="4394" w:type="dxa"/>
            <w:vAlign w:val="center"/>
          </w:tcPr>
          <w:p w14:paraId="34FD563B" w14:textId="77777777" w:rsidR="00225D9D" w:rsidRPr="003005F7" w:rsidRDefault="00225D9D" w:rsidP="00C27B4F">
            <w:pPr>
              <w:jc w:val="center"/>
            </w:pPr>
            <w:r w:rsidRPr="003005F7">
              <w:t>GGCCA</w:t>
            </w:r>
            <w:r w:rsidRPr="003005F7">
              <w:rPr>
                <w:u w:val="single"/>
              </w:rPr>
              <w:t>G</w:t>
            </w:r>
            <w:r w:rsidRPr="003005F7">
              <w:t>ATTATCATCGTGTTTTTCAAAGGAAAAC</w:t>
            </w:r>
          </w:p>
        </w:tc>
      </w:tr>
      <w:tr w:rsidR="00225D9D" w14:paraId="7BB9D095" w14:textId="77777777" w:rsidTr="00C27B4F">
        <w:trPr>
          <w:trHeight w:val="96"/>
        </w:trPr>
        <w:tc>
          <w:tcPr>
            <w:tcW w:w="988" w:type="dxa"/>
            <w:shd w:val="clear" w:color="auto" w:fill="auto"/>
            <w:vAlign w:val="center"/>
          </w:tcPr>
          <w:p w14:paraId="751E5F32" w14:textId="77777777" w:rsidR="00225D9D" w:rsidRPr="003005F7" w:rsidRDefault="00225D9D" w:rsidP="00C27B4F">
            <w:pPr>
              <w:jc w:val="center"/>
              <w:rPr>
                <w:b/>
              </w:rPr>
            </w:pPr>
            <w:r w:rsidRPr="003005F7">
              <w:rPr>
                <w:b/>
              </w:rPr>
              <w:lastRenderedPageBreak/>
              <w:t>IRES-3</w:t>
            </w:r>
          </w:p>
        </w:tc>
        <w:tc>
          <w:tcPr>
            <w:tcW w:w="3827" w:type="dxa"/>
            <w:vAlign w:val="center"/>
          </w:tcPr>
          <w:p w14:paraId="29370783" w14:textId="77777777" w:rsidR="00225D9D" w:rsidRPr="003005F7" w:rsidRDefault="00225D9D" w:rsidP="00C27B4F">
            <w:pPr>
              <w:jc w:val="center"/>
            </w:pPr>
            <w:r w:rsidRPr="003005F7">
              <w:t>ACAACCATGGAGAGCGACGAGAGCG</w:t>
            </w:r>
          </w:p>
        </w:tc>
        <w:tc>
          <w:tcPr>
            <w:tcW w:w="4394" w:type="dxa"/>
            <w:vAlign w:val="center"/>
          </w:tcPr>
          <w:p w14:paraId="3F27FA4A" w14:textId="77777777" w:rsidR="00225D9D" w:rsidRPr="003005F7" w:rsidRDefault="00225D9D" w:rsidP="00C27B4F">
            <w:pPr>
              <w:jc w:val="center"/>
            </w:pPr>
            <w:r w:rsidRPr="003005F7">
              <w:t>GGCCA</w:t>
            </w:r>
            <w:r w:rsidRPr="003005F7">
              <w:rPr>
                <w:u w:val="single"/>
              </w:rPr>
              <w:t>G</w:t>
            </w:r>
            <w:r w:rsidRPr="003005F7">
              <w:t>ATTATCATCGTGTTTTTCAAAGGAAAAC</w:t>
            </w:r>
          </w:p>
        </w:tc>
      </w:tr>
      <w:tr w:rsidR="00225D9D" w14:paraId="2476C3E4" w14:textId="77777777" w:rsidTr="00C27B4F">
        <w:trPr>
          <w:trHeight w:val="203"/>
        </w:trPr>
        <w:tc>
          <w:tcPr>
            <w:tcW w:w="988" w:type="dxa"/>
            <w:shd w:val="clear" w:color="auto" w:fill="auto"/>
            <w:vAlign w:val="center"/>
          </w:tcPr>
          <w:p w14:paraId="2283CCF5" w14:textId="77777777" w:rsidR="00225D9D" w:rsidRPr="003005F7" w:rsidRDefault="00225D9D" w:rsidP="00C27B4F">
            <w:pPr>
              <w:jc w:val="center"/>
              <w:rPr>
                <w:b/>
              </w:rPr>
            </w:pPr>
            <w:r w:rsidRPr="003005F7">
              <w:rPr>
                <w:b/>
              </w:rPr>
              <w:t>IRES-4</w:t>
            </w:r>
          </w:p>
        </w:tc>
        <w:tc>
          <w:tcPr>
            <w:tcW w:w="3827" w:type="dxa"/>
            <w:vAlign w:val="center"/>
          </w:tcPr>
          <w:p w14:paraId="355A8AFA" w14:textId="77777777" w:rsidR="00225D9D" w:rsidRPr="003005F7" w:rsidRDefault="00225D9D" w:rsidP="00C27B4F">
            <w:pPr>
              <w:jc w:val="center"/>
            </w:pPr>
            <w:r w:rsidRPr="003005F7">
              <w:t>ACAACC</w:t>
            </w:r>
            <w:r w:rsidRPr="003005F7">
              <w:rPr>
                <w:u w:val="single"/>
              </w:rPr>
              <w:t>G</w:t>
            </w:r>
            <w:r w:rsidRPr="003005F7">
              <w:t>TGGAGAGCGACGAGAGCG</w:t>
            </w:r>
          </w:p>
        </w:tc>
        <w:tc>
          <w:tcPr>
            <w:tcW w:w="4394" w:type="dxa"/>
            <w:vAlign w:val="center"/>
          </w:tcPr>
          <w:p w14:paraId="6D926698" w14:textId="77777777" w:rsidR="00225D9D" w:rsidRPr="003005F7" w:rsidRDefault="00225D9D" w:rsidP="00C27B4F">
            <w:pPr>
              <w:jc w:val="center"/>
            </w:pPr>
            <w:r w:rsidRPr="003005F7">
              <w:t>GGCCATATTATCATCGTGTTTTTCAAAGGAAAAC</w:t>
            </w:r>
          </w:p>
        </w:tc>
      </w:tr>
      <w:tr w:rsidR="00225D9D" w14:paraId="38AA8940" w14:textId="77777777" w:rsidTr="00C27B4F">
        <w:trPr>
          <w:trHeight w:val="344"/>
        </w:trPr>
        <w:tc>
          <w:tcPr>
            <w:tcW w:w="988" w:type="dxa"/>
            <w:vAlign w:val="center"/>
          </w:tcPr>
          <w:p w14:paraId="7B45C03D" w14:textId="77777777" w:rsidR="00225D9D" w:rsidRPr="003005F7" w:rsidRDefault="00225D9D" w:rsidP="00C27B4F">
            <w:pPr>
              <w:jc w:val="center"/>
              <w:rPr>
                <w:b/>
              </w:rPr>
            </w:pPr>
            <w:proofErr w:type="spellStart"/>
            <w:r w:rsidRPr="003005F7">
              <w:rPr>
                <w:b/>
              </w:rPr>
              <w:t>Kt</w:t>
            </w:r>
            <w:proofErr w:type="spellEnd"/>
          </w:p>
        </w:tc>
        <w:tc>
          <w:tcPr>
            <w:tcW w:w="3827" w:type="dxa"/>
            <w:vAlign w:val="center"/>
          </w:tcPr>
          <w:p w14:paraId="3DECF020" w14:textId="77777777" w:rsidR="00225D9D" w:rsidRPr="003005F7" w:rsidRDefault="00225D9D" w:rsidP="00C27B4F">
            <w:pPr>
              <w:jc w:val="center"/>
            </w:pPr>
            <w:r w:rsidRPr="002E15F2">
              <w:rPr>
                <w:color w:val="000000" w:themeColor="text1"/>
                <w:u w:val="single"/>
              </w:rPr>
              <w:t>CGAAAGGTGACCC</w:t>
            </w:r>
            <w:r w:rsidRPr="002E15F2">
              <w:rPr>
                <w:color w:val="000000" w:themeColor="text1"/>
              </w:rPr>
              <w:t>ATATGGAGAGCGACGAG</w:t>
            </w:r>
          </w:p>
        </w:tc>
        <w:tc>
          <w:tcPr>
            <w:tcW w:w="4394" w:type="dxa"/>
            <w:vAlign w:val="center"/>
          </w:tcPr>
          <w:p w14:paraId="45C4E127" w14:textId="77777777" w:rsidR="00225D9D" w:rsidRPr="002E15F2" w:rsidRDefault="00225D9D" w:rsidP="00C27B4F">
            <w:pPr>
              <w:jc w:val="center"/>
              <w:rPr>
                <w:color w:val="000000" w:themeColor="text1"/>
              </w:rPr>
            </w:pPr>
            <w:r w:rsidRPr="002E15F2">
              <w:rPr>
                <w:color w:val="000000" w:themeColor="text1"/>
                <w:u w:val="single"/>
              </w:rPr>
              <w:t>GATCACGCCC</w:t>
            </w:r>
            <w:r w:rsidRPr="002E15F2">
              <w:rPr>
                <w:color w:val="000000" w:themeColor="text1"/>
              </w:rPr>
              <w:t>GTGGTGGCCATATTATCATCGTG</w:t>
            </w:r>
          </w:p>
          <w:p w14:paraId="2CFE73BB" w14:textId="77777777" w:rsidR="00225D9D" w:rsidRPr="002E15F2" w:rsidRDefault="00225D9D" w:rsidP="00C27B4F">
            <w:pPr>
              <w:jc w:val="center"/>
              <w:rPr>
                <w:color w:val="000000" w:themeColor="text1"/>
              </w:rPr>
            </w:pPr>
          </w:p>
        </w:tc>
      </w:tr>
    </w:tbl>
    <w:p w14:paraId="01603E8F" w14:textId="77777777" w:rsidR="00225D9D" w:rsidRDefault="00225D9D" w:rsidP="00225D9D">
      <w:pPr>
        <w:rPr>
          <w:b/>
          <w:sz w:val="24"/>
        </w:rPr>
      </w:pPr>
    </w:p>
    <w:p w14:paraId="644CB369" w14:textId="77777777" w:rsidR="00225D9D" w:rsidRDefault="00225D9D" w:rsidP="00225D9D">
      <w:pPr>
        <w:rPr>
          <w:b/>
          <w:sz w:val="24"/>
        </w:rPr>
      </w:pPr>
    </w:p>
    <w:p w14:paraId="6D8BBD93" w14:textId="77777777" w:rsidR="00225D9D" w:rsidRDefault="00225D9D" w:rsidP="00225D9D">
      <w:pPr>
        <w:rPr>
          <w:b/>
          <w:sz w:val="24"/>
        </w:rPr>
      </w:pPr>
    </w:p>
    <w:p w14:paraId="24F4B46E" w14:textId="77777777" w:rsidR="00225D9D" w:rsidRDefault="00225D9D" w:rsidP="00225D9D">
      <w:pPr>
        <w:rPr>
          <w:b/>
          <w:sz w:val="24"/>
        </w:rPr>
      </w:pPr>
    </w:p>
    <w:p w14:paraId="5ABA9589" w14:textId="77777777" w:rsidR="00225D9D" w:rsidRDefault="00225D9D" w:rsidP="00225D9D">
      <w:pPr>
        <w:rPr>
          <w:b/>
          <w:sz w:val="24"/>
        </w:rPr>
      </w:pPr>
    </w:p>
    <w:p w14:paraId="43077DBD" w14:textId="77777777" w:rsidR="00225D9D" w:rsidRDefault="00225D9D" w:rsidP="00225D9D">
      <w:pPr>
        <w:rPr>
          <w:b/>
          <w:sz w:val="24"/>
        </w:rPr>
      </w:pPr>
    </w:p>
    <w:p w14:paraId="116F94C1" w14:textId="77777777" w:rsidR="00225D9D" w:rsidRDefault="00225D9D" w:rsidP="00225D9D">
      <w:pPr>
        <w:rPr>
          <w:b/>
          <w:sz w:val="24"/>
        </w:rPr>
      </w:pPr>
    </w:p>
    <w:p w14:paraId="00AA6278" w14:textId="77777777" w:rsidR="00225D9D" w:rsidRDefault="00225D9D" w:rsidP="00225D9D">
      <w:pPr>
        <w:rPr>
          <w:b/>
          <w:sz w:val="24"/>
        </w:rPr>
      </w:pPr>
    </w:p>
    <w:p w14:paraId="23904B78" w14:textId="77777777" w:rsidR="00225D9D" w:rsidRDefault="00225D9D" w:rsidP="00225D9D">
      <w:pPr>
        <w:rPr>
          <w:b/>
          <w:sz w:val="24"/>
        </w:rPr>
      </w:pPr>
    </w:p>
    <w:p w14:paraId="71AC0512" w14:textId="77777777" w:rsidR="00225D9D" w:rsidRDefault="00225D9D" w:rsidP="00225D9D">
      <w:pPr>
        <w:rPr>
          <w:b/>
          <w:sz w:val="24"/>
        </w:rPr>
      </w:pPr>
    </w:p>
    <w:p w14:paraId="6F4B7E02" w14:textId="77777777" w:rsidR="00225D9D" w:rsidRDefault="00225D9D" w:rsidP="00225D9D">
      <w:pPr>
        <w:rPr>
          <w:b/>
          <w:sz w:val="24"/>
        </w:rPr>
      </w:pPr>
    </w:p>
    <w:p w14:paraId="3E2DFBB4" w14:textId="77777777" w:rsidR="00225D9D" w:rsidRDefault="00225D9D" w:rsidP="00225D9D">
      <w:pPr>
        <w:rPr>
          <w:b/>
          <w:sz w:val="24"/>
        </w:rPr>
      </w:pPr>
    </w:p>
    <w:p w14:paraId="051DEE4D" w14:textId="77777777" w:rsidR="00225D9D" w:rsidRDefault="00225D9D" w:rsidP="00225D9D">
      <w:pPr>
        <w:rPr>
          <w:b/>
          <w:sz w:val="24"/>
        </w:rPr>
      </w:pPr>
    </w:p>
    <w:p w14:paraId="684BC581" w14:textId="77777777" w:rsidR="00225D9D" w:rsidRDefault="00225D9D" w:rsidP="00225D9D">
      <w:pPr>
        <w:rPr>
          <w:b/>
          <w:sz w:val="24"/>
        </w:rPr>
      </w:pPr>
    </w:p>
    <w:p w14:paraId="3DE4D548" w14:textId="77777777" w:rsidR="00225D9D" w:rsidRDefault="00225D9D" w:rsidP="00225D9D">
      <w:pPr>
        <w:rPr>
          <w:b/>
          <w:sz w:val="24"/>
        </w:rPr>
      </w:pPr>
    </w:p>
    <w:p w14:paraId="0ED708D2" w14:textId="77777777" w:rsidR="00225D9D" w:rsidRDefault="00225D9D" w:rsidP="00225D9D">
      <w:pPr>
        <w:rPr>
          <w:b/>
          <w:sz w:val="24"/>
        </w:rPr>
      </w:pPr>
    </w:p>
    <w:p w14:paraId="6A7A15B6" w14:textId="77777777" w:rsidR="00225D9D" w:rsidRDefault="00225D9D" w:rsidP="00225D9D">
      <w:pPr>
        <w:rPr>
          <w:b/>
          <w:sz w:val="24"/>
        </w:rPr>
      </w:pPr>
    </w:p>
    <w:p w14:paraId="689FD483" w14:textId="77777777" w:rsidR="00225D9D" w:rsidRDefault="00225D9D" w:rsidP="00225D9D">
      <w:pPr>
        <w:rPr>
          <w:b/>
          <w:sz w:val="24"/>
        </w:rPr>
      </w:pPr>
    </w:p>
    <w:p w14:paraId="56A886EC" w14:textId="77777777" w:rsidR="00225D9D" w:rsidRDefault="00225D9D" w:rsidP="00225D9D">
      <w:pPr>
        <w:rPr>
          <w:b/>
          <w:sz w:val="24"/>
        </w:rPr>
      </w:pPr>
    </w:p>
    <w:p w14:paraId="1A4CE3B4" w14:textId="77777777" w:rsidR="00225D9D" w:rsidRDefault="00225D9D" w:rsidP="00225D9D">
      <w:pPr>
        <w:rPr>
          <w:b/>
          <w:sz w:val="24"/>
        </w:rPr>
      </w:pPr>
    </w:p>
    <w:p w14:paraId="12C82D4F" w14:textId="77777777" w:rsidR="00225D9D" w:rsidRDefault="00225D9D" w:rsidP="00225D9D">
      <w:pPr>
        <w:rPr>
          <w:b/>
          <w:sz w:val="24"/>
        </w:rPr>
      </w:pPr>
    </w:p>
    <w:p w14:paraId="247EFD07" w14:textId="77777777" w:rsidR="00225D9D" w:rsidRDefault="00225D9D" w:rsidP="00225D9D">
      <w:pPr>
        <w:rPr>
          <w:b/>
          <w:sz w:val="24"/>
        </w:rPr>
      </w:pPr>
    </w:p>
    <w:p w14:paraId="36BDBA67" w14:textId="77777777" w:rsidR="00225D9D" w:rsidRDefault="00225D9D" w:rsidP="00225D9D">
      <w:pPr>
        <w:rPr>
          <w:b/>
          <w:sz w:val="24"/>
        </w:rPr>
      </w:pPr>
    </w:p>
    <w:p w14:paraId="27A4D87D" w14:textId="77777777" w:rsidR="00225D9D" w:rsidRDefault="00225D9D" w:rsidP="00225D9D">
      <w:pPr>
        <w:rPr>
          <w:b/>
          <w:sz w:val="24"/>
        </w:rPr>
      </w:pPr>
    </w:p>
    <w:p w14:paraId="7A11E96E" w14:textId="77777777" w:rsidR="00225D9D" w:rsidRDefault="00225D9D" w:rsidP="00225D9D">
      <w:pPr>
        <w:rPr>
          <w:b/>
          <w:sz w:val="24"/>
        </w:rPr>
      </w:pPr>
    </w:p>
    <w:p w14:paraId="1C351FBE" w14:textId="77777777" w:rsidR="00225D9D" w:rsidRDefault="00225D9D" w:rsidP="00225D9D">
      <w:pPr>
        <w:rPr>
          <w:b/>
          <w:sz w:val="24"/>
        </w:rPr>
      </w:pPr>
      <w:r w:rsidRPr="00AD7C6F">
        <w:rPr>
          <w:b/>
          <w:sz w:val="24"/>
        </w:rPr>
        <w:lastRenderedPageBreak/>
        <w:t>Supplementary Figures</w:t>
      </w:r>
    </w:p>
    <w:p w14:paraId="3D0F7C63" w14:textId="77777777" w:rsidR="00225D9D" w:rsidRDefault="00225D9D" w:rsidP="00225D9D">
      <w:pPr>
        <w:keepNext/>
        <w:pBdr>
          <w:top w:val="nil"/>
          <w:left w:val="nil"/>
          <w:bottom w:val="nil"/>
          <w:right w:val="nil"/>
          <w:between w:val="nil"/>
        </w:pBdr>
        <w:spacing w:after="200" w:line="240" w:lineRule="auto"/>
        <w:jc w:val="center"/>
        <w:rPr>
          <w:b/>
        </w:rPr>
      </w:pPr>
      <w:bookmarkStart w:id="11" w:name="_Ref19178573"/>
      <w:r>
        <w:rPr>
          <w:i/>
          <w:noProof/>
          <w:color w:val="1F497D"/>
          <w:sz w:val="18"/>
          <w:szCs w:val="18"/>
          <w:lang w:eastAsia="en-GB"/>
        </w:rPr>
        <w:drawing>
          <wp:inline distT="0" distB="0" distL="0" distR="0" wp14:anchorId="1EC1D089" wp14:editId="0C69E39A">
            <wp:extent cx="4340860" cy="2692225"/>
            <wp:effectExtent l="0" t="0" r="2540" b="0"/>
            <wp:docPr id="1" name="image1.png"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20"/>
                    <a:srcRect t="7227"/>
                    <a:stretch/>
                  </pic:blipFill>
                  <pic:spPr bwMode="auto">
                    <a:xfrm>
                      <a:off x="0" y="0"/>
                      <a:ext cx="4340860" cy="2692225"/>
                    </a:xfrm>
                    <a:prstGeom prst="rect">
                      <a:avLst/>
                    </a:prstGeom>
                    <a:ln>
                      <a:noFill/>
                    </a:ln>
                    <a:extLst>
                      <a:ext uri="{53640926-AAD7-44D8-BBD7-CCE9431645EC}">
                        <a14:shadowObscured xmlns:a14="http://schemas.microsoft.com/office/drawing/2010/main"/>
                      </a:ext>
                    </a:extLst>
                  </pic:spPr>
                </pic:pic>
              </a:graphicData>
            </a:graphic>
          </wp:inline>
        </w:drawing>
      </w:r>
    </w:p>
    <w:p w14:paraId="1623BCEE" w14:textId="77777777" w:rsidR="00225D9D" w:rsidRDefault="00225D9D" w:rsidP="00225D9D">
      <w:pPr>
        <w:keepNext/>
        <w:pBdr>
          <w:top w:val="nil"/>
          <w:left w:val="nil"/>
          <w:bottom w:val="nil"/>
          <w:right w:val="nil"/>
          <w:between w:val="nil"/>
        </w:pBdr>
        <w:spacing w:after="200" w:line="240" w:lineRule="auto"/>
        <w:rPr>
          <w:b/>
          <w:noProof/>
          <w:lang w:eastAsia="en-GB"/>
        </w:rPr>
      </w:pPr>
      <w:r w:rsidRPr="00D517B1">
        <w:rPr>
          <w:b/>
        </w:rPr>
        <w:t xml:space="preserve">Supplementary Figure </w:t>
      </w:r>
      <w:bookmarkEnd w:id="11"/>
      <w:r>
        <w:rPr>
          <w:b/>
        </w:rPr>
        <w:t>1</w:t>
      </w:r>
      <w:r w:rsidRPr="00D517B1">
        <w:rPr>
          <w:b/>
          <w:color w:val="000000"/>
        </w:rPr>
        <w:t>: Positive controls and blank reactions across experimental datasets.</w:t>
      </w:r>
      <w:r w:rsidRPr="00D517B1">
        <w:rPr>
          <w:color w:val="000000"/>
        </w:rPr>
        <w:t xml:space="preserve"> The raw fluorescence of blank (B) and positive control (P) samples represented as one dot for one replicate measurement. Blank reactions contain 500nL water, positive reactions contain 500nL DNA </w:t>
      </w:r>
      <w:proofErr w:type="spellStart"/>
      <w:r w:rsidRPr="00D517B1">
        <w:rPr>
          <w:color w:val="000000"/>
        </w:rPr>
        <w:t>pCFE</w:t>
      </w:r>
      <w:proofErr w:type="spellEnd"/>
      <w:r w:rsidRPr="00D517B1">
        <w:rPr>
          <w:color w:val="000000"/>
        </w:rPr>
        <w:t>-GFP, at a 10nM final concentration in the reaction. Raw fluorescence is given in arbitrary fluorescent units (</w:t>
      </w:r>
      <w:proofErr w:type="spellStart"/>
      <w:r w:rsidRPr="00D517B1">
        <w:rPr>
          <w:color w:val="000000"/>
        </w:rPr>
        <w:t>afu</w:t>
      </w:r>
      <w:proofErr w:type="spellEnd"/>
      <w:r w:rsidRPr="00D517B1">
        <w:rPr>
          <w:color w:val="000000"/>
        </w:rPr>
        <w:t>) at the 6-hour time point. This data was used to calculate z’ values in Supplementary Table IV below.</w:t>
      </w:r>
    </w:p>
    <w:p w14:paraId="7413BD91" w14:textId="77777777" w:rsidR="00225D9D" w:rsidRDefault="00225D9D" w:rsidP="00225D9D">
      <w:pPr>
        <w:rPr>
          <w:b/>
          <w:sz w:val="24"/>
        </w:rPr>
      </w:pPr>
    </w:p>
    <w:p w14:paraId="345C4BFA" w14:textId="77777777" w:rsidR="00225D9D" w:rsidRDefault="00225D9D" w:rsidP="00225D9D">
      <w:pPr>
        <w:keepNext/>
        <w:pBdr>
          <w:top w:val="nil"/>
          <w:left w:val="nil"/>
          <w:bottom w:val="nil"/>
          <w:right w:val="nil"/>
          <w:between w:val="nil"/>
        </w:pBdr>
        <w:jc w:val="center"/>
        <w:rPr>
          <w:color w:val="000000"/>
        </w:rPr>
      </w:pPr>
      <w:r>
        <w:rPr>
          <w:noProof/>
          <w:lang w:eastAsia="en-GB"/>
        </w:rPr>
        <w:drawing>
          <wp:inline distT="0" distB="0" distL="0" distR="0" wp14:anchorId="554D3787" wp14:editId="0E5812CF">
            <wp:extent cx="5731510" cy="32385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5731510" cy="3238500"/>
                    </a:xfrm>
                    <a:prstGeom prst="rect">
                      <a:avLst/>
                    </a:prstGeom>
                    <a:ln/>
                  </pic:spPr>
                </pic:pic>
              </a:graphicData>
            </a:graphic>
          </wp:inline>
        </w:drawing>
      </w:r>
    </w:p>
    <w:p w14:paraId="53DB89AA" w14:textId="77777777" w:rsidR="00225D9D" w:rsidRDefault="00225D9D" w:rsidP="00225D9D">
      <w:pPr>
        <w:rPr>
          <w:color w:val="000000"/>
        </w:rPr>
      </w:pPr>
      <w:bookmarkStart w:id="12" w:name="_Ref19178675"/>
      <w:r w:rsidRPr="00D517B1">
        <w:rPr>
          <w:b/>
        </w:rPr>
        <w:t xml:space="preserve">Supplementary Figure </w:t>
      </w:r>
      <w:bookmarkEnd w:id="12"/>
      <w:r>
        <w:rPr>
          <w:b/>
        </w:rPr>
        <w:t>2</w:t>
      </w:r>
      <w:r w:rsidRPr="00D517B1">
        <w:rPr>
          <w:b/>
          <w:color w:val="000000"/>
        </w:rPr>
        <w:t>: Quantification of DNA preparations.</w:t>
      </w:r>
      <w:r w:rsidRPr="00D517B1">
        <w:rPr>
          <w:color w:val="000000"/>
        </w:rPr>
        <w:t xml:space="preserve"> DNA samples were diluted to 100ng/</w:t>
      </w:r>
      <w:proofErr w:type="spellStart"/>
      <w:r w:rsidRPr="00D517B1">
        <w:rPr>
          <w:color w:val="000000"/>
        </w:rPr>
        <w:t>uL</w:t>
      </w:r>
      <w:proofErr w:type="spellEnd"/>
      <w:r w:rsidRPr="00D517B1">
        <w:rPr>
          <w:color w:val="000000"/>
        </w:rPr>
        <w:t xml:space="preserve"> target concentrations based on previous measurement using the </w:t>
      </w:r>
      <w:proofErr w:type="spellStart"/>
      <w:r w:rsidRPr="00D517B1">
        <w:rPr>
          <w:color w:val="000000"/>
        </w:rPr>
        <w:t>Picogreen</w:t>
      </w:r>
      <w:proofErr w:type="spellEnd"/>
      <w:r w:rsidRPr="00D517B1">
        <w:rPr>
          <w:color w:val="000000"/>
        </w:rPr>
        <w:t xml:space="preserve"> method. The samples were measured via the spectrophotometric method, using a Nanodrop instrument thrice, in a manner such that all samples were measured consecutively and the whole set measured again (the measurements were not taken directly following each other). The orange bars represent the mean </w:t>
      </w:r>
      <w:r w:rsidRPr="00D517B1">
        <w:rPr>
          <w:color w:val="000000"/>
        </w:rPr>
        <w:lastRenderedPageBreak/>
        <w:t xml:space="preserve">and the error bars represent standard deviation of the measurements taken with the Nanodrop instrument. The same samples were quantified with dsDNA-specific </w:t>
      </w:r>
      <w:proofErr w:type="spellStart"/>
      <w:r w:rsidRPr="00D517B1">
        <w:rPr>
          <w:color w:val="000000"/>
        </w:rPr>
        <w:t>PicoGreen</w:t>
      </w:r>
      <w:proofErr w:type="spellEnd"/>
      <w:r w:rsidRPr="00D517B1">
        <w:rPr>
          <w:color w:val="000000"/>
        </w:rPr>
        <w:t xml:space="preserve"> fluorescent dye and each sample was measured thrice within the same measurement run. A standard curve was obtained using purified genomic λ phage DNA for unit conversion to absolute units from arbitrary fluorescence. The teal coloured bars represent averages of calculated concentration based on the </w:t>
      </w:r>
      <w:proofErr w:type="spellStart"/>
      <w:r w:rsidRPr="00D517B1">
        <w:rPr>
          <w:color w:val="000000"/>
        </w:rPr>
        <w:t>PicoGreen</w:t>
      </w:r>
      <w:proofErr w:type="spellEnd"/>
      <w:r w:rsidRPr="00D517B1">
        <w:rPr>
          <w:color w:val="000000"/>
        </w:rPr>
        <w:t xml:space="preserve"> method, and the error bars represent standard</w:t>
      </w:r>
      <w:r>
        <w:rPr>
          <w:color w:val="000000"/>
        </w:rPr>
        <w:t xml:space="preserve"> deviations. </w:t>
      </w:r>
    </w:p>
    <w:p w14:paraId="283D226A" w14:textId="77777777" w:rsidR="00225D9D" w:rsidRDefault="00225D9D" w:rsidP="00225D9D">
      <w:pPr>
        <w:rPr>
          <w:b/>
        </w:rPr>
      </w:pPr>
      <w:bookmarkStart w:id="13" w:name="_Ref20131840"/>
      <w:bookmarkStart w:id="14" w:name="_Ref20131828"/>
      <w:r w:rsidRPr="003A7E1B">
        <w:rPr>
          <w:noProof/>
          <w:lang w:eastAsia="en-GB"/>
        </w:rPr>
        <w:drawing>
          <wp:anchor distT="0" distB="0" distL="114300" distR="114300" simplePos="0" relativeHeight="251668480" behindDoc="0" locked="0" layoutInCell="1" allowOverlap="1" wp14:anchorId="63D63DBA" wp14:editId="2D0B010E">
            <wp:simplePos x="0" y="0"/>
            <wp:positionH relativeFrom="margin">
              <wp:align>center</wp:align>
            </wp:positionH>
            <wp:positionV relativeFrom="paragraph">
              <wp:posOffset>268243</wp:posOffset>
            </wp:positionV>
            <wp:extent cx="3733165" cy="3623945"/>
            <wp:effectExtent l="0" t="0" r="0" b="0"/>
            <wp:wrapTopAndBottom/>
            <wp:docPr id="9" name="Picture 9" descr="\\icnas3.cc.ic.ac.uk\cc5613\pictures\mk paper mgapt 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nas3.cc.ic.ac.uk\cc5613\pictures\mk paper mgapt figure.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33165" cy="3623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E0650" w14:textId="77777777" w:rsidR="00225D9D" w:rsidRDefault="00225D9D" w:rsidP="00225D9D">
      <w:pPr>
        <w:rPr>
          <w:b/>
        </w:rPr>
      </w:pPr>
    </w:p>
    <w:p w14:paraId="4E2501AE" w14:textId="77777777" w:rsidR="00225D9D" w:rsidRDefault="00225D9D" w:rsidP="00225D9D">
      <w:r w:rsidRPr="00F566BB">
        <w:rPr>
          <w:b/>
        </w:rPr>
        <w:t>Supplementary Figure</w:t>
      </w:r>
      <w:bookmarkEnd w:id="13"/>
      <w:r>
        <w:rPr>
          <w:b/>
        </w:rPr>
        <w:t xml:space="preserve"> 3:</w:t>
      </w:r>
      <w:r w:rsidRPr="00F566BB">
        <w:rPr>
          <w:b/>
        </w:rPr>
        <w:t xml:space="preserve"> </w:t>
      </w:r>
      <w:r>
        <w:rPr>
          <w:b/>
        </w:rPr>
        <w:t xml:space="preserve">Schematic of </w:t>
      </w:r>
      <w:r w:rsidRPr="005D68F0">
        <w:rPr>
          <w:b/>
        </w:rPr>
        <w:t>pCFE-GFP-MGapt1</w:t>
      </w:r>
      <w:r>
        <w:rPr>
          <w:b/>
        </w:rPr>
        <w:t>5/21</w:t>
      </w:r>
      <w:r w:rsidRPr="005D68F0">
        <w:rPr>
          <w:b/>
        </w:rPr>
        <w:t>bp</w:t>
      </w:r>
      <w:r>
        <w:rPr>
          <w:b/>
        </w:rPr>
        <w:t xml:space="preserve"> aptamer. </w:t>
      </w:r>
      <w:r>
        <w:t xml:space="preserve">Aptamer sequences were ligated into the previously digested </w:t>
      </w:r>
      <w:proofErr w:type="spellStart"/>
      <w:r>
        <w:t>pCFE</w:t>
      </w:r>
      <w:proofErr w:type="spellEnd"/>
      <w:r>
        <w:t>-GFP backbone.</w:t>
      </w:r>
      <w:bookmarkEnd w:id="14"/>
    </w:p>
    <w:p w14:paraId="7CBE4926" w14:textId="77777777" w:rsidR="00225D9D" w:rsidRDefault="00225D9D" w:rsidP="00225D9D">
      <w:pPr>
        <w:jc w:val="center"/>
      </w:pPr>
    </w:p>
    <w:p w14:paraId="2B0927F3" w14:textId="77777777" w:rsidR="00225D9D" w:rsidRDefault="00225D9D" w:rsidP="00225D9D">
      <w:pPr>
        <w:keepNext/>
        <w:pBdr>
          <w:top w:val="nil"/>
          <w:left w:val="nil"/>
          <w:bottom w:val="nil"/>
          <w:right w:val="nil"/>
          <w:between w:val="nil"/>
        </w:pBdr>
        <w:spacing w:after="200" w:line="240" w:lineRule="auto"/>
        <w:rPr>
          <w:b/>
          <w:noProof/>
          <w:lang w:eastAsia="en-GB"/>
        </w:rPr>
      </w:pPr>
      <w:r w:rsidRPr="00D517B1">
        <w:rPr>
          <w:b/>
          <w:noProof/>
          <w:lang w:eastAsia="en-GB"/>
        </w:rPr>
        <w:lastRenderedPageBreak/>
        <w:drawing>
          <wp:anchor distT="0" distB="0" distL="114300" distR="114300" simplePos="0" relativeHeight="251669504" behindDoc="0" locked="0" layoutInCell="1" allowOverlap="1" wp14:anchorId="1A3452ED" wp14:editId="645E0398">
            <wp:simplePos x="0" y="0"/>
            <wp:positionH relativeFrom="margin">
              <wp:align>center</wp:align>
            </wp:positionH>
            <wp:positionV relativeFrom="paragraph">
              <wp:posOffset>117306</wp:posOffset>
            </wp:positionV>
            <wp:extent cx="5993765" cy="2552065"/>
            <wp:effectExtent l="0" t="0" r="6985" b="635"/>
            <wp:wrapTopAndBottom/>
            <wp:docPr id="32" name="Picture 3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93765" cy="2552065"/>
                    </a:xfrm>
                    <a:prstGeom prst="rect">
                      <a:avLst/>
                    </a:prstGeom>
                    <a:noFill/>
                  </pic:spPr>
                </pic:pic>
              </a:graphicData>
            </a:graphic>
            <wp14:sizeRelH relativeFrom="page">
              <wp14:pctWidth>0</wp14:pctWidth>
            </wp14:sizeRelH>
            <wp14:sizeRelV relativeFrom="page">
              <wp14:pctHeight>0</wp14:pctHeight>
            </wp14:sizeRelV>
          </wp:anchor>
        </w:drawing>
      </w:r>
      <w:r w:rsidRPr="00D517B1">
        <w:rPr>
          <w:b/>
        </w:rPr>
        <w:t>Supplementary Figure</w:t>
      </w:r>
      <w:r>
        <w:rPr>
          <w:b/>
        </w:rPr>
        <w:t xml:space="preserve"> 4:</w:t>
      </w:r>
      <w:r w:rsidRPr="00D517B1">
        <w:rPr>
          <w:b/>
          <w:color w:val="000000"/>
        </w:rPr>
        <w:t xml:space="preserve"> Reproducibility of CFPS measurements, by sequence variant. </w:t>
      </w:r>
      <w:r w:rsidRPr="00D517B1">
        <w:rPr>
          <w:color w:val="000000"/>
        </w:rPr>
        <w:t xml:space="preserve">Each dot represents the average measurement corresponding to one DNA preparation at one concentration of one sequence variant. Measurements from one experimental run are represented on the x axis, and corresponding measurements obtained in a repeated experiment from a different day using a different IVT Kit batch are represented on the y axis. </w:t>
      </w:r>
      <w:r>
        <w:rPr>
          <w:b/>
          <w:color w:val="000000"/>
        </w:rPr>
        <w:t xml:space="preserve"> (A)</w:t>
      </w:r>
      <w:r w:rsidRPr="00D517B1">
        <w:rPr>
          <w:b/>
          <w:color w:val="000000"/>
        </w:rPr>
        <w:t xml:space="preserve"> </w:t>
      </w:r>
      <w:r w:rsidRPr="00D517B1">
        <w:rPr>
          <w:color w:val="000000"/>
        </w:rPr>
        <w:t xml:space="preserve">T7 promoter variants, experiment corresponding to </w:t>
      </w:r>
      <w:r>
        <w:rPr>
          <w:color w:val="000000"/>
        </w:rPr>
        <w:t xml:space="preserve">Figure 3. </w:t>
      </w:r>
      <w:r w:rsidRPr="00B356A2">
        <w:rPr>
          <w:b/>
          <w:color w:val="000000"/>
        </w:rPr>
        <w:t>(</w:t>
      </w:r>
      <w:r>
        <w:rPr>
          <w:b/>
          <w:color w:val="000000"/>
        </w:rPr>
        <w:t xml:space="preserve">B) </w:t>
      </w:r>
      <w:r w:rsidRPr="00D517B1">
        <w:rPr>
          <w:color w:val="000000"/>
        </w:rPr>
        <w:t xml:space="preserve">EMCV IRES variants, </w:t>
      </w:r>
      <w:r>
        <w:rPr>
          <w:color w:val="000000"/>
        </w:rPr>
        <w:t>experiment corresponding to Figure 4.</w:t>
      </w:r>
    </w:p>
    <w:p w14:paraId="194E538C" w14:textId="77777777" w:rsidR="00225D9D" w:rsidRDefault="00225D9D" w:rsidP="00225D9D">
      <w:pPr>
        <w:keepNext/>
        <w:pBdr>
          <w:top w:val="nil"/>
          <w:left w:val="nil"/>
          <w:bottom w:val="nil"/>
          <w:right w:val="nil"/>
          <w:between w:val="nil"/>
        </w:pBdr>
        <w:spacing w:after="200" w:line="240" w:lineRule="auto"/>
        <w:rPr>
          <w:b/>
          <w:noProof/>
          <w:lang w:eastAsia="en-GB"/>
        </w:rPr>
      </w:pPr>
    </w:p>
    <w:p w14:paraId="6CE7D329" w14:textId="77777777" w:rsidR="00225D9D" w:rsidRDefault="00225D9D" w:rsidP="00225D9D">
      <w:pPr>
        <w:keepNext/>
        <w:pBdr>
          <w:top w:val="nil"/>
          <w:left w:val="nil"/>
          <w:bottom w:val="nil"/>
          <w:right w:val="nil"/>
          <w:between w:val="nil"/>
        </w:pBdr>
        <w:spacing w:after="200" w:line="240" w:lineRule="auto"/>
        <w:rPr>
          <w:b/>
          <w:noProof/>
          <w:lang w:eastAsia="en-GB"/>
        </w:rPr>
      </w:pPr>
    </w:p>
    <w:p w14:paraId="149CB9AB" w14:textId="77777777" w:rsidR="00225D9D" w:rsidRDefault="00225D9D" w:rsidP="00225D9D">
      <w:pPr>
        <w:keepNext/>
        <w:pBdr>
          <w:top w:val="nil"/>
          <w:left w:val="nil"/>
          <w:bottom w:val="nil"/>
          <w:right w:val="nil"/>
          <w:between w:val="nil"/>
        </w:pBdr>
        <w:spacing w:after="200" w:line="240" w:lineRule="auto"/>
        <w:rPr>
          <w:b/>
          <w:noProof/>
          <w:lang w:eastAsia="en-GB"/>
        </w:rPr>
      </w:pPr>
    </w:p>
    <w:p w14:paraId="5B8B8CA4" w14:textId="77777777" w:rsidR="00225D9D" w:rsidRDefault="00225D9D" w:rsidP="00225D9D">
      <w:pPr>
        <w:keepNext/>
        <w:pBdr>
          <w:top w:val="nil"/>
          <w:left w:val="nil"/>
          <w:bottom w:val="nil"/>
          <w:right w:val="nil"/>
          <w:between w:val="nil"/>
        </w:pBdr>
        <w:spacing w:after="200" w:line="240" w:lineRule="auto"/>
        <w:rPr>
          <w:b/>
          <w:noProof/>
          <w:lang w:eastAsia="en-GB"/>
        </w:rPr>
      </w:pPr>
    </w:p>
    <w:p w14:paraId="139F6046" w14:textId="77777777" w:rsidR="00225D9D" w:rsidRDefault="00225D9D" w:rsidP="00225D9D">
      <w:pPr>
        <w:keepNext/>
        <w:pBdr>
          <w:top w:val="nil"/>
          <w:left w:val="nil"/>
          <w:bottom w:val="nil"/>
          <w:right w:val="nil"/>
          <w:between w:val="nil"/>
        </w:pBdr>
        <w:spacing w:after="200" w:line="240" w:lineRule="auto"/>
        <w:rPr>
          <w:b/>
          <w:noProof/>
          <w:lang w:eastAsia="en-GB"/>
        </w:rPr>
      </w:pPr>
    </w:p>
    <w:p w14:paraId="643D1819" w14:textId="77777777" w:rsidR="00225D9D" w:rsidRDefault="00225D9D" w:rsidP="00225D9D">
      <w:pPr>
        <w:keepNext/>
        <w:pBdr>
          <w:top w:val="nil"/>
          <w:left w:val="nil"/>
          <w:bottom w:val="nil"/>
          <w:right w:val="nil"/>
          <w:between w:val="nil"/>
        </w:pBdr>
        <w:spacing w:after="200" w:line="240" w:lineRule="auto"/>
        <w:rPr>
          <w:b/>
          <w:noProof/>
          <w:lang w:eastAsia="en-GB"/>
        </w:rPr>
      </w:pPr>
    </w:p>
    <w:p w14:paraId="16D2598A" w14:textId="77777777" w:rsidR="00225D9D" w:rsidRDefault="00225D9D" w:rsidP="00225D9D">
      <w:pPr>
        <w:keepNext/>
        <w:pBdr>
          <w:top w:val="nil"/>
          <w:left w:val="nil"/>
          <w:bottom w:val="nil"/>
          <w:right w:val="nil"/>
          <w:between w:val="nil"/>
        </w:pBdr>
        <w:spacing w:after="200" w:line="240" w:lineRule="auto"/>
      </w:pPr>
    </w:p>
    <w:p w14:paraId="2C1C755E" w14:textId="77777777" w:rsidR="00225D9D" w:rsidRPr="00ED3FC2" w:rsidRDefault="00225D9D" w:rsidP="00ED3FC2">
      <w:pPr>
        <w:widowControl w:val="0"/>
        <w:autoSpaceDE w:val="0"/>
        <w:autoSpaceDN w:val="0"/>
        <w:adjustRightInd w:val="0"/>
        <w:spacing w:line="480" w:lineRule="auto"/>
        <w:ind w:left="640" w:hanging="640"/>
        <w:rPr>
          <w:noProof/>
          <w:sz w:val="24"/>
        </w:rPr>
      </w:pPr>
    </w:p>
    <w:p w14:paraId="463F76FD" w14:textId="3A28B0E9" w:rsidR="00FE6AC8" w:rsidRPr="006764C7" w:rsidRDefault="00E22800" w:rsidP="007C109A">
      <w:pPr>
        <w:widowControl w:val="0"/>
        <w:autoSpaceDE w:val="0"/>
        <w:autoSpaceDN w:val="0"/>
        <w:adjustRightInd w:val="0"/>
        <w:spacing w:line="480" w:lineRule="auto"/>
        <w:ind w:left="640" w:hanging="640"/>
        <w:rPr>
          <w:sz w:val="24"/>
          <w:szCs w:val="24"/>
        </w:rPr>
      </w:pPr>
      <w:r>
        <w:rPr>
          <w:b/>
          <w:sz w:val="24"/>
          <w:szCs w:val="24"/>
        </w:rPr>
        <w:fldChar w:fldCharType="end"/>
      </w:r>
    </w:p>
    <w:sectPr w:rsidR="00FE6AC8" w:rsidRPr="006764C7">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B99D78" w14:textId="77777777" w:rsidR="00494964" w:rsidRDefault="00494964" w:rsidP="00952564">
      <w:pPr>
        <w:spacing w:after="0" w:line="240" w:lineRule="auto"/>
      </w:pPr>
      <w:r>
        <w:separator/>
      </w:r>
    </w:p>
  </w:endnote>
  <w:endnote w:type="continuationSeparator" w:id="0">
    <w:p w14:paraId="19A1CB50" w14:textId="77777777" w:rsidR="00494964" w:rsidRDefault="00494964" w:rsidP="00952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no Pro">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0681617"/>
      <w:docPartObj>
        <w:docPartGallery w:val="Page Numbers (Bottom of Page)"/>
        <w:docPartUnique/>
      </w:docPartObj>
    </w:sdtPr>
    <w:sdtEndPr>
      <w:rPr>
        <w:noProof/>
      </w:rPr>
    </w:sdtEndPr>
    <w:sdtContent>
      <w:p w14:paraId="568EEF56" w14:textId="77777777" w:rsidR="004A0C15" w:rsidRDefault="004A0C15">
        <w:pPr>
          <w:pStyle w:val="Footer"/>
          <w:jc w:val="center"/>
        </w:pPr>
        <w:r>
          <w:fldChar w:fldCharType="begin"/>
        </w:r>
        <w:r>
          <w:instrText xml:space="preserve"> PAGE   \* MERGEFORMAT </w:instrText>
        </w:r>
        <w:r>
          <w:fldChar w:fldCharType="separate"/>
        </w:r>
        <w:r w:rsidR="00D314F5">
          <w:rPr>
            <w:noProof/>
          </w:rPr>
          <w:t>30</w:t>
        </w:r>
        <w:r>
          <w:rPr>
            <w:noProof/>
          </w:rPr>
          <w:fldChar w:fldCharType="end"/>
        </w:r>
      </w:p>
    </w:sdtContent>
  </w:sdt>
  <w:p w14:paraId="448096D3" w14:textId="77777777" w:rsidR="004A0C15" w:rsidRDefault="004A0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3F24A" w14:textId="77777777" w:rsidR="00494964" w:rsidRDefault="00494964" w:rsidP="00952564">
      <w:pPr>
        <w:spacing w:after="0" w:line="240" w:lineRule="auto"/>
      </w:pPr>
      <w:r>
        <w:separator/>
      </w:r>
    </w:p>
  </w:footnote>
  <w:footnote w:type="continuationSeparator" w:id="0">
    <w:p w14:paraId="10AA1A2B" w14:textId="77777777" w:rsidR="00494964" w:rsidRDefault="00494964" w:rsidP="009525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2F321E"/>
    <w:multiLevelType w:val="hybridMultilevel"/>
    <w:tmpl w:val="ECAC3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B713CB"/>
    <w:multiLevelType w:val="multilevel"/>
    <w:tmpl w:val="F722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382"/>
    <w:rsid w:val="00000566"/>
    <w:rsid w:val="00001728"/>
    <w:rsid w:val="00007F2A"/>
    <w:rsid w:val="00027ECA"/>
    <w:rsid w:val="00043919"/>
    <w:rsid w:val="0005702D"/>
    <w:rsid w:val="00073998"/>
    <w:rsid w:val="00074DC9"/>
    <w:rsid w:val="00084C09"/>
    <w:rsid w:val="00093524"/>
    <w:rsid w:val="000A1EBE"/>
    <w:rsid w:val="000A3D47"/>
    <w:rsid w:val="000A7047"/>
    <w:rsid w:val="000A7261"/>
    <w:rsid w:val="000C0E2E"/>
    <w:rsid w:val="000F40B6"/>
    <w:rsid w:val="00105BAD"/>
    <w:rsid w:val="00140975"/>
    <w:rsid w:val="00142BF6"/>
    <w:rsid w:val="00145FB7"/>
    <w:rsid w:val="001A187E"/>
    <w:rsid w:val="001A63F3"/>
    <w:rsid w:val="001C1791"/>
    <w:rsid w:val="001C4A53"/>
    <w:rsid w:val="001C7356"/>
    <w:rsid w:val="001C79B4"/>
    <w:rsid w:val="001F072A"/>
    <w:rsid w:val="001F422F"/>
    <w:rsid w:val="001F71BA"/>
    <w:rsid w:val="00202408"/>
    <w:rsid w:val="002035B4"/>
    <w:rsid w:val="0021783E"/>
    <w:rsid w:val="00222A02"/>
    <w:rsid w:val="00224201"/>
    <w:rsid w:val="00225D9D"/>
    <w:rsid w:val="00232AAC"/>
    <w:rsid w:val="0024642C"/>
    <w:rsid w:val="00261B9A"/>
    <w:rsid w:val="00266C17"/>
    <w:rsid w:val="002713D4"/>
    <w:rsid w:val="00274797"/>
    <w:rsid w:val="002756A2"/>
    <w:rsid w:val="00275C2D"/>
    <w:rsid w:val="00275D23"/>
    <w:rsid w:val="00286E8D"/>
    <w:rsid w:val="002908DE"/>
    <w:rsid w:val="0029688B"/>
    <w:rsid w:val="002A0D70"/>
    <w:rsid w:val="002C381C"/>
    <w:rsid w:val="002F1969"/>
    <w:rsid w:val="002F1BF8"/>
    <w:rsid w:val="002F2E80"/>
    <w:rsid w:val="00312AF4"/>
    <w:rsid w:val="00364828"/>
    <w:rsid w:val="00375A25"/>
    <w:rsid w:val="003760D8"/>
    <w:rsid w:val="00391E30"/>
    <w:rsid w:val="003B7971"/>
    <w:rsid w:val="003D082C"/>
    <w:rsid w:val="003F4B78"/>
    <w:rsid w:val="00422D3B"/>
    <w:rsid w:val="004448C0"/>
    <w:rsid w:val="00451300"/>
    <w:rsid w:val="0045234B"/>
    <w:rsid w:val="00452433"/>
    <w:rsid w:val="00455D1A"/>
    <w:rsid w:val="00467A78"/>
    <w:rsid w:val="00476413"/>
    <w:rsid w:val="00485CBA"/>
    <w:rsid w:val="00494964"/>
    <w:rsid w:val="00496AFD"/>
    <w:rsid w:val="004A0C15"/>
    <w:rsid w:val="004B1BB8"/>
    <w:rsid w:val="004B4087"/>
    <w:rsid w:val="004B648A"/>
    <w:rsid w:val="00524D30"/>
    <w:rsid w:val="005271C1"/>
    <w:rsid w:val="0053398E"/>
    <w:rsid w:val="00555729"/>
    <w:rsid w:val="00567604"/>
    <w:rsid w:val="005706BE"/>
    <w:rsid w:val="005747C9"/>
    <w:rsid w:val="0059650E"/>
    <w:rsid w:val="005A27FD"/>
    <w:rsid w:val="005B42D3"/>
    <w:rsid w:val="005B7F65"/>
    <w:rsid w:val="005C49DC"/>
    <w:rsid w:val="005C77B2"/>
    <w:rsid w:val="005F1A09"/>
    <w:rsid w:val="006069E4"/>
    <w:rsid w:val="00613A9A"/>
    <w:rsid w:val="00620723"/>
    <w:rsid w:val="00620B95"/>
    <w:rsid w:val="006409D2"/>
    <w:rsid w:val="00646B0B"/>
    <w:rsid w:val="00647432"/>
    <w:rsid w:val="00662C37"/>
    <w:rsid w:val="006742CA"/>
    <w:rsid w:val="00675E9E"/>
    <w:rsid w:val="006764C7"/>
    <w:rsid w:val="00681122"/>
    <w:rsid w:val="00686F87"/>
    <w:rsid w:val="006A198E"/>
    <w:rsid w:val="006A5DC9"/>
    <w:rsid w:val="006E428D"/>
    <w:rsid w:val="006F1D40"/>
    <w:rsid w:val="0070397F"/>
    <w:rsid w:val="00705239"/>
    <w:rsid w:val="00722A5C"/>
    <w:rsid w:val="00737B2C"/>
    <w:rsid w:val="00740F1B"/>
    <w:rsid w:val="007474DF"/>
    <w:rsid w:val="00750999"/>
    <w:rsid w:val="00752364"/>
    <w:rsid w:val="0076097C"/>
    <w:rsid w:val="00776F31"/>
    <w:rsid w:val="007849EC"/>
    <w:rsid w:val="007904A5"/>
    <w:rsid w:val="007C109A"/>
    <w:rsid w:val="007D3CF1"/>
    <w:rsid w:val="007F430E"/>
    <w:rsid w:val="007F474F"/>
    <w:rsid w:val="00810156"/>
    <w:rsid w:val="008113BA"/>
    <w:rsid w:val="008442FB"/>
    <w:rsid w:val="00856A86"/>
    <w:rsid w:val="00885471"/>
    <w:rsid w:val="008940B4"/>
    <w:rsid w:val="008947BE"/>
    <w:rsid w:val="008968E9"/>
    <w:rsid w:val="008A1A96"/>
    <w:rsid w:val="008C1619"/>
    <w:rsid w:val="008D4B95"/>
    <w:rsid w:val="008D6ADA"/>
    <w:rsid w:val="008F5D00"/>
    <w:rsid w:val="008F6B61"/>
    <w:rsid w:val="008F6E32"/>
    <w:rsid w:val="00900C46"/>
    <w:rsid w:val="0090796F"/>
    <w:rsid w:val="00913B23"/>
    <w:rsid w:val="0092051A"/>
    <w:rsid w:val="00922548"/>
    <w:rsid w:val="009235D5"/>
    <w:rsid w:val="00934AA2"/>
    <w:rsid w:val="00952564"/>
    <w:rsid w:val="00953A1F"/>
    <w:rsid w:val="00963B40"/>
    <w:rsid w:val="00987193"/>
    <w:rsid w:val="00997BBD"/>
    <w:rsid w:val="009B0E49"/>
    <w:rsid w:val="009B3730"/>
    <w:rsid w:val="009B7609"/>
    <w:rsid w:val="009B7B33"/>
    <w:rsid w:val="009C4752"/>
    <w:rsid w:val="009D0A90"/>
    <w:rsid w:val="009D68B4"/>
    <w:rsid w:val="009E465D"/>
    <w:rsid w:val="009F6B73"/>
    <w:rsid w:val="00A10091"/>
    <w:rsid w:val="00A34C4D"/>
    <w:rsid w:val="00A52D2B"/>
    <w:rsid w:val="00A57730"/>
    <w:rsid w:val="00A61E15"/>
    <w:rsid w:val="00A770ED"/>
    <w:rsid w:val="00A85BDE"/>
    <w:rsid w:val="00AA51AD"/>
    <w:rsid w:val="00AB31EC"/>
    <w:rsid w:val="00AB5BC5"/>
    <w:rsid w:val="00AC5AAA"/>
    <w:rsid w:val="00AD12D1"/>
    <w:rsid w:val="00AD4D80"/>
    <w:rsid w:val="00AD5566"/>
    <w:rsid w:val="00AE7360"/>
    <w:rsid w:val="00AF0884"/>
    <w:rsid w:val="00B069B2"/>
    <w:rsid w:val="00B2414E"/>
    <w:rsid w:val="00B56871"/>
    <w:rsid w:val="00B8171B"/>
    <w:rsid w:val="00B923F6"/>
    <w:rsid w:val="00B94B62"/>
    <w:rsid w:val="00BA02C4"/>
    <w:rsid w:val="00BD21A0"/>
    <w:rsid w:val="00BF18E6"/>
    <w:rsid w:val="00C036B0"/>
    <w:rsid w:val="00C154FC"/>
    <w:rsid w:val="00C53052"/>
    <w:rsid w:val="00C54AD8"/>
    <w:rsid w:val="00C87F46"/>
    <w:rsid w:val="00C9531D"/>
    <w:rsid w:val="00D00920"/>
    <w:rsid w:val="00D048B8"/>
    <w:rsid w:val="00D139F5"/>
    <w:rsid w:val="00D23BCE"/>
    <w:rsid w:val="00D314F5"/>
    <w:rsid w:val="00D628AE"/>
    <w:rsid w:val="00D73273"/>
    <w:rsid w:val="00D77CF7"/>
    <w:rsid w:val="00D830AE"/>
    <w:rsid w:val="00D8453A"/>
    <w:rsid w:val="00D96382"/>
    <w:rsid w:val="00DB03C5"/>
    <w:rsid w:val="00DB2DF3"/>
    <w:rsid w:val="00DB3AC6"/>
    <w:rsid w:val="00DC6DDA"/>
    <w:rsid w:val="00DF5EC1"/>
    <w:rsid w:val="00E02656"/>
    <w:rsid w:val="00E22800"/>
    <w:rsid w:val="00E41624"/>
    <w:rsid w:val="00E554ED"/>
    <w:rsid w:val="00E634DF"/>
    <w:rsid w:val="00E904FD"/>
    <w:rsid w:val="00E90DC5"/>
    <w:rsid w:val="00EA33D1"/>
    <w:rsid w:val="00EA4265"/>
    <w:rsid w:val="00EA58E7"/>
    <w:rsid w:val="00EC1F2C"/>
    <w:rsid w:val="00ED3FC2"/>
    <w:rsid w:val="00ED4DCA"/>
    <w:rsid w:val="00EE1CB1"/>
    <w:rsid w:val="00EE5462"/>
    <w:rsid w:val="00EE6972"/>
    <w:rsid w:val="00EF1FEB"/>
    <w:rsid w:val="00F1141F"/>
    <w:rsid w:val="00F17AA3"/>
    <w:rsid w:val="00F65880"/>
    <w:rsid w:val="00F7085D"/>
    <w:rsid w:val="00F739E0"/>
    <w:rsid w:val="00F8005A"/>
    <w:rsid w:val="00F8518D"/>
    <w:rsid w:val="00FA1047"/>
    <w:rsid w:val="00FA197A"/>
    <w:rsid w:val="00FC2F14"/>
    <w:rsid w:val="00FC5E18"/>
    <w:rsid w:val="00FD59EB"/>
    <w:rsid w:val="00FE2E6D"/>
    <w:rsid w:val="00FE6AC8"/>
    <w:rsid w:val="00FF06EB"/>
    <w:rsid w:val="00FF6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E1A0E"/>
  <w15:chartTrackingRefBased/>
  <w15:docId w15:val="{B2603F7B-7471-4D9C-8A24-F5DA7F4C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9F5"/>
    <w:pPr>
      <w:jc w:val="both"/>
    </w:pPr>
    <w:rPr>
      <w:rFonts w:ascii="Calibri" w:eastAsia="Calibri" w:hAnsi="Calibri" w:cs="Calibri"/>
    </w:rPr>
  </w:style>
  <w:style w:type="paragraph" w:styleId="Heading1">
    <w:name w:val="heading 1"/>
    <w:basedOn w:val="Normal"/>
    <w:next w:val="Normal"/>
    <w:link w:val="Heading1Char"/>
    <w:uiPriority w:val="9"/>
    <w:qFormat/>
    <w:rsid w:val="00D139F5"/>
    <w:pPr>
      <w:keepNext/>
      <w:keepLines/>
      <w:spacing w:before="240" w:after="0"/>
      <w:outlineLvl w:val="0"/>
    </w:pPr>
    <w:rPr>
      <w:b/>
      <w:sz w:val="32"/>
      <w:szCs w:val="32"/>
    </w:rPr>
  </w:style>
  <w:style w:type="paragraph" w:styleId="Heading2">
    <w:name w:val="heading 2"/>
    <w:basedOn w:val="Normal"/>
    <w:next w:val="Normal"/>
    <w:link w:val="Heading2Char"/>
    <w:uiPriority w:val="9"/>
    <w:unhideWhenUsed/>
    <w:qFormat/>
    <w:rsid w:val="00D139F5"/>
    <w:pPr>
      <w:keepNext/>
      <w:keepLines/>
      <w:spacing w:before="40" w:after="0"/>
      <w:outlineLvl w:val="1"/>
    </w:pPr>
    <w:rPr>
      <w:b/>
      <w:smallCaps/>
      <w:sz w:val="26"/>
      <w:szCs w:val="26"/>
    </w:rPr>
  </w:style>
  <w:style w:type="paragraph" w:styleId="Heading3">
    <w:name w:val="heading 3"/>
    <w:basedOn w:val="Normal"/>
    <w:next w:val="Normal"/>
    <w:link w:val="Heading3Char"/>
    <w:uiPriority w:val="9"/>
    <w:semiHidden/>
    <w:unhideWhenUsed/>
    <w:qFormat/>
    <w:rsid w:val="00620B9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9F5"/>
    <w:rPr>
      <w:rFonts w:ascii="Calibri" w:eastAsia="Calibri" w:hAnsi="Calibri" w:cs="Calibri"/>
      <w:b/>
      <w:sz w:val="32"/>
      <w:szCs w:val="32"/>
    </w:rPr>
  </w:style>
  <w:style w:type="character" w:customStyle="1" w:styleId="Heading2Char">
    <w:name w:val="Heading 2 Char"/>
    <w:basedOn w:val="DefaultParagraphFont"/>
    <w:link w:val="Heading2"/>
    <w:uiPriority w:val="9"/>
    <w:rsid w:val="00D139F5"/>
    <w:rPr>
      <w:rFonts w:ascii="Calibri" w:eastAsia="Calibri" w:hAnsi="Calibri" w:cs="Calibri"/>
      <w:b/>
      <w:smallCaps/>
      <w:sz w:val="26"/>
      <w:szCs w:val="26"/>
    </w:rPr>
  </w:style>
  <w:style w:type="character" w:customStyle="1" w:styleId="Heading3Char">
    <w:name w:val="Heading 3 Char"/>
    <w:basedOn w:val="DefaultParagraphFont"/>
    <w:link w:val="Heading3"/>
    <w:uiPriority w:val="9"/>
    <w:semiHidden/>
    <w:rsid w:val="00620B95"/>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iPriority w:val="35"/>
    <w:unhideWhenUsed/>
    <w:qFormat/>
    <w:rsid w:val="006764C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525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564"/>
    <w:rPr>
      <w:rFonts w:ascii="Calibri" w:eastAsia="Calibri" w:hAnsi="Calibri" w:cs="Calibri"/>
    </w:rPr>
  </w:style>
  <w:style w:type="paragraph" w:styleId="Footer">
    <w:name w:val="footer"/>
    <w:basedOn w:val="Normal"/>
    <w:link w:val="FooterChar"/>
    <w:uiPriority w:val="99"/>
    <w:unhideWhenUsed/>
    <w:rsid w:val="009525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564"/>
    <w:rPr>
      <w:rFonts w:ascii="Calibri" w:eastAsia="Calibri" w:hAnsi="Calibri" w:cs="Calibri"/>
    </w:rPr>
  </w:style>
  <w:style w:type="character" w:styleId="CommentReference">
    <w:name w:val="annotation reference"/>
    <w:basedOn w:val="DefaultParagraphFont"/>
    <w:uiPriority w:val="99"/>
    <w:semiHidden/>
    <w:unhideWhenUsed/>
    <w:rsid w:val="001C1791"/>
    <w:rPr>
      <w:sz w:val="16"/>
      <w:szCs w:val="16"/>
    </w:rPr>
  </w:style>
  <w:style w:type="paragraph" w:styleId="CommentText">
    <w:name w:val="annotation text"/>
    <w:basedOn w:val="Normal"/>
    <w:link w:val="CommentTextChar"/>
    <w:uiPriority w:val="99"/>
    <w:semiHidden/>
    <w:unhideWhenUsed/>
    <w:rsid w:val="001C1791"/>
    <w:pPr>
      <w:spacing w:line="240" w:lineRule="auto"/>
    </w:pPr>
    <w:rPr>
      <w:sz w:val="20"/>
      <w:szCs w:val="20"/>
    </w:rPr>
  </w:style>
  <w:style w:type="character" w:customStyle="1" w:styleId="CommentTextChar">
    <w:name w:val="Comment Text Char"/>
    <w:basedOn w:val="DefaultParagraphFont"/>
    <w:link w:val="CommentText"/>
    <w:uiPriority w:val="99"/>
    <w:semiHidden/>
    <w:rsid w:val="001C17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C1791"/>
    <w:rPr>
      <w:b/>
      <w:bCs/>
    </w:rPr>
  </w:style>
  <w:style w:type="character" w:customStyle="1" w:styleId="CommentSubjectChar">
    <w:name w:val="Comment Subject Char"/>
    <w:basedOn w:val="CommentTextChar"/>
    <w:link w:val="CommentSubject"/>
    <w:uiPriority w:val="99"/>
    <w:semiHidden/>
    <w:rsid w:val="001C1791"/>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1C1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791"/>
    <w:rPr>
      <w:rFonts w:ascii="Segoe UI" w:eastAsia="Calibri" w:hAnsi="Segoe UI" w:cs="Segoe UI"/>
      <w:sz w:val="18"/>
      <w:szCs w:val="18"/>
    </w:rPr>
  </w:style>
  <w:style w:type="paragraph" w:styleId="NormalWeb">
    <w:name w:val="Normal (Web)"/>
    <w:basedOn w:val="Normal"/>
    <w:uiPriority w:val="99"/>
    <w:semiHidden/>
    <w:unhideWhenUsed/>
    <w:rsid w:val="00105BA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87F46"/>
    <w:rPr>
      <w:color w:val="0563C1" w:themeColor="hyperlink"/>
      <w:u w:val="single"/>
    </w:rPr>
  </w:style>
  <w:style w:type="character" w:customStyle="1" w:styleId="UnresolvedMention1">
    <w:name w:val="Unresolved Mention1"/>
    <w:basedOn w:val="DefaultParagraphFont"/>
    <w:uiPriority w:val="99"/>
    <w:semiHidden/>
    <w:unhideWhenUsed/>
    <w:rsid w:val="00C87F46"/>
    <w:rPr>
      <w:color w:val="605E5C"/>
      <w:shd w:val="clear" w:color="auto" w:fill="E1DFDD"/>
    </w:rPr>
  </w:style>
  <w:style w:type="character" w:customStyle="1" w:styleId="UnresolvedMention2">
    <w:name w:val="Unresolved Mention2"/>
    <w:basedOn w:val="DefaultParagraphFont"/>
    <w:uiPriority w:val="99"/>
    <w:semiHidden/>
    <w:unhideWhenUsed/>
    <w:rsid w:val="007D3CF1"/>
    <w:rPr>
      <w:color w:val="605E5C"/>
      <w:shd w:val="clear" w:color="auto" w:fill="E1DFDD"/>
    </w:rPr>
  </w:style>
  <w:style w:type="paragraph" w:styleId="ListParagraph">
    <w:name w:val="List Paragraph"/>
    <w:basedOn w:val="Normal"/>
    <w:uiPriority w:val="34"/>
    <w:qFormat/>
    <w:rsid w:val="00900C46"/>
    <w:pPr>
      <w:ind w:left="720"/>
      <w:contextualSpacing/>
    </w:pPr>
  </w:style>
  <w:style w:type="paragraph" w:styleId="Revision">
    <w:name w:val="Revision"/>
    <w:hidden/>
    <w:uiPriority w:val="99"/>
    <w:semiHidden/>
    <w:rsid w:val="007C109A"/>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94635">
      <w:bodyDiv w:val="1"/>
      <w:marLeft w:val="0"/>
      <w:marRight w:val="0"/>
      <w:marTop w:val="0"/>
      <w:marBottom w:val="0"/>
      <w:divBdr>
        <w:top w:val="none" w:sz="0" w:space="0" w:color="auto"/>
        <w:left w:val="none" w:sz="0" w:space="0" w:color="auto"/>
        <w:bottom w:val="none" w:sz="0" w:space="0" w:color="auto"/>
        <w:right w:val="none" w:sz="0" w:space="0" w:color="auto"/>
      </w:divBdr>
    </w:div>
    <w:div w:id="193540197">
      <w:bodyDiv w:val="1"/>
      <w:marLeft w:val="0"/>
      <w:marRight w:val="0"/>
      <w:marTop w:val="0"/>
      <w:marBottom w:val="0"/>
      <w:divBdr>
        <w:top w:val="none" w:sz="0" w:space="0" w:color="auto"/>
        <w:left w:val="none" w:sz="0" w:space="0" w:color="auto"/>
        <w:bottom w:val="none" w:sz="0" w:space="0" w:color="auto"/>
        <w:right w:val="none" w:sz="0" w:space="0" w:color="auto"/>
      </w:divBdr>
    </w:div>
    <w:div w:id="199586326">
      <w:bodyDiv w:val="1"/>
      <w:marLeft w:val="0"/>
      <w:marRight w:val="0"/>
      <w:marTop w:val="0"/>
      <w:marBottom w:val="0"/>
      <w:divBdr>
        <w:top w:val="none" w:sz="0" w:space="0" w:color="auto"/>
        <w:left w:val="none" w:sz="0" w:space="0" w:color="auto"/>
        <w:bottom w:val="none" w:sz="0" w:space="0" w:color="auto"/>
        <w:right w:val="none" w:sz="0" w:space="0" w:color="auto"/>
      </w:divBdr>
    </w:div>
    <w:div w:id="335694358">
      <w:bodyDiv w:val="1"/>
      <w:marLeft w:val="0"/>
      <w:marRight w:val="0"/>
      <w:marTop w:val="0"/>
      <w:marBottom w:val="0"/>
      <w:divBdr>
        <w:top w:val="none" w:sz="0" w:space="0" w:color="auto"/>
        <w:left w:val="none" w:sz="0" w:space="0" w:color="auto"/>
        <w:bottom w:val="none" w:sz="0" w:space="0" w:color="auto"/>
        <w:right w:val="none" w:sz="0" w:space="0" w:color="auto"/>
      </w:divBdr>
    </w:div>
    <w:div w:id="428621851">
      <w:bodyDiv w:val="1"/>
      <w:marLeft w:val="0"/>
      <w:marRight w:val="0"/>
      <w:marTop w:val="0"/>
      <w:marBottom w:val="0"/>
      <w:divBdr>
        <w:top w:val="none" w:sz="0" w:space="0" w:color="auto"/>
        <w:left w:val="none" w:sz="0" w:space="0" w:color="auto"/>
        <w:bottom w:val="none" w:sz="0" w:space="0" w:color="auto"/>
        <w:right w:val="none" w:sz="0" w:space="0" w:color="auto"/>
      </w:divBdr>
    </w:div>
    <w:div w:id="441805667">
      <w:bodyDiv w:val="1"/>
      <w:marLeft w:val="0"/>
      <w:marRight w:val="0"/>
      <w:marTop w:val="0"/>
      <w:marBottom w:val="0"/>
      <w:divBdr>
        <w:top w:val="none" w:sz="0" w:space="0" w:color="auto"/>
        <w:left w:val="none" w:sz="0" w:space="0" w:color="auto"/>
        <w:bottom w:val="none" w:sz="0" w:space="0" w:color="auto"/>
        <w:right w:val="none" w:sz="0" w:space="0" w:color="auto"/>
      </w:divBdr>
    </w:div>
    <w:div w:id="459954653">
      <w:bodyDiv w:val="1"/>
      <w:marLeft w:val="0"/>
      <w:marRight w:val="0"/>
      <w:marTop w:val="0"/>
      <w:marBottom w:val="0"/>
      <w:divBdr>
        <w:top w:val="none" w:sz="0" w:space="0" w:color="auto"/>
        <w:left w:val="none" w:sz="0" w:space="0" w:color="auto"/>
        <w:bottom w:val="none" w:sz="0" w:space="0" w:color="auto"/>
        <w:right w:val="none" w:sz="0" w:space="0" w:color="auto"/>
      </w:divBdr>
    </w:div>
    <w:div w:id="529494701">
      <w:bodyDiv w:val="1"/>
      <w:marLeft w:val="0"/>
      <w:marRight w:val="0"/>
      <w:marTop w:val="0"/>
      <w:marBottom w:val="0"/>
      <w:divBdr>
        <w:top w:val="none" w:sz="0" w:space="0" w:color="auto"/>
        <w:left w:val="none" w:sz="0" w:space="0" w:color="auto"/>
        <w:bottom w:val="none" w:sz="0" w:space="0" w:color="auto"/>
        <w:right w:val="none" w:sz="0" w:space="0" w:color="auto"/>
      </w:divBdr>
    </w:div>
    <w:div w:id="610091859">
      <w:bodyDiv w:val="1"/>
      <w:marLeft w:val="0"/>
      <w:marRight w:val="0"/>
      <w:marTop w:val="0"/>
      <w:marBottom w:val="0"/>
      <w:divBdr>
        <w:top w:val="none" w:sz="0" w:space="0" w:color="auto"/>
        <w:left w:val="none" w:sz="0" w:space="0" w:color="auto"/>
        <w:bottom w:val="none" w:sz="0" w:space="0" w:color="auto"/>
        <w:right w:val="none" w:sz="0" w:space="0" w:color="auto"/>
      </w:divBdr>
    </w:div>
    <w:div w:id="839856177">
      <w:bodyDiv w:val="1"/>
      <w:marLeft w:val="0"/>
      <w:marRight w:val="0"/>
      <w:marTop w:val="0"/>
      <w:marBottom w:val="0"/>
      <w:divBdr>
        <w:top w:val="none" w:sz="0" w:space="0" w:color="auto"/>
        <w:left w:val="none" w:sz="0" w:space="0" w:color="auto"/>
        <w:bottom w:val="none" w:sz="0" w:space="0" w:color="auto"/>
        <w:right w:val="none" w:sz="0" w:space="0" w:color="auto"/>
      </w:divBdr>
    </w:div>
    <w:div w:id="895630925">
      <w:bodyDiv w:val="1"/>
      <w:marLeft w:val="0"/>
      <w:marRight w:val="0"/>
      <w:marTop w:val="0"/>
      <w:marBottom w:val="0"/>
      <w:divBdr>
        <w:top w:val="none" w:sz="0" w:space="0" w:color="auto"/>
        <w:left w:val="none" w:sz="0" w:space="0" w:color="auto"/>
        <w:bottom w:val="none" w:sz="0" w:space="0" w:color="auto"/>
        <w:right w:val="none" w:sz="0" w:space="0" w:color="auto"/>
      </w:divBdr>
    </w:div>
    <w:div w:id="983050929">
      <w:bodyDiv w:val="1"/>
      <w:marLeft w:val="0"/>
      <w:marRight w:val="0"/>
      <w:marTop w:val="0"/>
      <w:marBottom w:val="0"/>
      <w:divBdr>
        <w:top w:val="none" w:sz="0" w:space="0" w:color="auto"/>
        <w:left w:val="none" w:sz="0" w:space="0" w:color="auto"/>
        <w:bottom w:val="none" w:sz="0" w:space="0" w:color="auto"/>
        <w:right w:val="none" w:sz="0" w:space="0" w:color="auto"/>
      </w:divBdr>
    </w:div>
    <w:div w:id="1005985609">
      <w:bodyDiv w:val="1"/>
      <w:marLeft w:val="0"/>
      <w:marRight w:val="0"/>
      <w:marTop w:val="0"/>
      <w:marBottom w:val="0"/>
      <w:divBdr>
        <w:top w:val="none" w:sz="0" w:space="0" w:color="auto"/>
        <w:left w:val="none" w:sz="0" w:space="0" w:color="auto"/>
        <w:bottom w:val="none" w:sz="0" w:space="0" w:color="auto"/>
        <w:right w:val="none" w:sz="0" w:space="0" w:color="auto"/>
      </w:divBdr>
      <w:divsChild>
        <w:div w:id="1073240499">
          <w:marLeft w:val="0"/>
          <w:marRight w:val="0"/>
          <w:marTop w:val="0"/>
          <w:marBottom w:val="0"/>
          <w:divBdr>
            <w:top w:val="none" w:sz="0" w:space="0" w:color="auto"/>
            <w:left w:val="none" w:sz="0" w:space="0" w:color="auto"/>
            <w:bottom w:val="none" w:sz="0" w:space="0" w:color="auto"/>
            <w:right w:val="none" w:sz="0" w:space="0" w:color="auto"/>
          </w:divBdr>
          <w:divsChild>
            <w:div w:id="525405643">
              <w:marLeft w:val="0"/>
              <w:marRight w:val="0"/>
              <w:marTop w:val="0"/>
              <w:marBottom w:val="0"/>
              <w:divBdr>
                <w:top w:val="none" w:sz="0" w:space="0" w:color="auto"/>
                <w:left w:val="none" w:sz="0" w:space="0" w:color="auto"/>
                <w:bottom w:val="none" w:sz="0" w:space="0" w:color="auto"/>
                <w:right w:val="none" w:sz="0" w:space="0" w:color="auto"/>
              </w:divBdr>
              <w:divsChild>
                <w:div w:id="33811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901456">
      <w:bodyDiv w:val="1"/>
      <w:marLeft w:val="0"/>
      <w:marRight w:val="0"/>
      <w:marTop w:val="0"/>
      <w:marBottom w:val="0"/>
      <w:divBdr>
        <w:top w:val="none" w:sz="0" w:space="0" w:color="auto"/>
        <w:left w:val="none" w:sz="0" w:space="0" w:color="auto"/>
        <w:bottom w:val="none" w:sz="0" w:space="0" w:color="auto"/>
        <w:right w:val="none" w:sz="0" w:space="0" w:color="auto"/>
      </w:divBdr>
    </w:div>
    <w:div w:id="1008140529">
      <w:bodyDiv w:val="1"/>
      <w:marLeft w:val="0"/>
      <w:marRight w:val="0"/>
      <w:marTop w:val="0"/>
      <w:marBottom w:val="0"/>
      <w:divBdr>
        <w:top w:val="none" w:sz="0" w:space="0" w:color="auto"/>
        <w:left w:val="none" w:sz="0" w:space="0" w:color="auto"/>
        <w:bottom w:val="none" w:sz="0" w:space="0" w:color="auto"/>
        <w:right w:val="none" w:sz="0" w:space="0" w:color="auto"/>
      </w:divBdr>
    </w:div>
    <w:div w:id="1037779021">
      <w:bodyDiv w:val="1"/>
      <w:marLeft w:val="0"/>
      <w:marRight w:val="0"/>
      <w:marTop w:val="0"/>
      <w:marBottom w:val="0"/>
      <w:divBdr>
        <w:top w:val="none" w:sz="0" w:space="0" w:color="auto"/>
        <w:left w:val="none" w:sz="0" w:space="0" w:color="auto"/>
        <w:bottom w:val="none" w:sz="0" w:space="0" w:color="auto"/>
        <w:right w:val="none" w:sz="0" w:space="0" w:color="auto"/>
      </w:divBdr>
    </w:div>
    <w:div w:id="1060321225">
      <w:bodyDiv w:val="1"/>
      <w:marLeft w:val="0"/>
      <w:marRight w:val="0"/>
      <w:marTop w:val="0"/>
      <w:marBottom w:val="0"/>
      <w:divBdr>
        <w:top w:val="none" w:sz="0" w:space="0" w:color="auto"/>
        <w:left w:val="none" w:sz="0" w:space="0" w:color="auto"/>
        <w:bottom w:val="none" w:sz="0" w:space="0" w:color="auto"/>
        <w:right w:val="none" w:sz="0" w:space="0" w:color="auto"/>
      </w:divBdr>
    </w:div>
    <w:div w:id="1167131533">
      <w:bodyDiv w:val="1"/>
      <w:marLeft w:val="0"/>
      <w:marRight w:val="0"/>
      <w:marTop w:val="0"/>
      <w:marBottom w:val="0"/>
      <w:divBdr>
        <w:top w:val="none" w:sz="0" w:space="0" w:color="auto"/>
        <w:left w:val="none" w:sz="0" w:space="0" w:color="auto"/>
        <w:bottom w:val="none" w:sz="0" w:space="0" w:color="auto"/>
        <w:right w:val="none" w:sz="0" w:space="0" w:color="auto"/>
      </w:divBdr>
    </w:div>
    <w:div w:id="1296910975">
      <w:bodyDiv w:val="1"/>
      <w:marLeft w:val="0"/>
      <w:marRight w:val="0"/>
      <w:marTop w:val="0"/>
      <w:marBottom w:val="0"/>
      <w:divBdr>
        <w:top w:val="none" w:sz="0" w:space="0" w:color="auto"/>
        <w:left w:val="none" w:sz="0" w:space="0" w:color="auto"/>
        <w:bottom w:val="none" w:sz="0" w:space="0" w:color="auto"/>
        <w:right w:val="none" w:sz="0" w:space="0" w:color="auto"/>
      </w:divBdr>
    </w:div>
    <w:div w:id="1395739071">
      <w:bodyDiv w:val="1"/>
      <w:marLeft w:val="0"/>
      <w:marRight w:val="0"/>
      <w:marTop w:val="0"/>
      <w:marBottom w:val="0"/>
      <w:divBdr>
        <w:top w:val="none" w:sz="0" w:space="0" w:color="auto"/>
        <w:left w:val="none" w:sz="0" w:space="0" w:color="auto"/>
        <w:bottom w:val="none" w:sz="0" w:space="0" w:color="auto"/>
        <w:right w:val="none" w:sz="0" w:space="0" w:color="auto"/>
      </w:divBdr>
    </w:div>
    <w:div w:id="1518302154">
      <w:bodyDiv w:val="1"/>
      <w:marLeft w:val="0"/>
      <w:marRight w:val="0"/>
      <w:marTop w:val="0"/>
      <w:marBottom w:val="0"/>
      <w:divBdr>
        <w:top w:val="none" w:sz="0" w:space="0" w:color="auto"/>
        <w:left w:val="none" w:sz="0" w:space="0" w:color="auto"/>
        <w:bottom w:val="none" w:sz="0" w:space="0" w:color="auto"/>
        <w:right w:val="none" w:sz="0" w:space="0" w:color="auto"/>
      </w:divBdr>
    </w:div>
    <w:div w:id="1570726805">
      <w:bodyDiv w:val="1"/>
      <w:marLeft w:val="0"/>
      <w:marRight w:val="0"/>
      <w:marTop w:val="0"/>
      <w:marBottom w:val="0"/>
      <w:divBdr>
        <w:top w:val="none" w:sz="0" w:space="0" w:color="auto"/>
        <w:left w:val="none" w:sz="0" w:space="0" w:color="auto"/>
        <w:bottom w:val="none" w:sz="0" w:space="0" w:color="auto"/>
        <w:right w:val="none" w:sz="0" w:space="0" w:color="auto"/>
      </w:divBdr>
    </w:div>
    <w:div w:id="1594509885">
      <w:bodyDiv w:val="1"/>
      <w:marLeft w:val="0"/>
      <w:marRight w:val="0"/>
      <w:marTop w:val="0"/>
      <w:marBottom w:val="0"/>
      <w:divBdr>
        <w:top w:val="none" w:sz="0" w:space="0" w:color="auto"/>
        <w:left w:val="none" w:sz="0" w:space="0" w:color="auto"/>
        <w:bottom w:val="none" w:sz="0" w:space="0" w:color="auto"/>
        <w:right w:val="none" w:sz="0" w:space="0" w:color="auto"/>
      </w:divBdr>
    </w:div>
    <w:div w:id="1628658107">
      <w:bodyDiv w:val="1"/>
      <w:marLeft w:val="0"/>
      <w:marRight w:val="0"/>
      <w:marTop w:val="0"/>
      <w:marBottom w:val="0"/>
      <w:divBdr>
        <w:top w:val="none" w:sz="0" w:space="0" w:color="auto"/>
        <w:left w:val="none" w:sz="0" w:space="0" w:color="auto"/>
        <w:bottom w:val="none" w:sz="0" w:space="0" w:color="auto"/>
        <w:right w:val="none" w:sz="0" w:space="0" w:color="auto"/>
      </w:divBdr>
    </w:div>
    <w:div w:id="1655601092">
      <w:bodyDiv w:val="1"/>
      <w:marLeft w:val="0"/>
      <w:marRight w:val="0"/>
      <w:marTop w:val="0"/>
      <w:marBottom w:val="0"/>
      <w:divBdr>
        <w:top w:val="none" w:sz="0" w:space="0" w:color="auto"/>
        <w:left w:val="none" w:sz="0" w:space="0" w:color="auto"/>
        <w:bottom w:val="none" w:sz="0" w:space="0" w:color="auto"/>
        <w:right w:val="none" w:sz="0" w:space="0" w:color="auto"/>
      </w:divBdr>
    </w:div>
    <w:div w:id="1770197270">
      <w:bodyDiv w:val="1"/>
      <w:marLeft w:val="0"/>
      <w:marRight w:val="0"/>
      <w:marTop w:val="0"/>
      <w:marBottom w:val="0"/>
      <w:divBdr>
        <w:top w:val="none" w:sz="0" w:space="0" w:color="auto"/>
        <w:left w:val="none" w:sz="0" w:space="0" w:color="auto"/>
        <w:bottom w:val="none" w:sz="0" w:space="0" w:color="auto"/>
        <w:right w:val="none" w:sz="0" w:space="0" w:color="auto"/>
      </w:divBdr>
    </w:div>
    <w:div w:id="1804732408">
      <w:bodyDiv w:val="1"/>
      <w:marLeft w:val="0"/>
      <w:marRight w:val="0"/>
      <w:marTop w:val="0"/>
      <w:marBottom w:val="0"/>
      <w:divBdr>
        <w:top w:val="none" w:sz="0" w:space="0" w:color="auto"/>
        <w:left w:val="none" w:sz="0" w:space="0" w:color="auto"/>
        <w:bottom w:val="none" w:sz="0" w:space="0" w:color="auto"/>
        <w:right w:val="none" w:sz="0" w:space="0" w:color="auto"/>
      </w:divBdr>
    </w:div>
    <w:div w:id="205384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screeningunit-fmp.net/tools/z-prime.ph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experimentr.herokuapp.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png"/><Relationship Id="rId10" Type="http://schemas.openxmlformats.org/officeDocument/2006/relationships/hyperlink" Target="https://github.com/margaritakop/CFPS_echo" TargetMode="External"/><Relationship Id="rId19" Type="http://schemas.openxmlformats.org/officeDocument/2006/relationships/hyperlink" Target="http://www.screeningunit-fmp.net/tools/z-prime.ph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B2D8D-4D0A-C340-848F-F08DA17A5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31950</Words>
  <Characters>182115</Characters>
  <Application>Microsoft Office Word</Application>
  <DocSecurity>0</DocSecurity>
  <Lines>1517</Lines>
  <Paragraphs>427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213638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Canavan, Caoimhe</dc:creator>
  <cp:keywords/>
  <dc:description/>
  <cp:lastModifiedBy>Paul F</cp:lastModifiedBy>
  <cp:revision>2</cp:revision>
  <cp:lastPrinted>2019-10-21T13:25:00Z</cp:lastPrinted>
  <dcterms:created xsi:type="dcterms:W3CDTF">2020-04-09T08:17:00Z</dcterms:created>
  <dcterms:modified xsi:type="dcterms:W3CDTF">2020-04-09T08:17:00Z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http://www.zotero.org/styles/acs-synthetic-biology</vt:lpwstr>
  </property>
  <property fmtid="{D5CDD505-2E9C-101B-9397-08002B2CF9AE}" pid="3" name="Mendeley Recent Style Name 0_1">
    <vt:lpwstr>ACS Synthetic Biology</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http://www.zotero.org/styles/acs-synthetic-biology</vt:lpwstr>
  </property>
  <property fmtid="{D5CDD505-2E9C-101B-9397-08002B2CF9AE}" pid="23" name="Mendeley Document_1">
    <vt:lpwstr>True</vt:lpwstr>
  </property>
  <property fmtid="{D5CDD505-2E9C-101B-9397-08002B2CF9AE}" pid="24" name="Mendeley Unique User Id_1">
    <vt:lpwstr>84232b55-da27-38da-9f6d-38733e5b510c</vt:lpwstr>
  </property>
</Properties>
</file>