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FB28A" w14:textId="56CD9576" w:rsidR="00326D7B" w:rsidRPr="00523BF6" w:rsidRDefault="001A5892" w:rsidP="00E33727">
      <w:pPr>
        <w:spacing w:line="480" w:lineRule="auto"/>
        <w:jc w:val="both"/>
        <w:outlineLvl w:val="0"/>
        <w:rPr>
          <w:rFonts w:cs="Times New Roman"/>
          <w:b/>
          <w:sz w:val="22"/>
          <w:szCs w:val="22"/>
          <w:lang w:val="en-GB"/>
        </w:rPr>
      </w:pPr>
      <w:r w:rsidRPr="00523BF6">
        <w:rPr>
          <w:rFonts w:cs="Times New Roman"/>
          <w:b/>
          <w:sz w:val="22"/>
          <w:szCs w:val="22"/>
          <w:lang w:val="en-GB"/>
        </w:rPr>
        <w:t>Macrophage-</w:t>
      </w:r>
      <w:r w:rsidR="00952597" w:rsidRPr="00523BF6">
        <w:rPr>
          <w:rFonts w:cs="Times New Roman"/>
          <w:b/>
          <w:sz w:val="22"/>
          <w:szCs w:val="22"/>
          <w:lang w:val="en-GB"/>
        </w:rPr>
        <w:t xml:space="preserve"> but not monocyte</w:t>
      </w:r>
      <w:r w:rsidRPr="00523BF6">
        <w:rPr>
          <w:rFonts w:cs="Times New Roman"/>
          <w:b/>
          <w:sz w:val="22"/>
          <w:szCs w:val="22"/>
          <w:lang w:val="en-GB"/>
        </w:rPr>
        <w:t>-derived</w:t>
      </w:r>
      <w:r w:rsidR="0048375B" w:rsidRPr="00523BF6">
        <w:rPr>
          <w:rFonts w:cs="Times New Roman"/>
          <w:b/>
          <w:sz w:val="22"/>
          <w:szCs w:val="22"/>
          <w:lang w:val="en-GB"/>
        </w:rPr>
        <w:t xml:space="preserve"> ex</w:t>
      </w:r>
      <w:r w:rsidR="00B41925" w:rsidRPr="00523BF6">
        <w:rPr>
          <w:rFonts w:cs="Times New Roman"/>
          <w:b/>
          <w:sz w:val="22"/>
          <w:szCs w:val="22"/>
          <w:lang w:val="en-GB"/>
        </w:rPr>
        <w:t>tracellular vesicles</w:t>
      </w:r>
      <w:r w:rsidR="0048375B" w:rsidRPr="00523BF6">
        <w:rPr>
          <w:rFonts w:cs="Times New Roman"/>
          <w:b/>
          <w:sz w:val="22"/>
          <w:szCs w:val="22"/>
          <w:lang w:val="en-GB"/>
        </w:rPr>
        <w:t xml:space="preserve"> induce placental pro</w:t>
      </w:r>
      <w:r w:rsidR="00B41925" w:rsidRPr="00523BF6">
        <w:rPr>
          <w:rFonts w:cs="Times New Roman"/>
          <w:b/>
          <w:sz w:val="22"/>
          <w:szCs w:val="22"/>
          <w:lang w:val="en-GB"/>
        </w:rPr>
        <w:t>-</w:t>
      </w:r>
      <w:r w:rsidR="00952597" w:rsidRPr="00523BF6">
        <w:rPr>
          <w:rFonts w:cs="Times New Roman"/>
          <w:b/>
          <w:sz w:val="22"/>
          <w:szCs w:val="22"/>
          <w:lang w:val="en-GB"/>
        </w:rPr>
        <w:t>inflammatory response</w:t>
      </w:r>
      <w:r w:rsidR="00751E46" w:rsidRPr="00523BF6">
        <w:rPr>
          <w:rFonts w:cs="Times New Roman"/>
          <w:b/>
          <w:sz w:val="22"/>
          <w:szCs w:val="22"/>
          <w:lang w:val="en-GB"/>
        </w:rPr>
        <w:t>s</w:t>
      </w:r>
    </w:p>
    <w:p w14:paraId="2E322D8F" w14:textId="77777777" w:rsidR="00B80029" w:rsidRPr="00523BF6" w:rsidRDefault="00B80029" w:rsidP="00E33727">
      <w:pPr>
        <w:spacing w:line="480" w:lineRule="auto"/>
        <w:jc w:val="both"/>
        <w:rPr>
          <w:rFonts w:cs="Times New Roman"/>
          <w:sz w:val="22"/>
          <w:szCs w:val="22"/>
          <w:lang w:val="en-GB"/>
        </w:rPr>
      </w:pPr>
    </w:p>
    <w:p w14:paraId="375B0A64" w14:textId="7490B713" w:rsidR="005E4169" w:rsidRPr="00523BF6" w:rsidRDefault="005E4169" w:rsidP="00E33727">
      <w:pPr>
        <w:spacing w:line="480" w:lineRule="auto"/>
        <w:jc w:val="both"/>
        <w:outlineLvl w:val="0"/>
        <w:rPr>
          <w:rFonts w:cs="Times New Roman"/>
          <w:sz w:val="22"/>
          <w:szCs w:val="22"/>
          <w:lang w:val="en-GB"/>
        </w:rPr>
      </w:pPr>
      <w:r w:rsidRPr="00523BF6">
        <w:rPr>
          <w:rFonts w:cs="Times New Roman"/>
          <w:sz w:val="22"/>
          <w:szCs w:val="22"/>
          <w:lang w:val="en-GB"/>
        </w:rPr>
        <w:t>Thomas</w:t>
      </w:r>
      <w:r w:rsidR="004B3B5F" w:rsidRPr="00523BF6">
        <w:rPr>
          <w:rFonts w:cs="Times New Roman"/>
          <w:sz w:val="22"/>
          <w:szCs w:val="22"/>
          <w:lang w:val="en-GB"/>
        </w:rPr>
        <w:t xml:space="preserve"> F.</w:t>
      </w:r>
      <w:r w:rsidRPr="00523BF6">
        <w:rPr>
          <w:rFonts w:cs="Times New Roman"/>
          <w:sz w:val="22"/>
          <w:szCs w:val="22"/>
          <w:lang w:val="en-GB"/>
        </w:rPr>
        <w:t xml:space="preserve"> Rice</w:t>
      </w:r>
      <w:r w:rsidR="00C30D2B" w:rsidRPr="00523BF6">
        <w:rPr>
          <w:rFonts w:cs="Times New Roman"/>
          <w:sz w:val="22"/>
          <w:szCs w:val="22"/>
          <w:vertAlign w:val="superscript"/>
          <w:lang w:val="en-GB"/>
        </w:rPr>
        <w:t>1</w:t>
      </w:r>
      <w:r w:rsidRPr="00523BF6">
        <w:rPr>
          <w:rFonts w:cs="Times New Roman"/>
          <w:sz w:val="22"/>
          <w:szCs w:val="22"/>
          <w:lang w:val="en-GB"/>
        </w:rPr>
        <w:t xml:space="preserve">, </w:t>
      </w:r>
      <w:r w:rsidR="0069249A" w:rsidRPr="00523BF6">
        <w:rPr>
          <w:rFonts w:cs="Times New Roman"/>
          <w:sz w:val="22"/>
          <w:szCs w:val="22"/>
          <w:lang w:val="en-GB"/>
        </w:rPr>
        <w:t>Beverly Donaldson</w:t>
      </w:r>
      <w:r w:rsidR="00C30D2B" w:rsidRPr="00523BF6">
        <w:rPr>
          <w:rFonts w:cs="Times New Roman"/>
          <w:sz w:val="22"/>
          <w:szCs w:val="22"/>
          <w:vertAlign w:val="superscript"/>
          <w:lang w:val="en-GB"/>
        </w:rPr>
        <w:t>1</w:t>
      </w:r>
      <w:r w:rsidR="0069249A" w:rsidRPr="00523BF6">
        <w:rPr>
          <w:rFonts w:cs="Times New Roman"/>
          <w:sz w:val="22"/>
          <w:szCs w:val="22"/>
          <w:lang w:val="en-GB"/>
        </w:rPr>
        <w:t>, Marielle Bouqueau</w:t>
      </w:r>
      <w:r w:rsidR="00C30D2B" w:rsidRPr="00523BF6">
        <w:rPr>
          <w:rFonts w:cs="Times New Roman"/>
          <w:sz w:val="22"/>
          <w:szCs w:val="22"/>
          <w:vertAlign w:val="superscript"/>
          <w:lang w:val="en-GB"/>
        </w:rPr>
        <w:t>1</w:t>
      </w:r>
      <w:r w:rsidR="0069249A" w:rsidRPr="00523BF6">
        <w:rPr>
          <w:rFonts w:cs="Times New Roman"/>
          <w:sz w:val="22"/>
          <w:szCs w:val="22"/>
          <w:lang w:val="en-GB"/>
        </w:rPr>
        <w:t xml:space="preserve">, </w:t>
      </w:r>
      <w:r w:rsidRPr="00523BF6">
        <w:rPr>
          <w:rFonts w:cs="Times New Roman"/>
          <w:sz w:val="22"/>
          <w:szCs w:val="22"/>
          <w:lang w:val="en-GB"/>
        </w:rPr>
        <w:t>Beate Kampmann</w:t>
      </w:r>
      <w:r w:rsidR="00C30D2B" w:rsidRPr="00523BF6">
        <w:rPr>
          <w:rFonts w:cs="Times New Roman"/>
          <w:sz w:val="22"/>
          <w:szCs w:val="22"/>
          <w:vertAlign w:val="superscript"/>
          <w:lang w:val="en-GB"/>
        </w:rPr>
        <w:t>1,2</w:t>
      </w:r>
      <w:r w:rsidRPr="00523BF6">
        <w:rPr>
          <w:rFonts w:cs="Times New Roman"/>
          <w:sz w:val="22"/>
          <w:szCs w:val="22"/>
          <w:lang w:val="en-GB"/>
        </w:rPr>
        <w:t>, Beth Holder</w:t>
      </w:r>
      <w:r w:rsidR="00C30D2B" w:rsidRPr="00523BF6">
        <w:rPr>
          <w:rFonts w:cs="Times New Roman"/>
          <w:sz w:val="22"/>
          <w:szCs w:val="22"/>
          <w:vertAlign w:val="superscript"/>
          <w:lang w:val="en-GB"/>
        </w:rPr>
        <w:t>1,2</w:t>
      </w:r>
    </w:p>
    <w:p w14:paraId="53D23623" w14:textId="77777777" w:rsidR="00C30D2B" w:rsidRPr="00523BF6" w:rsidRDefault="00C30D2B" w:rsidP="00E33727">
      <w:pPr>
        <w:spacing w:line="480" w:lineRule="auto"/>
        <w:jc w:val="both"/>
        <w:rPr>
          <w:rFonts w:cs="Times New Roman"/>
          <w:sz w:val="22"/>
          <w:szCs w:val="22"/>
          <w:lang w:val="en-GB"/>
        </w:rPr>
      </w:pPr>
    </w:p>
    <w:p w14:paraId="221FA4FE" w14:textId="77777777" w:rsidR="007B16B9" w:rsidRPr="00523BF6" w:rsidRDefault="00C30D2B" w:rsidP="00E33727">
      <w:pPr>
        <w:spacing w:line="480" w:lineRule="auto"/>
        <w:jc w:val="both"/>
        <w:rPr>
          <w:rFonts w:cs="Times New Roman"/>
          <w:sz w:val="22"/>
          <w:szCs w:val="22"/>
          <w:lang w:val="en-GB"/>
        </w:rPr>
      </w:pPr>
      <w:r w:rsidRPr="00523BF6">
        <w:rPr>
          <w:rFonts w:cs="Times New Roman"/>
          <w:sz w:val="22"/>
          <w:szCs w:val="22"/>
          <w:vertAlign w:val="superscript"/>
          <w:lang w:val="en-GB"/>
        </w:rPr>
        <w:t>1</w:t>
      </w:r>
      <w:r w:rsidRPr="00523BF6">
        <w:rPr>
          <w:rFonts w:cs="Times New Roman"/>
          <w:sz w:val="22"/>
          <w:szCs w:val="22"/>
          <w:lang w:val="en-GB"/>
        </w:rPr>
        <w:t>Section of Paediatrics, Department of Medicine, Imperial College London, UK</w:t>
      </w:r>
    </w:p>
    <w:p w14:paraId="4273B3C8" w14:textId="33097BB7" w:rsidR="00C30D2B" w:rsidRPr="00523BF6" w:rsidRDefault="00C30D2B" w:rsidP="00E33727">
      <w:pPr>
        <w:spacing w:line="480" w:lineRule="auto"/>
        <w:jc w:val="both"/>
        <w:rPr>
          <w:rFonts w:cs="Times New Roman"/>
          <w:sz w:val="22"/>
          <w:szCs w:val="22"/>
          <w:lang w:val="en-GB"/>
        </w:rPr>
      </w:pPr>
      <w:r w:rsidRPr="00523BF6">
        <w:rPr>
          <w:rFonts w:cs="Times New Roman"/>
          <w:sz w:val="22"/>
          <w:szCs w:val="22"/>
          <w:vertAlign w:val="superscript"/>
          <w:lang w:val="en-GB"/>
        </w:rPr>
        <w:t>2</w:t>
      </w:r>
      <w:r w:rsidR="003D1D77" w:rsidRPr="00523BF6">
        <w:rPr>
          <w:rFonts w:cs="Times New Roman"/>
          <w:sz w:val="22"/>
          <w:szCs w:val="22"/>
          <w:lang w:val="en-GB"/>
        </w:rPr>
        <w:t>Vaccines &amp; Immunity Theme, M</w:t>
      </w:r>
      <w:r w:rsidRPr="00523BF6">
        <w:rPr>
          <w:rFonts w:cs="Times New Roman"/>
          <w:sz w:val="22"/>
          <w:szCs w:val="22"/>
          <w:lang w:val="en-GB"/>
        </w:rPr>
        <w:t xml:space="preserve">RC </w:t>
      </w:r>
      <w:r w:rsidR="003D1D77" w:rsidRPr="00523BF6">
        <w:rPr>
          <w:rFonts w:cs="Times New Roman"/>
          <w:sz w:val="22"/>
          <w:szCs w:val="22"/>
          <w:lang w:val="en-GB"/>
        </w:rPr>
        <w:t>The Gambia, The Gambia.</w:t>
      </w:r>
    </w:p>
    <w:p w14:paraId="3AAA63CA" w14:textId="77777777" w:rsidR="004B0E72" w:rsidRPr="00523BF6" w:rsidRDefault="004B0E72" w:rsidP="00E33727">
      <w:pPr>
        <w:spacing w:line="480" w:lineRule="auto"/>
        <w:jc w:val="both"/>
        <w:rPr>
          <w:rFonts w:cs="Times New Roman"/>
          <w:sz w:val="22"/>
          <w:szCs w:val="22"/>
          <w:lang w:val="en-GB"/>
        </w:rPr>
      </w:pPr>
    </w:p>
    <w:p w14:paraId="7EE29129" w14:textId="594EFF0A" w:rsidR="007B16B9" w:rsidRPr="00523BF6" w:rsidRDefault="007B16B9" w:rsidP="00E33727">
      <w:pPr>
        <w:spacing w:line="480" w:lineRule="auto"/>
        <w:jc w:val="both"/>
        <w:rPr>
          <w:rFonts w:cs="Times New Roman"/>
          <w:sz w:val="22"/>
          <w:szCs w:val="22"/>
          <w:lang w:val="en-GB"/>
        </w:rPr>
      </w:pPr>
      <w:r w:rsidRPr="00523BF6">
        <w:rPr>
          <w:rFonts w:cs="Times New Roman"/>
          <w:sz w:val="22"/>
          <w:szCs w:val="22"/>
          <w:lang w:val="en-GB"/>
        </w:rPr>
        <w:t>Corresponding Author: Beth Holder</w:t>
      </w:r>
    </w:p>
    <w:p w14:paraId="54E7BD1E" w14:textId="77777777" w:rsidR="007B16B9" w:rsidRPr="00523BF6" w:rsidRDefault="007B16B9" w:rsidP="00E33727">
      <w:pPr>
        <w:spacing w:line="480" w:lineRule="auto"/>
        <w:jc w:val="both"/>
        <w:rPr>
          <w:rFonts w:cs="Times New Roman"/>
          <w:sz w:val="22"/>
          <w:szCs w:val="22"/>
          <w:lang w:val="en-GB"/>
        </w:rPr>
      </w:pPr>
    </w:p>
    <w:p w14:paraId="4A94291D" w14:textId="77777777" w:rsidR="00B71BC8" w:rsidRPr="00523BF6" w:rsidRDefault="00B71BC8" w:rsidP="00B71BC8">
      <w:pPr>
        <w:spacing w:line="480" w:lineRule="auto"/>
        <w:jc w:val="both"/>
        <w:rPr>
          <w:b/>
          <w:color w:val="333333"/>
          <w:sz w:val="22"/>
          <w:szCs w:val="22"/>
        </w:rPr>
      </w:pPr>
      <w:r w:rsidRPr="00523BF6">
        <w:rPr>
          <w:b/>
          <w:color w:val="333333"/>
          <w:sz w:val="22"/>
          <w:szCs w:val="22"/>
        </w:rPr>
        <w:t>Keywords</w:t>
      </w:r>
    </w:p>
    <w:p w14:paraId="30FA07DE" w14:textId="77777777" w:rsidR="00B71BC8" w:rsidRPr="00523BF6" w:rsidRDefault="00B71BC8" w:rsidP="00B71BC8">
      <w:pPr>
        <w:spacing w:line="480" w:lineRule="auto"/>
        <w:jc w:val="both"/>
        <w:rPr>
          <w:color w:val="333333"/>
          <w:sz w:val="22"/>
          <w:szCs w:val="22"/>
        </w:rPr>
      </w:pPr>
      <w:r w:rsidRPr="00523BF6">
        <w:rPr>
          <w:color w:val="333333"/>
          <w:sz w:val="22"/>
          <w:szCs w:val="22"/>
        </w:rPr>
        <w:t>Explants; trophoblast; exosomes; extracellular vesicles; immunology; reproductive immunology; macrophages; cytokines</w:t>
      </w:r>
    </w:p>
    <w:p w14:paraId="023D4BD3" w14:textId="77777777" w:rsidR="00B71BC8" w:rsidRPr="00523BF6" w:rsidRDefault="00B71BC8" w:rsidP="00E33727">
      <w:pPr>
        <w:spacing w:line="480" w:lineRule="auto"/>
        <w:jc w:val="both"/>
        <w:rPr>
          <w:sz w:val="22"/>
        </w:rPr>
      </w:pPr>
    </w:p>
    <w:p w14:paraId="0DDF386C" w14:textId="3537DC06" w:rsidR="00117FA3" w:rsidRPr="00523BF6" w:rsidRDefault="00117FA3" w:rsidP="00E33727">
      <w:pPr>
        <w:spacing w:line="480" w:lineRule="auto"/>
        <w:jc w:val="both"/>
        <w:outlineLvl w:val="0"/>
        <w:rPr>
          <w:rFonts w:cs="Times New Roman"/>
          <w:b/>
          <w:sz w:val="22"/>
          <w:szCs w:val="22"/>
          <w:lang w:val="en-GB"/>
        </w:rPr>
      </w:pPr>
      <w:r w:rsidRPr="00523BF6">
        <w:rPr>
          <w:rFonts w:cs="Times New Roman"/>
          <w:b/>
          <w:sz w:val="22"/>
          <w:szCs w:val="22"/>
          <w:lang w:val="en-GB"/>
        </w:rPr>
        <w:t>Abstract</w:t>
      </w:r>
    </w:p>
    <w:p w14:paraId="47843025" w14:textId="27EBC25C" w:rsidR="00117FA3" w:rsidRPr="00523BF6" w:rsidRDefault="00F306B9" w:rsidP="00E33727">
      <w:pPr>
        <w:spacing w:line="480" w:lineRule="auto"/>
        <w:jc w:val="both"/>
        <w:rPr>
          <w:color w:val="333333"/>
          <w:sz w:val="22"/>
          <w:szCs w:val="22"/>
        </w:rPr>
      </w:pPr>
      <w:r w:rsidRPr="00523BF6">
        <w:rPr>
          <w:color w:val="333333"/>
          <w:sz w:val="22"/>
          <w:szCs w:val="22"/>
        </w:rPr>
        <w:t>The placenta sheds extracellular vesicles (EVs), including exosomes, into the maternal circulation. We recently demonstrated that this trafficking of EVs is bi‐directional; with uptake of macrophage exosomes by the placenta inducing cytokine release. The specificity of this response is currently unknown. THP-1 cells were cultured as monocytes or differentiated to macrophages, and EVs isolated by ultra-centrifugation. The effect of EVs on human placental explants was measured by cytokine ELISA/luminex. Macrophage, but not monocyte, EVs induce the release of pro-inflammatory cytokines by the placenta. Thus</w:t>
      </w:r>
      <w:r w:rsidR="00671025" w:rsidRPr="00523BF6">
        <w:rPr>
          <w:color w:val="333333"/>
          <w:sz w:val="22"/>
          <w:szCs w:val="22"/>
        </w:rPr>
        <w:t>,</w:t>
      </w:r>
      <w:r w:rsidRPr="00523BF6">
        <w:rPr>
          <w:color w:val="333333"/>
          <w:sz w:val="22"/>
          <w:szCs w:val="22"/>
        </w:rPr>
        <w:t xml:space="preserve"> placental response</w:t>
      </w:r>
      <w:r w:rsidR="00671025" w:rsidRPr="00523BF6">
        <w:rPr>
          <w:color w:val="333333"/>
          <w:sz w:val="22"/>
          <w:szCs w:val="22"/>
        </w:rPr>
        <w:t>s</w:t>
      </w:r>
      <w:r w:rsidRPr="00523BF6">
        <w:rPr>
          <w:color w:val="333333"/>
          <w:sz w:val="22"/>
          <w:szCs w:val="22"/>
        </w:rPr>
        <w:t xml:space="preserve"> to immune cell EVs, including exosomes, reflects the phenotype of the source cell.</w:t>
      </w:r>
    </w:p>
    <w:p w14:paraId="0DDBF459" w14:textId="77777777" w:rsidR="007B16B9" w:rsidRPr="00523BF6" w:rsidRDefault="007B16B9" w:rsidP="00E33727">
      <w:pPr>
        <w:spacing w:line="480" w:lineRule="auto"/>
        <w:jc w:val="both"/>
        <w:rPr>
          <w:color w:val="333333"/>
          <w:sz w:val="22"/>
          <w:szCs w:val="22"/>
        </w:rPr>
      </w:pPr>
    </w:p>
    <w:p w14:paraId="040A6B8A" w14:textId="77777777" w:rsidR="00E33727" w:rsidRPr="00523BF6" w:rsidRDefault="00E33727" w:rsidP="00E33727">
      <w:pPr>
        <w:spacing w:line="480" w:lineRule="auto"/>
        <w:jc w:val="both"/>
        <w:rPr>
          <w:color w:val="333333"/>
          <w:sz w:val="22"/>
          <w:szCs w:val="22"/>
        </w:rPr>
      </w:pPr>
    </w:p>
    <w:p w14:paraId="1ECC3A64" w14:textId="77777777" w:rsidR="00E33727" w:rsidRPr="00523BF6" w:rsidRDefault="00E33727" w:rsidP="00E33727">
      <w:pPr>
        <w:spacing w:line="480" w:lineRule="auto"/>
        <w:jc w:val="both"/>
        <w:rPr>
          <w:color w:val="333333"/>
          <w:sz w:val="22"/>
          <w:szCs w:val="22"/>
        </w:rPr>
      </w:pPr>
    </w:p>
    <w:p w14:paraId="1BE8DD15" w14:textId="77777777" w:rsidR="00E33727" w:rsidRPr="00523BF6" w:rsidRDefault="00E33727" w:rsidP="00E33727">
      <w:pPr>
        <w:spacing w:line="480" w:lineRule="auto"/>
        <w:jc w:val="both"/>
        <w:rPr>
          <w:color w:val="333333"/>
          <w:sz w:val="22"/>
          <w:szCs w:val="22"/>
        </w:rPr>
      </w:pPr>
    </w:p>
    <w:p w14:paraId="4F761E6F" w14:textId="77777777" w:rsidR="00E33727" w:rsidRPr="00523BF6" w:rsidRDefault="00E33727" w:rsidP="00E33727">
      <w:pPr>
        <w:spacing w:line="480" w:lineRule="auto"/>
        <w:jc w:val="both"/>
        <w:rPr>
          <w:color w:val="333333"/>
          <w:sz w:val="22"/>
          <w:szCs w:val="22"/>
        </w:rPr>
      </w:pPr>
    </w:p>
    <w:p w14:paraId="017A5DD2" w14:textId="77777777" w:rsidR="00E33727" w:rsidRPr="00523BF6" w:rsidRDefault="00E33727" w:rsidP="00E33727">
      <w:pPr>
        <w:spacing w:line="480" w:lineRule="auto"/>
        <w:jc w:val="both"/>
        <w:rPr>
          <w:color w:val="333333"/>
          <w:sz w:val="22"/>
          <w:szCs w:val="22"/>
        </w:rPr>
      </w:pPr>
    </w:p>
    <w:p w14:paraId="4E6DFE6E" w14:textId="77777777" w:rsidR="00E33727" w:rsidRPr="00523BF6" w:rsidRDefault="00E33727" w:rsidP="00E33727">
      <w:pPr>
        <w:spacing w:line="480" w:lineRule="auto"/>
        <w:jc w:val="both"/>
        <w:rPr>
          <w:color w:val="333333"/>
          <w:sz w:val="22"/>
          <w:szCs w:val="22"/>
        </w:rPr>
      </w:pPr>
    </w:p>
    <w:p w14:paraId="6CC6A431" w14:textId="77777777" w:rsidR="00E33727" w:rsidRPr="00523BF6" w:rsidRDefault="00E33727" w:rsidP="00E33727">
      <w:pPr>
        <w:spacing w:line="480" w:lineRule="auto"/>
        <w:jc w:val="both"/>
        <w:rPr>
          <w:color w:val="333333"/>
          <w:sz w:val="22"/>
          <w:szCs w:val="22"/>
        </w:rPr>
      </w:pPr>
    </w:p>
    <w:p w14:paraId="55BDB686" w14:textId="6A1019A1" w:rsidR="003C091B" w:rsidRPr="00523BF6" w:rsidRDefault="003C091B" w:rsidP="00E33727">
      <w:pPr>
        <w:spacing w:line="480" w:lineRule="auto"/>
        <w:jc w:val="both"/>
        <w:outlineLvl w:val="0"/>
        <w:rPr>
          <w:rFonts w:cs="Times New Roman"/>
          <w:b/>
          <w:sz w:val="22"/>
          <w:szCs w:val="22"/>
          <w:lang w:val="en-GB"/>
        </w:rPr>
      </w:pPr>
      <w:r w:rsidRPr="00523BF6">
        <w:rPr>
          <w:rFonts w:cs="Times New Roman"/>
          <w:b/>
          <w:sz w:val="22"/>
          <w:szCs w:val="22"/>
          <w:lang w:val="en-GB"/>
        </w:rPr>
        <w:t>Introduction</w:t>
      </w:r>
    </w:p>
    <w:p w14:paraId="6FEB5CE2" w14:textId="64C3DF84" w:rsidR="00E54911" w:rsidRPr="00523BF6" w:rsidRDefault="00473FB2" w:rsidP="00E33727">
      <w:pPr>
        <w:widowControl w:val="0"/>
        <w:tabs>
          <w:tab w:val="left" w:pos="4536"/>
        </w:tabs>
        <w:autoSpaceDE w:val="0"/>
        <w:autoSpaceDN w:val="0"/>
        <w:adjustRightInd w:val="0"/>
        <w:spacing w:line="480" w:lineRule="auto"/>
        <w:jc w:val="both"/>
        <w:rPr>
          <w:rFonts w:cs="Arial"/>
          <w:sz w:val="22"/>
          <w:szCs w:val="22"/>
        </w:rPr>
      </w:pPr>
      <w:r w:rsidRPr="00523BF6">
        <w:rPr>
          <w:rFonts w:cs="Arial"/>
          <w:sz w:val="22"/>
          <w:szCs w:val="22"/>
        </w:rPr>
        <w:t>Extracellular vesicles</w:t>
      </w:r>
      <w:r w:rsidR="00337A34" w:rsidRPr="00523BF6">
        <w:rPr>
          <w:rFonts w:cs="Arial"/>
          <w:sz w:val="22"/>
          <w:szCs w:val="22"/>
        </w:rPr>
        <w:t xml:space="preserve"> (EVs)</w:t>
      </w:r>
      <w:r w:rsidRPr="00523BF6">
        <w:rPr>
          <w:rFonts w:cs="Arial"/>
          <w:sz w:val="22"/>
          <w:szCs w:val="22"/>
        </w:rPr>
        <w:t xml:space="preserve">, including microvesicles and exosomes, </w:t>
      </w:r>
      <w:r w:rsidR="00337A34" w:rsidRPr="00523BF6">
        <w:rPr>
          <w:rFonts w:cs="Arial"/>
          <w:sz w:val="22"/>
          <w:szCs w:val="22"/>
        </w:rPr>
        <w:t xml:space="preserve">are </w:t>
      </w:r>
      <w:r w:rsidR="00926C89" w:rsidRPr="00523BF6">
        <w:rPr>
          <w:rFonts w:cs="Arial"/>
          <w:sz w:val="22"/>
          <w:szCs w:val="22"/>
        </w:rPr>
        <w:t>intricately involved in</w:t>
      </w:r>
      <w:r w:rsidR="00337A34" w:rsidRPr="00523BF6">
        <w:rPr>
          <w:rFonts w:cs="Arial"/>
          <w:sz w:val="22"/>
          <w:szCs w:val="22"/>
        </w:rPr>
        <w:t xml:space="preserve"> </w:t>
      </w:r>
      <w:r w:rsidRPr="00523BF6">
        <w:rPr>
          <w:rFonts w:cs="Arial"/>
          <w:sz w:val="22"/>
          <w:szCs w:val="22"/>
        </w:rPr>
        <w:t>cell-cell communication</w:t>
      </w:r>
      <w:r w:rsidR="00926C89" w:rsidRPr="00523BF6">
        <w:rPr>
          <w:rFonts w:cs="Arial"/>
          <w:sz w:val="22"/>
          <w:szCs w:val="22"/>
        </w:rPr>
        <w:t>. P</w:t>
      </w:r>
      <w:r w:rsidRPr="00523BF6">
        <w:rPr>
          <w:rFonts w:cs="Arial"/>
          <w:color w:val="000000"/>
          <w:sz w:val="22"/>
          <w:szCs w:val="22"/>
        </w:rPr>
        <w:t xml:space="preserve">lacental EVs </w:t>
      </w:r>
      <w:r w:rsidR="00337A34" w:rsidRPr="00523BF6">
        <w:rPr>
          <w:rFonts w:cs="Arial"/>
          <w:color w:val="000000"/>
          <w:sz w:val="22"/>
          <w:szCs w:val="22"/>
        </w:rPr>
        <w:t xml:space="preserve">have been </w:t>
      </w:r>
      <w:r w:rsidR="00622320" w:rsidRPr="00523BF6">
        <w:rPr>
          <w:rFonts w:cs="Arial"/>
          <w:color w:val="000000"/>
          <w:sz w:val="22"/>
          <w:szCs w:val="22"/>
        </w:rPr>
        <w:t>demonstrated</w:t>
      </w:r>
      <w:r w:rsidR="00337A34" w:rsidRPr="00523BF6">
        <w:rPr>
          <w:rFonts w:cs="Arial"/>
          <w:color w:val="000000"/>
          <w:sz w:val="22"/>
          <w:szCs w:val="22"/>
        </w:rPr>
        <w:t xml:space="preserve"> to </w:t>
      </w:r>
      <w:r w:rsidRPr="00523BF6">
        <w:rPr>
          <w:rFonts w:cs="Arial"/>
          <w:color w:val="000000"/>
          <w:sz w:val="22"/>
          <w:szCs w:val="22"/>
        </w:rPr>
        <w:t xml:space="preserve">interact with </w:t>
      </w:r>
      <w:r w:rsidR="00926C89" w:rsidRPr="00523BF6">
        <w:rPr>
          <w:rFonts w:cs="Arial"/>
          <w:color w:val="000000"/>
          <w:sz w:val="22"/>
          <w:szCs w:val="22"/>
        </w:rPr>
        <w:t>maternal immune cells</w:t>
      </w:r>
      <w:r w:rsidRPr="00523BF6">
        <w:rPr>
          <w:rFonts w:cs="Arial"/>
          <w:color w:val="000000"/>
          <w:sz w:val="22"/>
          <w:szCs w:val="22"/>
        </w:rPr>
        <w:t>, modulating their function</w:t>
      </w:r>
      <w:r w:rsidR="00926C89" w:rsidRPr="00523BF6">
        <w:rPr>
          <w:rFonts w:cs="Arial"/>
          <w:color w:val="000000"/>
          <w:sz w:val="22"/>
          <w:szCs w:val="22"/>
        </w:rPr>
        <w:t xml:space="preserve">; including inducing </w:t>
      </w:r>
      <w:r w:rsidR="00FB4DED" w:rsidRPr="00523BF6">
        <w:rPr>
          <w:rFonts w:cs="Arial"/>
          <w:color w:val="000000"/>
          <w:sz w:val="22"/>
          <w:szCs w:val="22"/>
        </w:rPr>
        <w:t xml:space="preserve">immune cell </w:t>
      </w:r>
      <w:r w:rsidR="00337A34" w:rsidRPr="00523BF6">
        <w:rPr>
          <w:rFonts w:cs="Arial"/>
          <w:color w:val="000000"/>
          <w:sz w:val="22"/>
          <w:szCs w:val="22"/>
        </w:rPr>
        <w:t>cyto</w:t>
      </w:r>
      <w:r w:rsidR="00926C89" w:rsidRPr="00523BF6">
        <w:rPr>
          <w:rFonts w:cs="Arial"/>
          <w:color w:val="000000"/>
          <w:sz w:val="22"/>
          <w:szCs w:val="22"/>
        </w:rPr>
        <w:t>kine responses</w:t>
      </w:r>
      <w:r w:rsidR="00337A34" w:rsidRPr="00523BF6">
        <w:rPr>
          <w:rFonts w:cs="Arial"/>
          <w:color w:val="000000"/>
          <w:sz w:val="22"/>
          <w:szCs w:val="22"/>
        </w:rPr>
        <w:t xml:space="preserve"> </w:t>
      </w:r>
      <w:r w:rsidRPr="00523BF6">
        <w:rPr>
          <w:rStyle w:val="apple-converted-space"/>
          <w:rFonts w:cs="Arial"/>
          <w:color w:val="000000"/>
          <w:sz w:val="22"/>
          <w:szCs w:val="22"/>
        </w:rPr>
        <w:fldChar w:fldCharType="begin" w:fldLock="1"/>
      </w:r>
      <w:r w:rsidR="007E4684" w:rsidRPr="00523BF6">
        <w:rPr>
          <w:rStyle w:val="apple-converted-space"/>
          <w:rFonts w:cs="Arial"/>
          <w:color w:val="000000"/>
          <w:sz w:val="22"/>
          <w:szCs w:val="22"/>
        </w:rPr>
        <w:instrText>ADDIN CSL_CITATION { "citationItems" : [ { "id" : "ITEM-1", "itemData" : { "DOI" : "10.1371/journal.pone.0020245", "ISSN" : "1932-6203", "PMID" : "21633494", "abstract" : "Immune adaptation is a critical component of successful pregnancy. Of primary importance is the modification of cytokine production upon immune activation. With the discovery that normal pregnancy itself is a pro-inflammatory state, it was recognised that the classical Th1/Th2 cytokine paradigm, with a shift towards 'type 2' cytokine production (important for antibody production), and away from 'type 1' immunity (associated with cell mediated immunity and graft rejection), is too simplistic. It is now generally agreed that both arms of cytokine immunity are activated, but with a bias towards 'type 2' immunity. Many factors are released from the placenta that can influence the maternal cytokine balance. Here we focus on syncytiotrophoblast microvesicles (STBM) which are shed from the placenta into the maternal circulation. We show that STBM can bind to monocytes and B cells and induce cytokine release (TNF\u03b1, MIP-1\u03b1, IL-1\u03b1, IL-1\u03b2, IL-6, IL-8). Other cytokines are down-modulated, such as IP-10 which is associated with 'type 1' immunity. Therefore STBM may aid the 'type 2' skewed nature of normal pregnancy. We also observed that PBMC from third trimester normal pregnant women produce more TNF\u03b1 and IL-6 in response to STBM than PBMC from non-pregnant women, confirming that maternal immune cells are primed by pregnancy, possibly through their interaction with STBM.", "author" : [ { "dropping-particle" : "", "family" : "Southcombe", "given" : "Jennifer", "non-dropping-particle" : "", "parse-names" : false, "suffix" : "" }, { "dropping-particle" : "", "family" : "Tannetta", "given" : "Dionne", "non-dropping-particle" : "", "parse-names" : false, "suffix" : "" }, { "dropping-particle" : "", "family" : "Redman", "given" : "Christopher", "non-dropping-particle" : "", "parse-names" : false, "suffix" : "" }, { "dropping-particle" : "", "family" : "Sargent", "given" : "Ian", "non-dropping-particle" : "", "parse-names" : false, "suffix" : "" } ], "container-title" : "PloS one", "id" : "ITEM-1", "issue" : "5", "issued" : { "date-parts" : [ [ "2011", "1" ] ] }, "page" : "e20245", "title" : "The immunomodulatory role of syncytiotrophoblast microvesicles.", "type" : "article-journal", "volume" : "6" }, "uris" : [ "http://www.mendeley.com/documents/?uuid=f759fd60-d4e0-43a1-9d32-0fd12fba5a5d" ] }, { "id" : "ITEM-2", "itemData" : { "ISBN" : "1529-7268 (Electronic) 0006-3363 (Linking)", "PMID" : "22205696", "abstract" : "Normal pregnancy is associated with the presence of circulating placental microvesicles (MVs). Increased MV shedding and altered immune activation are seen in patients with preeclampsia, suggesting that placental MVs may play a role in the pathophysiology of this disease. Therefore, the aim of this study was to investigate the activation of peripheral blood mononuclear cells (PBMCs) by MVs shed by first-trimester, normal term, and preeclamptic term placenta. First-trimester and preeclamptic term, but not normal term, placental-derived MVs activated PBMCs, as evidenced by elevated IL1B. Significant changes were also seen with several other cytokines and chemokines, and in general when compared to normal term MVs, preeclamptic MVs induced a greater pro-inflammatory response in PBMCs. Pretreatment of PBMCs with first-trimester or normal term placental MVs resulted in a dampened IL1B response to a subsequent lipopolysaccharide (LPS) challenge. In contrast, treatment of PBMCs with preeclamptic term placental MVs exacerbated the LPS response. This was also the case for several other cytokines and chemokines. These studies suggest that placental MVs can modulate basal peripheral immune cell activation and responsiveness to LPS during normal pregnancy, and that in preeclampsia this effect is exacerbated.", "author" : [ { "dropping-particle" : "", "family" : "Holder", "given" : "B S", "non-dropping-particle" : "", "parse-names" : false, "suffix" : "" }, { "dropping-particle" : "", "family" : "Tower", "given" : "C L", "non-dropping-particle" : "", "parse-names" : false, "suffix" : "" }, { "dropping-particle" : "", "family" : "Jones", "given" : "C J", "non-dropping-particle" : "", "parse-names" : false, "suffix" : "" }, { "dropping-particle" : "", "family" : "Aplin", "given" : "J D", "non-dropping-particle" : "", "parse-names" : false, "suffix" : "" }, { "dropping-particle" : "", "family" : "Abrahams", "given" : "V M", "non-dropping-particle" : "", "parse-names" : false, "suffix" : "" } ], "container-title" : "Biol Reprod", "id" : "ITEM-2", "issue" : "4", "issued" : { "date-parts" : [ [ "2012" ] ] }, "note" : "Holder, Beth S\nTower, Clare L\nJones, Carolyn J P\nAplin, John D\nAbrahams, Vikki M\neng\nMedical Research Council/United Kingdom\nResearch Support, Non-U.S. Gov't\n2011/12/30 06:00\nBiol Reprod. 2012 Apr 5;86(4):103. doi: 10.1095/biolreprod.111.097014. Print 2012 Apr.", "page" : "103", "title" : "Heightened pro-inflammatory effect of preeclamptic placental microvesicles on peripheral blood immune cells in humans", "type" : "article-journal", "volume" : "86" }, "uris" : [ "http://www.mendeley.com/documents/?uuid=86a9f640-f4fc-4ff6-a191-7c04bf6f674b" ] }, { "id" : "ITEM-3", "itemData" : { "ISBN" : "1365-2567 (Electronic) 0019-2805 (Linking)", "PMID" : "22348442", "abstract" : "Envelope glycoproteins of human endogenous retrovirus (HERV), such as syncytin 1 (HERV-W), are highly expressed in the placenta and some family members have immunomodulatory properties. Placental microvesicles (MV), which are shed into the maternal circulation during pregnancy, have been demonstrated to induce immune cell activation. Therefore, the aim of this study was to investigate the immunological properties of the highly expressed placental HERV-W protein, syncytin 1, and its potential involvement in placental MV modulation of immune cell activity. The MV shed from first trimester, normal term and pre-eclamptic term placentas, and from the BeWo trophoblast cell line, all contain syncytin 1. Recombinant syncytin 1 and syncytin 1-positive BeWo trophoblast MV both induced peripheral blood mononuclear cell (PBMC) activation, indicated through production of cytokines and chemokines. Reducing syncytin 1 content in BeWo MV inhibited PBMC activation. Recombinant syncytin 1 and syncytin-1-positive BeWo MV dampened PBMC responses to lipopolysaccharide challenge. Our findings suggest that syncytin 1 is shed from the placenta into the maternal circulation in association with MV, and modulates immune cell activation and the responses of immune cells to subsequent lipopolysaccharide stimulation. These studies implicate placental MV-associated HERV in fetal regulation of the maternal immune system.", "author" : [ { "dropping-particle" : "", "family" : "Holder", "given" : "B S", "non-dropping-particle" : "", "parse-names" : false, "suffix" : "" }, { "dropping-particle" : "", "family" : "Tower", "given" : "C L", "non-dropping-particle" : "", "parse-names" : false, "suffix" : "" }, { "dropping-particle" : "", "family" : "Forbes", "given" : "K", "non-dropping-particle" : "", "parse-names" : false, "suffix" : "" }, { "dropping-particle" : "", "family" : "Mulla", "given" : "M J", "non-dropping-particle" : "", "parse-names" : false, "suffix" : "" }, { "dropping-particle" : "", "family" : "Aplin", "given" : "J D", "non-dropping-particle" : "", "parse-names" : false, "suffix" : "" }, { "dropping-particle" : "", "family" : "Abrahams", "given" : "V M", "non-dropping-particle" : "", "parse-names" : false, "suffix" : "" } ], "container-title" : "Immunology", "id" : "ITEM-3", "issue" : "2", "issued" : { "date-parts" : [ [ "2012" ] ] }, "note" : "Holder, Beth S\nTower, Clare L\nForbes, Karen\nMulla, Melissa J\nAplin, John D\nAbrahams, Vikki M\neng\nMedical Research Council/United Kingdom\nResearch Support, Non-U.S. Gov't\nEngland\n2012/02/22 06:00\nImmunology. 2012 Jun;136(2):184-91. doi: 10.1111/j.1365-2567.2012.03568.x.", "page" : "184-191", "title" : "Immune cell activation by trophoblast-derived microvesicles is mediated by syncytin 1", "type" : "article-journal", "volume" : "136" }, "uris" : [ "http://www.mendeley.com/documents/?uuid=76894970-4b0e-4471-be10-87b676aa4485" ] }, { "id" : "ITEM-4", "itemData" : { "PMID" : "20005571", "abstract" : "Normal pregnancy is associated with a systemic maternal inflammatory reaction, including the activation of peripheral blood monocytes. This reaction is exaggerated in pre-eclampsia, a severe placenta-dependent disorder of pregnancy specific to humans. It has been suggested that placental syncytiotrophoblast membrane microparticles (STBM), which are released into the peripheral blood, may contribute to the maternal response. The aim of this study was to investigate the inflammatory properties of STBM generated by four different approaches on primary human monocytes in vitro. Cellular viability, phenotype and functional response were analysed. STBM isolated by mechanical dissection and STBM generated from villous explant cultures incubated in hypoxic conditions had only minor influences on the monocytic phenotype and failed to induce a proinflammatory response. By contrast, STBM washed from the maternal side of a placental cotyledon and STBM shed by explants cultured in air up-regulated cell surface expression of the adhesion molecule CD54 and induced the production of interleukin (IL)-8, IL-6 and IL-1beta. Cytokine production was time- and dose-dependent. Our study, therefore, suggests that monocyte activation in normal pregnancy and pre-eclampsia may be induced by STBM released by the placenta. The higher amounts of STBM circulating in maternal blood in pre-eclampsia might lead to the excessive maternal inflammatory reaction.", "author" : [ { "dropping-particle" : "", "family" : "Messerli", "given" : "M", "non-dropping-particle" : "", "parse-names" : false, "suffix" : "" }, { "dropping-particle" : "", "family" : "May", "given" : "K", "non-dropping-particle" : "", "parse-names" : false, "suffix" : "" }, { "dropping-particle" : "", "family" : "Hansson", "given" : "S R", "non-dropping-particle" : "", "parse-names" : false, "suffix" : "" }, { "dropping-particle" : "", "family" : "Schneider", "given" : "H", "non-dropping-particle" : "", "parse-names" : false, "suffix" : "" }, { "dropping-particle" : "", "family" : "Holzgreve", "given" : "W", "non-dropping-particle" : "", "parse-names" : false, "suffix" : "" }, { "dropping-particle" : "", "family" : "Hahn", "given" : "S", "non-dropping-particle" : "", "parse-names" : false, "suffix" : "" }, { "dropping-particle" : "", "family" : "Rusterholz", "given" : "C", "non-dropping-particle" : "", "parse-names" : false, "suffix" : "" } ], "container-title" : "Placenta", "id" : "ITEM-4", "issued" : { "date-parts" : [ [ "2010" ] ] }, "page" : "106-112", "title" : "Feto-maternal interactions in pregnancies: placental microparticles activate peripheral blood monocytes.", "type" : "article-journal", "volume" : "31" }, "uris" : [ "http://www.mendeley.com/documents/?uuid=954ab3dc-13d4-445f-8ff3-de7aa151ad6d" ] }, { "id" : "ITEM-5", "itemData" : { "DOI" : "10.3389/fimmu.2014.00173", "ISSN" : "16643224", "PMID" : "24782870", "abstract" : "Human pregnancy is accompanied by a mild systemic inflammatory response, which includes the activation of monocytes circulating in maternal blood. This response is exaggerated in preeclampsia, a placental-dependent disorder specific to human pregnancies. We and others showed that placental syncytiotrophoblast membrane microparticles (STBM) generated in vitro from normal placentas stimulated peripheral blood monocytes, which suggest a contribution of STBM to the systemic maternal inflammation. Here, we analyzed the inflammatory potential of STBM prepared from preeclamptic placentas on primary monocytes and investigated the mode of action in vitro. STBM generated in vitro by placental villous explants of normal or preeclamptic placentas were co-incubated with human peripheral blood monocytes. In some cases, inhibitors of specific cellular functions or signaling pathways were used. The analysis of the monocytic response was performed by flow cytometry, enzyme-linked immunoassays, real-time PCR, and fluorescence microscopy. STBM derived from preeclamptic placentas up-regulated the cell surface expression of CD54, and stimulated the secretion of the pro-inflammatory interleukin (IL)-6 and IL-8 in a similar, dose-dependent manner as did STBM prepared from normal placentas. STBM bound to the cell surface of monocytes, but phagocytosis was not necessary for activation. STBM-induced cytokine secretion was impaired in the presence of inhibitors of toll-like receptor (TLR) signaling or when nuclear factor kappa-light-chain-enhancer of activated B cells (NF-\u03baB) activation was blocked. Our results suggest that the inflammatory reaction in monocytes may be initiated by the interaction of STBM with TLRs, which in turn signal through NF-\u03baB to mediate the transcription of genes coding for pro-inflammatory factors.", "author" : [ { "dropping-particle" : "", "family" : "Joerger-Messerli", "given" : "Marianne Simone", "non-dropping-particle" : "", "parse-names" : false, "suffix" : "" }, { "dropping-particle" : "", "family" : "Hoesli", "given" : "Irene Mathilde", "non-dropping-particle" : "", "parse-names" : false, "suffix" : "" }, { "dropping-particle" : "", "family" : "Rusterholz", "given" : "Corinne", "non-dropping-particle" : "", "parse-names" : false, "suffix" : "" }, { "dropping-particle" : "", "family" : "Lapaire", "given" : "Olav", "non-dropping-particle" : "", "parse-names" : false, "suffix" : "" } ], "container-title" : "Frontiers in Immunology", "id" : "ITEM-5", "issue" : "APR", "issued" : { "date-parts" : [ [ "2014" ] ] }, "title" : "Stimulation of monocytes by placental microparticles involves toll-like receptors and nuclear factor kappa-light-chain-enhancer of activated B cells", "type" : "article-journal", "volume" : "5" }, "uris" : [ "http://www.mendeley.com/documents/?uuid=f2b42225-0da4-475d-842b-655f894ca031" ] } ], "mendeley" : { "formattedCitation" : "[1\u20135]", "plainTextFormattedCitation" : "[1\u20135]", "previouslyFormattedCitation" : "[1\u20135]" }, "properties" : {  }, "schema" : "https://github.com/citation-style-language/schema/raw/master/csl-citation.json" }</w:instrText>
      </w:r>
      <w:r w:rsidRPr="00523BF6">
        <w:rPr>
          <w:rStyle w:val="apple-converted-space"/>
          <w:rFonts w:cs="Arial"/>
          <w:color w:val="000000"/>
          <w:sz w:val="22"/>
          <w:szCs w:val="22"/>
        </w:rPr>
        <w:fldChar w:fldCharType="separate"/>
      </w:r>
      <w:r w:rsidR="00E33727" w:rsidRPr="00523BF6">
        <w:rPr>
          <w:rStyle w:val="apple-converted-space"/>
          <w:rFonts w:cs="Arial"/>
          <w:noProof/>
          <w:color w:val="000000"/>
          <w:sz w:val="22"/>
          <w:szCs w:val="22"/>
        </w:rPr>
        <w:t>[1–5]</w:t>
      </w:r>
      <w:r w:rsidRPr="00523BF6">
        <w:rPr>
          <w:rStyle w:val="apple-converted-space"/>
          <w:rFonts w:cs="Arial"/>
          <w:color w:val="000000"/>
          <w:sz w:val="22"/>
          <w:szCs w:val="22"/>
        </w:rPr>
        <w:fldChar w:fldCharType="end"/>
      </w:r>
      <w:r w:rsidRPr="00523BF6">
        <w:rPr>
          <w:rFonts w:cs="Arial"/>
          <w:color w:val="000000"/>
          <w:sz w:val="22"/>
          <w:szCs w:val="22"/>
        </w:rPr>
        <w:t xml:space="preserve">. </w:t>
      </w:r>
      <w:r w:rsidRPr="00523BF6">
        <w:rPr>
          <w:rFonts w:cs="Arial"/>
          <w:sz w:val="22"/>
          <w:szCs w:val="22"/>
        </w:rPr>
        <w:t xml:space="preserve">We recently published the first demonstration that </w:t>
      </w:r>
      <w:r w:rsidR="00B41925" w:rsidRPr="00523BF6">
        <w:rPr>
          <w:rFonts w:cs="Arial"/>
          <w:sz w:val="22"/>
          <w:szCs w:val="22"/>
        </w:rPr>
        <w:t>EVs</w:t>
      </w:r>
      <w:r w:rsidRPr="00523BF6">
        <w:rPr>
          <w:rFonts w:cs="Arial"/>
          <w:sz w:val="22"/>
          <w:szCs w:val="22"/>
        </w:rPr>
        <w:t xml:space="preserve"> can also traffic</w:t>
      </w:r>
      <w:r w:rsidR="00926C89" w:rsidRPr="00523BF6">
        <w:rPr>
          <w:rFonts w:cs="Arial"/>
          <w:sz w:val="22"/>
          <w:szCs w:val="22"/>
        </w:rPr>
        <w:t xml:space="preserve"> from immune cells</w:t>
      </w:r>
      <w:r w:rsidRPr="00523BF6">
        <w:rPr>
          <w:rFonts w:cs="Arial"/>
          <w:sz w:val="22"/>
          <w:szCs w:val="22"/>
        </w:rPr>
        <w:t xml:space="preserve"> </w:t>
      </w:r>
      <w:r w:rsidRPr="00523BF6">
        <w:rPr>
          <w:rFonts w:cs="Arial"/>
          <w:i/>
          <w:sz w:val="22"/>
          <w:szCs w:val="22"/>
        </w:rPr>
        <w:t>to</w:t>
      </w:r>
      <w:r w:rsidRPr="00523BF6">
        <w:rPr>
          <w:rFonts w:cs="Arial"/>
          <w:sz w:val="22"/>
          <w:szCs w:val="22"/>
        </w:rPr>
        <w:t xml:space="preserve"> the placenta, modify</w:t>
      </w:r>
      <w:r w:rsidR="00622320" w:rsidRPr="00523BF6">
        <w:rPr>
          <w:rFonts w:cs="Arial"/>
          <w:sz w:val="22"/>
          <w:szCs w:val="22"/>
        </w:rPr>
        <w:t>ing</w:t>
      </w:r>
      <w:r w:rsidRPr="00523BF6">
        <w:rPr>
          <w:rFonts w:cs="Arial"/>
          <w:sz w:val="22"/>
          <w:szCs w:val="22"/>
        </w:rPr>
        <w:t xml:space="preserve"> </w:t>
      </w:r>
      <w:r w:rsidR="00337A34" w:rsidRPr="00523BF6">
        <w:rPr>
          <w:rFonts w:cs="Arial"/>
          <w:sz w:val="22"/>
          <w:szCs w:val="22"/>
        </w:rPr>
        <w:t>placental</w:t>
      </w:r>
      <w:r w:rsidRPr="00523BF6">
        <w:rPr>
          <w:rFonts w:cs="Arial"/>
          <w:sz w:val="22"/>
          <w:szCs w:val="22"/>
        </w:rPr>
        <w:t xml:space="preserve"> function</w:t>
      </w:r>
      <w:r w:rsidRPr="00523BF6">
        <w:rPr>
          <w:rFonts w:cs="Arial"/>
          <w:sz w:val="22"/>
          <w:szCs w:val="22"/>
        </w:rPr>
        <w:fldChar w:fldCharType="begin" w:fldLock="1"/>
      </w:r>
      <w:r w:rsidR="007E4684" w:rsidRPr="00523BF6">
        <w:rPr>
          <w:rFonts w:cs="Arial"/>
          <w:sz w:val="22"/>
          <w:szCs w:val="22"/>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Pr="00523BF6">
        <w:rPr>
          <w:rFonts w:cs="Arial"/>
          <w:sz w:val="22"/>
          <w:szCs w:val="22"/>
        </w:rPr>
        <w:fldChar w:fldCharType="separate"/>
      </w:r>
      <w:r w:rsidR="00E33727" w:rsidRPr="00523BF6">
        <w:rPr>
          <w:rFonts w:cs="Arial"/>
          <w:noProof/>
          <w:sz w:val="22"/>
          <w:szCs w:val="22"/>
        </w:rPr>
        <w:t>[6]</w:t>
      </w:r>
      <w:r w:rsidRPr="00523BF6">
        <w:rPr>
          <w:rFonts w:cs="Arial"/>
          <w:sz w:val="22"/>
          <w:szCs w:val="22"/>
        </w:rPr>
        <w:fldChar w:fldCharType="end"/>
      </w:r>
      <w:r w:rsidRPr="00523BF6">
        <w:rPr>
          <w:rFonts w:cs="Arial"/>
          <w:sz w:val="22"/>
          <w:szCs w:val="22"/>
        </w:rPr>
        <w:t xml:space="preserve">. </w:t>
      </w:r>
      <w:r w:rsidR="00CD2CFF" w:rsidRPr="00523BF6">
        <w:rPr>
          <w:rFonts w:cs="Arial"/>
          <w:sz w:val="22"/>
          <w:szCs w:val="22"/>
        </w:rPr>
        <w:t xml:space="preserve">Specifically, we showed that </w:t>
      </w:r>
      <w:r w:rsidR="00F210AB" w:rsidRPr="00523BF6">
        <w:rPr>
          <w:rFonts w:cs="Arial"/>
          <w:sz w:val="22"/>
          <w:szCs w:val="22"/>
        </w:rPr>
        <w:t xml:space="preserve">macrophage exosomes </w:t>
      </w:r>
      <w:r w:rsidR="00622320" w:rsidRPr="00523BF6">
        <w:rPr>
          <w:rFonts w:cs="Arial"/>
          <w:sz w:val="22"/>
          <w:szCs w:val="22"/>
        </w:rPr>
        <w:t xml:space="preserve">are taken up by the placenta </w:t>
      </w:r>
      <w:r w:rsidR="00F210AB" w:rsidRPr="00523BF6">
        <w:rPr>
          <w:rFonts w:cs="Arial"/>
          <w:sz w:val="22"/>
          <w:szCs w:val="22"/>
        </w:rPr>
        <w:t>via</w:t>
      </w:r>
      <w:r w:rsidR="00622320" w:rsidRPr="00523BF6">
        <w:rPr>
          <w:rFonts w:cs="Arial"/>
          <w:sz w:val="22"/>
          <w:szCs w:val="22"/>
        </w:rPr>
        <w:t xml:space="preserve"> clathrin-mediated endocytosis, and </w:t>
      </w:r>
      <w:r w:rsidR="007E4684" w:rsidRPr="00523BF6">
        <w:rPr>
          <w:rFonts w:cs="Arial"/>
          <w:sz w:val="22"/>
          <w:szCs w:val="22"/>
        </w:rPr>
        <w:t>induce the</w:t>
      </w:r>
      <w:r w:rsidR="00F210AB" w:rsidRPr="00523BF6">
        <w:rPr>
          <w:rFonts w:cs="Arial"/>
          <w:sz w:val="22"/>
          <w:szCs w:val="22"/>
        </w:rPr>
        <w:t xml:space="preserve"> release of </w:t>
      </w:r>
      <w:r w:rsidR="00CD2CFF" w:rsidRPr="00523BF6">
        <w:rPr>
          <w:rFonts w:cs="Arial"/>
          <w:sz w:val="22"/>
          <w:szCs w:val="22"/>
        </w:rPr>
        <w:t>pro-inflammatory cytokines</w:t>
      </w:r>
      <w:r w:rsidR="007E4684" w:rsidRPr="00523BF6">
        <w:rPr>
          <w:rFonts w:cs="Arial"/>
          <w:sz w:val="22"/>
          <w:szCs w:val="22"/>
        </w:rPr>
        <w:t xml:space="preserve"> </w:t>
      </w:r>
      <w:r w:rsidR="007E4684" w:rsidRPr="00523BF6">
        <w:rPr>
          <w:rFonts w:cs="Arial"/>
          <w:sz w:val="22"/>
          <w:szCs w:val="22"/>
        </w:rPr>
        <w:fldChar w:fldCharType="begin" w:fldLock="1"/>
      </w:r>
      <w:r w:rsidR="00C16710" w:rsidRPr="00523BF6">
        <w:rPr>
          <w:rFonts w:cs="Arial"/>
          <w:sz w:val="22"/>
          <w:szCs w:val="22"/>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007E4684" w:rsidRPr="00523BF6">
        <w:rPr>
          <w:rFonts w:cs="Arial"/>
          <w:sz w:val="22"/>
          <w:szCs w:val="22"/>
        </w:rPr>
        <w:fldChar w:fldCharType="separate"/>
      </w:r>
      <w:r w:rsidR="007E4684" w:rsidRPr="00523BF6">
        <w:rPr>
          <w:rFonts w:cs="Arial"/>
          <w:noProof/>
          <w:sz w:val="22"/>
          <w:szCs w:val="22"/>
        </w:rPr>
        <w:t>[6]</w:t>
      </w:r>
      <w:r w:rsidR="007E4684" w:rsidRPr="00523BF6">
        <w:rPr>
          <w:rFonts w:cs="Arial"/>
          <w:sz w:val="22"/>
          <w:szCs w:val="22"/>
        </w:rPr>
        <w:fldChar w:fldCharType="end"/>
      </w:r>
      <w:r w:rsidR="00CD2CFF" w:rsidRPr="00523BF6">
        <w:rPr>
          <w:rFonts w:cs="Arial"/>
          <w:sz w:val="22"/>
          <w:szCs w:val="22"/>
        </w:rPr>
        <w:t xml:space="preserve">. </w:t>
      </w:r>
    </w:p>
    <w:p w14:paraId="3C330ABF" w14:textId="77777777" w:rsidR="00E54911" w:rsidRPr="00523BF6" w:rsidRDefault="00E54911" w:rsidP="00E54911">
      <w:pPr>
        <w:widowControl w:val="0"/>
        <w:autoSpaceDE w:val="0"/>
        <w:autoSpaceDN w:val="0"/>
        <w:adjustRightInd w:val="0"/>
        <w:spacing w:line="480" w:lineRule="auto"/>
        <w:jc w:val="both"/>
        <w:rPr>
          <w:rFonts w:cs="Arial"/>
          <w:sz w:val="22"/>
          <w:szCs w:val="22"/>
        </w:rPr>
      </w:pPr>
    </w:p>
    <w:p w14:paraId="3B375686" w14:textId="46D776D4" w:rsidR="00926C89" w:rsidRPr="00523BF6" w:rsidRDefault="00E54911" w:rsidP="00624327">
      <w:pPr>
        <w:widowControl w:val="0"/>
        <w:autoSpaceDE w:val="0"/>
        <w:autoSpaceDN w:val="0"/>
        <w:adjustRightInd w:val="0"/>
        <w:spacing w:line="480" w:lineRule="auto"/>
        <w:jc w:val="both"/>
        <w:rPr>
          <w:rFonts w:cs="Arial"/>
          <w:noProof/>
          <w:sz w:val="22"/>
          <w:szCs w:val="22"/>
        </w:rPr>
      </w:pPr>
      <w:r w:rsidRPr="00523BF6">
        <w:rPr>
          <w:rFonts w:cs="Arial"/>
          <w:sz w:val="22"/>
          <w:szCs w:val="22"/>
        </w:rPr>
        <w:t xml:space="preserve">Macrophages are the </w:t>
      </w:r>
      <w:r w:rsidRPr="00523BF6">
        <w:rPr>
          <w:rFonts w:cs="Arial"/>
          <w:color w:val="000000" w:themeColor="text1"/>
          <w:sz w:val="22"/>
          <w:szCs w:val="22"/>
        </w:rPr>
        <w:t>main professional antigen-presenting cell in the decidua, and are proposed to aid in tissue remodeling through phagocytosis and secretion of cytokines</w:t>
      </w:r>
      <w:r w:rsidRPr="00523BF6">
        <w:rPr>
          <w:rFonts w:cs="Arial"/>
          <w:color w:val="000000" w:themeColor="text1"/>
          <w:sz w:val="22"/>
          <w:szCs w:val="22"/>
        </w:rPr>
        <w:fldChar w:fldCharType="begin" w:fldLock="1"/>
      </w:r>
      <w:r w:rsidR="009506DF" w:rsidRPr="00523BF6">
        <w:rPr>
          <w:rFonts w:cs="Arial"/>
          <w:color w:val="000000" w:themeColor="text1"/>
          <w:sz w:val="22"/>
          <w:szCs w:val="22"/>
        </w:rPr>
        <w:instrText>ADDIN CSL_CITATION { "citationItems" : [ { "id" : "ITEM-1", "itemData" : { "DOI" : "10.1111/j.1600-0897.2004.00156.x", "ISSN" : "8755-8920", "PMID" : "15212680", "abstract" : "BACKGROUND During implantation, apoptosis is critical for the appropriate tissue remodeling of the maternal decidua and invasion of the developing embryo, yet the regulation of apoptosis is also imperative for a successful pregnancy. The quick and effective removal of apoptotic cells by tissue macrophages represents an essential process, which prevents the release of self-antigens, and in the case of pregnancy, paternal alloantigens. METHODS OF STUDY Recent studies have shown that the process of apoptotic cell clearance is not a neutral event, but rather an active one that induces macrophage production of anti-inflammatory cytokines and survival factors. Apoptotic cell clearance is, therefore, necessary for the resolution of inflammatory conditions, which during pregnancy could have lethal consequences. CONCLUSIONS The function of the maternal immune system during implantation and throughout pregnancy is, therefore, an important area of investigation. This review will discuss the role of decidual macrophages in apoptotic cell clearance during pregnancy.", "author" : [ { "dropping-particle" : "", "family" : "Abrahams", "given" : "Vikki M.", "non-dropping-particle" : "", "parse-names" : false, "suffix" : "" }, { "dropping-particle" : "", "family" : "Kim", "given" : "Yeon Mee", "non-dropping-particle" : "", "parse-names" : false, "suffix" : "" }, { "dropping-particle" : "", "family" : "Straszewski", "given" : "Shawn L.", "non-dropping-particle" : "", "parse-names" : false, "suffix" : "" }, { "dropping-particle" : "", "family" : "Romero", "given" : "Roberto", "non-dropping-particle" : "", "parse-names" : false, "suffix" : "" }, { "dropping-particle" : "", "family" : "Mor", "given" : "Gil", "non-dropping-particle" : "", "parse-names" : false, "suffix" : "" } ], "container-title" : "American Journal of Reproductive Immunology", "id" : "ITEM-1", "issue" : "4", "issued" : { "date-parts" : [ [ "2004", "4" ] ] }, "page" : "275-282", "publisher" : "Blackwell Publishing", "title" : "Macrophages and Apoptotic Cell Clearance During Pregnancy", "type" : "article-journal", "volume" : "51" }, "uris" : [ "http://www.mendeley.com/documents/?uuid=f72aea00-1ff4-4ef6-b176-7106ff3781e2" ] } ], "mendeley" : { "formattedCitation" : "[7]", "plainTextFormattedCitation" : "[7]", "previouslyFormattedCitation" : "[7]" }, "properties" : {  }, "schema" : "https://github.com/citation-style-language/schema/raw/master/csl-citation.json" }</w:instrText>
      </w:r>
      <w:r w:rsidRPr="00523BF6">
        <w:rPr>
          <w:rFonts w:cs="Arial"/>
          <w:color w:val="000000" w:themeColor="text1"/>
          <w:sz w:val="22"/>
          <w:szCs w:val="22"/>
        </w:rPr>
        <w:fldChar w:fldCharType="separate"/>
      </w:r>
      <w:r w:rsidR="002F13DA" w:rsidRPr="00523BF6">
        <w:rPr>
          <w:rFonts w:cs="Arial"/>
          <w:noProof/>
          <w:color w:val="000000" w:themeColor="text1"/>
          <w:sz w:val="22"/>
          <w:szCs w:val="22"/>
        </w:rPr>
        <w:t>[7]</w:t>
      </w:r>
      <w:r w:rsidRPr="00523BF6">
        <w:rPr>
          <w:rFonts w:cs="Arial"/>
          <w:color w:val="000000" w:themeColor="text1"/>
          <w:sz w:val="22"/>
          <w:szCs w:val="22"/>
        </w:rPr>
        <w:fldChar w:fldCharType="end"/>
      </w:r>
      <w:r w:rsidRPr="00523BF6">
        <w:rPr>
          <w:rFonts w:cs="Arial"/>
          <w:color w:val="000000" w:themeColor="text1"/>
          <w:sz w:val="22"/>
          <w:szCs w:val="22"/>
        </w:rPr>
        <w:t xml:space="preserve">. </w:t>
      </w:r>
      <w:r w:rsidRPr="00523BF6">
        <w:rPr>
          <w:rFonts w:cs="Arial"/>
          <w:noProof/>
          <w:sz w:val="22"/>
          <w:szCs w:val="22"/>
        </w:rPr>
        <w:t>Co-culture and conditioned media experiments have previously shown that macrophages release molecules that exert a range of functional responses in the placenta, including trophoblast differentiation, migration and immunological responses</w:t>
      </w:r>
      <w:r w:rsidR="00926C89" w:rsidRPr="00523BF6">
        <w:rPr>
          <w:rFonts w:cs="Arial"/>
          <w:noProof/>
          <w:sz w:val="22"/>
          <w:szCs w:val="22"/>
        </w:rPr>
        <w:t xml:space="preserve"> </w:t>
      </w:r>
      <w:r w:rsidRPr="00523BF6">
        <w:rPr>
          <w:rFonts w:cs="Arial"/>
          <w:sz w:val="22"/>
          <w:szCs w:val="22"/>
        </w:rPr>
        <w:fldChar w:fldCharType="begin" w:fldLock="1"/>
      </w:r>
      <w:r w:rsidR="009506DF" w:rsidRPr="00523BF6">
        <w:rPr>
          <w:rFonts w:cs="Arial"/>
          <w:sz w:val="22"/>
          <w:szCs w:val="22"/>
        </w:rPr>
        <w:instrText>ADDIN CSL_CITATION { "citationItems" : [ { "id" : "ITEM-1", "itemData" : { "DOI" : "10.1111/j.1600-0897.2010.00979.x", "ISSN" : "1600-0897", "PMID" : "21276119", "abstract" : "PROBLEM Decidual macrophages are thought to promote pregnancy success, in part through interactions with invading trophoblast cells in hemochorial placentation. However, the factors that constitute this regulatory cross talk are not well understood. METHOD OF STUDY Rhesus monkey decidual and peripheral blood-derived macrophages were co-cultured with primary Rhesus trophoblasts. Macrophage functions including cell-surface marker expression, antigen uptake and processing, in vitro migration, and cytokine and chemokine secretions were evaluated. RESULTS While most macrophage functions were unchanged by trophoblast co-culture, changes in the secretion of selected cytokines and the migration of trophoblasts were noted when decidual (but generally, not peripheral blood monocyte-derived) macrophages were cultured with trophoblasts. In addition, basal secretion differed significantly between peripheral blood-derived and decidual macrophages for a broad spectrum of cytokines. When trophoblasts were pre-treated with an anti-Mamu-AG antibody, 25D3, there was no change in cytokine or chemokine secretion. CONCLUSION Macrophage cytokine expression can be modulated by trophoblast co-culture, but it remains unclear how Mamu-AG is involved.", "author" : [ { "dropping-particle" : "", "family" : "Rozner", "given" : "Ann E", "non-dropping-particle" : "", "parse-names" : false, "suffix" : "" }, { "dropping-particle" : "V", "family" : "Dambaeva", "given" : "Svetlana", "non-dropping-particle" : "", "parse-names" : false, "suffix" : "" }, { "dropping-particle" : "", "family" : "Drenzek", "given" : "Jessica G", "non-dropping-particle" : "", "parse-names" : false, "suffix" : "" }, { "dropping-particle" : "", "family" : "Durning", "given" : "Maureen", "non-dropping-particle" : "", "parse-names" : false, "suffix" : "" }, { "dropping-particle" : "", "family" : "Golos", "given" : "Thaddeus G", "non-dropping-particle" : "", "parse-names" : false, "suffix" : "" } ], "container-title" : "American journal of reproductive immunology (New York, N.Y. : 1989)", "id" : "ITEM-1", "issue" : "2", "issued" : { "date-parts" : [ [ "2011", "8" ] ] }, "page" : "115-27", "publisher" : "NIH Public Access", "title" : "Modulation of cytokine and chemokine secretions in rhesus monkey trophoblast co-culture with decidual but not peripheral blood monocyte-derived macrophages.", "type" : "article-journal", "volume" : "66" }, "uris" : [ "http://www.mendeley.com/documents/?uuid=1d67aaf6-c50b-3f94-b0fa-9810fbd73d20" ] }, { "id" : "ITEM-2", "itemData" : { "DOI" : "10.1016/j.placenta.2016.09.004", "ISSN" : "01434004", "PMID" : "27780542", "abstract" : "INTRODUCTION During the first trimester of human pregnancy, fetally-derived extravillous trophoblast (EVT) invade into the uterine decidua and remodel the uterine spiral arteries to ensure that sufficient blood reaches the maternal-fetal interface. Decidual macrophages have been implicated in the regulation of decidual remodelling, and aberrant activation of these immune cells is associated with pre-eclampsia. METHODS The monocytic cell line THP-1 was activated to induce a classically- or alternatively-activated macrophage phenotype and the conditioned media was used to treat the EVT cell line SGHPL-4 in order to determine the effect of macrophage polarisation on trophoblast behaviour in-vitro. SGHPL-4\u00a0cell functions were assessed using time-lapse microscopy, endothelial-like tube formation assays, and western blot. RESULTS The polarisation state of the THP-1\u00a0cells was found to differentially alter the behaviour of trophoblast cells in-vitro with pro-inflammatory classically-activated macrophage conditioned media significantly inhibiting trophoblast motility, impeding trophoblast tube formation, and inducing trophoblast expression of cleaved caspase 3, when compared to anti-inflammatory alternatively-activated macrophage conditioned media. DISCUSSION Macrophages can regulate trophoblast functions that are critical during decidual remodelling in early pregnancy. Importantly, there is differential regulation of trophoblast function in response to the polarisation state of these cells. Our studies indicate that the balance between a pro- and anti-inflammatory environment is important in regulating the cellular interactions at the maternal-fetal interface and that disturbances in this balance likely contribute to pregnancy disorders associated with poor trophoblast invasion and vessel remodelling.", "author" : [ { "dropping-particle" : "", "family" : "Buckley", "given" : "R.J.", "non-dropping-particle" : "", "parse-names" : false, "suffix" : "" }, { "dropping-particle" : "", "family" : "Whitley", "given" : "G.S.", "non-dropping-particle" : "", "parse-names" : false, "suffix" : "" }, { "dropping-particle" : "", "family" : "Dumitriu", "given" : "I.E.", "non-dropping-particle" : "", "parse-names" : false, "suffix" : "" }, { "dropping-particle" : "", "family" : "Cartwright", "given" : "J.E.", "non-dropping-particle" : "", "parse-names" : false, "suffix" : "" } ], "container-title" : "Placenta", "id" : "ITEM-2", "issued" : { "date-parts" : [ [ "2016", "11" ] ] }, "page" : "73-80", "title" : "Macrophage polarisation affects their regulation of trophoblast behaviour", "type" : "article-journal", "volume" : "47" }, "uris" : [ "http://www.mendeley.com/documents/?uuid=6e1070a1-230d-4c65-af68-4ab9fd9cc420" ] } ], "mendeley" : { "formattedCitation" : "[8,9]", "plainTextFormattedCitation" : "[8,9]", "previouslyFormattedCitation" : "[8,9]" }, "properties" : {  }, "schema" : "https://github.com/citation-style-language/schema/raw/master/csl-citation.json" }</w:instrText>
      </w:r>
      <w:r w:rsidRPr="00523BF6">
        <w:rPr>
          <w:rFonts w:cs="Arial"/>
          <w:sz w:val="22"/>
          <w:szCs w:val="22"/>
        </w:rPr>
        <w:fldChar w:fldCharType="separate"/>
      </w:r>
      <w:r w:rsidR="002F13DA" w:rsidRPr="00523BF6">
        <w:rPr>
          <w:rFonts w:cs="Arial"/>
          <w:noProof/>
          <w:sz w:val="22"/>
          <w:szCs w:val="22"/>
        </w:rPr>
        <w:t>[8,9]</w:t>
      </w:r>
      <w:r w:rsidRPr="00523BF6">
        <w:rPr>
          <w:rFonts w:cs="Arial"/>
          <w:sz w:val="22"/>
          <w:szCs w:val="22"/>
        </w:rPr>
        <w:fldChar w:fldCharType="end"/>
      </w:r>
      <w:r w:rsidRPr="00523BF6">
        <w:rPr>
          <w:rFonts w:cs="Arial"/>
          <w:noProof/>
          <w:sz w:val="22"/>
          <w:szCs w:val="22"/>
        </w:rPr>
        <w:t xml:space="preserve">. </w:t>
      </w:r>
      <w:r w:rsidR="00926C89" w:rsidRPr="00523BF6">
        <w:rPr>
          <w:rFonts w:cs="Arial"/>
          <w:noProof/>
          <w:sz w:val="22"/>
          <w:szCs w:val="22"/>
        </w:rPr>
        <w:t xml:space="preserve">This can be partly explained by cytokine secretion, but </w:t>
      </w:r>
      <w:r w:rsidR="00622320" w:rsidRPr="00523BF6">
        <w:rPr>
          <w:rFonts w:cs="Arial"/>
          <w:noProof/>
          <w:sz w:val="22"/>
          <w:szCs w:val="22"/>
        </w:rPr>
        <w:t>m</w:t>
      </w:r>
      <w:r w:rsidR="00870E84" w:rsidRPr="00523BF6">
        <w:rPr>
          <w:rFonts w:cs="Arial"/>
          <w:noProof/>
          <w:sz w:val="22"/>
          <w:szCs w:val="22"/>
        </w:rPr>
        <w:t>a</w:t>
      </w:r>
      <w:r w:rsidR="00622320" w:rsidRPr="00523BF6">
        <w:rPr>
          <w:rFonts w:cs="Arial"/>
          <w:noProof/>
          <w:sz w:val="22"/>
          <w:szCs w:val="22"/>
        </w:rPr>
        <w:t xml:space="preserve">crophage-placental </w:t>
      </w:r>
      <w:r w:rsidR="00B71BC8" w:rsidRPr="00523BF6">
        <w:rPr>
          <w:rFonts w:cs="Arial"/>
          <w:noProof/>
          <w:sz w:val="22"/>
          <w:szCs w:val="22"/>
        </w:rPr>
        <w:t>communication</w:t>
      </w:r>
      <w:r w:rsidR="00391681" w:rsidRPr="00523BF6">
        <w:rPr>
          <w:rFonts w:cs="Arial"/>
          <w:noProof/>
          <w:sz w:val="22"/>
          <w:szCs w:val="22"/>
        </w:rPr>
        <w:t xml:space="preserve"> could also involve EVs</w:t>
      </w:r>
      <w:r w:rsidR="00B71BC8" w:rsidRPr="00523BF6">
        <w:rPr>
          <w:rFonts w:cs="Arial"/>
          <w:noProof/>
          <w:sz w:val="22"/>
          <w:szCs w:val="22"/>
        </w:rPr>
        <w:t xml:space="preserve">. </w:t>
      </w:r>
    </w:p>
    <w:p w14:paraId="3A780F2E" w14:textId="77777777" w:rsidR="00926C89" w:rsidRPr="00523BF6" w:rsidRDefault="00926C89" w:rsidP="00624327">
      <w:pPr>
        <w:widowControl w:val="0"/>
        <w:autoSpaceDE w:val="0"/>
        <w:autoSpaceDN w:val="0"/>
        <w:adjustRightInd w:val="0"/>
        <w:spacing w:line="480" w:lineRule="auto"/>
        <w:jc w:val="both"/>
        <w:rPr>
          <w:rFonts w:cs="Arial"/>
          <w:noProof/>
          <w:sz w:val="22"/>
          <w:szCs w:val="22"/>
        </w:rPr>
      </w:pPr>
    </w:p>
    <w:p w14:paraId="41CEFCF4" w14:textId="46A046E4" w:rsidR="00CD2CFF" w:rsidRPr="00523BF6" w:rsidRDefault="00926C89" w:rsidP="00341707">
      <w:pPr>
        <w:widowControl w:val="0"/>
        <w:autoSpaceDE w:val="0"/>
        <w:autoSpaceDN w:val="0"/>
        <w:adjustRightInd w:val="0"/>
        <w:spacing w:line="480" w:lineRule="auto"/>
        <w:jc w:val="both"/>
        <w:rPr>
          <w:rFonts w:cs="Arial"/>
          <w:noProof/>
          <w:sz w:val="22"/>
          <w:szCs w:val="22"/>
        </w:rPr>
      </w:pPr>
      <w:r w:rsidRPr="00523BF6">
        <w:rPr>
          <w:rFonts w:cs="Arial"/>
          <w:noProof/>
          <w:sz w:val="22"/>
          <w:szCs w:val="22"/>
        </w:rPr>
        <w:t>The</w:t>
      </w:r>
      <w:r w:rsidR="00870E84" w:rsidRPr="00523BF6">
        <w:rPr>
          <w:rFonts w:cs="Arial"/>
          <w:sz w:val="22"/>
          <w:szCs w:val="22"/>
        </w:rPr>
        <w:t xml:space="preserve"> specificity of the </w:t>
      </w:r>
      <w:r w:rsidRPr="00523BF6">
        <w:rPr>
          <w:rFonts w:cs="Arial"/>
          <w:sz w:val="22"/>
          <w:szCs w:val="22"/>
        </w:rPr>
        <w:t xml:space="preserve">recently </w:t>
      </w:r>
      <w:r w:rsidR="00870E84" w:rsidRPr="00523BF6">
        <w:rPr>
          <w:rFonts w:cs="Arial"/>
          <w:sz w:val="22"/>
          <w:szCs w:val="22"/>
        </w:rPr>
        <w:t>observed</w:t>
      </w:r>
      <w:r w:rsidR="00624327" w:rsidRPr="00523BF6">
        <w:rPr>
          <w:rFonts w:cs="Arial"/>
          <w:sz w:val="22"/>
          <w:szCs w:val="22"/>
        </w:rPr>
        <w:t xml:space="preserve"> </w:t>
      </w:r>
      <w:r w:rsidRPr="00523BF6">
        <w:rPr>
          <w:rFonts w:cs="Arial"/>
          <w:sz w:val="22"/>
          <w:szCs w:val="22"/>
        </w:rPr>
        <w:t xml:space="preserve">placental </w:t>
      </w:r>
      <w:r w:rsidR="00624327" w:rsidRPr="00523BF6">
        <w:rPr>
          <w:rFonts w:cs="Arial"/>
          <w:sz w:val="22"/>
          <w:szCs w:val="22"/>
        </w:rPr>
        <w:t>response</w:t>
      </w:r>
      <w:r w:rsidRPr="00523BF6">
        <w:rPr>
          <w:rFonts w:cs="Arial"/>
          <w:sz w:val="22"/>
          <w:szCs w:val="22"/>
        </w:rPr>
        <w:t xml:space="preserve"> to macrophage EVs</w:t>
      </w:r>
      <w:r w:rsidR="00624327" w:rsidRPr="00523BF6">
        <w:rPr>
          <w:rFonts w:cs="Arial"/>
          <w:sz w:val="22"/>
          <w:szCs w:val="22"/>
        </w:rPr>
        <w:t xml:space="preserve"> is unknown; does the placenta mount a pro-inflammatory cytokine response to all </w:t>
      </w:r>
      <w:r w:rsidR="00B71BC8" w:rsidRPr="00523BF6">
        <w:rPr>
          <w:rFonts w:cs="Arial"/>
          <w:sz w:val="22"/>
          <w:szCs w:val="22"/>
        </w:rPr>
        <w:t xml:space="preserve">immune-cell </w:t>
      </w:r>
      <w:r w:rsidR="00624327" w:rsidRPr="00523BF6">
        <w:rPr>
          <w:rFonts w:cs="Arial"/>
          <w:sz w:val="22"/>
          <w:szCs w:val="22"/>
        </w:rPr>
        <w:t>EVs?</w:t>
      </w:r>
      <w:r w:rsidR="00624327" w:rsidRPr="00523BF6">
        <w:rPr>
          <w:rFonts w:cs="Arial"/>
          <w:noProof/>
          <w:sz w:val="22"/>
          <w:szCs w:val="22"/>
        </w:rPr>
        <w:t xml:space="preserve"> </w:t>
      </w:r>
      <w:r w:rsidR="00CC3D4A" w:rsidRPr="00523BF6">
        <w:rPr>
          <w:rFonts w:cs="Arial"/>
          <w:noProof/>
          <w:sz w:val="22"/>
          <w:szCs w:val="22"/>
        </w:rPr>
        <w:t>The</w:t>
      </w:r>
      <w:r w:rsidR="00CD2CFF" w:rsidRPr="00523BF6">
        <w:rPr>
          <w:rFonts w:cs="Arial"/>
          <w:sz w:val="22"/>
          <w:szCs w:val="22"/>
        </w:rPr>
        <w:t xml:space="preserve"> goal of this </w:t>
      </w:r>
      <w:r w:rsidR="00C16710" w:rsidRPr="00523BF6">
        <w:rPr>
          <w:rFonts w:cs="Arial"/>
          <w:sz w:val="22"/>
          <w:szCs w:val="22"/>
        </w:rPr>
        <w:t xml:space="preserve">current </w:t>
      </w:r>
      <w:r w:rsidR="00CD2CFF" w:rsidRPr="00523BF6">
        <w:rPr>
          <w:rFonts w:cs="Arial"/>
          <w:sz w:val="22"/>
          <w:szCs w:val="22"/>
        </w:rPr>
        <w:t xml:space="preserve">study was to </w:t>
      </w:r>
      <w:r w:rsidR="00B71BC8" w:rsidRPr="00523BF6">
        <w:rPr>
          <w:rFonts w:cs="Arial"/>
          <w:sz w:val="22"/>
          <w:szCs w:val="22"/>
        </w:rPr>
        <w:t xml:space="preserve">determine how the activation status of the source cell affects </w:t>
      </w:r>
      <w:r w:rsidR="004D2D5D" w:rsidRPr="00523BF6">
        <w:rPr>
          <w:rFonts w:cs="Arial"/>
          <w:sz w:val="22"/>
          <w:szCs w:val="22"/>
        </w:rPr>
        <w:t xml:space="preserve">EV function </w:t>
      </w:r>
      <w:r w:rsidR="00671025" w:rsidRPr="00523BF6">
        <w:rPr>
          <w:rFonts w:cs="Arial"/>
          <w:sz w:val="22"/>
          <w:szCs w:val="22"/>
        </w:rPr>
        <w:t>on the placenta</w:t>
      </w:r>
      <w:r w:rsidR="00622320" w:rsidRPr="00523BF6">
        <w:rPr>
          <w:rFonts w:cs="Arial"/>
          <w:sz w:val="22"/>
          <w:szCs w:val="22"/>
        </w:rPr>
        <w:t xml:space="preserve">; </w:t>
      </w:r>
      <w:r w:rsidR="00B71BC8" w:rsidRPr="00523BF6">
        <w:rPr>
          <w:rFonts w:cs="Arial"/>
          <w:sz w:val="22"/>
          <w:szCs w:val="22"/>
        </w:rPr>
        <w:t>comparing the effect of EVs from</w:t>
      </w:r>
      <w:r w:rsidR="007E4684" w:rsidRPr="00523BF6">
        <w:rPr>
          <w:rFonts w:cs="Arial"/>
          <w:sz w:val="22"/>
          <w:szCs w:val="22"/>
        </w:rPr>
        <w:t xml:space="preserve"> </w:t>
      </w:r>
      <w:r w:rsidR="00B71BC8" w:rsidRPr="00523BF6">
        <w:rPr>
          <w:rFonts w:cs="Arial"/>
          <w:sz w:val="22"/>
          <w:szCs w:val="22"/>
        </w:rPr>
        <w:t>activated</w:t>
      </w:r>
      <w:r w:rsidR="00CD2CFF" w:rsidRPr="00523BF6">
        <w:rPr>
          <w:rFonts w:cs="Arial"/>
          <w:sz w:val="22"/>
          <w:szCs w:val="22"/>
        </w:rPr>
        <w:t xml:space="preserve"> macrophages</w:t>
      </w:r>
      <w:r w:rsidR="00624327" w:rsidRPr="00523BF6">
        <w:rPr>
          <w:rFonts w:cs="Arial"/>
          <w:sz w:val="22"/>
          <w:szCs w:val="22"/>
        </w:rPr>
        <w:t xml:space="preserve"> </w:t>
      </w:r>
      <w:r w:rsidR="004D2D5D" w:rsidRPr="00523BF6">
        <w:rPr>
          <w:rFonts w:cs="Arial"/>
          <w:sz w:val="22"/>
          <w:szCs w:val="22"/>
        </w:rPr>
        <w:t>and</w:t>
      </w:r>
      <w:r w:rsidR="00624327" w:rsidRPr="00523BF6">
        <w:rPr>
          <w:rFonts w:cs="Arial"/>
          <w:sz w:val="22"/>
          <w:szCs w:val="22"/>
        </w:rPr>
        <w:t xml:space="preserve"> their </w:t>
      </w:r>
      <w:r w:rsidR="00671025" w:rsidRPr="00523BF6">
        <w:rPr>
          <w:rFonts w:cs="Arial"/>
          <w:sz w:val="22"/>
          <w:szCs w:val="22"/>
        </w:rPr>
        <w:t xml:space="preserve">non-activated </w:t>
      </w:r>
      <w:r w:rsidR="00624327" w:rsidRPr="00523BF6">
        <w:rPr>
          <w:rFonts w:cs="Arial"/>
          <w:sz w:val="22"/>
          <w:szCs w:val="22"/>
        </w:rPr>
        <w:t>mo</w:t>
      </w:r>
      <w:r w:rsidR="004D2D5D" w:rsidRPr="00523BF6">
        <w:rPr>
          <w:rFonts w:cs="Arial"/>
          <w:sz w:val="22"/>
          <w:szCs w:val="22"/>
        </w:rPr>
        <w:t>nocytic</w:t>
      </w:r>
      <w:r w:rsidR="00624327" w:rsidRPr="00523BF6">
        <w:rPr>
          <w:rFonts w:cs="Arial"/>
          <w:sz w:val="22"/>
          <w:szCs w:val="22"/>
        </w:rPr>
        <w:t xml:space="preserve"> pre-cursor</w:t>
      </w:r>
      <w:r w:rsidR="00622320" w:rsidRPr="00523BF6">
        <w:rPr>
          <w:rFonts w:cs="Arial"/>
          <w:sz w:val="22"/>
          <w:szCs w:val="22"/>
        </w:rPr>
        <w:t>s</w:t>
      </w:r>
      <w:r w:rsidR="00624327" w:rsidRPr="00523BF6">
        <w:rPr>
          <w:rFonts w:cs="Arial"/>
          <w:sz w:val="22"/>
          <w:szCs w:val="22"/>
        </w:rPr>
        <w:t>.</w:t>
      </w:r>
      <w:r w:rsidR="00CD2CFF" w:rsidRPr="00523BF6">
        <w:rPr>
          <w:rFonts w:cs="Arial"/>
          <w:sz w:val="22"/>
          <w:szCs w:val="22"/>
        </w:rPr>
        <w:t xml:space="preserve"> </w:t>
      </w:r>
    </w:p>
    <w:p w14:paraId="3FA7AECD" w14:textId="77777777" w:rsidR="00073182" w:rsidRPr="00523BF6" w:rsidRDefault="00073182" w:rsidP="00E33727">
      <w:pPr>
        <w:spacing w:line="480" w:lineRule="auto"/>
        <w:jc w:val="both"/>
        <w:rPr>
          <w:sz w:val="22"/>
        </w:rPr>
      </w:pPr>
    </w:p>
    <w:p w14:paraId="14C37D72" w14:textId="2D4837D1" w:rsidR="00184801" w:rsidRPr="00523BF6" w:rsidRDefault="00184801" w:rsidP="00E33727">
      <w:pPr>
        <w:spacing w:line="480" w:lineRule="auto"/>
        <w:jc w:val="both"/>
        <w:outlineLvl w:val="0"/>
        <w:rPr>
          <w:rFonts w:cs="Times New Roman"/>
          <w:b/>
          <w:sz w:val="22"/>
          <w:szCs w:val="22"/>
          <w:lang w:val="en-GB"/>
        </w:rPr>
      </w:pPr>
      <w:r w:rsidRPr="00523BF6">
        <w:rPr>
          <w:rFonts w:cs="Times New Roman"/>
          <w:b/>
          <w:sz w:val="22"/>
          <w:szCs w:val="22"/>
          <w:lang w:val="en-GB"/>
        </w:rPr>
        <w:t>Methods</w:t>
      </w:r>
    </w:p>
    <w:p w14:paraId="797FC90C" w14:textId="4962A790" w:rsidR="00CF78BE" w:rsidRPr="00523BF6" w:rsidRDefault="002C5706" w:rsidP="00E33727">
      <w:pPr>
        <w:spacing w:line="480" w:lineRule="auto"/>
        <w:jc w:val="both"/>
        <w:rPr>
          <w:rFonts w:cs="Times New Roman"/>
          <w:sz w:val="22"/>
          <w:szCs w:val="22"/>
        </w:rPr>
      </w:pPr>
      <w:r w:rsidRPr="00523BF6">
        <w:rPr>
          <w:rFonts w:cs="Times New Roman"/>
          <w:b/>
          <w:sz w:val="22"/>
          <w:szCs w:val="22"/>
        </w:rPr>
        <w:t>Study Subjects</w:t>
      </w:r>
      <w:r w:rsidRPr="00523BF6">
        <w:rPr>
          <w:rFonts w:cs="Times New Roman"/>
          <w:sz w:val="22"/>
          <w:szCs w:val="22"/>
        </w:rPr>
        <w:t xml:space="preserve"> </w:t>
      </w:r>
      <w:r w:rsidR="003929F2" w:rsidRPr="00523BF6">
        <w:rPr>
          <w:rFonts w:cs="Times New Roman"/>
          <w:sz w:val="22"/>
          <w:szCs w:val="22"/>
        </w:rPr>
        <w:t>Term</w:t>
      </w:r>
      <w:r w:rsidRPr="00523BF6">
        <w:rPr>
          <w:rFonts w:cs="Times New Roman"/>
          <w:sz w:val="22"/>
          <w:szCs w:val="22"/>
        </w:rPr>
        <w:t xml:space="preserve"> placentas </w:t>
      </w:r>
      <w:r w:rsidR="003929F2" w:rsidRPr="00523BF6">
        <w:rPr>
          <w:rFonts w:cs="Times New Roman"/>
          <w:sz w:val="22"/>
          <w:szCs w:val="22"/>
        </w:rPr>
        <w:t xml:space="preserve">from normal singleton pregnancies </w:t>
      </w:r>
      <w:r w:rsidRPr="00523BF6">
        <w:rPr>
          <w:rFonts w:cs="Times New Roman"/>
          <w:sz w:val="22"/>
          <w:szCs w:val="22"/>
        </w:rPr>
        <w:t xml:space="preserve">were obtained following </w:t>
      </w:r>
      <w:r w:rsidR="006F3F64" w:rsidRPr="00523BF6">
        <w:rPr>
          <w:rFonts w:cs="Times New Roman"/>
          <w:sz w:val="22"/>
          <w:szCs w:val="22"/>
        </w:rPr>
        <w:t xml:space="preserve">elective </w:t>
      </w:r>
      <w:r w:rsidRPr="00523BF6">
        <w:rPr>
          <w:rFonts w:cs="Times New Roman"/>
          <w:sz w:val="22"/>
          <w:szCs w:val="22"/>
        </w:rPr>
        <w:t>Caesarean section</w:t>
      </w:r>
      <w:r w:rsidR="00391681" w:rsidRPr="00523BF6">
        <w:rPr>
          <w:rFonts w:cs="Times New Roman"/>
          <w:sz w:val="22"/>
          <w:szCs w:val="22"/>
        </w:rPr>
        <w:t xml:space="preserve"> without labor</w:t>
      </w:r>
      <w:r w:rsidR="00E87C6B" w:rsidRPr="00523BF6">
        <w:rPr>
          <w:rFonts w:cs="Times New Roman"/>
          <w:sz w:val="22"/>
          <w:szCs w:val="22"/>
        </w:rPr>
        <w:t xml:space="preserve">. </w:t>
      </w:r>
      <w:r w:rsidR="004A3FB1" w:rsidRPr="00523BF6">
        <w:rPr>
          <w:rFonts w:cs="Times New Roman"/>
          <w:sz w:val="22"/>
          <w:szCs w:val="22"/>
        </w:rPr>
        <w:t>The study was approved by Research Ethics Committee</w:t>
      </w:r>
      <w:r w:rsidRPr="00523BF6">
        <w:rPr>
          <w:rFonts w:cs="Times New Roman"/>
          <w:sz w:val="22"/>
          <w:szCs w:val="22"/>
        </w:rPr>
        <w:t xml:space="preserve"> (</w:t>
      </w:r>
      <w:r w:rsidR="0069249A" w:rsidRPr="00523BF6">
        <w:rPr>
          <w:rFonts w:cs="Times New Roman"/>
          <w:sz w:val="22"/>
          <w:szCs w:val="22"/>
        </w:rPr>
        <w:t>13/LO/1712</w:t>
      </w:r>
      <w:r w:rsidR="004A3FB1" w:rsidRPr="00523BF6">
        <w:rPr>
          <w:rFonts w:cs="Times New Roman"/>
          <w:sz w:val="22"/>
          <w:szCs w:val="22"/>
        </w:rPr>
        <w:t xml:space="preserve">). </w:t>
      </w:r>
      <w:r w:rsidRPr="00523BF6">
        <w:rPr>
          <w:rFonts w:cs="Times New Roman"/>
          <w:sz w:val="22"/>
          <w:szCs w:val="22"/>
        </w:rPr>
        <w:t xml:space="preserve">Written informed consent was obtained. </w:t>
      </w:r>
    </w:p>
    <w:p w14:paraId="54B27C93" w14:textId="77777777" w:rsidR="00CF78BE" w:rsidRPr="00523BF6" w:rsidRDefault="00CF78BE" w:rsidP="00E33727">
      <w:pPr>
        <w:spacing w:line="480" w:lineRule="auto"/>
        <w:jc w:val="both"/>
        <w:rPr>
          <w:rFonts w:cs="Times New Roman"/>
          <w:sz w:val="22"/>
          <w:szCs w:val="22"/>
        </w:rPr>
      </w:pPr>
    </w:p>
    <w:p w14:paraId="2C3BE935" w14:textId="6C24AE24" w:rsidR="00184801" w:rsidRPr="00523BF6" w:rsidRDefault="00184801" w:rsidP="00341707">
      <w:pPr>
        <w:widowControl w:val="0"/>
        <w:autoSpaceDE w:val="0"/>
        <w:autoSpaceDN w:val="0"/>
        <w:adjustRightInd w:val="0"/>
        <w:spacing w:line="480" w:lineRule="auto"/>
        <w:jc w:val="both"/>
        <w:rPr>
          <w:rFonts w:cs="Times New Roman"/>
          <w:sz w:val="22"/>
          <w:szCs w:val="22"/>
        </w:rPr>
      </w:pPr>
      <w:r w:rsidRPr="00523BF6">
        <w:rPr>
          <w:rFonts w:cs="Times New Roman"/>
          <w:b/>
          <w:sz w:val="22"/>
          <w:szCs w:val="22"/>
        </w:rPr>
        <w:t>Monocyte/macrophage culture</w:t>
      </w:r>
      <w:r w:rsidRPr="00523BF6">
        <w:rPr>
          <w:rFonts w:cs="Times New Roman"/>
          <w:sz w:val="22"/>
          <w:szCs w:val="22"/>
        </w:rPr>
        <w:t xml:space="preserve"> THP-1 cells were maintained in RPMI-Glutamax with 10% FCS and antibiotics. </w:t>
      </w:r>
      <w:r w:rsidR="00391304" w:rsidRPr="00523BF6">
        <w:rPr>
          <w:rFonts w:cs="Times New Roman"/>
          <w:sz w:val="22"/>
          <w:szCs w:val="22"/>
        </w:rPr>
        <w:t>To model monocytes, THP-1</w:t>
      </w:r>
      <w:r w:rsidR="00473FB2" w:rsidRPr="00523BF6">
        <w:rPr>
          <w:rFonts w:cs="Times New Roman"/>
          <w:sz w:val="22"/>
          <w:szCs w:val="22"/>
        </w:rPr>
        <w:t>s</w:t>
      </w:r>
      <w:r w:rsidR="00391304" w:rsidRPr="00523BF6">
        <w:rPr>
          <w:rFonts w:cs="Times New Roman"/>
          <w:sz w:val="22"/>
          <w:szCs w:val="22"/>
        </w:rPr>
        <w:t xml:space="preserve"> were </w:t>
      </w:r>
      <w:r w:rsidR="00117FA3" w:rsidRPr="00523BF6">
        <w:rPr>
          <w:rFonts w:cs="Times New Roman"/>
          <w:sz w:val="22"/>
          <w:szCs w:val="22"/>
        </w:rPr>
        <w:t>cultured in suspension</w:t>
      </w:r>
      <w:r w:rsidR="00391304" w:rsidRPr="00523BF6">
        <w:rPr>
          <w:rFonts w:cs="Times New Roman"/>
          <w:sz w:val="22"/>
          <w:szCs w:val="22"/>
        </w:rPr>
        <w:t xml:space="preserve"> at 0.5x10</w:t>
      </w:r>
      <w:r w:rsidR="00391304" w:rsidRPr="00523BF6">
        <w:rPr>
          <w:rFonts w:cs="Times New Roman"/>
          <w:sz w:val="22"/>
          <w:szCs w:val="22"/>
          <w:vertAlign w:val="superscript"/>
        </w:rPr>
        <w:t>6</w:t>
      </w:r>
      <w:r w:rsidR="00391304" w:rsidRPr="00523BF6">
        <w:rPr>
          <w:rFonts w:cs="Times New Roman"/>
          <w:sz w:val="22"/>
          <w:szCs w:val="22"/>
        </w:rPr>
        <w:t xml:space="preserve">/ml. </w:t>
      </w:r>
      <w:r w:rsidRPr="00523BF6">
        <w:rPr>
          <w:rFonts w:cs="Times New Roman"/>
          <w:sz w:val="22"/>
          <w:szCs w:val="22"/>
        </w:rPr>
        <w:t>For differentiation</w:t>
      </w:r>
      <w:r w:rsidR="00E623E9" w:rsidRPr="00523BF6">
        <w:rPr>
          <w:rFonts w:cs="Times New Roman"/>
          <w:sz w:val="22"/>
          <w:szCs w:val="22"/>
        </w:rPr>
        <w:t xml:space="preserve"> into macrophages</w:t>
      </w:r>
      <w:r w:rsidR="00473FB2" w:rsidRPr="00523BF6">
        <w:rPr>
          <w:rFonts w:cs="Times New Roman"/>
          <w:sz w:val="22"/>
          <w:szCs w:val="22"/>
        </w:rPr>
        <w:t>, THP-1</w:t>
      </w:r>
      <w:r w:rsidR="006F3F64" w:rsidRPr="00523BF6">
        <w:rPr>
          <w:rFonts w:cs="Times New Roman"/>
          <w:sz w:val="22"/>
          <w:szCs w:val="22"/>
        </w:rPr>
        <w:t>s were seeded at 1</w:t>
      </w:r>
      <w:r w:rsidRPr="00523BF6">
        <w:rPr>
          <w:rFonts w:cs="Times New Roman"/>
          <w:sz w:val="22"/>
          <w:szCs w:val="22"/>
        </w:rPr>
        <w:t>x10</w:t>
      </w:r>
      <w:r w:rsidRPr="00523BF6">
        <w:rPr>
          <w:rFonts w:cs="Times New Roman"/>
          <w:sz w:val="22"/>
          <w:szCs w:val="22"/>
          <w:vertAlign w:val="superscript"/>
        </w:rPr>
        <w:t>6</w:t>
      </w:r>
      <w:r w:rsidR="00532C6A" w:rsidRPr="00523BF6">
        <w:rPr>
          <w:rFonts w:cs="Times New Roman"/>
          <w:sz w:val="22"/>
          <w:szCs w:val="22"/>
        </w:rPr>
        <w:t>/</w:t>
      </w:r>
      <w:r w:rsidR="00CC5F66" w:rsidRPr="00523BF6">
        <w:rPr>
          <w:rFonts w:cs="Times New Roman"/>
          <w:sz w:val="22"/>
          <w:szCs w:val="22"/>
        </w:rPr>
        <w:t>ml</w:t>
      </w:r>
      <w:r w:rsidRPr="00523BF6">
        <w:rPr>
          <w:rFonts w:cs="Times New Roman"/>
          <w:sz w:val="22"/>
          <w:szCs w:val="22"/>
        </w:rPr>
        <w:t xml:space="preserve"> with 50ng/ml </w:t>
      </w:r>
      <w:r w:rsidRPr="00523BF6">
        <w:rPr>
          <w:rFonts w:eastAsia="Times New Roman" w:cs="Times New Roman"/>
          <w:sz w:val="22"/>
          <w:szCs w:val="22"/>
        </w:rPr>
        <w:t xml:space="preserve">Phorbol 12-myristate 13-acetate </w:t>
      </w:r>
      <w:r w:rsidRPr="00523BF6">
        <w:rPr>
          <w:rFonts w:cs="Times New Roman"/>
          <w:sz w:val="22"/>
          <w:szCs w:val="22"/>
        </w:rPr>
        <w:t>(PMA)</w:t>
      </w:r>
      <w:r w:rsidR="004D2D5D" w:rsidRPr="00523BF6">
        <w:rPr>
          <w:rStyle w:val="Emphasis"/>
          <w:rFonts w:eastAsia="Times New Roman" w:cs="Arial"/>
          <w:i w:val="0"/>
          <w:color w:val="000000" w:themeColor="text1"/>
          <w:sz w:val="22"/>
          <w:szCs w:val="22"/>
          <w:shd w:val="clear" w:color="auto" w:fill="FFFFFF"/>
        </w:rPr>
        <w:t xml:space="preserve"> </w:t>
      </w:r>
      <w:r w:rsidR="004D2D5D" w:rsidRPr="00523BF6">
        <w:rPr>
          <w:rStyle w:val="Emphasis"/>
          <w:rFonts w:eastAsia="Times New Roman" w:cs="Arial"/>
          <w:i w:val="0"/>
          <w:color w:val="000000" w:themeColor="text1"/>
          <w:sz w:val="22"/>
          <w:szCs w:val="22"/>
          <w:shd w:val="clear" w:color="auto" w:fill="FFFFFF"/>
        </w:rPr>
        <w:fldChar w:fldCharType="begin" w:fldLock="1"/>
      </w:r>
      <w:r w:rsidR="009506DF" w:rsidRPr="00523BF6">
        <w:rPr>
          <w:rStyle w:val="Emphasis"/>
          <w:rFonts w:eastAsia="Times New Roman" w:cs="Arial"/>
          <w:i w:val="0"/>
          <w:color w:val="000000" w:themeColor="text1"/>
          <w:sz w:val="22"/>
          <w:szCs w:val="22"/>
          <w:shd w:val="clear" w:color="auto" w:fill="FFFFFF"/>
        </w:rPr>
        <w:instrText>ADDIN CSL_CITATION { "citationItems" : [ { "id" : "ITEM-1", "itemData" : { "ISSN" : "0008-5472", "PMID" : "6949641", "abstract" : "Suspension cultures of a human monocytic leukemia cell line, THP-1, were treated with 0.16 to 160 nM 12-O-tetradecanoylphorbol-13-acetate (TPA). In an original cell line, THP-1-O, cultured again from -80 degrees cryopreservation, more than 80% of the cells adhered to the glass substrate with marked morphological change within 3 hr of TPA treatment. Adherent cells became flat and amoeboid in shape, and many microvilli and flaps of the cell surface disappeared. Well-developed Golgi apparatus, rough endoplasmic reticula, and a large amount of free ribosomes were seen in the cytoplasm. On the other hand, in THP-1-R cells cultured continuously without cryopreservation for 26 months, approximately 80% of the cells adhered to the substrate 48 hr after TPA treatment. Round and ovoid shapes were kept in THP-1-R cells treated with TPA. Surface Fc receptors for immunoglobulin G were present on more than 90% of THP-1-O and THP-1-R cells and were little affected by treatment with TPA. Sixty to 70% of the TPA-treated THP-1-O and THP-1-R cells were able to phagocytize yeasts and immunoglobulin G-coated sheep erythrocytes. Less than 20% of the untreated THP-1 cells were able to phagocytize yeasts and immunoglobulin G-coated sheep erythrocytes. In histochemical staining, alpha-naphthyl butyrate esterase was enhanced after treatment with TPA. Lysozyme activity in culture supernatants was not affected by TPA treatment. When exposed to latex beads and TPA, increased 14CO2 production from [1-14C]glucose in THP-1-O cells was observed. These results indicate that, after treatment with TPA, human monocytic leukemia cells may be converted into mature cells with functions of macrophages.", "author" : [ { "dropping-particle" : "", "family" : "Tsuchiya", "given" : "S", "non-dropping-particle" : "", "parse-names" : false, "suffix" : "" }, { "dropping-particle" : "", "family" : "Kobayashi", "given" : "Y", "non-dropping-particle" : "", "parse-names" : false, "suffix" : "" }, { "dropping-particle" : "", "family" : "Goto", "given" : "Y", "non-dropping-particle" : "", "parse-names" : false, "suffix" : "" }, { "dropping-particle" : "", "family" : "Okumura", "given" : "H", "non-dropping-particle" : "", "parse-names" : false, "suffix" : "" }, { "dropping-particle" : "", "family" : "Nakae", "given" : "S", "non-dropping-particle" : "", "parse-names" : false, "suffix" : "" }, { "dropping-particle" : "", "family" : "Konno", "given" : "T", "non-dropping-particle" : "", "parse-names" : false, "suffix" : "" }, { "dropping-particle" : "", "family" : "Tada", "given" : "K", "non-dropping-particle" : "", "parse-names" : false, "suffix" : "" } ], "container-title" : "Cancer research", "id" : "ITEM-1", "issue" : "4", "issued" : { "date-parts" : [ [ "1982", "4" ] ] }, "page" : "1530-6", "title" : "Induction of maturation in cultured human monocytic leukemia cells by a phorbol diester.", "type" : "article-journal", "volume" : "42" }, "uris" : [ "http://www.mendeley.com/documents/?uuid=c4a14c34-d0c7-3d9e-bcf7-24c6d45cb2c3" ] } ], "mendeley" : { "formattedCitation" : "[10]", "plainTextFormattedCitation" : "[10]", "previouslyFormattedCitation" : "[10]" }, "properties" : {  }, "schema" : "https://github.com/citation-style-language/schema/raw/master/csl-citation.json" }</w:instrText>
      </w:r>
      <w:r w:rsidR="004D2D5D" w:rsidRPr="00523BF6">
        <w:rPr>
          <w:rStyle w:val="Emphasis"/>
          <w:rFonts w:eastAsia="Times New Roman" w:cs="Arial"/>
          <w:i w:val="0"/>
          <w:color w:val="000000" w:themeColor="text1"/>
          <w:sz w:val="22"/>
          <w:szCs w:val="22"/>
          <w:shd w:val="clear" w:color="auto" w:fill="FFFFFF"/>
        </w:rPr>
        <w:fldChar w:fldCharType="separate"/>
      </w:r>
      <w:r w:rsidR="002F13DA" w:rsidRPr="00523BF6">
        <w:rPr>
          <w:rStyle w:val="Emphasis"/>
          <w:rFonts w:eastAsia="Times New Roman" w:cs="Arial"/>
          <w:i w:val="0"/>
          <w:noProof/>
          <w:color w:val="000000" w:themeColor="text1"/>
          <w:sz w:val="22"/>
          <w:szCs w:val="22"/>
          <w:shd w:val="clear" w:color="auto" w:fill="FFFFFF"/>
        </w:rPr>
        <w:t>[10]</w:t>
      </w:r>
      <w:r w:rsidR="004D2D5D" w:rsidRPr="00523BF6">
        <w:rPr>
          <w:rStyle w:val="Emphasis"/>
          <w:rFonts w:eastAsia="Times New Roman" w:cs="Arial"/>
          <w:i w:val="0"/>
          <w:color w:val="000000" w:themeColor="text1"/>
          <w:sz w:val="22"/>
          <w:szCs w:val="22"/>
          <w:shd w:val="clear" w:color="auto" w:fill="FFFFFF"/>
        </w:rPr>
        <w:fldChar w:fldCharType="end"/>
      </w:r>
      <w:r w:rsidRPr="00523BF6">
        <w:rPr>
          <w:rFonts w:cs="Times New Roman"/>
          <w:sz w:val="22"/>
          <w:szCs w:val="22"/>
        </w:rPr>
        <w:t xml:space="preserve"> for 24h, washed and </w:t>
      </w:r>
      <w:r w:rsidR="00CC5F66" w:rsidRPr="00523BF6">
        <w:rPr>
          <w:rFonts w:cs="Times New Roman"/>
          <w:sz w:val="22"/>
          <w:szCs w:val="22"/>
        </w:rPr>
        <w:t>rested</w:t>
      </w:r>
      <w:r w:rsidRPr="00523BF6">
        <w:rPr>
          <w:rFonts w:cs="Times New Roman"/>
          <w:sz w:val="22"/>
          <w:szCs w:val="22"/>
        </w:rPr>
        <w:t xml:space="preserve"> for </w:t>
      </w:r>
      <w:r w:rsidRPr="00523BF6">
        <w:rPr>
          <w:rFonts w:cs="Times New Roman"/>
          <w:sz w:val="22"/>
          <w:szCs w:val="22"/>
        </w:rPr>
        <w:lastRenderedPageBreak/>
        <w:t>24h</w:t>
      </w:r>
      <w:r w:rsidR="00385929" w:rsidRPr="00523BF6">
        <w:rPr>
          <w:rFonts w:cs="Times New Roman"/>
          <w:sz w:val="22"/>
          <w:szCs w:val="22"/>
        </w:rPr>
        <w:t>,</w:t>
      </w:r>
      <w:r w:rsidR="00CC5F66" w:rsidRPr="00523BF6">
        <w:rPr>
          <w:rFonts w:cs="Times New Roman"/>
          <w:sz w:val="22"/>
          <w:szCs w:val="22"/>
        </w:rPr>
        <w:t xml:space="preserve"> before </w:t>
      </w:r>
      <w:r w:rsidR="00385929" w:rsidRPr="00523BF6">
        <w:rPr>
          <w:rFonts w:cs="Times New Roman"/>
          <w:sz w:val="22"/>
          <w:szCs w:val="22"/>
        </w:rPr>
        <w:t xml:space="preserve">washing and changing to media with 10% exosome-depleted FBS (Thermo Fisher) for the </w:t>
      </w:r>
      <w:r w:rsidR="00473FB2" w:rsidRPr="00523BF6">
        <w:rPr>
          <w:rFonts w:cs="Times New Roman"/>
          <w:sz w:val="22"/>
          <w:szCs w:val="22"/>
        </w:rPr>
        <w:t xml:space="preserve">24h </w:t>
      </w:r>
      <w:r w:rsidR="0052024D" w:rsidRPr="00523BF6">
        <w:rPr>
          <w:rFonts w:cs="Times New Roman"/>
          <w:sz w:val="22"/>
          <w:szCs w:val="22"/>
        </w:rPr>
        <w:t>EV collection period.</w:t>
      </w:r>
      <w:r w:rsidRPr="00523BF6">
        <w:rPr>
          <w:rFonts w:cs="Times New Roman"/>
          <w:sz w:val="22"/>
          <w:szCs w:val="22"/>
        </w:rPr>
        <w:t xml:space="preserve"> </w:t>
      </w:r>
    </w:p>
    <w:p w14:paraId="5E61F4A8" w14:textId="77777777" w:rsidR="00CF78BE" w:rsidRPr="00523BF6" w:rsidRDefault="00CF78BE" w:rsidP="00E33727">
      <w:pPr>
        <w:widowControl w:val="0"/>
        <w:autoSpaceDE w:val="0"/>
        <w:autoSpaceDN w:val="0"/>
        <w:adjustRightInd w:val="0"/>
        <w:spacing w:line="480" w:lineRule="auto"/>
        <w:jc w:val="both"/>
        <w:rPr>
          <w:rFonts w:cs="Times New Roman"/>
          <w:b/>
          <w:sz w:val="22"/>
          <w:szCs w:val="22"/>
        </w:rPr>
      </w:pPr>
    </w:p>
    <w:p w14:paraId="3E4968DE" w14:textId="05B2E388" w:rsidR="00D374C8" w:rsidRPr="00523BF6" w:rsidRDefault="00184801" w:rsidP="002A2BE3">
      <w:pPr>
        <w:spacing w:line="480" w:lineRule="auto"/>
        <w:rPr>
          <w:rFonts w:eastAsia="Times New Roman" w:cstheme="minorHAnsi"/>
          <w:sz w:val="22"/>
          <w:szCs w:val="22"/>
          <w:lang w:val="en-GB"/>
        </w:rPr>
      </w:pPr>
      <w:r w:rsidRPr="00523BF6">
        <w:rPr>
          <w:rFonts w:cstheme="minorHAnsi"/>
          <w:b/>
          <w:sz w:val="22"/>
          <w:szCs w:val="22"/>
        </w:rPr>
        <w:t>E</w:t>
      </w:r>
      <w:r w:rsidR="00B41925" w:rsidRPr="00523BF6">
        <w:rPr>
          <w:rFonts w:cstheme="minorHAnsi"/>
          <w:b/>
          <w:sz w:val="22"/>
          <w:szCs w:val="22"/>
        </w:rPr>
        <w:t>V</w:t>
      </w:r>
      <w:r w:rsidRPr="00523BF6">
        <w:rPr>
          <w:rFonts w:cstheme="minorHAnsi"/>
          <w:b/>
          <w:sz w:val="22"/>
          <w:szCs w:val="22"/>
        </w:rPr>
        <w:t xml:space="preserve"> isolation</w:t>
      </w:r>
      <w:r w:rsidR="00CC5F66" w:rsidRPr="00523BF6">
        <w:rPr>
          <w:rFonts w:cstheme="minorHAnsi"/>
          <w:b/>
          <w:sz w:val="22"/>
          <w:szCs w:val="22"/>
        </w:rPr>
        <w:t xml:space="preserve"> and quantification</w:t>
      </w:r>
      <w:r w:rsidRPr="00523BF6">
        <w:rPr>
          <w:rFonts w:cstheme="minorHAnsi"/>
          <w:sz w:val="22"/>
          <w:szCs w:val="22"/>
        </w:rPr>
        <w:t xml:space="preserve"> E</w:t>
      </w:r>
      <w:r w:rsidR="00B41925" w:rsidRPr="00523BF6">
        <w:rPr>
          <w:rFonts w:cstheme="minorHAnsi"/>
          <w:sz w:val="22"/>
          <w:szCs w:val="22"/>
        </w:rPr>
        <w:t>Vs</w:t>
      </w:r>
      <w:r w:rsidRPr="00523BF6">
        <w:rPr>
          <w:rFonts w:cstheme="minorHAnsi"/>
          <w:sz w:val="22"/>
          <w:szCs w:val="22"/>
        </w:rPr>
        <w:t xml:space="preserve"> were purified from culture supernatants by sequential centrifugation; 1,000g</w:t>
      </w:r>
      <w:r w:rsidR="000E07FB" w:rsidRPr="00523BF6">
        <w:rPr>
          <w:rFonts w:cstheme="minorHAnsi"/>
          <w:sz w:val="22"/>
          <w:szCs w:val="22"/>
        </w:rPr>
        <w:t xml:space="preserve"> for 10min</w:t>
      </w:r>
      <w:r w:rsidR="00CC5F66" w:rsidRPr="00523BF6">
        <w:rPr>
          <w:rFonts w:cstheme="minorHAnsi"/>
          <w:sz w:val="22"/>
          <w:szCs w:val="22"/>
        </w:rPr>
        <w:t>x2</w:t>
      </w:r>
      <w:r w:rsidRPr="00523BF6">
        <w:rPr>
          <w:rFonts w:cstheme="minorHAnsi"/>
          <w:sz w:val="22"/>
          <w:szCs w:val="22"/>
        </w:rPr>
        <w:t xml:space="preserve">, </w:t>
      </w:r>
      <w:r w:rsidR="000E07FB" w:rsidRPr="00523BF6">
        <w:rPr>
          <w:rFonts w:cstheme="minorHAnsi"/>
          <w:sz w:val="22"/>
          <w:szCs w:val="22"/>
        </w:rPr>
        <w:t xml:space="preserve">10,000G for </w:t>
      </w:r>
      <w:r w:rsidR="00CC5F66" w:rsidRPr="00523BF6">
        <w:rPr>
          <w:rFonts w:cstheme="minorHAnsi"/>
          <w:sz w:val="22"/>
          <w:szCs w:val="22"/>
        </w:rPr>
        <w:t>15</w:t>
      </w:r>
      <w:r w:rsidR="000E07FB" w:rsidRPr="00523BF6">
        <w:rPr>
          <w:rFonts w:cstheme="minorHAnsi"/>
          <w:sz w:val="22"/>
          <w:szCs w:val="22"/>
        </w:rPr>
        <w:t>min,</w:t>
      </w:r>
      <w:r w:rsidRPr="00523BF6">
        <w:rPr>
          <w:rFonts w:cstheme="minorHAnsi"/>
          <w:sz w:val="22"/>
          <w:szCs w:val="22"/>
        </w:rPr>
        <w:t xml:space="preserve"> 100,000G for 90min</w:t>
      </w:r>
      <w:r w:rsidR="006F3F64" w:rsidRPr="00523BF6">
        <w:rPr>
          <w:rFonts w:cstheme="minorHAnsi"/>
          <w:sz w:val="22"/>
          <w:szCs w:val="22"/>
        </w:rPr>
        <w:t xml:space="preserve"> (</w:t>
      </w:r>
      <w:r w:rsidR="00FB1D82" w:rsidRPr="00523BF6">
        <w:rPr>
          <w:rFonts w:cstheme="minorHAnsi"/>
          <w:sz w:val="22"/>
          <w:szCs w:val="22"/>
        </w:rPr>
        <w:t>F-28/50 rotor</w:t>
      </w:r>
      <w:r w:rsidR="006F3F64" w:rsidRPr="00523BF6">
        <w:rPr>
          <w:rFonts w:cstheme="minorHAnsi"/>
          <w:sz w:val="22"/>
          <w:szCs w:val="22"/>
        </w:rPr>
        <w:t>)</w:t>
      </w:r>
      <w:r w:rsidR="000E07FB" w:rsidRPr="00523BF6">
        <w:rPr>
          <w:rFonts w:cstheme="minorHAnsi"/>
          <w:sz w:val="22"/>
          <w:szCs w:val="22"/>
        </w:rPr>
        <w:t>, as previously described</w:t>
      </w:r>
      <w:r w:rsidR="006E529C" w:rsidRPr="00523BF6">
        <w:rPr>
          <w:rFonts w:cstheme="minorHAnsi"/>
          <w:sz w:val="22"/>
          <w:szCs w:val="22"/>
        </w:rPr>
        <w:fldChar w:fldCharType="begin" w:fldLock="1"/>
      </w:r>
      <w:r w:rsidR="007E4684" w:rsidRPr="00523BF6">
        <w:rPr>
          <w:rFonts w:cstheme="minorHAnsi"/>
          <w:sz w:val="22"/>
          <w:szCs w:val="22"/>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006E529C" w:rsidRPr="00523BF6">
        <w:rPr>
          <w:rFonts w:cstheme="minorHAnsi"/>
          <w:sz w:val="22"/>
          <w:szCs w:val="22"/>
        </w:rPr>
        <w:fldChar w:fldCharType="separate"/>
      </w:r>
      <w:r w:rsidR="00E33727" w:rsidRPr="00523BF6">
        <w:rPr>
          <w:rFonts w:cstheme="minorHAnsi"/>
          <w:noProof/>
          <w:sz w:val="22"/>
          <w:szCs w:val="22"/>
        </w:rPr>
        <w:t>[6]</w:t>
      </w:r>
      <w:r w:rsidR="006E529C" w:rsidRPr="00523BF6">
        <w:rPr>
          <w:rFonts w:cstheme="minorHAnsi"/>
          <w:sz w:val="22"/>
          <w:szCs w:val="22"/>
        </w:rPr>
        <w:fldChar w:fldCharType="end"/>
      </w:r>
      <w:r w:rsidRPr="00523BF6">
        <w:rPr>
          <w:rFonts w:cstheme="minorHAnsi"/>
          <w:sz w:val="22"/>
          <w:szCs w:val="22"/>
        </w:rPr>
        <w:t xml:space="preserve">. The </w:t>
      </w:r>
      <w:r w:rsidR="00B41925" w:rsidRPr="00523BF6">
        <w:rPr>
          <w:rFonts w:cstheme="minorHAnsi"/>
          <w:sz w:val="22"/>
          <w:szCs w:val="22"/>
        </w:rPr>
        <w:t xml:space="preserve">EV </w:t>
      </w:r>
      <w:r w:rsidR="0052024D" w:rsidRPr="00523BF6">
        <w:rPr>
          <w:rFonts w:cstheme="minorHAnsi"/>
          <w:sz w:val="22"/>
          <w:szCs w:val="22"/>
        </w:rPr>
        <w:t xml:space="preserve">pellet was resuspended in </w:t>
      </w:r>
      <w:r w:rsidR="0069249A" w:rsidRPr="00523BF6">
        <w:rPr>
          <w:rFonts w:cstheme="minorHAnsi"/>
          <w:sz w:val="22"/>
          <w:szCs w:val="22"/>
        </w:rPr>
        <w:t xml:space="preserve">media used for </w:t>
      </w:r>
      <w:r w:rsidR="00117FA3" w:rsidRPr="00523BF6">
        <w:rPr>
          <w:rFonts w:cstheme="minorHAnsi"/>
          <w:sz w:val="22"/>
          <w:szCs w:val="22"/>
        </w:rPr>
        <w:t xml:space="preserve">placental </w:t>
      </w:r>
      <w:r w:rsidR="0052024D" w:rsidRPr="00523BF6">
        <w:rPr>
          <w:rFonts w:cstheme="minorHAnsi"/>
          <w:sz w:val="22"/>
          <w:szCs w:val="22"/>
        </w:rPr>
        <w:t>explant</w:t>
      </w:r>
      <w:r w:rsidR="006F3F64" w:rsidRPr="00523BF6">
        <w:rPr>
          <w:rFonts w:cstheme="minorHAnsi"/>
          <w:sz w:val="22"/>
          <w:szCs w:val="22"/>
        </w:rPr>
        <w:t>s</w:t>
      </w:r>
      <w:r w:rsidR="0052024D" w:rsidRPr="00523BF6">
        <w:rPr>
          <w:rFonts w:cstheme="minorHAnsi"/>
          <w:sz w:val="22"/>
          <w:szCs w:val="22"/>
        </w:rPr>
        <w:t xml:space="preserve">; </w:t>
      </w:r>
      <w:r w:rsidR="00CF78BE" w:rsidRPr="00523BF6">
        <w:rPr>
          <w:rFonts w:cstheme="minorHAnsi"/>
          <w:sz w:val="22"/>
          <w:szCs w:val="22"/>
        </w:rPr>
        <w:t>1:1 serum-free Dulbecco’s Modified Eagles Medium (DMEM) and Ham’s F12 (F12) (DMEM/F12, Gibco, UK)</w:t>
      </w:r>
      <w:r w:rsidR="006F3F64" w:rsidRPr="00523BF6">
        <w:rPr>
          <w:rFonts w:cstheme="minorHAnsi"/>
          <w:sz w:val="22"/>
          <w:szCs w:val="22"/>
        </w:rPr>
        <w:t>;</w:t>
      </w:r>
      <w:r w:rsidR="00CF78BE" w:rsidRPr="00523BF6">
        <w:rPr>
          <w:rFonts w:cstheme="minorHAnsi"/>
          <w:sz w:val="22"/>
          <w:szCs w:val="22"/>
        </w:rPr>
        <w:t xml:space="preserve"> </w:t>
      </w:r>
      <w:r w:rsidRPr="00523BF6">
        <w:rPr>
          <w:rFonts w:cstheme="minorHAnsi"/>
          <w:sz w:val="22"/>
          <w:szCs w:val="22"/>
        </w:rPr>
        <w:t>and passed through a 0.2</w:t>
      </w:r>
      <w:r w:rsidRPr="00523BF6">
        <w:rPr>
          <w:rFonts w:cstheme="minorHAnsi"/>
          <w:color w:val="000000"/>
          <w:sz w:val="22"/>
          <w:szCs w:val="22"/>
        </w:rPr>
        <w:t>μ</w:t>
      </w:r>
      <w:r w:rsidRPr="00523BF6">
        <w:rPr>
          <w:rFonts w:cstheme="minorHAnsi"/>
          <w:sz w:val="22"/>
          <w:szCs w:val="22"/>
        </w:rPr>
        <w:t>M filter. E</w:t>
      </w:r>
      <w:r w:rsidR="00B41925" w:rsidRPr="00523BF6">
        <w:rPr>
          <w:rFonts w:cstheme="minorHAnsi"/>
          <w:sz w:val="22"/>
          <w:szCs w:val="22"/>
        </w:rPr>
        <w:t>V</w:t>
      </w:r>
      <w:r w:rsidRPr="00523BF6">
        <w:rPr>
          <w:rFonts w:cstheme="minorHAnsi"/>
          <w:sz w:val="22"/>
          <w:szCs w:val="22"/>
        </w:rPr>
        <w:t>s were quantified and sized using Nanop</w:t>
      </w:r>
      <w:r w:rsidR="0052024D" w:rsidRPr="00523BF6">
        <w:rPr>
          <w:rFonts w:cstheme="minorHAnsi"/>
          <w:sz w:val="22"/>
          <w:szCs w:val="22"/>
        </w:rPr>
        <w:t>article Tracking Analysis (</w:t>
      </w:r>
      <w:r w:rsidRPr="00523BF6">
        <w:rPr>
          <w:rFonts w:cstheme="minorHAnsi"/>
          <w:sz w:val="22"/>
          <w:szCs w:val="22"/>
        </w:rPr>
        <w:t>LM10; Nanosight</w:t>
      </w:r>
      <w:r w:rsidR="00C16710" w:rsidRPr="00523BF6">
        <w:rPr>
          <w:rFonts w:cstheme="minorHAnsi"/>
          <w:sz w:val="22"/>
          <w:szCs w:val="22"/>
        </w:rPr>
        <w:t>)</w:t>
      </w:r>
      <w:r w:rsidRPr="00523BF6">
        <w:rPr>
          <w:rFonts w:cstheme="minorHAnsi"/>
          <w:sz w:val="22"/>
          <w:szCs w:val="22"/>
        </w:rPr>
        <w:t xml:space="preserve">. </w:t>
      </w:r>
      <w:r w:rsidR="000E07FB" w:rsidRPr="00523BF6">
        <w:rPr>
          <w:rFonts w:cstheme="minorHAnsi"/>
          <w:sz w:val="22"/>
          <w:szCs w:val="22"/>
        </w:rPr>
        <w:t xml:space="preserve">Samples </w:t>
      </w:r>
      <w:r w:rsidR="006F3F64" w:rsidRPr="00523BF6">
        <w:rPr>
          <w:rFonts w:cstheme="minorHAnsi"/>
          <w:sz w:val="22"/>
          <w:szCs w:val="22"/>
        </w:rPr>
        <w:t xml:space="preserve">were </w:t>
      </w:r>
      <w:r w:rsidR="000E07FB" w:rsidRPr="00523BF6">
        <w:rPr>
          <w:rFonts w:cstheme="minorHAnsi"/>
          <w:sz w:val="22"/>
          <w:szCs w:val="22"/>
        </w:rPr>
        <w:t xml:space="preserve">loaded </w:t>
      </w:r>
      <w:r w:rsidR="006F3F64" w:rsidRPr="00523BF6">
        <w:rPr>
          <w:rFonts w:cstheme="minorHAnsi"/>
          <w:sz w:val="22"/>
          <w:szCs w:val="22"/>
        </w:rPr>
        <w:t>by</w:t>
      </w:r>
      <w:r w:rsidR="000E07FB" w:rsidRPr="00523BF6">
        <w:rPr>
          <w:rFonts w:cstheme="minorHAnsi"/>
          <w:sz w:val="22"/>
          <w:szCs w:val="22"/>
        </w:rPr>
        <w:t xml:space="preserve"> syringe pump and </w:t>
      </w:r>
      <w:r w:rsidR="006F3F64" w:rsidRPr="00523BF6">
        <w:rPr>
          <w:rFonts w:cstheme="minorHAnsi"/>
          <w:sz w:val="22"/>
          <w:szCs w:val="22"/>
        </w:rPr>
        <w:t>3x90sec</w:t>
      </w:r>
      <w:r w:rsidR="000E07FB" w:rsidRPr="00523BF6">
        <w:rPr>
          <w:rFonts w:cstheme="minorHAnsi"/>
          <w:sz w:val="22"/>
          <w:szCs w:val="22"/>
        </w:rPr>
        <w:t xml:space="preserve"> videos </w:t>
      </w:r>
      <w:r w:rsidR="0052024D" w:rsidRPr="00523BF6">
        <w:rPr>
          <w:rFonts w:cstheme="minorHAnsi"/>
          <w:sz w:val="22"/>
          <w:szCs w:val="22"/>
        </w:rPr>
        <w:t>recorded and batch-</w:t>
      </w:r>
      <w:r w:rsidR="000E07FB" w:rsidRPr="00523BF6">
        <w:rPr>
          <w:rFonts w:cstheme="minorHAnsi"/>
          <w:sz w:val="22"/>
          <w:szCs w:val="22"/>
        </w:rPr>
        <w:t>analysed using instrument software (NTA 2.3).</w:t>
      </w:r>
      <w:r w:rsidR="003C091B" w:rsidRPr="00523BF6">
        <w:rPr>
          <w:rFonts w:cstheme="minorHAnsi"/>
          <w:sz w:val="22"/>
          <w:szCs w:val="22"/>
        </w:rPr>
        <w:t xml:space="preserve"> </w:t>
      </w:r>
      <w:r w:rsidR="0069249A" w:rsidRPr="00523BF6">
        <w:rPr>
          <w:rFonts w:cstheme="minorHAnsi"/>
          <w:sz w:val="22"/>
          <w:szCs w:val="22"/>
        </w:rPr>
        <w:t xml:space="preserve">Single-use aliquots of </w:t>
      </w:r>
      <w:r w:rsidR="00B41925" w:rsidRPr="00523BF6">
        <w:rPr>
          <w:rFonts w:cstheme="minorHAnsi"/>
          <w:sz w:val="22"/>
          <w:szCs w:val="22"/>
        </w:rPr>
        <w:t>EVs</w:t>
      </w:r>
      <w:r w:rsidR="0069249A" w:rsidRPr="00523BF6">
        <w:rPr>
          <w:rFonts w:cstheme="minorHAnsi"/>
          <w:sz w:val="22"/>
          <w:szCs w:val="22"/>
        </w:rPr>
        <w:t xml:space="preserve"> were stored at -80</w:t>
      </w:r>
      <w:r w:rsidR="0069249A" w:rsidRPr="00523BF6">
        <w:rPr>
          <w:rFonts w:cstheme="minorHAnsi"/>
          <w:sz w:val="22"/>
          <w:szCs w:val="22"/>
          <w:vertAlign w:val="superscript"/>
        </w:rPr>
        <w:t>o</w:t>
      </w:r>
      <w:r w:rsidR="0069249A" w:rsidRPr="00523BF6">
        <w:rPr>
          <w:rFonts w:cstheme="minorHAnsi"/>
          <w:sz w:val="22"/>
          <w:szCs w:val="22"/>
        </w:rPr>
        <w:t>C.</w:t>
      </w:r>
      <w:r w:rsidR="00D374C8" w:rsidRPr="00523BF6">
        <w:rPr>
          <w:rFonts w:cstheme="minorHAnsi"/>
          <w:sz w:val="22"/>
          <w:szCs w:val="22"/>
        </w:rPr>
        <w:t xml:space="preserve"> </w:t>
      </w:r>
      <w:r w:rsidR="00924F91" w:rsidRPr="00523BF6">
        <w:rPr>
          <w:rFonts w:eastAsia="Times New Roman" w:cstheme="minorHAnsi"/>
          <w:color w:val="000000"/>
          <w:sz w:val="22"/>
          <w:szCs w:val="22"/>
          <w:lang w:val="en-GB"/>
        </w:rPr>
        <w:t>All</w:t>
      </w:r>
      <w:r w:rsidR="00D374C8" w:rsidRPr="00523BF6">
        <w:rPr>
          <w:rFonts w:eastAsia="Times New Roman" w:cstheme="minorHAnsi"/>
          <w:color w:val="000000"/>
          <w:sz w:val="22"/>
          <w:szCs w:val="22"/>
          <w:lang w:val="en-GB"/>
        </w:rPr>
        <w:t xml:space="preserve"> relevant </w:t>
      </w:r>
      <w:r w:rsidR="00924F91" w:rsidRPr="00523BF6">
        <w:rPr>
          <w:rFonts w:eastAsia="Times New Roman" w:cstheme="minorHAnsi"/>
          <w:color w:val="000000"/>
          <w:sz w:val="22"/>
          <w:szCs w:val="22"/>
          <w:lang w:val="en-GB"/>
        </w:rPr>
        <w:t xml:space="preserve">experimental </w:t>
      </w:r>
      <w:r w:rsidR="00D374C8" w:rsidRPr="00523BF6">
        <w:rPr>
          <w:rFonts w:eastAsia="Times New Roman" w:cstheme="minorHAnsi"/>
          <w:color w:val="000000"/>
          <w:sz w:val="22"/>
          <w:szCs w:val="22"/>
          <w:lang w:val="en-GB"/>
        </w:rPr>
        <w:t xml:space="preserve">data </w:t>
      </w:r>
      <w:r w:rsidR="00671025" w:rsidRPr="00523BF6">
        <w:rPr>
          <w:rFonts w:eastAsia="Times New Roman" w:cstheme="minorHAnsi"/>
          <w:color w:val="000000"/>
          <w:sz w:val="22"/>
          <w:szCs w:val="22"/>
          <w:lang w:val="en-GB"/>
        </w:rPr>
        <w:t>i</w:t>
      </w:r>
      <w:r w:rsidR="00924F91" w:rsidRPr="00523BF6">
        <w:rPr>
          <w:rFonts w:eastAsia="Times New Roman" w:cstheme="minorHAnsi"/>
          <w:color w:val="000000"/>
          <w:sz w:val="22"/>
          <w:szCs w:val="22"/>
          <w:lang w:val="en-GB"/>
        </w:rPr>
        <w:t xml:space="preserve">s submitted </w:t>
      </w:r>
      <w:r w:rsidR="00D374C8" w:rsidRPr="00523BF6">
        <w:rPr>
          <w:rFonts w:eastAsia="Times New Roman" w:cstheme="minorHAnsi"/>
          <w:color w:val="000000"/>
          <w:sz w:val="22"/>
          <w:szCs w:val="22"/>
          <w:lang w:val="en-GB"/>
        </w:rPr>
        <w:t>to the EV-TRACK knowledgebase (EV-TRACK ID: EV180024)</w:t>
      </w:r>
      <w:r w:rsidR="002F13DA" w:rsidRPr="00523BF6">
        <w:rPr>
          <w:rFonts w:eastAsia="Times New Roman" w:cstheme="minorHAnsi"/>
          <w:color w:val="000000"/>
          <w:sz w:val="22"/>
          <w:szCs w:val="22"/>
          <w:lang w:val="en-GB"/>
        </w:rPr>
        <w:fldChar w:fldCharType="begin" w:fldLock="1"/>
      </w:r>
      <w:r w:rsidR="009506DF" w:rsidRPr="00523BF6">
        <w:rPr>
          <w:rFonts w:eastAsia="Times New Roman" w:cstheme="minorHAnsi"/>
          <w:color w:val="000000"/>
          <w:sz w:val="22"/>
          <w:szCs w:val="22"/>
          <w:lang w:val="en-GB"/>
        </w:rPr>
        <w:instrText>ADDIN CSL_CITATION { "citationItems" : [ { "id" : "ITEM-1", "itemData" : { "DOI" : "10.1038/nmeth.4185", "ISBN" : "1548-7105 (Electronic) 1548-7091 (Linking)", "ISSN" : "15487105", "PMID" : "28245209", "abstract" : "We argue that the field of extracellular vesicle (EV) biology needs more transparent reporting to facilitate interpretation and replication of experiments. To achieve this, we describe EV-TRACK, a crowdsourcing knowledgebase (http://evtrack.org) that centralizes EV biology and methodology with the goal of stimulating authors, reviewers, editors and funders to put experimental guidelines into practice.", "author" : [ { "dropping-particle" : "", "family" : "Deun", "given" : "Jan", "non-dropping-particle" : "Van", "parse-names" : false, "suffix" : "" }, { "dropping-particle" : "", "family" : "Mestdagh", "given" : "Pieter", "non-dropping-particle" : "", "parse-names" : false, "suffix" : "" }, { "dropping-particle" : "", "family" : "Agostinis", "given" : "Patrizia", "non-dropping-particle" : "", "parse-names" : false, "suffix" : "" }, { "dropping-particle" : "", "family" : "Akay", "given" : "\u00d6zden", "non-dropping-particle" : "", "parse-names" : false, "suffix" : "" }, { "dropping-particle" : "", "family" : "Anand", "given" : "Sushma", "non-dropping-particle" : "", "parse-names" : false, "suffix" : "" }, { "dropping-particle" : "", "family" : "Anckaert", "given" : "Jasper", "non-dropping-particle" : "", "parse-names" : false, "suffix" : "" }, { "dropping-particle" : "", "family" : "Martinez", "given" : "Zoraida Andreu", "non-dropping-particle" : "", "parse-names" : false, "suffix" : "" }, { "dropping-particle" : "", "family" : "Baetens", "given" : "Tine", "non-dropping-particle" : "", "parse-names" : false, "suffix" : "" }, { "dropping-particle" : "", "family" : "Beghein", "given" : "Els", "non-dropping-particle" : "", "parse-names" : false, "suffix" : "" }, { "dropping-particle" : "", "family" : "Bertier", "given" : "Laurence", "non-dropping-particle" : "", "parse-names" : false, "suffix" : "" }, { "dropping-particle" : "", "family" : "Berx", "given" : "Geert", "non-dropping-particle" : "", "parse-names" : false, "suffix" : "" }, { "dropping-particle" : "", "family" : "Boere", "given" : "Janneke", "non-dropping-particle" : "", "parse-names" : false, "suffix" : "" }, { "dropping-particle" : "", "family" : "Boukouris", "given" : "Stephanie", "non-dropping-particle" : "", "parse-names" : false, "suffix" : "" }, { "dropping-particle" : "", "family" : "Bremer", "given" : "Michel", "non-dropping-particle" : "", "parse-names" : false, "suffix" : "" }, { "dropping-particle" : "", "family" : "Buschmann", "given" : "Dominik", "non-dropping-particle" : "", "parse-names" : false, "suffix" : "" }, { "dropping-particle" : "", "family" : "Byrd", "given" : "James B.", "non-dropping-particle" : "", "parse-names" : false, "suffix" : "" }, { "dropping-particle" : "", "family" : "Casert", "given" : "Clara", "non-dropping-particle" : "", "parse-names" : false, "suffix" : "" }, { "dropping-particle" : "", "family" : "Cheng", "given" : "Lesley", "non-dropping-particle" : "", "parse-names" : false, "suffix" : "" }, { "dropping-particle" : "", "family" : "Cmoch", "given" : "Anna", "non-dropping-particle" : "", "parse-names" : false, "suffix" : "" }, { "dropping-particle" : "", "family" : "Daveloose", "given" : "Delphine", "non-dropping-particle" : "", "parse-names" : false, "suffix" : "" }, { "dropping-particle" : "", "family" : "Smedt", "given" : "Eva", "non-dropping-particle" : "De", "parse-names" : false, "suffix" : "" }, { "dropping-particle" : "", "family" : "Demirsoy", "given" : "Seyma", "non-dropping-particle" : "", "parse-names" : false, "suffix" : "" }, { "dropping-particle" : "", "family" : "Depoorter", "given" : "Victoria", "non-dropping-particle" : "", "parse-names" : false, "suffix" : "" }, { "dropping-particle" : "", "family" : "Dhondt", "given" : "Bert", "non-dropping-particle" : "", "parse-names" : false, "suffix" : "" }, { "dropping-particle" : "", "family" : "Driedonks", "given" : "Tom A.P.", "non-dropping-particle" : "", "parse-names" : false, "suffix" : "" }, { "dropping-particle" : "", "family" : "Dudek", "given" : "Aleksandra", "non-dropping-particle" : "", "parse-names" : false, "suffix" : "" }, { "dropping-particle" : "", "family" : "Elsharawy", "given" : "Abdou", "non-dropping-particle" : "", "parse-names" : false, "suffix" : "" }, { "dropping-particle" : "", "family" : "Floris", "given" : "Ilaria", "non-dropping-particle" : "", "parse-names" : false, "suffix" : "" }, { "dropping-particle" : "", "family" : "Foers", "given" : "Andrew D.", "non-dropping-particle" : "", "parse-names" : false, "suffix" : "" }, { "dropping-particle" : "", "family" : "G\u00e4rtner", "given" : "Kathrin", "non-dropping-particle" : "", "parse-names" : false, "suffix" : "" }, { "dropping-particle" : "", "family" : "Garg", "given" : "Abhishek D.", "non-dropping-particle" : "", "parse-names" : false, "suffix" : "" }, { "dropping-particle" : "", "family" : "Geeurickx", "given" : "Edward", "non-dropping-particle" : "", "parse-names" : false, "suffix" : "" }, { "dropping-particle" : "", "family" : "Gettemans", "given" : "Jan", "non-dropping-particle" : "", "parse-names" : false, "suffix" : "" }, { "dropping-particle" : "", "family" : "Ghazavi", "given" : "Farzaneh", "non-dropping-particle" : "", "parse-names" : false, "suffix" : "" }, { "dropping-particle" : "", "family" : "Giebel", "given" : "Bernd", "non-dropping-particle" : "", "parse-names" : false, "suffix" : "" }, { "dropping-particle" : "", "family" : "Kormelink", "given" : "Tom Groot", "non-dropping-particle" : "", "parse-names" : false, "suffix" : "" }, { "dropping-particle" : "", "family" : "Hancock", "given" : "Grace", "non-dropping-particle" : "", "parse-names" : false, "suffix" : "" }, { "dropping-particle" : "", "family" : "Helsmoortel", "given" : "Hetty", "non-dropping-particle" : "", "parse-names" : false, "suffix" : "" }, { "dropping-particle" : "", "family" : "Hill", "given" : "Andrew F.", "non-dropping-particle" : "", "parse-names" : false, "suffix" : "" }, { "dropping-particle" : "", "family" : "Hyenne", "given" : "Vincent", "non-dropping-particle" : "", "parse-names" : false, "suffix" : "" }, { "dropping-particle" : "", "family" : "Kalra", "given" : "Hina", "non-dropping-particle" : "", "parse-names" : false, "suffix" : "" }, { "dropping-particle" : "", "family" : "Kim", "given" : "David", "non-dropping-particle" : "", "parse-names" : false, "suffix" : "" }, { "dropping-particle" : "", "family" : "Kowal", "given" : "Joanna", "non-dropping-particle" : "", "parse-names" : false, "suffix" : "" }, { "dropping-particle" : "", "family" : "Kraemer", "given" : "Sandra", "non-dropping-particle" : "", "parse-names" : false, "suffix" : "" }, { "dropping-particle" : "", "family" : "Leidinger", "given" : "Petra", "non-dropping-particle" : "", "parse-names" : false, "suffix" : "" }, { "dropping-particle" : "", "family" : "Leonelli", "given" : "Carina", "non-dropping-particle" : "", "parse-names" : false, "suffix" : "" }, { "dropping-particle" : "", "family" : "Liang", "given" : "Yaxuan", "non-dropping-particle" : "", "parse-names" : false, "suffix" : "" }, { "dropping-particle" : "", "family" : "Lippens", "given" : "Lien", "non-dropping-particle" : "", "parse-names" : false, "suffix" : "" }, { "dropping-particle" : "", "family" : "Liu", "given" : "Shu", "non-dropping-particle" : "", "parse-names" : false, "suffix" : "" }, { "dropping-particle" : "", "family" : "Cicero", "given" : "Alessandra", "non-dropping-particle" : "Lo", "parse-names" : false, "suffix" : "" }, { "dropping-particle" : "", "family" : "Martin", "given" : "Shaun", "non-dropping-particle" : "", "parse-names" : false, "suffix" : "" }, { "dropping-particle" : "", "family" : "Mathivanan", "given" : "Suresh", "non-dropping-particle" : "", "parse-names" : false, "suffix" : "" }, { "dropping-particle" : "", "family" : "Mathiyalagan", "given" : "Prabhu", "non-dropping-particle" : "", "parse-names" : false, "suffix" : "" }, { "dropping-particle" : "", "family" : "Matusek", "given" : "T\u00e1mas", "non-dropping-particle" : "", "parse-names" : false, "suffix" : "" }, { "dropping-particle" : "", "family" : "Milani", "given" : "Gloria", "non-dropping-particle" : "", "parse-names" : false, "suffix" : "" }, { "dropping-particle" : "", "family" : "Mongui\u00f3-Tortajada", "given" : "Marta", "non-dropping-particle" : "", "parse-names" : false, "suffix" : "" }, { "dropping-particle" : "", "family" : "Mus", "given" : "Liselot M.", "non-dropping-particle" : "", "parse-names" : false, "suffix" : "" }, { "dropping-particle" : "", "family" : "Muth", "given" : "Dillon C.", "non-dropping-particle" : "", "parse-names" : false, "suffix" : "" }, { "dropping-particle" : "", "family" : "N\u00e9meth", "given" : "Andrea", "non-dropping-particle" : "", "parse-names" : false, "suffix" : "" }, { "dropping-particle" : "", "family" : "Nolte-'T Hoen", "given" : "Esther N.M.", "non-dropping-particle" : "", "parse-names" : false, "suffix" : "" }, { "dropping-particle" : "", "family" : "O'Driscoll", "given" : "Lorraine", "non-dropping-particle" : "", "parse-names" : false, "suffix" : "" }, { "dropping-particle" : "", "family" : "Palmulli", "given" : "Roberta", "non-dropping-particle" : "", "parse-names" : false, "suffix" : "" }, { "dropping-particle" : "", "family" : "Pfaffl", "given" : "Michael W.", "non-dropping-particle" : "", "parse-names" : false, "suffix" : "" }, { "dropping-particle" : "", "family" : "Primdal-Bengtson", "given" : "Bjarke", "non-dropping-particle" : "", "parse-names" : false, "suffix" : "" }, { "dropping-particle" : "", "family" : "Romano", "given" : "Erminia", "non-dropping-particle" : "", "parse-names" : false, "suffix" : "" }, { "dropping-particle" : "", "family" : "Rousseau", "given" : "Quentin", "non-dropping-particle" : "", "parse-names" : false, "suffix" : "" }, { "dropping-particle" : "", "family" : "Sahoo", "given" : "Susmita", "non-dropping-particle" : "", "parse-names" : false, "suffix" : "" }, { "dropping-particle" : "", "family" : "Sampaio", "given" : "Natalia", "non-dropping-particle" : "", "parse-names" : false, "suffix" : "" }, { "dropping-particle" : "", "family" : "Samuel", "given" : "Monisha", "non-dropping-particle" : "", "parse-names" : false, "suffix" : "" }, { "dropping-particle" : "", "family" : "Scicluna", "given" : "Benjamin", "non-dropping-particle" : "", "parse-names" : false, "suffix" : "" }, { "dropping-particle" : "", "family" : "Soen", "given" : "Bieke", "non-dropping-particle" : "", "parse-names" : false, "suffix" : "" }, { "dropping-particle" : "", "family" : "Steels", "given" : "Anneleen", "non-dropping-particle" : "", "parse-names" : false, "suffix" : "" }, { "dropping-particle" : "V.", "family" : "Swinnen", "given" : "Johannes", "non-dropping-particle" : "", "parse-names" : false, "suffix" : "" }, { "dropping-particle" : "", "family" : "Takatalo", "given" : "Maarit", "non-dropping-particle" : "", "parse-names" : false, "suffix" : "" }, { "dropping-particle" : "", "family" : "Thaminy", "given" : "Safia", "non-dropping-particle" : "", "parse-names" : false, "suffix" : "" }, { "dropping-particle" : "", "family" : "Th\u00e9ry", "given" : "Clotilde", "non-dropping-particle" : "", "parse-names" : false, "suffix" : "" }, { "dropping-particle" : "", "family" : "Tulkens", "given" : "Joeri", "non-dropping-particle" : "", "parse-names" : false, "suffix" : "" }, { "dropping-particle" : "", "family" : "Audenhove", "given" : "Isabel", "non-dropping-particle" : "Van", "parse-names" : false, "suffix" : "" }, { "dropping-particle" : "", "family" : "Grein", "given" : "Susanne", "non-dropping-particle" : "Van Der", "parse-names" : false, "suffix" : "" }, { "dropping-particle" : "", "family" : "Goethem", "given" : "Alan", "non-dropping-particle" : "Van", "parse-names" : false, "suffix" : "" }, { "dropping-particle" : "", "family" : "Herwijnen", "given" : "Martijn J.", "non-dropping-particle" : "Van", "parse-names" : false, "suffix" : "" }, { "dropping-particle" : "", "family" : "Niel", "given" : "Guillaume", "non-dropping-particle" : "Van", "parse-names" : false, "suffix" : "" }, { "dropping-particle" : "", "family" : "Roy", "given" : "Nadine", "non-dropping-particle" : "Van", "parse-names" : false, "suffix" : "" }, { "dropping-particle" : "", "family" : "Vliet", "given" : "Alexander R.", "non-dropping-particle" : "Van", "parse-names" : false, "suffix" : "" }, { "dropping-particle" : "", "family" : "Vandamme", "given" : "Niels", "non-dropping-particle" : "", "parse-names" : false, "suffix" : "" }, { "dropping-particle" : "", "family" : "Vanhauwaert", "given" : "Suzanne", "non-dropping-particle" : "", "parse-names" : false, "suffix" : "" }, { "dropping-particle" : "", "family" : "Vergauwen", "given" : "Glenn", "non-dropping-particle" : "", "parse-names" : false, "suffix" : "" }, { "dropping-particle" : "", "family" : "Verweij", "given" : "Frederik", "non-dropping-particle" : "", "parse-names" : false, "suffix" : "" }, { "dropping-particle" : "", "family" : "Wallaert", "given" : "Annelynn", "non-dropping-particle" : "", "parse-names" : false, "suffix" : "" }, { "dropping-particle" : "", "family" : "Wauben", "given" : "Marca", "non-dropping-particle" : "", "parse-names" : false, "suffix" : "" }, { "dropping-particle" : "", "family" : "Witwer", "given" : "Kenneth W.", "non-dropping-particle" : "", "parse-names" : false, "suffix" : "" }, { "dropping-particle" : "", "family" : "Zonneveld", "given" : "Marijke I.", "non-dropping-particle" : "", "parse-names" : false, "suffix" : "" }, { "dropping-particle" : "", "family" : "Wever", "given" : "Olivier", "non-dropping-particle" : "De", "parse-names" : false, "suffix" : "" }, { "dropping-particle" : "", "family" : "Vandesompele", "given" : "Jo", "non-dropping-particle" : "", "parse-names" : false, "suffix" : "" }, { "dropping-particle" : "", "family" : "Hendrix", "given" : "An", "non-dropping-particle" : "", "parse-names" : false, "suffix" : "" } ], "container-title" : "Nature Methods", "id" : "ITEM-1", "issue" : "3", "issued" : { "date-parts" : [ [ "2017" ] ] }, "page" : "228-232", "title" : "EV-TRACK: Transparent reporting and centralizing knowledge in extracellular vesicle research", "type" : "article", "volume" : "14" }, "uris" : [ "http://www.mendeley.com/documents/?uuid=e042307c-49fc-4d69-bd81-bfa6257667bc" ] } ], "mendeley" : { "formattedCitation" : "[11]", "plainTextFormattedCitation" : "[11]", "previouslyFormattedCitation" : "[11]" }, "properties" : {  }, "schema" : "https://github.com/citation-style-language/schema/raw/master/csl-citation.json" }</w:instrText>
      </w:r>
      <w:r w:rsidR="002F13DA" w:rsidRPr="00523BF6">
        <w:rPr>
          <w:rFonts w:eastAsia="Times New Roman" w:cstheme="minorHAnsi"/>
          <w:color w:val="000000"/>
          <w:sz w:val="22"/>
          <w:szCs w:val="22"/>
          <w:lang w:val="en-GB"/>
        </w:rPr>
        <w:fldChar w:fldCharType="separate"/>
      </w:r>
      <w:r w:rsidR="002F13DA" w:rsidRPr="00523BF6">
        <w:rPr>
          <w:rFonts w:eastAsia="Times New Roman" w:cstheme="minorHAnsi"/>
          <w:noProof/>
          <w:color w:val="000000"/>
          <w:sz w:val="22"/>
          <w:szCs w:val="22"/>
          <w:lang w:val="en-GB"/>
        </w:rPr>
        <w:t>[11]</w:t>
      </w:r>
      <w:r w:rsidR="002F13DA" w:rsidRPr="00523BF6">
        <w:rPr>
          <w:rFonts w:eastAsia="Times New Roman" w:cstheme="minorHAnsi"/>
          <w:color w:val="000000"/>
          <w:sz w:val="22"/>
          <w:szCs w:val="22"/>
          <w:lang w:val="en-GB"/>
        </w:rPr>
        <w:fldChar w:fldCharType="end"/>
      </w:r>
      <w:r w:rsidR="002F13DA" w:rsidRPr="00523BF6">
        <w:rPr>
          <w:rFonts w:eastAsia="Times New Roman" w:cstheme="minorHAnsi"/>
          <w:color w:val="000000"/>
          <w:sz w:val="22"/>
          <w:szCs w:val="22"/>
          <w:lang w:val="en-GB"/>
        </w:rPr>
        <w:t>.</w:t>
      </w:r>
    </w:p>
    <w:p w14:paraId="70C0A649" w14:textId="77777777" w:rsidR="000E07FB" w:rsidRPr="00523BF6" w:rsidRDefault="000E07FB" w:rsidP="00E33727">
      <w:pPr>
        <w:widowControl w:val="0"/>
        <w:autoSpaceDE w:val="0"/>
        <w:autoSpaceDN w:val="0"/>
        <w:adjustRightInd w:val="0"/>
        <w:spacing w:line="480" w:lineRule="auto"/>
        <w:jc w:val="both"/>
        <w:rPr>
          <w:rFonts w:cs="Times New Roman"/>
          <w:sz w:val="22"/>
          <w:szCs w:val="22"/>
        </w:rPr>
      </w:pPr>
    </w:p>
    <w:p w14:paraId="5B7A25FB" w14:textId="34C3D217" w:rsidR="00184801" w:rsidRPr="00523BF6" w:rsidRDefault="00184801" w:rsidP="00E33727">
      <w:pPr>
        <w:widowControl w:val="0"/>
        <w:autoSpaceDE w:val="0"/>
        <w:autoSpaceDN w:val="0"/>
        <w:adjustRightInd w:val="0"/>
        <w:spacing w:line="480" w:lineRule="auto"/>
        <w:jc w:val="both"/>
        <w:rPr>
          <w:rFonts w:eastAsia="Times New Roman" w:cs="Times New Roman"/>
          <w:sz w:val="22"/>
          <w:szCs w:val="22"/>
        </w:rPr>
      </w:pPr>
      <w:r w:rsidRPr="00523BF6">
        <w:rPr>
          <w:rFonts w:cs="Times New Roman"/>
          <w:b/>
          <w:sz w:val="22"/>
          <w:szCs w:val="22"/>
        </w:rPr>
        <w:t xml:space="preserve">Western blotting </w:t>
      </w:r>
      <w:r w:rsidR="008C0358" w:rsidRPr="00523BF6">
        <w:rPr>
          <w:rFonts w:cs="Times New Roman"/>
          <w:sz w:val="22"/>
          <w:szCs w:val="22"/>
        </w:rPr>
        <w:t>Western blotting was performed as previously described</w:t>
      </w:r>
      <w:r w:rsidR="008C0358" w:rsidRPr="00523BF6">
        <w:rPr>
          <w:rFonts w:cs="Times New Roman"/>
          <w:sz w:val="22"/>
          <w:szCs w:val="22"/>
        </w:rPr>
        <w:fldChar w:fldCharType="begin" w:fldLock="1"/>
      </w:r>
      <w:r w:rsidR="007E4684" w:rsidRPr="00523BF6">
        <w:rPr>
          <w:rFonts w:cs="Times New Roman"/>
          <w:sz w:val="22"/>
          <w:szCs w:val="22"/>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008C0358" w:rsidRPr="00523BF6">
        <w:rPr>
          <w:rFonts w:cs="Times New Roman"/>
          <w:sz w:val="22"/>
          <w:szCs w:val="22"/>
        </w:rPr>
        <w:fldChar w:fldCharType="separate"/>
      </w:r>
      <w:r w:rsidR="00E33727" w:rsidRPr="00523BF6">
        <w:rPr>
          <w:rFonts w:cs="Times New Roman"/>
          <w:noProof/>
          <w:sz w:val="22"/>
          <w:szCs w:val="22"/>
        </w:rPr>
        <w:t>[6]</w:t>
      </w:r>
      <w:r w:rsidR="008C0358" w:rsidRPr="00523BF6">
        <w:rPr>
          <w:rFonts w:cs="Times New Roman"/>
          <w:sz w:val="22"/>
          <w:szCs w:val="22"/>
        </w:rPr>
        <w:fldChar w:fldCharType="end"/>
      </w:r>
      <w:r w:rsidR="006A5E0A" w:rsidRPr="00523BF6">
        <w:rPr>
          <w:rFonts w:cs="Times New Roman"/>
          <w:sz w:val="22"/>
          <w:szCs w:val="22"/>
        </w:rPr>
        <w:t xml:space="preserve"> </w:t>
      </w:r>
      <w:r w:rsidR="00A75851" w:rsidRPr="00523BF6">
        <w:rPr>
          <w:rFonts w:cs="Times New Roman"/>
          <w:sz w:val="22"/>
          <w:szCs w:val="22"/>
        </w:rPr>
        <w:t xml:space="preserve">on samples lysed in RIPA buffer, </w:t>
      </w:r>
      <w:r w:rsidR="006A5E0A" w:rsidRPr="00523BF6">
        <w:rPr>
          <w:rFonts w:cs="Times New Roman"/>
          <w:sz w:val="22"/>
          <w:szCs w:val="22"/>
        </w:rPr>
        <w:t>using the following antibodies</w:t>
      </w:r>
      <w:r w:rsidR="002A56AC" w:rsidRPr="00523BF6">
        <w:rPr>
          <w:rFonts w:cs="Times New Roman"/>
          <w:sz w:val="22"/>
          <w:szCs w:val="22"/>
        </w:rPr>
        <w:t xml:space="preserve">: </w:t>
      </w:r>
      <w:r w:rsidR="00DB5BB6" w:rsidRPr="00523BF6">
        <w:rPr>
          <w:rFonts w:cs="Times New Roman"/>
          <w:sz w:val="22"/>
          <w:szCs w:val="22"/>
        </w:rPr>
        <w:t xml:space="preserve">flotillin-1 (C-2, SantaCruz, </w:t>
      </w:r>
      <w:r w:rsidR="006E0663" w:rsidRPr="00523BF6">
        <w:rPr>
          <w:rFonts w:cs="Times New Roman"/>
          <w:sz w:val="22"/>
          <w:szCs w:val="22"/>
        </w:rPr>
        <w:t>0.4</w:t>
      </w:r>
      <w:r w:rsidR="006E0663" w:rsidRPr="00523BF6">
        <w:rPr>
          <w:rFonts w:cs="Times New Roman"/>
          <w:color w:val="000000"/>
          <w:sz w:val="22"/>
          <w:szCs w:val="22"/>
        </w:rPr>
        <w:t>μ</w:t>
      </w:r>
      <w:r w:rsidR="006E0663" w:rsidRPr="00523BF6">
        <w:rPr>
          <w:rFonts w:cs="Times New Roman"/>
          <w:sz w:val="22"/>
          <w:szCs w:val="22"/>
        </w:rPr>
        <w:t>g/ml</w:t>
      </w:r>
      <w:r w:rsidR="00DB5BB6" w:rsidRPr="00523BF6">
        <w:rPr>
          <w:rFonts w:cs="Times New Roman"/>
          <w:sz w:val="22"/>
          <w:szCs w:val="22"/>
        </w:rPr>
        <w:t xml:space="preserve">), </w:t>
      </w:r>
      <w:r w:rsidR="006A5E0A" w:rsidRPr="00523BF6">
        <w:rPr>
          <w:rFonts w:cs="Times New Roman"/>
          <w:sz w:val="22"/>
          <w:szCs w:val="22"/>
        </w:rPr>
        <w:t>MHC-</w:t>
      </w:r>
      <w:r w:rsidR="007A5CC1" w:rsidRPr="00523BF6">
        <w:rPr>
          <w:rFonts w:cs="Times New Roman"/>
          <w:sz w:val="22"/>
          <w:szCs w:val="22"/>
        </w:rPr>
        <w:t xml:space="preserve">I </w:t>
      </w:r>
      <w:r w:rsidR="002A56AC" w:rsidRPr="00523BF6">
        <w:rPr>
          <w:rFonts w:cs="Times New Roman"/>
          <w:sz w:val="22"/>
          <w:szCs w:val="22"/>
        </w:rPr>
        <w:t>(</w:t>
      </w:r>
      <w:r w:rsidR="007A5CC1" w:rsidRPr="00523BF6">
        <w:rPr>
          <w:rFonts w:cs="Times New Roman"/>
          <w:sz w:val="22"/>
          <w:szCs w:val="22"/>
        </w:rPr>
        <w:t xml:space="preserve">HLA-A; </w:t>
      </w:r>
      <w:r w:rsidR="00A27FB4" w:rsidRPr="00523BF6">
        <w:rPr>
          <w:rFonts w:cs="Times New Roman"/>
          <w:sz w:val="22"/>
          <w:szCs w:val="22"/>
        </w:rPr>
        <w:t>EP1395Y,</w:t>
      </w:r>
      <w:r w:rsidR="002A56AC" w:rsidRPr="00523BF6">
        <w:rPr>
          <w:rFonts w:cs="Times New Roman"/>
          <w:sz w:val="22"/>
          <w:szCs w:val="22"/>
        </w:rPr>
        <w:t xml:space="preserve"> Abcam</w:t>
      </w:r>
      <w:r w:rsidR="00A27FB4" w:rsidRPr="00523BF6">
        <w:rPr>
          <w:rFonts w:cs="Times New Roman"/>
          <w:sz w:val="22"/>
          <w:szCs w:val="22"/>
        </w:rPr>
        <w:t xml:space="preserve">, </w:t>
      </w:r>
      <w:r w:rsidR="007A5CC1" w:rsidRPr="00523BF6">
        <w:rPr>
          <w:rFonts w:cs="Times New Roman"/>
          <w:sz w:val="22"/>
          <w:szCs w:val="22"/>
        </w:rPr>
        <w:t>0.103</w:t>
      </w:r>
      <w:r w:rsidR="007A5CC1" w:rsidRPr="00523BF6">
        <w:rPr>
          <w:rFonts w:cs="Times New Roman"/>
          <w:color w:val="000000"/>
          <w:sz w:val="22"/>
          <w:szCs w:val="22"/>
        </w:rPr>
        <w:t>μ</w:t>
      </w:r>
      <w:r w:rsidR="007A5CC1" w:rsidRPr="00523BF6">
        <w:rPr>
          <w:rFonts w:cs="Times New Roman"/>
          <w:sz w:val="22"/>
          <w:szCs w:val="22"/>
        </w:rPr>
        <w:t>g/ml</w:t>
      </w:r>
      <w:r w:rsidR="002A56AC" w:rsidRPr="00523BF6">
        <w:rPr>
          <w:rFonts w:cs="Times New Roman"/>
          <w:sz w:val="22"/>
          <w:szCs w:val="22"/>
        </w:rPr>
        <w:t xml:space="preserve">), </w:t>
      </w:r>
      <w:r w:rsidR="007A5CC1" w:rsidRPr="00523BF6">
        <w:rPr>
          <w:rFonts w:cs="Times New Roman"/>
          <w:sz w:val="22"/>
          <w:szCs w:val="22"/>
        </w:rPr>
        <w:t>TSG101 (C-2, SantaCruz, 1</w:t>
      </w:r>
      <w:r w:rsidR="007A5CC1" w:rsidRPr="00523BF6">
        <w:rPr>
          <w:rFonts w:cs="Times New Roman"/>
          <w:color w:val="000000"/>
          <w:sz w:val="22"/>
          <w:szCs w:val="22"/>
        </w:rPr>
        <w:t>μ</w:t>
      </w:r>
      <w:r w:rsidR="007A5CC1" w:rsidRPr="00523BF6">
        <w:rPr>
          <w:rFonts w:cs="Times New Roman"/>
          <w:sz w:val="22"/>
          <w:szCs w:val="22"/>
        </w:rPr>
        <w:t xml:space="preserve">g/ml), </w:t>
      </w:r>
      <w:r w:rsidR="002A56AC" w:rsidRPr="00523BF6">
        <w:rPr>
          <w:rFonts w:cs="Times New Roman"/>
          <w:sz w:val="22"/>
          <w:szCs w:val="22"/>
        </w:rPr>
        <w:t>calnexin (</w:t>
      </w:r>
      <w:r w:rsidR="00030DC0" w:rsidRPr="00523BF6">
        <w:rPr>
          <w:rFonts w:cs="Times New Roman"/>
          <w:sz w:val="22"/>
          <w:szCs w:val="22"/>
        </w:rPr>
        <w:t>#2433</w:t>
      </w:r>
      <w:r w:rsidR="00A5381F" w:rsidRPr="00523BF6">
        <w:rPr>
          <w:rFonts w:cs="Times New Roman"/>
          <w:sz w:val="22"/>
          <w:szCs w:val="22"/>
        </w:rPr>
        <w:t xml:space="preserve">, </w:t>
      </w:r>
      <w:r w:rsidR="002A56AC" w:rsidRPr="00523BF6">
        <w:rPr>
          <w:rFonts w:cs="Times New Roman"/>
          <w:sz w:val="22"/>
          <w:szCs w:val="22"/>
        </w:rPr>
        <w:t>CellSignallingTechnologies</w:t>
      </w:r>
      <w:r w:rsidR="007A5CC1" w:rsidRPr="00523BF6">
        <w:rPr>
          <w:rFonts w:cs="Times New Roman"/>
          <w:sz w:val="22"/>
          <w:szCs w:val="22"/>
        </w:rPr>
        <w:t xml:space="preserve">, </w:t>
      </w:r>
      <w:r w:rsidR="00BF7788" w:rsidRPr="00523BF6">
        <w:rPr>
          <w:rFonts w:cs="Times New Roman"/>
          <w:sz w:val="22"/>
          <w:szCs w:val="22"/>
        </w:rPr>
        <w:t>0.8</w:t>
      </w:r>
      <w:r w:rsidR="00BF7788" w:rsidRPr="00523BF6">
        <w:rPr>
          <w:rFonts w:cs="Times New Roman"/>
          <w:color w:val="000000"/>
          <w:sz w:val="22"/>
          <w:szCs w:val="22"/>
        </w:rPr>
        <w:t>μ</w:t>
      </w:r>
      <w:r w:rsidR="00BF7788" w:rsidRPr="00523BF6">
        <w:rPr>
          <w:rFonts w:cs="Times New Roman"/>
          <w:sz w:val="22"/>
          <w:szCs w:val="22"/>
        </w:rPr>
        <w:t>g/ml</w:t>
      </w:r>
      <w:r w:rsidR="002A56AC" w:rsidRPr="00523BF6">
        <w:rPr>
          <w:rFonts w:cs="Times New Roman"/>
          <w:sz w:val="22"/>
          <w:szCs w:val="22"/>
        </w:rPr>
        <w:t>).</w:t>
      </w:r>
    </w:p>
    <w:p w14:paraId="66B91650" w14:textId="77777777" w:rsidR="00E45C1E" w:rsidRPr="00523BF6" w:rsidRDefault="00E45C1E" w:rsidP="00E33727">
      <w:pPr>
        <w:widowControl w:val="0"/>
        <w:autoSpaceDE w:val="0"/>
        <w:autoSpaceDN w:val="0"/>
        <w:adjustRightInd w:val="0"/>
        <w:spacing w:line="480" w:lineRule="auto"/>
        <w:jc w:val="both"/>
        <w:rPr>
          <w:rFonts w:eastAsia="Times New Roman" w:cs="Times New Roman"/>
          <w:sz w:val="22"/>
          <w:szCs w:val="22"/>
        </w:rPr>
      </w:pPr>
    </w:p>
    <w:p w14:paraId="05748D46" w14:textId="4F09EF4B" w:rsidR="009C0352" w:rsidRPr="00523BF6" w:rsidRDefault="009C0352" w:rsidP="00E33727">
      <w:pPr>
        <w:pStyle w:val="p1"/>
        <w:spacing w:line="480" w:lineRule="auto"/>
        <w:jc w:val="both"/>
        <w:rPr>
          <w:rFonts w:asciiTheme="minorHAnsi" w:hAnsiTheme="minorHAnsi" w:cs="Times New Roman"/>
          <w:sz w:val="22"/>
          <w:szCs w:val="22"/>
        </w:rPr>
      </w:pPr>
      <w:r w:rsidRPr="00523BF6">
        <w:rPr>
          <w:rFonts w:asciiTheme="minorHAnsi" w:hAnsiTheme="minorHAnsi" w:cs="Times New Roman"/>
          <w:b/>
          <w:sz w:val="22"/>
          <w:szCs w:val="22"/>
        </w:rPr>
        <w:t>Explant culture</w:t>
      </w:r>
      <w:r w:rsidR="00CF78BE" w:rsidRPr="00523BF6">
        <w:rPr>
          <w:rFonts w:asciiTheme="minorHAnsi" w:hAnsiTheme="minorHAnsi" w:cs="Times New Roman"/>
          <w:sz w:val="22"/>
          <w:szCs w:val="22"/>
        </w:rPr>
        <w:t xml:space="preserve"> Three</w:t>
      </w:r>
      <w:r w:rsidR="002A56AC" w:rsidRPr="00523BF6">
        <w:rPr>
          <w:rFonts w:asciiTheme="minorHAnsi" w:hAnsiTheme="minorHAnsi" w:cs="Times New Roman"/>
          <w:sz w:val="22"/>
          <w:szCs w:val="22"/>
        </w:rPr>
        <w:t xml:space="preserve"> random</w:t>
      </w:r>
      <w:r w:rsidR="00CF78BE" w:rsidRPr="00523BF6">
        <w:rPr>
          <w:rFonts w:asciiTheme="minorHAnsi" w:hAnsiTheme="minorHAnsi" w:cs="Times New Roman"/>
          <w:sz w:val="22"/>
          <w:szCs w:val="22"/>
        </w:rPr>
        <w:t xml:space="preserve"> placental tissue </w:t>
      </w:r>
      <w:r w:rsidR="00117FA3" w:rsidRPr="00523BF6">
        <w:rPr>
          <w:rFonts w:asciiTheme="minorHAnsi" w:hAnsiTheme="minorHAnsi" w:cs="Times New Roman"/>
          <w:sz w:val="22"/>
          <w:szCs w:val="22"/>
        </w:rPr>
        <w:t>chunks</w:t>
      </w:r>
      <w:r w:rsidR="00CF78BE" w:rsidRPr="00523BF6">
        <w:rPr>
          <w:rFonts w:asciiTheme="minorHAnsi" w:hAnsiTheme="minorHAnsi" w:cs="Times New Roman"/>
          <w:sz w:val="22"/>
          <w:szCs w:val="22"/>
        </w:rPr>
        <w:t xml:space="preserve"> we</w:t>
      </w:r>
      <w:r w:rsidR="00C16710" w:rsidRPr="00523BF6">
        <w:rPr>
          <w:rFonts w:asciiTheme="minorHAnsi" w:hAnsiTheme="minorHAnsi" w:cs="Times New Roman"/>
          <w:sz w:val="22"/>
          <w:szCs w:val="22"/>
        </w:rPr>
        <w:t>re excised and pooled</w:t>
      </w:r>
      <w:r w:rsidR="00385929" w:rsidRPr="00523BF6">
        <w:rPr>
          <w:rFonts w:asciiTheme="minorHAnsi" w:hAnsiTheme="minorHAnsi" w:cs="Times New Roman"/>
          <w:sz w:val="22"/>
          <w:szCs w:val="22"/>
        </w:rPr>
        <w:t>, then washed in PBS</w:t>
      </w:r>
      <w:r w:rsidR="00CF78BE" w:rsidRPr="00523BF6">
        <w:rPr>
          <w:rFonts w:asciiTheme="minorHAnsi" w:hAnsiTheme="minorHAnsi" w:cs="Times New Roman"/>
          <w:sz w:val="22"/>
          <w:szCs w:val="22"/>
        </w:rPr>
        <w:t xml:space="preserve"> and dissected in DMEM/F12 </w:t>
      </w:r>
      <w:r w:rsidR="008C0358" w:rsidRPr="00523BF6">
        <w:rPr>
          <w:rFonts w:asciiTheme="minorHAnsi" w:hAnsiTheme="minorHAnsi" w:cs="Times New Roman"/>
          <w:sz w:val="22"/>
          <w:szCs w:val="22"/>
        </w:rPr>
        <w:t>with antibiotics</w:t>
      </w:r>
      <w:r w:rsidR="00CF78BE" w:rsidRPr="00523BF6">
        <w:rPr>
          <w:rFonts w:asciiTheme="minorHAnsi" w:hAnsiTheme="minorHAnsi" w:cs="Times New Roman"/>
          <w:sz w:val="22"/>
          <w:szCs w:val="22"/>
        </w:rPr>
        <w:t xml:space="preserve">. </w:t>
      </w:r>
      <w:r w:rsidR="0052024D" w:rsidRPr="00523BF6">
        <w:rPr>
          <w:rFonts w:asciiTheme="minorHAnsi" w:hAnsiTheme="minorHAnsi" w:cs="Times New Roman"/>
          <w:sz w:val="22"/>
          <w:szCs w:val="22"/>
        </w:rPr>
        <w:t>P</w:t>
      </w:r>
      <w:r w:rsidRPr="00523BF6">
        <w:rPr>
          <w:rFonts w:asciiTheme="minorHAnsi" w:hAnsiTheme="minorHAnsi" w:cs="Times New Roman"/>
          <w:sz w:val="22"/>
          <w:szCs w:val="22"/>
        </w:rPr>
        <w:t>lacental villous explants (2–3mm) were placed one per well,</w:t>
      </w:r>
      <w:r w:rsidR="00CF78BE" w:rsidRPr="00523BF6">
        <w:rPr>
          <w:rFonts w:asciiTheme="minorHAnsi" w:hAnsiTheme="minorHAnsi" w:cs="Times New Roman"/>
          <w:sz w:val="22"/>
          <w:szCs w:val="22"/>
        </w:rPr>
        <w:t xml:space="preserve"> </w:t>
      </w:r>
      <w:r w:rsidR="002A56AC" w:rsidRPr="00523BF6">
        <w:rPr>
          <w:rFonts w:asciiTheme="minorHAnsi" w:hAnsiTheme="minorHAnsi" w:cs="Times New Roman"/>
          <w:sz w:val="22"/>
          <w:szCs w:val="22"/>
        </w:rPr>
        <w:t>in a 96-</w:t>
      </w:r>
      <w:r w:rsidRPr="00523BF6">
        <w:rPr>
          <w:rFonts w:asciiTheme="minorHAnsi" w:hAnsiTheme="minorHAnsi" w:cs="Times New Roman"/>
          <w:sz w:val="22"/>
          <w:szCs w:val="22"/>
        </w:rPr>
        <w:t xml:space="preserve">well plate. </w:t>
      </w:r>
      <w:r w:rsidR="002A56AC" w:rsidRPr="00523BF6">
        <w:rPr>
          <w:rFonts w:asciiTheme="minorHAnsi" w:hAnsiTheme="minorHAnsi" w:cs="Times New Roman"/>
          <w:sz w:val="22"/>
          <w:szCs w:val="22"/>
        </w:rPr>
        <w:t>T</w:t>
      </w:r>
      <w:r w:rsidRPr="00523BF6">
        <w:rPr>
          <w:rFonts w:asciiTheme="minorHAnsi" w:hAnsiTheme="minorHAnsi" w:cs="Times New Roman"/>
          <w:sz w:val="22"/>
          <w:szCs w:val="22"/>
        </w:rPr>
        <w:t>reatments</w:t>
      </w:r>
      <w:r w:rsidR="00CF78BE" w:rsidRPr="00523BF6">
        <w:rPr>
          <w:rFonts w:asciiTheme="minorHAnsi" w:hAnsiTheme="minorHAnsi" w:cs="Times New Roman"/>
          <w:sz w:val="22"/>
          <w:szCs w:val="22"/>
        </w:rPr>
        <w:t xml:space="preserve"> </w:t>
      </w:r>
      <w:r w:rsidRPr="00523BF6">
        <w:rPr>
          <w:rFonts w:asciiTheme="minorHAnsi" w:hAnsiTheme="minorHAnsi" w:cs="Times New Roman"/>
          <w:sz w:val="22"/>
          <w:szCs w:val="22"/>
        </w:rPr>
        <w:t>were performed in triplicate an</w:t>
      </w:r>
      <w:r w:rsidR="002A56AC" w:rsidRPr="00523BF6">
        <w:rPr>
          <w:rFonts w:asciiTheme="minorHAnsi" w:hAnsiTheme="minorHAnsi" w:cs="Times New Roman"/>
          <w:sz w:val="22"/>
          <w:szCs w:val="22"/>
        </w:rPr>
        <w:t xml:space="preserve">d randomized across the plate. </w:t>
      </w:r>
      <w:r w:rsidR="00B41925" w:rsidRPr="00523BF6">
        <w:rPr>
          <w:rFonts w:asciiTheme="minorHAnsi" w:hAnsiTheme="minorHAnsi" w:cs="Times New Roman"/>
          <w:sz w:val="22"/>
          <w:szCs w:val="22"/>
        </w:rPr>
        <w:t>EVs</w:t>
      </w:r>
      <w:r w:rsidRPr="00523BF6">
        <w:rPr>
          <w:rFonts w:asciiTheme="minorHAnsi" w:hAnsiTheme="minorHAnsi" w:cs="Times New Roman"/>
          <w:sz w:val="22"/>
          <w:szCs w:val="22"/>
        </w:rPr>
        <w:t xml:space="preserve"> were added at </w:t>
      </w:r>
      <w:r w:rsidR="0069249A" w:rsidRPr="00523BF6">
        <w:rPr>
          <w:rFonts w:asciiTheme="minorHAnsi" w:hAnsiTheme="minorHAnsi" w:cs="Times New Roman"/>
          <w:sz w:val="22"/>
          <w:szCs w:val="22"/>
        </w:rPr>
        <w:t>5x10</w:t>
      </w:r>
      <w:r w:rsidR="0069249A" w:rsidRPr="00523BF6">
        <w:rPr>
          <w:rFonts w:asciiTheme="minorHAnsi" w:hAnsiTheme="minorHAnsi" w:cs="Times New Roman"/>
          <w:sz w:val="22"/>
          <w:szCs w:val="22"/>
          <w:vertAlign w:val="superscript"/>
        </w:rPr>
        <w:t>9</w:t>
      </w:r>
      <w:r w:rsidRPr="00523BF6">
        <w:rPr>
          <w:rFonts w:asciiTheme="minorHAnsi" w:hAnsiTheme="minorHAnsi" w:cs="Times New Roman"/>
          <w:sz w:val="22"/>
          <w:szCs w:val="22"/>
        </w:rPr>
        <w:t>–</w:t>
      </w:r>
      <w:r w:rsidR="0069249A" w:rsidRPr="00523BF6">
        <w:rPr>
          <w:rFonts w:asciiTheme="minorHAnsi" w:hAnsiTheme="minorHAnsi" w:cs="Times New Roman"/>
          <w:sz w:val="22"/>
          <w:szCs w:val="22"/>
        </w:rPr>
        <w:t>5x10</w:t>
      </w:r>
      <w:r w:rsidR="0069249A" w:rsidRPr="00523BF6">
        <w:rPr>
          <w:rFonts w:asciiTheme="minorHAnsi" w:hAnsiTheme="minorHAnsi" w:cs="Times New Roman"/>
          <w:sz w:val="22"/>
          <w:szCs w:val="22"/>
          <w:vertAlign w:val="superscript"/>
        </w:rPr>
        <w:t>10</w:t>
      </w:r>
      <w:r w:rsidR="008C0358" w:rsidRPr="00523BF6">
        <w:rPr>
          <w:rFonts w:asciiTheme="minorHAnsi" w:hAnsiTheme="minorHAnsi" w:cs="Times New Roman"/>
          <w:sz w:val="22"/>
          <w:szCs w:val="22"/>
        </w:rPr>
        <w:t>/ml</w:t>
      </w:r>
      <w:r w:rsidR="00C16710" w:rsidRPr="00523BF6">
        <w:rPr>
          <w:rFonts w:asciiTheme="minorHAnsi" w:hAnsiTheme="minorHAnsi" w:cs="Times New Roman"/>
          <w:sz w:val="22"/>
          <w:szCs w:val="22"/>
        </w:rPr>
        <w:t>, previously optimized to produce a dose response</w:t>
      </w:r>
      <w:r w:rsidR="00C16710" w:rsidRPr="00523BF6">
        <w:rPr>
          <w:rFonts w:asciiTheme="minorHAnsi" w:hAnsiTheme="minorHAnsi" w:cs="Times New Roman"/>
          <w:sz w:val="22"/>
          <w:szCs w:val="22"/>
        </w:rPr>
        <w:fldChar w:fldCharType="begin" w:fldLock="1"/>
      </w:r>
      <w:r w:rsidR="002F13DA" w:rsidRPr="00523BF6">
        <w:rPr>
          <w:rFonts w:asciiTheme="minorHAnsi" w:hAnsiTheme="minorHAnsi" w:cs="Times New Roman"/>
          <w:sz w:val="22"/>
          <w:szCs w:val="22"/>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00C16710" w:rsidRPr="00523BF6">
        <w:rPr>
          <w:rFonts w:asciiTheme="minorHAnsi" w:hAnsiTheme="minorHAnsi" w:cs="Times New Roman"/>
          <w:sz w:val="22"/>
          <w:szCs w:val="22"/>
        </w:rPr>
        <w:fldChar w:fldCharType="separate"/>
      </w:r>
      <w:r w:rsidR="00C16710" w:rsidRPr="00523BF6">
        <w:rPr>
          <w:rFonts w:asciiTheme="minorHAnsi" w:hAnsiTheme="minorHAnsi" w:cs="Times New Roman"/>
          <w:noProof/>
          <w:sz w:val="22"/>
          <w:szCs w:val="22"/>
        </w:rPr>
        <w:t>[6]</w:t>
      </w:r>
      <w:r w:rsidR="00C16710" w:rsidRPr="00523BF6">
        <w:rPr>
          <w:rFonts w:asciiTheme="minorHAnsi" w:hAnsiTheme="minorHAnsi" w:cs="Times New Roman"/>
          <w:sz w:val="22"/>
          <w:szCs w:val="22"/>
        </w:rPr>
        <w:fldChar w:fldCharType="end"/>
      </w:r>
      <w:r w:rsidRPr="00523BF6">
        <w:rPr>
          <w:rFonts w:asciiTheme="minorHAnsi" w:hAnsiTheme="minorHAnsi" w:cs="Times New Roman"/>
          <w:sz w:val="22"/>
          <w:szCs w:val="22"/>
        </w:rPr>
        <w:t>. To check for endogenous</w:t>
      </w:r>
      <w:r w:rsidR="00CF78BE" w:rsidRPr="00523BF6">
        <w:rPr>
          <w:rFonts w:asciiTheme="minorHAnsi" w:hAnsiTheme="minorHAnsi" w:cs="Times New Roman"/>
          <w:sz w:val="22"/>
          <w:szCs w:val="22"/>
        </w:rPr>
        <w:t xml:space="preserve"> </w:t>
      </w:r>
      <w:r w:rsidRPr="00523BF6">
        <w:rPr>
          <w:rFonts w:asciiTheme="minorHAnsi" w:hAnsiTheme="minorHAnsi" w:cs="Times New Roman"/>
          <w:sz w:val="22"/>
          <w:szCs w:val="22"/>
        </w:rPr>
        <w:t>cytokines</w:t>
      </w:r>
      <w:r w:rsidR="00CF78BE" w:rsidRPr="00523BF6">
        <w:rPr>
          <w:rFonts w:asciiTheme="minorHAnsi" w:hAnsiTheme="minorHAnsi" w:cs="Times New Roman"/>
          <w:sz w:val="22"/>
          <w:szCs w:val="22"/>
        </w:rPr>
        <w:t xml:space="preserve"> in </w:t>
      </w:r>
      <w:r w:rsidR="00820C9C" w:rsidRPr="00523BF6">
        <w:rPr>
          <w:rFonts w:asciiTheme="minorHAnsi" w:hAnsiTheme="minorHAnsi" w:cs="Times New Roman"/>
          <w:sz w:val="22"/>
          <w:szCs w:val="22"/>
        </w:rPr>
        <w:t>EV</w:t>
      </w:r>
      <w:r w:rsidR="00CF78BE" w:rsidRPr="00523BF6">
        <w:rPr>
          <w:rFonts w:asciiTheme="minorHAnsi" w:hAnsiTheme="minorHAnsi" w:cs="Times New Roman"/>
          <w:sz w:val="22"/>
          <w:szCs w:val="22"/>
        </w:rPr>
        <w:t xml:space="preserve"> preps</w:t>
      </w:r>
      <w:r w:rsidRPr="00523BF6">
        <w:rPr>
          <w:rFonts w:asciiTheme="minorHAnsi" w:hAnsiTheme="minorHAnsi" w:cs="Times New Roman"/>
          <w:sz w:val="22"/>
          <w:szCs w:val="22"/>
        </w:rPr>
        <w:t xml:space="preserve">, </w:t>
      </w:r>
      <w:r w:rsidR="00B41925" w:rsidRPr="00523BF6">
        <w:rPr>
          <w:rFonts w:asciiTheme="minorHAnsi" w:hAnsiTheme="minorHAnsi" w:cs="Times New Roman"/>
          <w:sz w:val="22"/>
          <w:szCs w:val="22"/>
        </w:rPr>
        <w:t>EV</w:t>
      </w:r>
      <w:r w:rsidRPr="00523BF6">
        <w:rPr>
          <w:rFonts w:asciiTheme="minorHAnsi" w:hAnsiTheme="minorHAnsi" w:cs="Times New Roman"/>
          <w:sz w:val="22"/>
          <w:szCs w:val="22"/>
        </w:rPr>
        <w:t>-only control wells were incubated alongside explants and included in</w:t>
      </w:r>
      <w:r w:rsidR="00CF78BE" w:rsidRPr="00523BF6">
        <w:rPr>
          <w:rFonts w:asciiTheme="minorHAnsi" w:hAnsiTheme="minorHAnsi" w:cs="Times New Roman"/>
          <w:sz w:val="22"/>
          <w:szCs w:val="22"/>
        </w:rPr>
        <w:t xml:space="preserve"> </w:t>
      </w:r>
      <w:r w:rsidRPr="00523BF6">
        <w:rPr>
          <w:rFonts w:asciiTheme="minorHAnsi" w:hAnsiTheme="minorHAnsi" w:cs="Times New Roman"/>
          <w:sz w:val="22"/>
          <w:szCs w:val="22"/>
        </w:rPr>
        <w:t xml:space="preserve">subsequent </w:t>
      </w:r>
      <w:r w:rsidR="00CF78BE" w:rsidRPr="00523BF6">
        <w:rPr>
          <w:rFonts w:asciiTheme="minorHAnsi" w:hAnsiTheme="minorHAnsi" w:cs="Times New Roman"/>
          <w:sz w:val="22"/>
          <w:szCs w:val="22"/>
        </w:rPr>
        <w:t>assay</w:t>
      </w:r>
      <w:r w:rsidRPr="00523BF6">
        <w:rPr>
          <w:rFonts w:asciiTheme="minorHAnsi" w:hAnsiTheme="minorHAnsi" w:cs="Times New Roman"/>
          <w:sz w:val="22"/>
          <w:szCs w:val="22"/>
        </w:rPr>
        <w:t xml:space="preserve">s. </w:t>
      </w:r>
    </w:p>
    <w:p w14:paraId="635C784A" w14:textId="77777777" w:rsidR="009C0352" w:rsidRPr="00523BF6" w:rsidRDefault="009C0352" w:rsidP="00E33727">
      <w:pPr>
        <w:widowControl w:val="0"/>
        <w:autoSpaceDE w:val="0"/>
        <w:autoSpaceDN w:val="0"/>
        <w:adjustRightInd w:val="0"/>
        <w:spacing w:line="480" w:lineRule="auto"/>
        <w:jc w:val="both"/>
        <w:rPr>
          <w:rFonts w:cs="Times New Roman"/>
          <w:b/>
          <w:sz w:val="22"/>
          <w:szCs w:val="22"/>
        </w:rPr>
      </w:pPr>
    </w:p>
    <w:p w14:paraId="6D462366" w14:textId="4CE32140" w:rsidR="00557082" w:rsidRPr="00523BF6" w:rsidRDefault="00E45C1E" w:rsidP="00E33727">
      <w:pPr>
        <w:widowControl w:val="0"/>
        <w:autoSpaceDE w:val="0"/>
        <w:autoSpaceDN w:val="0"/>
        <w:adjustRightInd w:val="0"/>
        <w:spacing w:line="480" w:lineRule="auto"/>
        <w:jc w:val="both"/>
        <w:rPr>
          <w:rFonts w:cs="Times New Roman"/>
          <w:sz w:val="22"/>
          <w:szCs w:val="22"/>
        </w:rPr>
      </w:pPr>
      <w:r w:rsidRPr="00523BF6">
        <w:rPr>
          <w:rFonts w:cs="Times New Roman"/>
          <w:b/>
          <w:sz w:val="22"/>
          <w:szCs w:val="22"/>
        </w:rPr>
        <w:t>Cytokine measurement</w:t>
      </w:r>
      <w:r w:rsidR="00C16710" w:rsidRPr="00523BF6">
        <w:rPr>
          <w:rFonts w:cs="Times New Roman"/>
          <w:sz w:val="22"/>
          <w:szCs w:val="22"/>
        </w:rPr>
        <w:t xml:space="preserve">  24h s</w:t>
      </w:r>
      <w:r w:rsidRPr="00523BF6">
        <w:rPr>
          <w:rFonts w:cs="Times New Roman"/>
          <w:sz w:val="22"/>
          <w:szCs w:val="22"/>
        </w:rPr>
        <w:t xml:space="preserve">upernatants were assayed for </w:t>
      </w:r>
      <w:r w:rsidR="00117FA3" w:rsidRPr="00523BF6">
        <w:rPr>
          <w:rFonts w:cs="Times New Roman"/>
          <w:sz w:val="22"/>
          <w:szCs w:val="22"/>
        </w:rPr>
        <w:t>levels of</w:t>
      </w:r>
      <w:r w:rsidRPr="00523BF6">
        <w:rPr>
          <w:rFonts w:cs="Times New Roman"/>
          <w:sz w:val="22"/>
          <w:szCs w:val="22"/>
        </w:rPr>
        <w:t xml:space="preserve"> IL-6, IL-8, IL-10, GM-CSF and IL-1</w:t>
      </w:r>
      <w:r w:rsidR="00016506" w:rsidRPr="00523BF6">
        <w:rPr>
          <w:rFonts w:cs="Times New Roman"/>
          <w:sz w:val="22"/>
          <w:szCs w:val="22"/>
        </w:rPr>
        <w:sym w:font="Symbol" w:char="F062"/>
      </w:r>
      <w:r w:rsidR="00016506" w:rsidRPr="00523BF6">
        <w:rPr>
          <w:rFonts w:cs="Times New Roman"/>
          <w:sz w:val="22"/>
          <w:szCs w:val="22"/>
        </w:rPr>
        <w:t xml:space="preserve"> </w:t>
      </w:r>
      <w:r w:rsidRPr="00523BF6">
        <w:rPr>
          <w:rFonts w:cs="Times New Roman"/>
          <w:sz w:val="22"/>
          <w:szCs w:val="22"/>
        </w:rPr>
        <w:t>using commercial ELISA kits (</w:t>
      </w:r>
      <w:r w:rsidR="00716F5B" w:rsidRPr="00523BF6">
        <w:rPr>
          <w:rFonts w:cs="Times New Roman"/>
          <w:sz w:val="22"/>
          <w:szCs w:val="22"/>
        </w:rPr>
        <w:t>Ready-SET-Go</w:t>
      </w:r>
      <w:r w:rsidR="00716F5B" w:rsidRPr="00523BF6">
        <w:rPr>
          <w:rFonts w:cs="Times New Roman"/>
          <w:sz w:val="22"/>
          <w:szCs w:val="22"/>
          <w:vertAlign w:val="superscript"/>
        </w:rPr>
        <w:t>TM</w:t>
      </w:r>
      <w:r w:rsidR="003C091B" w:rsidRPr="00523BF6">
        <w:rPr>
          <w:rFonts w:cs="Times New Roman"/>
          <w:sz w:val="22"/>
          <w:szCs w:val="22"/>
        </w:rPr>
        <w:t>, eBioscience</w:t>
      </w:r>
      <w:r w:rsidRPr="00523BF6">
        <w:rPr>
          <w:rFonts w:cs="Times New Roman"/>
          <w:sz w:val="22"/>
          <w:szCs w:val="22"/>
        </w:rPr>
        <w:t>)</w:t>
      </w:r>
      <w:r w:rsidR="00016506" w:rsidRPr="00523BF6">
        <w:rPr>
          <w:rFonts w:cs="Times New Roman"/>
          <w:sz w:val="22"/>
          <w:szCs w:val="22"/>
        </w:rPr>
        <w:t xml:space="preserve">. </w:t>
      </w:r>
      <w:r w:rsidR="00716F5B" w:rsidRPr="00523BF6">
        <w:rPr>
          <w:rFonts w:cs="Times New Roman"/>
          <w:sz w:val="22"/>
          <w:szCs w:val="22"/>
        </w:rPr>
        <w:t>IL-10, TNF-α and IL-1α were measured by luminex assay (</w:t>
      </w:r>
      <w:r w:rsidR="00AB15D8" w:rsidRPr="00523BF6">
        <w:rPr>
          <w:rFonts w:cs="Times New Roman"/>
          <w:sz w:val="22"/>
          <w:szCs w:val="22"/>
        </w:rPr>
        <w:t xml:space="preserve">custom </w:t>
      </w:r>
      <w:r w:rsidR="00716F5B" w:rsidRPr="00523BF6">
        <w:rPr>
          <w:rFonts w:cs="Times New Roman"/>
          <w:sz w:val="22"/>
          <w:szCs w:val="22"/>
        </w:rPr>
        <w:t>Bioplex, Bio-Rad)</w:t>
      </w:r>
      <w:r w:rsidR="008C0358" w:rsidRPr="00523BF6">
        <w:rPr>
          <w:rFonts w:cs="Times New Roman"/>
          <w:sz w:val="22"/>
          <w:szCs w:val="22"/>
        </w:rPr>
        <w:t>.</w:t>
      </w:r>
    </w:p>
    <w:p w14:paraId="36FE3491" w14:textId="36C8E37C" w:rsidR="00184801" w:rsidRPr="00523BF6" w:rsidRDefault="00E45C1E" w:rsidP="00E33727">
      <w:pPr>
        <w:widowControl w:val="0"/>
        <w:autoSpaceDE w:val="0"/>
        <w:autoSpaceDN w:val="0"/>
        <w:adjustRightInd w:val="0"/>
        <w:spacing w:line="480" w:lineRule="auto"/>
        <w:jc w:val="both"/>
        <w:rPr>
          <w:rFonts w:cs="Times New Roman"/>
          <w:sz w:val="22"/>
          <w:szCs w:val="22"/>
        </w:rPr>
      </w:pPr>
      <w:r w:rsidRPr="00523BF6">
        <w:rPr>
          <w:rFonts w:cs="Times New Roman"/>
          <w:sz w:val="22"/>
          <w:szCs w:val="22"/>
        </w:rPr>
        <w:t xml:space="preserve"> </w:t>
      </w:r>
    </w:p>
    <w:p w14:paraId="082529DB" w14:textId="10807012" w:rsidR="00184801" w:rsidRPr="00523BF6" w:rsidRDefault="00184801" w:rsidP="00E33727">
      <w:pPr>
        <w:widowControl w:val="0"/>
        <w:autoSpaceDE w:val="0"/>
        <w:autoSpaceDN w:val="0"/>
        <w:adjustRightInd w:val="0"/>
        <w:spacing w:after="240" w:line="480" w:lineRule="auto"/>
        <w:jc w:val="both"/>
        <w:rPr>
          <w:rFonts w:cs="Times New Roman"/>
          <w:sz w:val="22"/>
          <w:szCs w:val="22"/>
        </w:rPr>
      </w:pPr>
      <w:r w:rsidRPr="00523BF6">
        <w:rPr>
          <w:rFonts w:eastAsia="Times New Roman" w:cs="Times New Roman"/>
          <w:b/>
          <w:sz w:val="22"/>
          <w:szCs w:val="22"/>
        </w:rPr>
        <w:t xml:space="preserve">Statistical analysis </w:t>
      </w:r>
      <w:r w:rsidRPr="00523BF6">
        <w:rPr>
          <w:rFonts w:eastAsia="Times New Roman" w:cs="Times New Roman"/>
          <w:sz w:val="22"/>
          <w:szCs w:val="22"/>
        </w:rPr>
        <w:t>D’Agostino-Pearson omnibus normality test</w:t>
      </w:r>
      <w:r w:rsidR="0018741B" w:rsidRPr="00523BF6">
        <w:rPr>
          <w:rFonts w:eastAsia="Times New Roman" w:cs="Times New Roman"/>
          <w:sz w:val="22"/>
          <w:szCs w:val="22"/>
        </w:rPr>
        <w:t xml:space="preserve"> was performed, followed by</w:t>
      </w:r>
      <w:r w:rsidRPr="00523BF6">
        <w:rPr>
          <w:rFonts w:eastAsia="Times New Roman" w:cs="Times New Roman"/>
          <w:sz w:val="22"/>
          <w:szCs w:val="22"/>
        </w:rPr>
        <w:t xml:space="preserve"> Friedman </w:t>
      </w:r>
      <w:r w:rsidR="00014483" w:rsidRPr="00523BF6">
        <w:rPr>
          <w:rFonts w:eastAsia="Times New Roman" w:cs="Times New Roman"/>
          <w:sz w:val="22"/>
          <w:szCs w:val="22"/>
        </w:rPr>
        <w:t xml:space="preserve">or Kruskal Wallis </w:t>
      </w:r>
      <w:r w:rsidRPr="00523BF6">
        <w:rPr>
          <w:rFonts w:eastAsia="Times New Roman" w:cs="Times New Roman"/>
          <w:sz w:val="22"/>
          <w:szCs w:val="22"/>
        </w:rPr>
        <w:t xml:space="preserve">test, with Dunn’s </w:t>
      </w:r>
      <w:r w:rsidR="00014483" w:rsidRPr="00523BF6">
        <w:rPr>
          <w:rFonts w:eastAsia="Times New Roman" w:cs="Times New Roman"/>
          <w:sz w:val="22"/>
          <w:szCs w:val="22"/>
        </w:rPr>
        <w:t>multiple comparisons test to compare exosome-treated</w:t>
      </w:r>
      <w:r w:rsidRPr="00523BF6">
        <w:rPr>
          <w:rFonts w:eastAsia="Times New Roman" w:cs="Times New Roman"/>
          <w:sz w:val="22"/>
          <w:szCs w:val="22"/>
        </w:rPr>
        <w:t xml:space="preserve"> groups to the non-treated. </w:t>
      </w:r>
    </w:p>
    <w:p w14:paraId="57CCF1EF" w14:textId="40A6DB2E" w:rsidR="00FE6A73" w:rsidRPr="00523BF6" w:rsidRDefault="00FE6A73" w:rsidP="00E33727">
      <w:pPr>
        <w:spacing w:line="480" w:lineRule="auto"/>
        <w:jc w:val="both"/>
        <w:outlineLvl w:val="0"/>
        <w:rPr>
          <w:rFonts w:cs="Times New Roman"/>
          <w:b/>
          <w:sz w:val="22"/>
          <w:szCs w:val="22"/>
          <w:lang w:val="en-GB"/>
        </w:rPr>
      </w:pPr>
      <w:r w:rsidRPr="00523BF6">
        <w:rPr>
          <w:rFonts w:cs="Times New Roman"/>
          <w:b/>
          <w:sz w:val="22"/>
          <w:szCs w:val="22"/>
          <w:lang w:val="en-GB"/>
        </w:rPr>
        <w:lastRenderedPageBreak/>
        <w:t xml:space="preserve">Results </w:t>
      </w:r>
      <w:r w:rsidR="001E4365" w:rsidRPr="00523BF6">
        <w:rPr>
          <w:rFonts w:cs="Times New Roman"/>
          <w:b/>
          <w:sz w:val="22"/>
          <w:szCs w:val="22"/>
          <w:lang w:val="en-GB"/>
        </w:rPr>
        <w:t>and D</w:t>
      </w:r>
      <w:r w:rsidR="004904F5" w:rsidRPr="00523BF6">
        <w:rPr>
          <w:rFonts w:cs="Times New Roman"/>
          <w:b/>
          <w:sz w:val="22"/>
          <w:szCs w:val="22"/>
          <w:lang w:val="en-GB"/>
        </w:rPr>
        <w:t>iscussion</w:t>
      </w:r>
    </w:p>
    <w:p w14:paraId="097A38E2" w14:textId="42AE5233" w:rsidR="00861392" w:rsidRPr="00523BF6" w:rsidRDefault="003C0CD4" w:rsidP="00E33727">
      <w:pPr>
        <w:widowControl w:val="0"/>
        <w:autoSpaceDE w:val="0"/>
        <w:autoSpaceDN w:val="0"/>
        <w:adjustRightInd w:val="0"/>
        <w:spacing w:line="480" w:lineRule="auto"/>
        <w:jc w:val="both"/>
        <w:rPr>
          <w:rFonts w:eastAsia="Times New Roman" w:cs="Arial"/>
          <w:color w:val="222222"/>
          <w:sz w:val="22"/>
          <w:szCs w:val="22"/>
          <w:shd w:val="clear" w:color="auto" w:fill="FFFFFF"/>
        </w:rPr>
      </w:pPr>
      <w:r w:rsidRPr="00523BF6">
        <w:rPr>
          <w:rStyle w:val="Emphasis"/>
          <w:rFonts w:eastAsia="Times New Roman" w:cs="Arial"/>
          <w:i w:val="0"/>
          <w:color w:val="000000" w:themeColor="text1"/>
          <w:sz w:val="22"/>
          <w:szCs w:val="22"/>
          <w:shd w:val="clear" w:color="auto" w:fill="FFFFFF"/>
        </w:rPr>
        <w:t>In this study, we</w:t>
      </w:r>
      <w:r w:rsidR="00353399" w:rsidRPr="00523BF6">
        <w:rPr>
          <w:rStyle w:val="Emphasis"/>
          <w:rFonts w:eastAsia="Times New Roman" w:cs="Arial"/>
          <w:i w:val="0"/>
          <w:color w:val="000000" w:themeColor="text1"/>
          <w:sz w:val="22"/>
          <w:szCs w:val="22"/>
          <w:shd w:val="clear" w:color="auto" w:fill="FFFFFF"/>
        </w:rPr>
        <w:t xml:space="preserve"> demonstrate that the placenta mounts a pro</w:t>
      </w:r>
      <w:r w:rsidR="004A3FB1" w:rsidRPr="00523BF6">
        <w:rPr>
          <w:rStyle w:val="Emphasis"/>
          <w:rFonts w:eastAsia="Times New Roman" w:cs="Arial"/>
          <w:i w:val="0"/>
          <w:color w:val="000000" w:themeColor="text1"/>
          <w:sz w:val="22"/>
          <w:szCs w:val="22"/>
          <w:shd w:val="clear" w:color="auto" w:fill="FFFFFF"/>
        </w:rPr>
        <w:t>-</w:t>
      </w:r>
      <w:r w:rsidR="00353399" w:rsidRPr="00523BF6">
        <w:rPr>
          <w:rStyle w:val="Emphasis"/>
          <w:rFonts w:eastAsia="Times New Roman" w:cs="Arial"/>
          <w:i w:val="0"/>
          <w:color w:val="000000" w:themeColor="text1"/>
          <w:sz w:val="22"/>
          <w:szCs w:val="22"/>
          <w:shd w:val="clear" w:color="auto" w:fill="FFFFFF"/>
        </w:rPr>
        <w:t xml:space="preserve">inflammatory response to </w:t>
      </w:r>
      <w:r w:rsidR="00B41925" w:rsidRPr="00523BF6">
        <w:rPr>
          <w:rStyle w:val="Emphasis"/>
          <w:rFonts w:eastAsia="Times New Roman" w:cs="Arial"/>
          <w:i w:val="0"/>
          <w:color w:val="000000" w:themeColor="text1"/>
          <w:sz w:val="22"/>
          <w:szCs w:val="22"/>
          <w:shd w:val="clear" w:color="auto" w:fill="FFFFFF"/>
        </w:rPr>
        <w:t>EVs</w:t>
      </w:r>
      <w:r w:rsidR="00353399" w:rsidRPr="00523BF6">
        <w:rPr>
          <w:rStyle w:val="Emphasis"/>
          <w:rFonts w:eastAsia="Times New Roman" w:cs="Arial"/>
          <w:i w:val="0"/>
          <w:color w:val="000000" w:themeColor="text1"/>
          <w:sz w:val="22"/>
          <w:szCs w:val="22"/>
          <w:shd w:val="clear" w:color="auto" w:fill="FFFFFF"/>
        </w:rPr>
        <w:t xml:space="preserve"> from activated </w:t>
      </w:r>
      <w:r w:rsidR="00F8605F" w:rsidRPr="00523BF6">
        <w:rPr>
          <w:rStyle w:val="Emphasis"/>
          <w:rFonts w:eastAsia="Times New Roman" w:cs="Arial"/>
          <w:i w:val="0"/>
          <w:color w:val="000000" w:themeColor="text1"/>
          <w:sz w:val="22"/>
          <w:szCs w:val="22"/>
          <w:shd w:val="clear" w:color="auto" w:fill="FFFFFF"/>
        </w:rPr>
        <w:t>macrophages</w:t>
      </w:r>
      <w:r w:rsidR="00353399" w:rsidRPr="00523BF6">
        <w:rPr>
          <w:rStyle w:val="Emphasis"/>
          <w:rFonts w:eastAsia="Times New Roman" w:cs="Arial"/>
          <w:i w:val="0"/>
          <w:color w:val="000000" w:themeColor="text1"/>
          <w:sz w:val="22"/>
          <w:szCs w:val="22"/>
          <w:shd w:val="clear" w:color="auto" w:fill="FFFFFF"/>
        </w:rPr>
        <w:t xml:space="preserve">, </w:t>
      </w:r>
      <w:r w:rsidR="004A3FB1" w:rsidRPr="00523BF6">
        <w:rPr>
          <w:rStyle w:val="Emphasis"/>
          <w:rFonts w:eastAsia="Times New Roman" w:cs="Arial"/>
          <w:i w:val="0"/>
          <w:color w:val="000000" w:themeColor="text1"/>
          <w:sz w:val="22"/>
          <w:szCs w:val="22"/>
          <w:shd w:val="clear" w:color="auto" w:fill="FFFFFF"/>
        </w:rPr>
        <w:t>but</w:t>
      </w:r>
      <w:r w:rsidR="00353399" w:rsidRPr="00523BF6">
        <w:rPr>
          <w:rStyle w:val="Emphasis"/>
          <w:rFonts w:eastAsia="Times New Roman" w:cs="Arial"/>
          <w:i w:val="0"/>
          <w:color w:val="000000" w:themeColor="text1"/>
          <w:sz w:val="22"/>
          <w:szCs w:val="22"/>
          <w:shd w:val="clear" w:color="auto" w:fill="FFFFFF"/>
        </w:rPr>
        <w:t xml:space="preserve"> not to those from monocytes. Placental explants release</w:t>
      </w:r>
      <w:r w:rsidR="00B80029" w:rsidRPr="00523BF6">
        <w:rPr>
          <w:rStyle w:val="Emphasis"/>
          <w:rFonts w:eastAsia="Times New Roman" w:cs="Arial"/>
          <w:i w:val="0"/>
          <w:color w:val="000000" w:themeColor="text1"/>
          <w:sz w:val="22"/>
          <w:szCs w:val="22"/>
          <w:shd w:val="clear" w:color="auto" w:fill="FFFFFF"/>
        </w:rPr>
        <w:t>d</w:t>
      </w:r>
      <w:r w:rsidR="00353399" w:rsidRPr="00523BF6">
        <w:rPr>
          <w:rStyle w:val="Emphasis"/>
          <w:rFonts w:eastAsia="Times New Roman" w:cs="Arial"/>
          <w:i w:val="0"/>
          <w:color w:val="000000" w:themeColor="text1"/>
          <w:sz w:val="22"/>
          <w:szCs w:val="22"/>
          <w:shd w:val="clear" w:color="auto" w:fill="FFFFFF"/>
        </w:rPr>
        <w:t xml:space="preserve"> abundant amounts of IL-6, IL-8, IL-1</w:t>
      </w:r>
      <w:r w:rsidR="00353399" w:rsidRPr="00523BF6">
        <w:rPr>
          <w:rFonts w:cs="Arial"/>
          <w:sz w:val="22"/>
          <w:szCs w:val="22"/>
        </w:rPr>
        <w:t>ß and TNF-</w:t>
      </w:r>
      <w:r w:rsidR="00353399" w:rsidRPr="00523BF6">
        <w:rPr>
          <w:rFonts w:eastAsia="Times New Roman" w:cs="Arial"/>
          <w:color w:val="222222"/>
          <w:sz w:val="22"/>
          <w:szCs w:val="22"/>
          <w:shd w:val="clear" w:color="auto" w:fill="FFFFFF"/>
        </w:rPr>
        <w:t xml:space="preserve">α, and lesser amounts of IL-10 and IL-1-α (Fig </w:t>
      </w:r>
      <w:r w:rsidR="002F056D" w:rsidRPr="00523BF6">
        <w:rPr>
          <w:rFonts w:eastAsia="Times New Roman" w:cs="Arial"/>
          <w:color w:val="222222"/>
          <w:sz w:val="22"/>
          <w:szCs w:val="22"/>
          <w:shd w:val="clear" w:color="auto" w:fill="FFFFFF"/>
        </w:rPr>
        <w:t>2</w:t>
      </w:r>
      <w:r w:rsidR="00353399" w:rsidRPr="00523BF6">
        <w:rPr>
          <w:rFonts w:eastAsia="Times New Roman" w:cs="Arial"/>
          <w:color w:val="222222"/>
          <w:sz w:val="22"/>
          <w:szCs w:val="22"/>
          <w:shd w:val="clear" w:color="auto" w:fill="FFFFFF"/>
        </w:rPr>
        <w:t xml:space="preserve">A-B) in response to culture with macrophage </w:t>
      </w:r>
      <w:r w:rsidR="00B41925" w:rsidRPr="00523BF6">
        <w:rPr>
          <w:rFonts w:eastAsia="Times New Roman" w:cs="Arial"/>
          <w:color w:val="222222"/>
          <w:sz w:val="22"/>
          <w:szCs w:val="22"/>
          <w:shd w:val="clear" w:color="auto" w:fill="FFFFFF"/>
        </w:rPr>
        <w:t>EVs</w:t>
      </w:r>
      <w:r w:rsidR="00420404" w:rsidRPr="00523BF6">
        <w:rPr>
          <w:rFonts w:eastAsia="Times New Roman" w:cs="Arial"/>
          <w:color w:val="222222"/>
          <w:sz w:val="22"/>
          <w:szCs w:val="22"/>
          <w:shd w:val="clear" w:color="auto" w:fill="FFFFFF"/>
        </w:rPr>
        <w:t xml:space="preserve">, with no such response seen to monocyte </w:t>
      </w:r>
      <w:r w:rsidR="00820C9C" w:rsidRPr="00523BF6">
        <w:rPr>
          <w:rFonts w:eastAsia="Times New Roman" w:cs="Arial"/>
          <w:color w:val="222222"/>
          <w:sz w:val="22"/>
          <w:szCs w:val="22"/>
          <w:shd w:val="clear" w:color="auto" w:fill="FFFFFF"/>
        </w:rPr>
        <w:t>EVs</w:t>
      </w:r>
      <w:r w:rsidR="00353399" w:rsidRPr="00523BF6">
        <w:rPr>
          <w:rFonts w:eastAsia="Times New Roman" w:cs="Arial"/>
          <w:color w:val="222222"/>
          <w:sz w:val="22"/>
          <w:szCs w:val="22"/>
          <w:shd w:val="clear" w:color="auto" w:fill="FFFFFF"/>
        </w:rPr>
        <w:t>. No elevation in IFN</w:t>
      </w:r>
      <w:r w:rsidR="00353399" w:rsidRPr="00523BF6">
        <w:rPr>
          <w:rFonts w:cs="Arial"/>
          <w:sz w:val="22"/>
          <w:szCs w:val="22"/>
        </w:rPr>
        <w:t>-</w:t>
      </w:r>
      <w:r w:rsidR="00353399" w:rsidRPr="00523BF6">
        <w:rPr>
          <w:rFonts w:eastAsia="Times New Roman" w:cs="Arial"/>
          <w:color w:val="222222"/>
          <w:sz w:val="22"/>
          <w:szCs w:val="22"/>
          <w:shd w:val="clear" w:color="auto" w:fill="FFFFFF"/>
        </w:rPr>
        <w:t>γ or GM-CSF was seen (data not shown).</w:t>
      </w:r>
      <w:r w:rsidR="00B748C2" w:rsidRPr="00523BF6">
        <w:rPr>
          <w:rFonts w:eastAsia="Times New Roman" w:cs="Arial"/>
          <w:color w:val="222222"/>
          <w:sz w:val="22"/>
          <w:szCs w:val="22"/>
          <w:shd w:val="clear" w:color="auto" w:fill="FFFFFF"/>
        </w:rPr>
        <w:t xml:space="preserve"> </w:t>
      </w:r>
      <w:r w:rsidR="00B27677" w:rsidRPr="00523BF6">
        <w:rPr>
          <w:rFonts w:eastAsia="Times New Roman" w:cs="Arial"/>
          <w:color w:val="222222"/>
          <w:sz w:val="22"/>
          <w:szCs w:val="22"/>
          <w:shd w:val="clear" w:color="auto" w:fill="FFFFFF"/>
        </w:rPr>
        <w:t>As shown previously for IL-6 and IL-8</w:t>
      </w:r>
      <w:r w:rsidR="00344CA4" w:rsidRPr="00523BF6">
        <w:rPr>
          <w:rFonts w:eastAsia="Times New Roman" w:cs="Arial"/>
          <w:color w:val="222222"/>
          <w:sz w:val="22"/>
          <w:szCs w:val="22"/>
          <w:shd w:val="clear" w:color="auto" w:fill="FFFFFF"/>
        </w:rPr>
        <w:fldChar w:fldCharType="begin" w:fldLock="1"/>
      </w:r>
      <w:r w:rsidR="007E4684" w:rsidRPr="00523BF6">
        <w:rPr>
          <w:rFonts w:eastAsia="Times New Roman" w:cs="Arial"/>
          <w:color w:val="222222"/>
          <w:sz w:val="22"/>
          <w:szCs w:val="22"/>
          <w:shd w:val="clear" w:color="auto" w:fill="FFFFFF"/>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00344CA4" w:rsidRPr="00523BF6">
        <w:rPr>
          <w:rFonts w:eastAsia="Times New Roman" w:cs="Arial"/>
          <w:color w:val="222222"/>
          <w:sz w:val="22"/>
          <w:szCs w:val="22"/>
          <w:shd w:val="clear" w:color="auto" w:fill="FFFFFF"/>
        </w:rPr>
        <w:fldChar w:fldCharType="separate"/>
      </w:r>
      <w:r w:rsidR="00E33727" w:rsidRPr="00523BF6">
        <w:rPr>
          <w:rFonts w:eastAsia="Times New Roman" w:cs="Arial"/>
          <w:noProof/>
          <w:color w:val="222222"/>
          <w:sz w:val="22"/>
          <w:szCs w:val="22"/>
          <w:shd w:val="clear" w:color="auto" w:fill="FFFFFF"/>
        </w:rPr>
        <w:t>[6]</w:t>
      </w:r>
      <w:r w:rsidR="00344CA4" w:rsidRPr="00523BF6">
        <w:rPr>
          <w:rFonts w:eastAsia="Times New Roman" w:cs="Arial"/>
          <w:color w:val="222222"/>
          <w:sz w:val="22"/>
          <w:szCs w:val="22"/>
          <w:shd w:val="clear" w:color="auto" w:fill="FFFFFF"/>
        </w:rPr>
        <w:fldChar w:fldCharType="end"/>
      </w:r>
      <w:r w:rsidR="00B27677" w:rsidRPr="00523BF6">
        <w:rPr>
          <w:rFonts w:eastAsia="Times New Roman" w:cs="Arial"/>
          <w:color w:val="222222"/>
          <w:sz w:val="22"/>
          <w:szCs w:val="22"/>
          <w:shd w:val="clear" w:color="auto" w:fill="FFFFFF"/>
        </w:rPr>
        <w:t xml:space="preserve">, </w:t>
      </w:r>
      <w:r w:rsidR="00344CA4" w:rsidRPr="00523BF6">
        <w:rPr>
          <w:rFonts w:eastAsia="Times New Roman" w:cs="Arial"/>
          <w:color w:val="222222"/>
          <w:sz w:val="22"/>
          <w:szCs w:val="22"/>
          <w:shd w:val="clear" w:color="auto" w:fill="FFFFFF"/>
        </w:rPr>
        <w:t xml:space="preserve">elevated </w:t>
      </w:r>
      <w:r w:rsidR="00344CA4" w:rsidRPr="00523BF6">
        <w:rPr>
          <w:rStyle w:val="Emphasis"/>
          <w:rFonts w:eastAsia="Times New Roman" w:cs="Arial"/>
          <w:i w:val="0"/>
          <w:color w:val="000000" w:themeColor="text1"/>
          <w:sz w:val="22"/>
          <w:szCs w:val="22"/>
          <w:shd w:val="clear" w:color="auto" w:fill="FFFFFF"/>
        </w:rPr>
        <w:t>IL-1</w:t>
      </w:r>
      <w:r w:rsidR="00344CA4" w:rsidRPr="00523BF6">
        <w:rPr>
          <w:rFonts w:cs="Arial"/>
          <w:sz w:val="22"/>
          <w:szCs w:val="22"/>
        </w:rPr>
        <w:t>ß</w:t>
      </w:r>
      <w:r w:rsidR="006A5E0A" w:rsidRPr="00523BF6">
        <w:rPr>
          <w:rFonts w:cs="Arial"/>
          <w:sz w:val="22"/>
          <w:szCs w:val="22"/>
        </w:rPr>
        <w:t>/</w:t>
      </w:r>
      <w:r w:rsidR="00344CA4" w:rsidRPr="00523BF6">
        <w:rPr>
          <w:rFonts w:cs="Arial"/>
          <w:sz w:val="22"/>
          <w:szCs w:val="22"/>
        </w:rPr>
        <w:t>TNF-</w:t>
      </w:r>
      <w:r w:rsidR="00344CA4" w:rsidRPr="00523BF6">
        <w:rPr>
          <w:rFonts w:eastAsia="Times New Roman" w:cs="Arial"/>
          <w:color w:val="222222"/>
          <w:sz w:val="22"/>
          <w:szCs w:val="22"/>
          <w:shd w:val="clear" w:color="auto" w:fill="FFFFFF"/>
        </w:rPr>
        <w:t>α</w:t>
      </w:r>
      <w:r w:rsidR="006A5E0A" w:rsidRPr="00523BF6">
        <w:rPr>
          <w:rFonts w:eastAsia="Times New Roman" w:cs="Arial"/>
          <w:color w:val="222222"/>
          <w:sz w:val="22"/>
          <w:szCs w:val="22"/>
          <w:shd w:val="clear" w:color="auto" w:fill="FFFFFF"/>
        </w:rPr>
        <w:t>/IL-10/</w:t>
      </w:r>
      <w:r w:rsidR="00344CA4" w:rsidRPr="00523BF6">
        <w:rPr>
          <w:rFonts w:eastAsia="Times New Roman" w:cs="Arial"/>
          <w:color w:val="222222"/>
          <w:sz w:val="22"/>
          <w:szCs w:val="22"/>
          <w:shd w:val="clear" w:color="auto" w:fill="FFFFFF"/>
        </w:rPr>
        <w:t xml:space="preserve">IL-1-α in supernatants were </w:t>
      </w:r>
      <w:r w:rsidR="006A5E0A" w:rsidRPr="00523BF6">
        <w:rPr>
          <w:rFonts w:eastAsia="Times New Roman" w:cs="Arial"/>
          <w:color w:val="222222"/>
          <w:sz w:val="22"/>
          <w:szCs w:val="22"/>
          <w:shd w:val="clear" w:color="auto" w:fill="FFFFFF"/>
        </w:rPr>
        <w:t>of placental origin</w:t>
      </w:r>
      <w:r w:rsidR="00344CA4" w:rsidRPr="00523BF6">
        <w:rPr>
          <w:rFonts w:eastAsia="Times New Roman" w:cs="Arial"/>
          <w:color w:val="222222"/>
          <w:sz w:val="22"/>
          <w:szCs w:val="22"/>
          <w:shd w:val="clear" w:color="auto" w:fill="FFFFFF"/>
        </w:rPr>
        <w:t xml:space="preserve"> (Fig </w:t>
      </w:r>
      <w:r w:rsidR="002F056D" w:rsidRPr="00523BF6">
        <w:rPr>
          <w:rFonts w:eastAsia="Times New Roman" w:cs="Arial"/>
          <w:color w:val="222222"/>
          <w:sz w:val="22"/>
          <w:szCs w:val="22"/>
          <w:shd w:val="clear" w:color="auto" w:fill="FFFFFF"/>
        </w:rPr>
        <w:t>2</w:t>
      </w:r>
      <w:r w:rsidR="00344CA4" w:rsidRPr="00523BF6">
        <w:rPr>
          <w:rFonts w:eastAsia="Times New Roman" w:cs="Arial"/>
          <w:color w:val="222222"/>
          <w:sz w:val="22"/>
          <w:szCs w:val="22"/>
          <w:shd w:val="clear" w:color="auto" w:fill="FFFFFF"/>
        </w:rPr>
        <w:t>C).</w:t>
      </w:r>
      <w:r w:rsidR="004D2D5D" w:rsidRPr="00523BF6">
        <w:rPr>
          <w:rFonts w:eastAsia="Times New Roman" w:cs="Arial"/>
          <w:color w:val="222222"/>
          <w:sz w:val="22"/>
          <w:szCs w:val="22"/>
          <w:shd w:val="clear" w:color="auto" w:fill="FFFFFF"/>
        </w:rPr>
        <w:t xml:space="preserve"> </w:t>
      </w:r>
    </w:p>
    <w:p w14:paraId="576355A3" w14:textId="77777777" w:rsidR="00861392" w:rsidRPr="00523BF6" w:rsidRDefault="00861392" w:rsidP="00E33727">
      <w:pPr>
        <w:widowControl w:val="0"/>
        <w:autoSpaceDE w:val="0"/>
        <w:autoSpaceDN w:val="0"/>
        <w:adjustRightInd w:val="0"/>
        <w:spacing w:line="480" w:lineRule="auto"/>
        <w:jc w:val="both"/>
        <w:rPr>
          <w:rFonts w:eastAsia="Times New Roman" w:cs="Arial"/>
          <w:color w:val="222222"/>
          <w:sz w:val="22"/>
          <w:szCs w:val="22"/>
          <w:shd w:val="clear" w:color="auto" w:fill="FFFFFF"/>
        </w:rPr>
      </w:pPr>
    </w:p>
    <w:p w14:paraId="04F76D0C" w14:textId="11ACE4AD" w:rsidR="00E54911" w:rsidRPr="00523BF6" w:rsidRDefault="00861392" w:rsidP="009506DF">
      <w:pPr>
        <w:widowControl w:val="0"/>
        <w:autoSpaceDE w:val="0"/>
        <w:autoSpaceDN w:val="0"/>
        <w:adjustRightInd w:val="0"/>
        <w:spacing w:line="480" w:lineRule="auto"/>
        <w:jc w:val="both"/>
        <w:rPr>
          <w:rFonts w:eastAsia="Times New Roman" w:cstheme="minorHAnsi"/>
          <w:color w:val="000000" w:themeColor="text1"/>
          <w:sz w:val="22"/>
          <w:szCs w:val="22"/>
          <w:shd w:val="clear" w:color="auto" w:fill="FFFFFF"/>
        </w:rPr>
      </w:pPr>
      <w:r w:rsidRPr="00523BF6">
        <w:rPr>
          <w:rFonts w:eastAsia="Times New Roman" w:cs="Arial"/>
          <w:color w:val="222222"/>
          <w:sz w:val="22"/>
          <w:szCs w:val="22"/>
          <w:shd w:val="clear" w:color="auto" w:fill="FFFFFF"/>
        </w:rPr>
        <w:t>E</w:t>
      </w:r>
      <w:r w:rsidR="00B41925" w:rsidRPr="00523BF6">
        <w:rPr>
          <w:rFonts w:eastAsia="Times New Roman" w:cs="Arial"/>
          <w:color w:val="222222"/>
          <w:sz w:val="22"/>
          <w:szCs w:val="22"/>
          <w:shd w:val="clear" w:color="auto" w:fill="FFFFFF"/>
        </w:rPr>
        <w:t>Vs</w:t>
      </w:r>
      <w:r w:rsidRPr="00523BF6">
        <w:rPr>
          <w:rFonts w:eastAsia="Times New Roman" w:cs="Arial"/>
          <w:color w:val="222222"/>
          <w:sz w:val="22"/>
          <w:szCs w:val="22"/>
          <w:shd w:val="clear" w:color="auto" w:fill="FFFFFF"/>
        </w:rPr>
        <w:t xml:space="preserve"> </w:t>
      </w:r>
      <w:r w:rsidR="00B80029" w:rsidRPr="00523BF6">
        <w:rPr>
          <w:rFonts w:eastAsia="Times New Roman" w:cs="Arial"/>
          <w:color w:val="222222"/>
          <w:sz w:val="22"/>
          <w:szCs w:val="22"/>
          <w:shd w:val="clear" w:color="auto" w:fill="FFFFFF"/>
        </w:rPr>
        <w:t>encompassed</w:t>
      </w:r>
      <w:r w:rsidRPr="00523BF6">
        <w:rPr>
          <w:rFonts w:eastAsia="Times New Roman" w:cs="Arial"/>
          <w:color w:val="222222"/>
          <w:sz w:val="22"/>
          <w:szCs w:val="22"/>
          <w:shd w:val="clear" w:color="auto" w:fill="FFFFFF"/>
        </w:rPr>
        <w:t xml:space="preserve"> the expected size</w:t>
      </w:r>
      <w:r w:rsidR="00B41925" w:rsidRPr="00523BF6">
        <w:rPr>
          <w:rFonts w:eastAsia="Times New Roman" w:cs="Arial"/>
          <w:color w:val="222222"/>
          <w:sz w:val="22"/>
          <w:szCs w:val="22"/>
          <w:shd w:val="clear" w:color="auto" w:fill="FFFFFF"/>
        </w:rPr>
        <w:t xml:space="preserve"> range of exosome</w:t>
      </w:r>
      <w:r w:rsidR="003978E2" w:rsidRPr="00523BF6">
        <w:rPr>
          <w:rFonts w:eastAsia="Times New Roman" w:cs="Arial"/>
          <w:color w:val="222222"/>
          <w:sz w:val="22"/>
          <w:szCs w:val="22"/>
          <w:shd w:val="clear" w:color="auto" w:fill="FFFFFF"/>
        </w:rPr>
        <w:t xml:space="preserve">, with mode size of </w:t>
      </w:r>
      <w:r w:rsidR="00FD201E" w:rsidRPr="00523BF6">
        <w:rPr>
          <w:rFonts w:eastAsia="Times New Roman" w:cs="Arial"/>
          <w:color w:val="222222"/>
          <w:sz w:val="22"/>
          <w:szCs w:val="22"/>
          <w:shd w:val="clear" w:color="auto" w:fill="FFFFFF"/>
        </w:rPr>
        <w:t>96nm and 111nm for monocyte and macrophage EVs respectively</w:t>
      </w:r>
      <w:r w:rsidRPr="00523BF6">
        <w:rPr>
          <w:rFonts w:eastAsia="Times New Roman" w:cs="Arial"/>
          <w:color w:val="222222"/>
          <w:sz w:val="22"/>
          <w:szCs w:val="22"/>
          <w:shd w:val="clear" w:color="auto" w:fill="FFFFFF"/>
        </w:rPr>
        <w:t xml:space="preserve"> (Fig </w:t>
      </w:r>
      <w:r w:rsidR="002F056D" w:rsidRPr="00523BF6">
        <w:rPr>
          <w:rFonts w:eastAsia="Times New Roman" w:cs="Arial"/>
          <w:color w:val="222222"/>
          <w:sz w:val="22"/>
          <w:szCs w:val="22"/>
          <w:shd w:val="clear" w:color="auto" w:fill="FFFFFF"/>
        </w:rPr>
        <w:t>1</w:t>
      </w:r>
      <w:r w:rsidRPr="00523BF6">
        <w:rPr>
          <w:rFonts w:eastAsia="Times New Roman" w:cs="Arial"/>
          <w:color w:val="222222"/>
          <w:sz w:val="22"/>
          <w:szCs w:val="22"/>
          <w:shd w:val="clear" w:color="auto" w:fill="FFFFFF"/>
        </w:rPr>
        <w:t>A</w:t>
      </w:r>
      <w:r w:rsidR="00FD201E" w:rsidRPr="00523BF6">
        <w:rPr>
          <w:rFonts w:eastAsia="Times New Roman" w:cs="Arial"/>
          <w:color w:val="222222"/>
          <w:sz w:val="22"/>
          <w:szCs w:val="22"/>
          <w:shd w:val="clear" w:color="auto" w:fill="FFFFFF"/>
        </w:rPr>
        <w:t>-B)</w:t>
      </w:r>
      <w:r w:rsidR="006A5E0A" w:rsidRPr="00523BF6">
        <w:rPr>
          <w:rFonts w:eastAsia="Times New Roman" w:cs="Arial"/>
          <w:color w:val="222222"/>
          <w:sz w:val="22"/>
          <w:szCs w:val="22"/>
          <w:shd w:val="clear" w:color="auto" w:fill="FFFFFF"/>
        </w:rPr>
        <w:t>.</w:t>
      </w:r>
      <w:r w:rsidR="00FD201E" w:rsidRPr="00523BF6">
        <w:rPr>
          <w:rFonts w:eastAsia="Times New Roman" w:cs="Arial"/>
          <w:color w:val="222222"/>
          <w:sz w:val="22"/>
          <w:szCs w:val="22"/>
          <w:shd w:val="clear" w:color="auto" w:fill="FFFFFF"/>
        </w:rPr>
        <w:t xml:space="preserve"> </w:t>
      </w:r>
      <w:r w:rsidR="00A97069" w:rsidRPr="00523BF6">
        <w:rPr>
          <w:rFonts w:eastAsia="Times New Roman" w:cs="Arial"/>
          <w:color w:val="222222"/>
          <w:sz w:val="22"/>
          <w:szCs w:val="22"/>
          <w:shd w:val="clear" w:color="auto" w:fill="FFFFFF"/>
        </w:rPr>
        <w:t xml:space="preserve">The number </w:t>
      </w:r>
      <w:r w:rsidR="00A75851" w:rsidRPr="00523BF6">
        <w:rPr>
          <w:rFonts w:eastAsia="Times New Roman" w:cs="Arial"/>
          <w:color w:val="222222"/>
          <w:sz w:val="22"/>
          <w:szCs w:val="22"/>
          <w:shd w:val="clear" w:color="auto" w:fill="FFFFFF"/>
        </w:rPr>
        <w:t xml:space="preserve">and protein concentration </w:t>
      </w:r>
      <w:r w:rsidR="00A97069" w:rsidRPr="00523BF6">
        <w:rPr>
          <w:rFonts w:eastAsia="Times New Roman" w:cs="Arial"/>
          <w:color w:val="222222"/>
          <w:sz w:val="22"/>
          <w:szCs w:val="22"/>
          <w:shd w:val="clear" w:color="auto" w:fill="FFFFFF"/>
        </w:rPr>
        <w:t xml:space="preserve">of EVs recovered per million cells plated was </w:t>
      </w:r>
      <w:r w:rsidR="00A97069" w:rsidRPr="00523BF6">
        <w:rPr>
          <w:rFonts w:cs="Times New Roman"/>
          <w:sz w:val="22"/>
          <w:szCs w:val="22"/>
        </w:rPr>
        <w:t>3.2x10</w:t>
      </w:r>
      <w:r w:rsidR="00A97069" w:rsidRPr="00523BF6">
        <w:rPr>
          <w:rFonts w:cs="Times New Roman"/>
          <w:sz w:val="22"/>
          <w:szCs w:val="22"/>
          <w:vertAlign w:val="superscript"/>
        </w:rPr>
        <w:t>9</w:t>
      </w:r>
      <w:r w:rsidR="00A75851" w:rsidRPr="00523BF6">
        <w:rPr>
          <w:rFonts w:cs="Times New Roman"/>
          <w:sz w:val="22"/>
          <w:szCs w:val="22"/>
        </w:rPr>
        <w:t>/8.44</w:t>
      </w:r>
      <w:r w:rsidR="00A75851" w:rsidRPr="00523BF6">
        <w:rPr>
          <w:rFonts w:cs="Times New Roman"/>
          <w:color w:val="000000"/>
          <w:sz w:val="22"/>
          <w:szCs w:val="22"/>
        </w:rPr>
        <w:t>μ</w:t>
      </w:r>
      <w:r w:rsidR="00A75851" w:rsidRPr="00523BF6">
        <w:rPr>
          <w:rFonts w:cs="Times New Roman"/>
          <w:sz w:val="22"/>
          <w:szCs w:val="22"/>
        </w:rPr>
        <w:t xml:space="preserve">g </w:t>
      </w:r>
      <w:r w:rsidR="00A97069" w:rsidRPr="00523BF6">
        <w:rPr>
          <w:rFonts w:cs="Times New Roman"/>
          <w:sz w:val="22"/>
          <w:szCs w:val="22"/>
        </w:rPr>
        <w:t>for monocytes and 1.4x10</w:t>
      </w:r>
      <w:r w:rsidR="00A97069" w:rsidRPr="00523BF6">
        <w:rPr>
          <w:rFonts w:cs="Times New Roman"/>
          <w:sz w:val="22"/>
          <w:szCs w:val="22"/>
          <w:vertAlign w:val="superscript"/>
        </w:rPr>
        <w:t>9</w:t>
      </w:r>
      <w:r w:rsidR="00A75851" w:rsidRPr="00523BF6">
        <w:rPr>
          <w:rFonts w:eastAsia="Times New Roman" w:cs="Arial"/>
          <w:color w:val="222222"/>
          <w:sz w:val="22"/>
          <w:szCs w:val="22"/>
          <w:shd w:val="clear" w:color="auto" w:fill="FFFFFF"/>
        </w:rPr>
        <w:t>/3.2</w:t>
      </w:r>
      <w:r w:rsidR="00A75851" w:rsidRPr="00523BF6">
        <w:rPr>
          <w:rFonts w:cs="Times New Roman"/>
          <w:sz w:val="22"/>
          <w:szCs w:val="22"/>
        </w:rPr>
        <w:t>4</w:t>
      </w:r>
      <w:r w:rsidR="00A75851" w:rsidRPr="00523BF6">
        <w:rPr>
          <w:rFonts w:cs="Times New Roman"/>
          <w:color w:val="000000"/>
          <w:sz w:val="22"/>
          <w:szCs w:val="22"/>
        </w:rPr>
        <w:t>μ</w:t>
      </w:r>
      <w:r w:rsidR="00A75851" w:rsidRPr="00523BF6">
        <w:rPr>
          <w:rFonts w:cs="Times New Roman"/>
          <w:sz w:val="22"/>
          <w:szCs w:val="22"/>
        </w:rPr>
        <w:t>g</w:t>
      </w:r>
      <w:r w:rsidR="00A75851" w:rsidRPr="00523BF6">
        <w:rPr>
          <w:rFonts w:eastAsia="Times New Roman" w:cs="Arial"/>
          <w:color w:val="222222"/>
          <w:sz w:val="22"/>
          <w:szCs w:val="22"/>
          <w:shd w:val="clear" w:color="auto" w:fill="FFFFFF"/>
        </w:rPr>
        <w:t xml:space="preserve"> </w:t>
      </w:r>
      <w:r w:rsidR="00A97069" w:rsidRPr="00523BF6">
        <w:rPr>
          <w:rFonts w:eastAsia="Times New Roman" w:cs="Arial"/>
          <w:color w:val="222222"/>
          <w:sz w:val="22"/>
          <w:szCs w:val="22"/>
          <w:shd w:val="clear" w:color="auto" w:fill="FFFFFF"/>
        </w:rPr>
        <w:t>for macrophages. EVs</w:t>
      </w:r>
      <w:r w:rsidR="00533881" w:rsidRPr="00523BF6">
        <w:rPr>
          <w:rFonts w:eastAsia="Times New Roman" w:cs="Arial"/>
          <w:color w:val="222222"/>
          <w:sz w:val="22"/>
          <w:szCs w:val="22"/>
          <w:shd w:val="clear" w:color="auto" w:fill="FFFFFF"/>
        </w:rPr>
        <w:t xml:space="preserve"> </w:t>
      </w:r>
      <w:r w:rsidR="006A5E0A" w:rsidRPr="00523BF6">
        <w:rPr>
          <w:rFonts w:eastAsia="Times New Roman" w:cs="Arial"/>
          <w:color w:val="222222"/>
          <w:sz w:val="22"/>
          <w:szCs w:val="22"/>
          <w:shd w:val="clear" w:color="auto" w:fill="FFFFFF"/>
        </w:rPr>
        <w:t>were positive for</w:t>
      </w:r>
      <w:r w:rsidR="00FD201E" w:rsidRPr="00523BF6">
        <w:rPr>
          <w:rFonts w:eastAsia="Times New Roman" w:cs="Arial"/>
          <w:color w:val="222222"/>
          <w:sz w:val="22"/>
          <w:szCs w:val="22"/>
          <w:shd w:val="clear" w:color="auto" w:fill="FFFFFF"/>
        </w:rPr>
        <w:t xml:space="preserve"> </w:t>
      </w:r>
      <w:r w:rsidRPr="00523BF6">
        <w:rPr>
          <w:rFonts w:eastAsia="Times New Roman" w:cs="Arial"/>
          <w:color w:val="222222"/>
          <w:sz w:val="22"/>
          <w:szCs w:val="22"/>
          <w:shd w:val="clear" w:color="auto" w:fill="FFFFFF"/>
        </w:rPr>
        <w:t xml:space="preserve">exosome markers </w:t>
      </w:r>
      <w:r w:rsidR="006C4441" w:rsidRPr="00523BF6">
        <w:rPr>
          <w:rFonts w:eastAsia="Times New Roman" w:cs="Arial"/>
          <w:color w:val="222222"/>
          <w:sz w:val="22"/>
          <w:szCs w:val="22"/>
          <w:shd w:val="clear" w:color="auto" w:fill="FFFFFF"/>
        </w:rPr>
        <w:t>flotillin-</w:t>
      </w:r>
      <w:r w:rsidR="00EC6961" w:rsidRPr="00523BF6">
        <w:rPr>
          <w:rFonts w:eastAsia="Times New Roman" w:cs="Arial"/>
          <w:color w:val="222222"/>
          <w:sz w:val="22"/>
          <w:szCs w:val="22"/>
          <w:shd w:val="clear" w:color="auto" w:fill="FFFFFF"/>
        </w:rPr>
        <w:t>1</w:t>
      </w:r>
      <w:r w:rsidR="003978E2" w:rsidRPr="00523BF6">
        <w:rPr>
          <w:rFonts w:eastAsia="Times New Roman" w:cs="Arial"/>
          <w:color w:val="222222"/>
          <w:sz w:val="22"/>
          <w:szCs w:val="22"/>
          <w:shd w:val="clear" w:color="auto" w:fill="FFFFFF"/>
        </w:rPr>
        <w:t>, MHC-I and TSG101</w:t>
      </w:r>
      <w:r w:rsidR="004D2D5D" w:rsidRPr="00523BF6">
        <w:rPr>
          <w:rFonts w:eastAsia="Times New Roman" w:cs="Arial"/>
          <w:color w:val="222222"/>
          <w:sz w:val="22"/>
          <w:szCs w:val="22"/>
          <w:shd w:val="clear" w:color="auto" w:fill="FFFFFF"/>
        </w:rPr>
        <w:t>, and negative for calnexin, an indicator of contamination with cellular debris</w:t>
      </w:r>
      <w:r w:rsidRPr="00523BF6">
        <w:rPr>
          <w:rFonts w:eastAsia="Times New Roman" w:cs="Arial"/>
          <w:color w:val="222222"/>
          <w:sz w:val="22"/>
          <w:szCs w:val="22"/>
          <w:shd w:val="clear" w:color="auto" w:fill="FFFFFF"/>
        </w:rPr>
        <w:t xml:space="preserve">. </w:t>
      </w:r>
      <w:r w:rsidR="00B41925" w:rsidRPr="00523BF6">
        <w:rPr>
          <w:rFonts w:eastAsia="Times New Roman" w:cs="Arial"/>
          <w:color w:val="222222"/>
          <w:sz w:val="22"/>
          <w:szCs w:val="22"/>
          <w:shd w:val="clear" w:color="auto" w:fill="FFFFFF"/>
        </w:rPr>
        <w:t xml:space="preserve">Due to the </w:t>
      </w:r>
      <w:r w:rsidR="00B80029" w:rsidRPr="00523BF6">
        <w:rPr>
          <w:rFonts w:eastAsia="Times New Roman" w:cs="Arial"/>
          <w:color w:val="222222"/>
          <w:sz w:val="22"/>
          <w:szCs w:val="22"/>
          <w:shd w:val="clear" w:color="auto" w:fill="FFFFFF"/>
        </w:rPr>
        <w:t xml:space="preserve">ultracentifuge </w:t>
      </w:r>
      <w:r w:rsidR="00B41925" w:rsidRPr="00523BF6">
        <w:rPr>
          <w:rFonts w:eastAsia="Times New Roman" w:cs="Arial"/>
          <w:color w:val="222222"/>
          <w:sz w:val="22"/>
          <w:szCs w:val="22"/>
          <w:shd w:val="clear" w:color="auto" w:fill="FFFFFF"/>
        </w:rPr>
        <w:t xml:space="preserve">method of isolation used, other EV populations such as microvesicles </w:t>
      </w:r>
      <w:r w:rsidR="0004091A" w:rsidRPr="00523BF6">
        <w:rPr>
          <w:rFonts w:eastAsia="Times New Roman" w:cs="Arial"/>
          <w:color w:val="222222"/>
          <w:sz w:val="22"/>
          <w:szCs w:val="22"/>
          <w:shd w:val="clear" w:color="auto" w:fill="FFFFFF"/>
        </w:rPr>
        <w:t>may</w:t>
      </w:r>
      <w:r w:rsidR="00B41925" w:rsidRPr="00523BF6">
        <w:rPr>
          <w:rFonts w:eastAsia="Times New Roman" w:cs="Arial"/>
          <w:color w:val="222222"/>
          <w:sz w:val="22"/>
          <w:szCs w:val="22"/>
          <w:shd w:val="clear" w:color="auto" w:fill="FFFFFF"/>
        </w:rPr>
        <w:t xml:space="preserve"> </w:t>
      </w:r>
      <w:r w:rsidR="00B80029" w:rsidRPr="00523BF6">
        <w:rPr>
          <w:rFonts w:eastAsia="Times New Roman" w:cs="Arial"/>
          <w:color w:val="222222"/>
          <w:sz w:val="22"/>
          <w:szCs w:val="22"/>
          <w:shd w:val="clear" w:color="auto" w:fill="FFFFFF"/>
        </w:rPr>
        <w:t xml:space="preserve">also </w:t>
      </w:r>
      <w:r w:rsidR="00B41925" w:rsidRPr="00523BF6">
        <w:rPr>
          <w:rFonts w:eastAsia="Times New Roman" w:cs="Arial"/>
          <w:color w:val="222222"/>
          <w:sz w:val="22"/>
          <w:szCs w:val="22"/>
          <w:shd w:val="clear" w:color="auto" w:fill="FFFFFF"/>
        </w:rPr>
        <w:t xml:space="preserve">be present. </w:t>
      </w:r>
      <w:r w:rsidRPr="00523BF6">
        <w:rPr>
          <w:rFonts w:eastAsia="Times New Roman" w:cs="Arial"/>
          <w:color w:val="222222"/>
          <w:sz w:val="22"/>
          <w:szCs w:val="22"/>
          <w:shd w:val="clear" w:color="auto" w:fill="FFFFFF"/>
        </w:rPr>
        <w:t>E</w:t>
      </w:r>
      <w:r w:rsidR="00B41925" w:rsidRPr="00523BF6">
        <w:rPr>
          <w:rFonts w:eastAsia="Times New Roman" w:cs="Arial"/>
          <w:color w:val="222222"/>
          <w:sz w:val="22"/>
          <w:szCs w:val="22"/>
          <w:shd w:val="clear" w:color="auto" w:fill="FFFFFF"/>
        </w:rPr>
        <w:t>Vs</w:t>
      </w:r>
      <w:r w:rsidRPr="00523BF6">
        <w:rPr>
          <w:rFonts w:eastAsia="Times New Roman" w:cs="Arial"/>
          <w:color w:val="222222"/>
          <w:sz w:val="22"/>
          <w:szCs w:val="22"/>
          <w:shd w:val="clear" w:color="auto" w:fill="FFFFFF"/>
        </w:rPr>
        <w:t xml:space="preserve"> from m</w:t>
      </w:r>
      <w:r w:rsidR="00FD201E" w:rsidRPr="00523BF6">
        <w:rPr>
          <w:rFonts w:eastAsia="Times New Roman" w:cs="Arial"/>
          <w:color w:val="222222"/>
          <w:sz w:val="22"/>
          <w:szCs w:val="22"/>
          <w:shd w:val="clear" w:color="auto" w:fill="FFFFFF"/>
        </w:rPr>
        <w:t>acrophages</w:t>
      </w:r>
      <w:r w:rsidRPr="00523BF6">
        <w:rPr>
          <w:rFonts w:eastAsia="Times New Roman" w:cs="Arial"/>
          <w:color w:val="222222"/>
          <w:sz w:val="22"/>
          <w:szCs w:val="22"/>
          <w:shd w:val="clear" w:color="auto" w:fill="FFFFFF"/>
        </w:rPr>
        <w:t xml:space="preserve"> were </w:t>
      </w:r>
      <w:r w:rsidR="00924F91" w:rsidRPr="00523BF6">
        <w:rPr>
          <w:rFonts w:eastAsia="Times New Roman" w:cs="Arial"/>
          <w:color w:val="222222"/>
          <w:sz w:val="22"/>
          <w:szCs w:val="22"/>
          <w:shd w:val="clear" w:color="auto" w:fill="FFFFFF"/>
        </w:rPr>
        <w:t xml:space="preserve">slightly </w:t>
      </w:r>
      <w:r w:rsidR="00FD201E" w:rsidRPr="00523BF6">
        <w:rPr>
          <w:rFonts w:eastAsia="Times New Roman" w:cs="Arial"/>
          <w:color w:val="222222"/>
          <w:sz w:val="22"/>
          <w:szCs w:val="22"/>
          <w:shd w:val="clear" w:color="auto" w:fill="FFFFFF"/>
        </w:rPr>
        <w:t>larger</w:t>
      </w:r>
      <w:r w:rsidRPr="00523BF6">
        <w:rPr>
          <w:rFonts w:eastAsia="Times New Roman" w:cs="Arial"/>
          <w:color w:val="222222"/>
          <w:sz w:val="22"/>
          <w:szCs w:val="22"/>
          <w:shd w:val="clear" w:color="auto" w:fill="FFFFFF"/>
        </w:rPr>
        <w:t xml:space="preserve"> tha</w:t>
      </w:r>
      <w:r w:rsidR="00FD201E" w:rsidRPr="00523BF6">
        <w:rPr>
          <w:rFonts w:eastAsia="Times New Roman" w:cs="Arial"/>
          <w:color w:val="222222"/>
          <w:sz w:val="22"/>
          <w:szCs w:val="22"/>
          <w:shd w:val="clear" w:color="auto" w:fill="FFFFFF"/>
        </w:rPr>
        <w:t xml:space="preserve">n those from monocytes (Fig </w:t>
      </w:r>
      <w:r w:rsidR="00E54911" w:rsidRPr="00523BF6">
        <w:rPr>
          <w:rFonts w:eastAsia="Times New Roman" w:cs="Arial"/>
          <w:color w:val="222222"/>
          <w:sz w:val="22"/>
          <w:szCs w:val="22"/>
          <w:shd w:val="clear" w:color="auto" w:fill="FFFFFF"/>
        </w:rPr>
        <w:t>1</w:t>
      </w:r>
      <w:r w:rsidR="00FD201E" w:rsidRPr="00523BF6">
        <w:rPr>
          <w:rFonts w:eastAsia="Times New Roman" w:cs="Arial"/>
          <w:color w:val="222222"/>
          <w:sz w:val="22"/>
          <w:szCs w:val="22"/>
          <w:shd w:val="clear" w:color="auto" w:fill="FFFFFF"/>
        </w:rPr>
        <w:t>B</w:t>
      </w:r>
      <w:r w:rsidRPr="00523BF6">
        <w:rPr>
          <w:rFonts w:eastAsia="Times New Roman" w:cs="Arial"/>
          <w:color w:val="222222"/>
          <w:sz w:val="22"/>
          <w:szCs w:val="22"/>
          <w:shd w:val="clear" w:color="auto" w:fill="FFFFFF"/>
        </w:rPr>
        <w:t xml:space="preserve">), </w:t>
      </w:r>
      <w:r w:rsidR="00F8605F" w:rsidRPr="00523BF6">
        <w:rPr>
          <w:rFonts w:eastAsia="Times New Roman" w:cs="Arial"/>
          <w:color w:val="222222"/>
          <w:sz w:val="22"/>
          <w:szCs w:val="22"/>
          <w:shd w:val="clear" w:color="auto" w:fill="FFFFFF"/>
        </w:rPr>
        <w:t xml:space="preserve">perhaps </w:t>
      </w:r>
      <w:r w:rsidR="00FD201E" w:rsidRPr="00523BF6">
        <w:rPr>
          <w:rFonts w:eastAsia="Times New Roman" w:cs="Arial"/>
          <w:color w:val="222222"/>
          <w:sz w:val="22"/>
          <w:szCs w:val="22"/>
          <w:shd w:val="clear" w:color="auto" w:fill="FFFFFF"/>
        </w:rPr>
        <w:t xml:space="preserve">reflecting their </w:t>
      </w:r>
      <w:r w:rsidRPr="00523BF6">
        <w:rPr>
          <w:rFonts w:eastAsia="Times New Roman" w:cs="Arial"/>
          <w:color w:val="222222"/>
          <w:sz w:val="22"/>
          <w:szCs w:val="22"/>
          <w:shd w:val="clear" w:color="auto" w:fill="FFFFFF"/>
        </w:rPr>
        <w:t xml:space="preserve">activated phenotype. </w:t>
      </w:r>
      <w:r w:rsidR="00E54911" w:rsidRPr="00523BF6">
        <w:rPr>
          <w:rFonts w:eastAsia="Times New Roman" w:cs="Arial"/>
          <w:color w:val="222222"/>
          <w:sz w:val="22"/>
          <w:szCs w:val="22"/>
          <w:shd w:val="clear" w:color="auto" w:fill="FFFFFF"/>
        </w:rPr>
        <w:t xml:space="preserve">Future investigations should interrogate the cargo of macrophage and monocyte </w:t>
      </w:r>
      <w:r w:rsidR="00924F91" w:rsidRPr="00523BF6">
        <w:rPr>
          <w:rFonts w:eastAsia="Times New Roman" w:cs="Arial"/>
          <w:color w:val="222222"/>
          <w:sz w:val="22"/>
          <w:szCs w:val="22"/>
          <w:shd w:val="clear" w:color="auto" w:fill="FFFFFF"/>
        </w:rPr>
        <w:t>EVs</w:t>
      </w:r>
      <w:r w:rsidR="00E54911" w:rsidRPr="00523BF6">
        <w:rPr>
          <w:rFonts w:eastAsia="Times New Roman" w:cs="Arial"/>
          <w:color w:val="222222"/>
          <w:sz w:val="22"/>
          <w:szCs w:val="22"/>
          <w:shd w:val="clear" w:color="auto" w:fill="FFFFFF"/>
        </w:rPr>
        <w:t xml:space="preserve"> to determine the </w:t>
      </w:r>
      <w:r w:rsidR="00E54911" w:rsidRPr="00523BF6">
        <w:rPr>
          <w:rFonts w:eastAsia="Times New Roman" w:cstheme="minorHAnsi"/>
          <w:color w:val="222222"/>
          <w:sz w:val="22"/>
          <w:szCs w:val="22"/>
          <w:shd w:val="clear" w:color="auto" w:fill="FFFFFF"/>
        </w:rPr>
        <w:t xml:space="preserve">molecules responsible for the </w:t>
      </w:r>
      <w:r w:rsidR="00924F91" w:rsidRPr="00523BF6">
        <w:rPr>
          <w:rFonts w:eastAsia="Times New Roman" w:cstheme="minorHAnsi"/>
          <w:color w:val="222222"/>
          <w:sz w:val="22"/>
          <w:szCs w:val="22"/>
          <w:shd w:val="clear" w:color="auto" w:fill="FFFFFF"/>
        </w:rPr>
        <w:t>differential effect on the placenta</w:t>
      </w:r>
      <w:r w:rsidR="00E54911" w:rsidRPr="00523BF6">
        <w:rPr>
          <w:rFonts w:eastAsia="Times New Roman" w:cstheme="minorHAnsi"/>
          <w:color w:val="222222"/>
          <w:sz w:val="22"/>
          <w:szCs w:val="22"/>
          <w:shd w:val="clear" w:color="auto" w:fill="FFFFFF"/>
        </w:rPr>
        <w:t>.</w:t>
      </w:r>
    </w:p>
    <w:p w14:paraId="7DC72FBF" w14:textId="0DCE18D0" w:rsidR="00981414" w:rsidRPr="00523BF6" w:rsidRDefault="005376B7" w:rsidP="009506DF">
      <w:pPr>
        <w:widowControl w:val="0"/>
        <w:autoSpaceDE w:val="0"/>
        <w:autoSpaceDN w:val="0"/>
        <w:adjustRightInd w:val="0"/>
        <w:spacing w:line="480" w:lineRule="auto"/>
        <w:jc w:val="both"/>
        <w:rPr>
          <w:rFonts w:eastAsia="Times New Roman" w:cstheme="minorHAnsi"/>
          <w:color w:val="000000" w:themeColor="text1"/>
          <w:sz w:val="22"/>
          <w:szCs w:val="22"/>
          <w:shd w:val="clear" w:color="auto" w:fill="FFFFFF"/>
        </w:rPr>
      </w:pPr>
      <w:r w:rsidRPr="00523BF6">
        <w:rPr>
          <w:rFonts w:eastAsia="Times New Roman" w:cstheme="minorHAnsi"/>
          <w:color w:val="000000" w:themeColor="text1"/>
          <w:sz w:val="22"/>
          <w:szCs w:val="22"/>
          <w:shd w:val="clear" w:color="auto" w:fill="FFFFFF"/>
        </w:rPr>
        <w:softHyphen/>
      </w:r>
    </w:p>
    <w:p w14:paraId="6ED19510" w14:textId="7EA9B919" w:rsidR="00751E46" w:rsidRPr="00523BF6" w:rsidRDefault="00981414" w:rsidP="009506DF">
      <w:pPr>
        <w:spacing w:line="480" w:lineRule="auto"/>
        <w:jc w:val="both"/>
        <w:rPr>
          <w:rFonts w:eastAsia="Times New Roman" w:cstheme="minorHAnsi"/>
          <w:color w:val="000000" w:themeColor="text1"/>
          <w:sz w:val="22"/>
          <w:szCs w:val="22"/>
          <w:shd w:val="clear" w:color="auto" w:fill="FFFFFF"/>
        </w:rPr>
      </w:pPr>
      <w:r w:rsidRPr="00523BF6">
        <w:rPr>
          <w:rFonts w:cstheme="minorHAnsi"/>
          <w:color w:val="000000"/>
          <w:sz w:val="22"/>
          <w:szCs w:val="22"/>
        </w:rPr>
        <w:t>This current study suggests that th</w:t>
      </w:r>
      <w:r w:rsidR="0004091A" w:rsidRPr="00523BF6">
        <w:rPr>
          <w:rFonts w:cstheme="minorHAnsi"/>
          <w:color w:val="000000"/>
          <w:sz w:val="22"/>
          <w:szCs w:val="22"/>
        </w:rPr>
        <w:t>e placental</w:t>
      </w:r>
      <w:r w:rsidRPr="00523BF6">
        <w:rPr>
          <w:rFonts w:cstheme="minorHAnsi"/>
          <w:color w:val="000000"/>
          <w:sz w:val="22"/>
          <w:szCs w:val="22"/>
        </w:rPr>
        <w:t xml:space="preserve"> proinflammatory response is specific to </w:t>
      </w:r>
      <w:r w:rsidR="00820C9C" w:rsidRPr="00523BF6">
        <w:rPr>
          <w:rFonts w:cstheme="minorHAnsi"/>
          <w:color w:val="000000"/>
          <w:sz w:val="22"/>
          <w:szCs w:val="22"/>
        </w:rPr>
        <w:t>EVs</w:t>
      </w:r>
      <w:r w:rsidRPr="00523BF6">
        <w:rPr>
          <w:rFonts w:cstheme="minorHAnsi"/>
          <w:color w:val="000000"/>
          <w:sz w:val="22"/>
          <w:szCs w:val="22"/>
        </w:rPr>
        <w:t xml:space="preserve"> from </w:t>
      </w:r>
      <w:r w:rsidR="00924F91" w:rsidRPr="00523BF6">
        <w:rPr>
          <w:rFonts w:cstheme="minorHAnsi"/>
          <w:color w:val="000000"/>
          <w:sz w:val="22"/>
          <w:szCs w:val="22"/>
        </w:rPr>
        <w:t xml:space="preserve">activated </w:t>
      </w:r>
      <w:r w:rsidRPr="00523BF6">
        <w:rPr>
          <w:rFonts w:cstheme="minorHAnsi"/>
          <w:color w:val="000000"/>
          <w:sz w:val="22"/>
          <w:szCs w:val="22"/>
        </w:rPr>
        <w:t xml:space="preserve">macrophages, and not to </w:t>
      </w:r>
      <w:r w:rsidR="00820C9C" w:rsidRPr="00523BF6">
        <w:rPr>
          <w:rFonts w:cstheme="minorHAnsi"/>
          <w:color w:val="000000"/>
          <w:sz w:val="22"/>
          <w:szCs w:val="22"/>
        </w:rPr>
        <w:t>EVs</w:t>
      </w:r>
      <w:r w:rsidRPr="00523BF6">
        <w:rPr>
          <w:rFonts w:cstheme="minorHAnsi"/>
          <w:color w:val="000000"/>
          <w:sz w:val="22"/>
          <w:szCs w:val="22"/>
        </w:rPr>
        <w:t xml:space="preserve"> released by their </w:t>
      </w:r>
      <w:r w:rsidR="009506DF" w:rsidRPr="00523BF6">
        <w:rPr>
          <w:rFonts w:cstheme="minorHAnsi"/>
          <w:color w:val="000000"/>
          <w:sz w:val="22"/>
          <w:szCs w:val="22"/>
        </w:rPr>
        <w:t xml:space="preserve">resting </w:t>
      </w:r>
      <w:r w:rsidRPr="00523BF6">
        <w:rPr>
          <w:rFonts w:cstheme="minorHAnsi"/>
          <w:color w:val="000000"/>
          <w:sz w:val="22"/>
          <w:szCs w:val="22"/>
        </w:rPr>
        <w:t>circulating pre-cursors; blood monocytes.</w:t>
      </w:r>
      <w:r w:rsidR="004A3FB1" w:rsidRPr="00523BF6">
        <w:rPr>
          <w:rFonts w:cstheme="minorHAnsi"/>
          <w:color w:val="000000"/>
          <w:sz w:val="22"/>
          <w:szCs w:val="22"/>
        </w:rPr>
        <w:t xml:space="preserve"> </w:t>
      </w:r>
      <w:r w:rsidR="009506DF" w:rsidRPr="00523BF6">
        <w:rPr>
          <w:rFonts w:eastAsia="Times New Roman" w:cstheme="minorHAnsi"/>
          <w:color w:val="000000" w:themeColor="text1"/>
          <w:sz w:val="22"/>
          <w:szCs w:val="22"/>
          <w:shd w:val="clear" w:color="auto" w:fill="FFFFFF"/>
        </w:rPr>
        <w:t xml:space="preserve">Preeclampsia is associated with increased numbers of </w:t>
      </w:r>
      <w:r w:rsidR="00C15928" w:rsidRPr="00523BF6">
        <w:rPr>
          <w:rFonts w:cstheme="minorHAnsi"/>
          <w:sz w:val="22"/>
          <w:szCs w:val="22"/>
        </w:rPr>
        <w:t>decidual macrophages</w:t>
      </w:r>
      <w:r w:rsidR="009506DF" w:rsidRPr="00523BF6">
        <w:rPr>
          <w:rFonts w:eastAsia="Times New Roman" w:cstheme="minorHAnsi"/>
          <w:noProof/>
          <w:color w:val="000000" w:themeColor="text1"/>
          <w:sz w:val="22"/>
          <w:szCs w:val="22"/>
          <w:shd w:val="clear" w:color="auto" w:fill="FFFFFF"/>
          <w:vertAlign w:val="superscript"/>
        </w:rPr>
        <w:fldChar w:fldCharType="begin" w:fldLock="1"/>
      </w:r>
      <w:r w:rsidR="00FE3B99" w:rsidRPr="00523BF6">
        <w:rPr>
          <w:rFonts w:eastAsia="Times New Roman" w:cstheme="minorHAnsi"/>
          <w:noProof/>
          <w:color w:val="000000" w:themeColor="text1"/>
          <w:sz w:val="22"/>
          <w:szCs w:val="22"/>
          <w:shd w:val="clear" w:color="auto" w:fill="FFFFFF"/>
          <w:vertAlign w:val="superscript"/>
        </w:rPr>
        <w:instrText>ADDIN CSL_CITATION { "citationItems" : [ { "id" : "ITEM-1", "itemData" : { "DOI" : "10.1053/plac.1998.0373", "ISSN" : "01434004", "PMID" : "10195746", "abstract" : "Placental bed biopsies taken during caesarean section from 10 patients with pre-eclampsia and six healthy pregnancies were studied. We applied antibodies against cytokeratin and different macrophage markers to analyse the distribution of invasive extravillous trophoblast cells as compared to that of macrophages in myometrial segments of uteroplacental arteries. The data were evaluated quantitatively. We found a clear inverse relationship between local infiltration with macrophages and trophoblast invasion. In pre-eclampsia, vessel cross-sections prevailed which were characterized by large numbers of macrophages but a low degree of trophoblast invasion. In contrast, in normal third trimester pregnancies the respective arterial segments had a high degree of trophoblast invasion but were largely void of macrophages. These data suggest causal links between macrophages and inhibition of intra-arterial trophoblast invasion in pre-eclampsia.", "author" : [ { "dropping-particle" : "", "family" : "Reister", "given" : "F.", "non-dropping-particle" : "", "parse-names" : false, "suffix" : "" }, { "dropping-particle" : "", "family" : "Frank", "given" : "H.-G.", "non-dropping-particle" : "", "parse-names" : false, "suffix" : "" }, { "dropping-particle" : "", "family" : "Heyl", "given" : "W.", "non-dropping-particle" : "", "parse-names" : false, "suffix" : "" }, { "dropping-particle" : "", "family" : "Kosanke", "given" : "G.", "non-dropping-particle" : "", "parse-names" : false, "suffix" : "" }, { "dropping-particle" : "", "family" : "Huppertz", "given" : "B.", "non-dropping-particle" : "", "parse-names" : false, "suffix" : "" }, { "dropping-particle" : "", "family" : "Schr\u00f6der", "given" : "W.", "non-dropping-particle" : "", "parse-names" : false, "suffix" : "" }, { "dropping-particle" : "", "family" : "Kaufmann", "given" : "P.", "non-dropping-particle" : "", "parse-names" : false, "suffix" : "" }, { "dropping-particle" : "", "family" : "Rath", "given" : "W.", "non-dropping-particle" : "", "parse-names" : false, "suffix" : "" } ], "container-title" : "Placenta", "id" : "ITEM-1", "issue" : "2-3", "issued" : { "date-parts" : [ [ "1999", "3" ] ] }, "page" : "229-233", "title" : "The Distribution of Macrophages in Spiral Arteries of the Placental Bed in Pre-eclampsia Differs from that in Healthy Patients", "type" : "article-journal", "volume" : "20" }, "uris" : [ "http://www.mendeley.com/documents/?uuid=bfdec892-529f-432a-8035-35f7404d222d" ] }, { "id" : "ITEM-2", "itemData" : { "DOI" : "10.1016/j.ajpath.2010.10.011", "ISBN" : "1525-2191 (Electronic)\\n0002-9440 (Linking)", "ISSN" : "15252191", "PMID" : "21281803", "abstract" : "Maternal immune tolerance of the semiallogeneic fetus is a complex phenomenon. Macrophages are an abundant cell population in the human decidua, and changes in distribution or phenotype may be involved in the development of preeclampsia. The aim of this study was to assess the distribution and phenotype of macrophages in preterm preeclamptic, preterm control, and term control placentas. Placentas of preterm preeclamptic (n = 6), preterm control (n = 5), and term control pregnancies (n = 6) were sequentially immunohistochemically stained for CD14, CD163, DC SIGN, and IL-10. The distributions of CD14+, CD163+, DC SIGN+, IL-10+, CD163+/CD14+, DC SIGN+/CD14+, and Flt-1/ CD14+cells were determined by double staining and by digital image analysis of sequential photomicrographs. CD14 and CD163 expression increased significantly in preterm preeclamptic decidua basalis compared with preterm control pregnancies (P=0.0006 and P=0.034, respectively). IL-10 expression was significantly lower in the decidua parietalis of preterm preeclamptic pregnancies compared with preterm control pregnancies (P = 0.03). The CD163/CD14 ratio was significantly lower in the decidua basalis (P = 0.0293) and the DC SIGN/CD14 ratio was significantly higher in the decidua basalis (P &lt; 0.0001) and parietalis (P &lt; 0.0001) of preterm preeclamptic pregnancies compared with preterm control pregnancies. CD14+macrophages did express Flt-1. Alterations in distribution and phenotype of macrophages in the decidua of preterm preeclamptic pregnancies compared with control pregnancies may contribute to the pathogenesis of preeclampsia. Copyright \u00a9 2011 American Society for Investigative Pathology. Published by Elsevier Inc. All rights reserved.", "author" : [ { "dropping-particle" : "", "family" : "Schonkeren", "given" : "Dorrith", "non-dropping-particle" : "", "parse-names" : false, "suffix" : "" }, { "dropping-particle" : "", "family" : "Hoorn", "given" : "Marie Louise", "non-dropping-particle" : "Van Der", "parse-names" : false, "suffix" : "" }, { "dropping-particle" : "", "family" : "Khedoe", "given" : "Padmini", "non-dropping-particle" : "", "parse-names" : false, "suffix" : "" }, { "dropping-particle" : "", "family" : "Swings", "given" : "Godelieve", "non-dropping-particle" : "", "parse-names" : false, "suffix" : "" }, { "dropping-particle" : "", "family" : "Beelen", "given" : "Els", "non-dropping-particle" : "Van", "parse-names" : false, "suffix" : "" }, { "dropping-particle" : "", "family" : "Claas", "given" : "Frans", "non-dropping-particle" : "", "parse-names" : false, "suffix" : "" }, { "dropping-particle" : "", "family" : "Kooten", "given" : "Cees", "non-dropping-particle" : "Van", "parse-names" : false, "suffix" : "" }, { "dropping-particle" : "", "family" : "Heer", "given" : "Emile", "non-dropping-particle" : "De", "parse-names" : false, "suffix" : "" }, { "dropping-particle" : "", "family" : "Scherjon", "given" : "Sicco", "non-dropping-particle" : "", "parse-names" : false, "suffix" : "" } ], "container-title" : "American Journal of Pathology", "id" : "ITEM-2", "issue" : "2", "issued" : { "date-parts" : [ [ "2011" ] ] }, "page" : "709-717", "title" : "Differential distribution and phenotype of decidual macrophages in preeclamptic versus control pregnancies", "type" : "article-journal", "volume" : "178" }, "uris" : [ "http://www.mendeley.com/documents/?uuid=a16f18e8-86fc-4993-9302-ddd6fa8f944d" ] } ], "mendeley" : { "formattedCitation" : "[13,14]", "plainTextFormattedCitation" : "[13,14]", "previouslyFormattedCitation" : "[13,14]" }, "properties" : {  }, "schema" : "https://github.com/citation-style-language/schema/raw/master/csl-citation.json" }</w:instrText>
      </w:r>
      <w:r w:rsidR="009506DF" w:rsidRPr="00523BF6">
        <w:rPr>
          <w:rFonts w:eastAsia="Times New Roman" w:cstheme="minorHAnsi"/>
          <w:noProof/>
          <w:color w:val="000000" w:themeColor="text1"/>
          <w:sz w:val="22"/>
          <w:szCs w:val="22"/>
          <w:shd w:val="clear" w:color="auto" w:fill="FFFFFF"/>
          <w:vertAlign w:val="superscript"/>
        </w:rPr>
        <w:fldChar w:fldCharType="separate"/>
      </w:r>
      <w:r w:rsidR="00FE3B99" w:rsidRPr="00523BF6">
        <w:rPr>
          <w:rFonts w:eastAsia="Times New Roman" w:cstheme="minorHAnsi"/>
          <w:noProof/>
          <w:color w:val="000000" w:themeColor="text1"/>
          <w:sz w:val="22"/>
          <w:szCs w:val="22"/>
          <w:shd w:val="clear" w:color="auto" w:fill="FFFFFF"/>
        </w:rPr>
        <w:t>[13,14]</w:t>
      </w:r>
      <w:r w:rsidR="009506DF" w:rsidRPr="00523BF6">
        <w:rPr>
          <w:rFonts w:eastAsia="Times New Roman" w:cstheme="minorHAnsi"/>
          <w:noProof/>
          <w:color w:val="000000" w:themeColor="text1"/>
          <w:sz w:val="22"/>
          <w:szCs w:val="22"/>
          <w:shd w:val="clear" w:color="auto" w:fill="FFFFFF"/>
          <w:vertAlign w:val="superscript"/>
        </w:rPr>
        <w:fldChar w:fldCharType="end"/>
      </w:r>
      <w:r w:rsidR="009506DF" w:rsidRPr="00523BF6">
        <w:rPr>
          <w:rFonts w:eastAsia="Times New Roman" w:cstheme="minorHAnsi"/>
          <w:color w:val="000000" w:themeColor="text1"/>
          <w:sz w:val="22"/>
          <w:szCs w:val="22"/>
          <w:shd w:val="clear" w:color="auto" w:fill="FFFFFF"/>
        </w:rPr>
        <w:t xml:space="preserve">, and with increased </w:t>
      </w:r>
      <w:r w:rsidR="00825E24" w:rsidRPr="00523BF6">
        <w:rPr>
          <w:rFonts w:eastAsia="Times New Roman" w:cstheme="minorHAnsi"/>
          <w:color w:val="000000" w:themeColor="text1"/>
          <w:sz w:val="22"/>
          <w:szCs w:val="22"/>
          <w:shd w:val="clear" w:color="auto" w:fill="FFFFFF"/>
        </w:rPr>
        <w:t>monocyte/</w:t>
      </w:r>
      <w:r w:rsidR="00FE3B99" w:rsidRPr="00523BF6">
        <w:rPr>
          <w:rFonts w:eastAsia="Times New Roman" w:cstheme="minorHAnsi"/>
          <w:color w:val="000000" w:themeColor="text1"/>
          <w:sz w:val="22"/>
          <w:szCs w:val="22"/>
          <w:shd w:val="clear" w:color="auto" w:fill="FFFFFF"/>
        </w:rPr>
        <w:t xml:space="preserve">macrophage </w:t>
      </w:r>
      <w:r w:rsidR="009506DF" w:rsidRPr="00523BF6">
        <w:rPr>
          <w:rFonts w:eastAsia="Times New Roman" w:cstheme="minorHAnsi"/>
          <w:color w:val="000000" w:themeColor="text1"/>
          <w:sz w:val="22"/>
          <w:szCs w:val="22"/>
          <w:shd w:val="clear" w:color="auto" w:fill="FFFFFF"/>
        </w:rPr>
        <w:t>expression of pro-inflammatory markers</w:t>
      </w:r>
      <w:r w:rsidR="009506DF" w:rsidRPr="00523BF6">
        <w:rPr>
          <w:rFonts w:eastAsia="Times New Roman" w:cstheme="minorHAnsi"/>
          <w:color w:val="000000" w:themeColor="text1"/>
          <w:sz w:val="22"/>
          <w:szCs w:val="22"/>
          <w:shd w:val="clear" w:color="auto" w:fill="FFFFFF"/>
        </w:rPr>
        <w:fldChar w:fldCharType="begin" w:fldLock="1"/>
      </w:r>
      <w:r w:rsidR="00825E24" w:rsidRPr="00523BF6">
        <w:rPr>
          <w:rFonts w:eastAsia="Times New Roman" w:cstheme="minorHAnsi"/>
          <w:color w:val="000000" w:themeColor="text1"/>
          <w:sz w:val="22"/>
          <w:szCs w:val="22"/>
          <w:shd w:val="clear" w:color="auto" w:fill="FFFFFF"/>
        </w:rPr>
        <w:instrText>ADDIN CSL_CITATION { "citationItems" : [ { "id" : "ITEM-1", "itemData" : { "DOI" : "10.1111/aji.12222", "ISSN" : "10467408", "author" : [ { "dropping-particle" : "", "family" : "Medeiros", "given" : "Leonardo T. L.", "non-dropping-particle" : "", "parse-names" : false, "suffix" : "" }, { "dropping-particle" : "", "family" : "Pera\u00e7oli", "given" : "Jos\u00e9 C.", "non-dropping-particle" : "", "parse-names" : false, "suffix" : "" }, { "dropping-particle" : "", "family" : "Bannwart-Castro", "given" : "Camila F.", "non-dropping-particle" : "", "parse-names" : false, "suffix" : "" }, { "dropping-particle" : "", "family" : "Rom\u00e3o", "given" : "Mariana", "non-dropping-particle" : "", "parse-names" : false, "suffix" : "" }, { "dropping-particle" : "", "family" : "Weel", "given" : "Ingrid C.", "non-dropping-particle" : "", "parse-names" : false, "suffix" : "" }, { "dropping-particle" : "", "family" : "Golim", "given" : "Marjorie A.", "non-dropping-particle" : "", "parse-names" : false, "suffix" : "" }, { "dropping-particle" : "", "family" : "Oliveira", "given" : "Leandro G.", "non-dropping-particle" : "de", "parse-names" : false, "suffix" : "" }, { "dropping-particle" : "", "family" : "Kurokawa", "given" : "Cilmery S.", "non-dropping-particle" : "", "parse-names" : false, "suffix" : "" }, { "dropping-particle" : "", "family" : "Medeiros Borges", "given" : "Vera T.", "non-dropping-particle" : "", "parse-names" : false, "suffix" : "" }, { "dropping-particle" : "", "family" : "Pera\u00e7oli", "given" : "Maria T. S.", "non-dropping-particle" : "", "parse-names" : false, "suffix" : "" } ], "container-title" : "American Journal of Reproductive Immunology", "id" : "ITEM-1", "issue" : "1", "issued" : { "date-parts" : [ [ "2014", "7" ] ] }, "page" : "5-13", "title" : "Monocytes from Pregnant Women with Pre-Eclampsia are Polarized to a M1 Phenotype", "type" : "article-journal", "volume" : "72" }, "uris" : [ "http://www.mendeley.com/documents/?uuid=9d665fdd-4c85-3268-b40e-9c08dbf3bb29" ] }, { "id" : "ITEM-2", "itemData" : { "DOI" : "10.1016/j.ajpath.2010.10.011", "ISBN" : "1525-2191 (Electronic)\\n0002-9440 (Linking)", "ISSN" : "15252191", "PMID" : "21281803", "abstract" : "Maternal immune tolerance of the semiallogeneic fetus is a complex phenomenon. Macrophages are an abundant cell population in the human decidua, and changes in distribution or phenotype may be involved in the development of preeclampsia. The aim of this study was to assess the distribution and phenotype of macrophages in preterm preeclamptic, preterm control, and term control placentas. Placentas of preterm preeclamptic (n = 6), preterm control (n = 5), and term control pregnancies (n = 6) were sequentially immunohistochemically stained for CD14, CD163, DC SIGN, and IL-10. The distributions of CD14+, CD163+, DC SIGN+, IL-10+, CD163+/CD14+, DC SIGN+/CD14+, and Flt-1/ CD14+cells were determined by double staining and by digital image analysis of sequential photomicrographs. CD14 and CD163 expression increased significantly in preterm preeclamptic decidua basalis compared with preterm control pregnancies (P=0.0006 and P=0.034, respectively). IL-10 expression was significantly lower in the decidua parietalis of preterm preeclamptic pregnancies compared with preterm control pregnancies (P = 0.03). The CD163/CD14 ratio was significantly lower in the decidua basalis (P = 0.0293) and the DC SIGN/CD14 ratio was significantly higher in the decidua basalis (P &lt; 0.0001) and parietalis (P &lt; 0.0001) of preterm preeclamptic pregnancies compared with preterm control pregnancies. CD14+macrophages did express Flt-1. Alterations in distribution and phenotype of macrophages in the decidua of preterm preeclamptic pregnancies compared with control pregnancies may contribute to the pathogenesis of preeclampsia. Copyright \u00a9 2011 American Society for Investigative Pathology. Published by Elsevier Inc. All rights reserved.", "author" : [ { "dropping-particle" : "", "family" : "Schonkeren", "given" : "Dorrith", "non-dropping-particle" : "", "parse-names" : false, "suffix" : "" }, { "dropping-particle" : "", "family" : "Hoorn", "given" : "Marie Louise", "non-dropping-particle" : "Van Der", "parse-names" : false, "suffix" : "" }, { "dropping-particle" : "", "family" : "Khedoe", "given" : "Padmini", "non-dropping-particle" : "", "parse-names" : false, "suffix" : "" }, { "dropping-particle" : "", "family" : "Swings", "given" : "Godelieve", "non-dropping-particle" : "", "parse-names" : false, "suffix" : "" }, { "dropping-particle" : "", "family" : "Beelen", "given" : "Els", "non-dropping-particle" : "Van", "parse-names" : false, "suffix" : "" }, { "dropping-particle" : "", "family" : "Claas", "given" : "Frans", "non-dropping-particle" : "", "parse-names" : false, "suffix" : "" }, { "dropping-particle" : "", "family" : "Kooten", "given" : "Cees", "non-dropping-particle" : "Van", "parse-names" : false, "suffix" : "" }, { "dropping-particle" : "", "family" : "Heer", "given" : "Emile", "non-dropping-particle" : "De", "parse-names" : false, "suffix" : "" }, { "dropping-particle" : "", "family" : "Scherjon", "given" : "Sicco", "non-dropping-particle" : "", "parse-names" : false, "suffix" : "" } ], "container-title" : "American Journal of Pathology", "id" : "ITEM-2", "issue" : "2", "issued" : { "date-parts" : [ [ "2011" ] ] }, "page" : "709-717", "title" : "Differential distribution and phenotype of decidual macrophages in preeclamptic versus control pregnancies", "type" : "article-journal", "volume" : "178" }, "uris" : [ "http://www.mendeley.com/documents/?uuid=a16f18e8-86fc-4993-9302-ddd6fa8f944d" ] } ], "mendeley" : { "formattedCitation" : "[12,14]", "plainTextFormattedCitation" : "[12,14]", "previouslyFormattedCitation" : "[12,14]" }, "properties" : {  }, "schema" : "https://github.com/citation-style-language/schema/raw/master/csl-citation.json" }</w:instrText>
      </w:r>
      <w:r w:rsidR="009506DF" w:rsidRPr="00523BF6">
        <w:rPr>
          <w:rFonts w:eastAsia="Times New Roman" w:cstheme="minorHAnsi"/>
          <w:color w:val="000000" w:themeColor="text1"/>
          <w:sz w:val="22"/>
          <w:szCs w:val="22"/>
          <w:shd w:val="clear" w:color="auto" w:fill="FFFFFF"/>
        </w:rPr>
        <w:fldChar w:fldCharType="separate"/>
      </w:r>
      <w:r w:rsidR="00FE3B99" w:rsidRPr="00523BF6">
        <w:rPr>
          <w:rFonts w:eastAsia="Times New Roman" w:cstheme="minorHAnsi"/>
          <w:noProof/>
          <w:color w:val="000000" w:themeColor="text1"/>
          <w:sz w:val="22"/>
          <w:szCs w:val="22"/>
          <w:shd w:val="clear" w:color="auto" w:fill="FFFFFF"/>
        </w:rPr>
        <w:t>[12,14]</w:t>
      </w:r>
      <w:r w:rsidR="009506DF" w:rsidRPr="00523BF6">
        <w:rPr>
          <w:rFonts w:eastAsia="Times New Roman" w:cstheme="minorHAnsi"/>
          <w:color w:val="000000" w:themeColor="text1"/>
          <w:sz w:val="22"/>
          <w:szCs w:val="22"/>
          <w:shd w:val="clear" w:color="auto" w:fill="FFFFFF"/>
        </w:rPr>
        <w:fldChar w:fldCharType="end"/>
      </w:r>
      <w:r w:rsidR="00D53AF0" w:rsidRPr="00523BF6">
        <w:rPr>
          <w:rFonts w:eastAsia="Times New Roman" w:cstheme="minorHAnsi"/>
          <w:color w:val="000000" w:themeColor="text1"/>
          <w:sz w:val="22"/>
          <w:szCs w:val="22"/>
          <w:shd w:val="clear" w:color="auto" w:fill="FFFFFF"/>
        </w:rPr>
        <w:t xml:space="preserve">, </w:t>
      </w:r>
      <w:r w:rsidR="009506DF" w:rsidRPr="00523BF6">
        <w:rPr>
          <w:rFonts w:eastAsia="Times New Roman" w:cstheme="minorHAnsi"/>
          <w:color w:val="000000" w:themeColor="text1"/>
          <w:sz w:val="22"/>
          <w:szCs w:val="22"/>
          <w:shd w:val="clear" w:color="auto" w:fill="FFFFFF"/>
        </w:rPr>
        <w:t xml:space="preserve">representing a potential involvement of pro-inflammatory </w:t>
      </w:r>
      <w:r w:rsidR="00C15928" w:rsidRPr="00523BF6">
        <w:rPr>
          <w:rFonts w:cstheme="minorHAnsi"/>
          <w:sz w:val="22"/>
          <w:szCs w:val="22"/>
        </w:rPr>
        <w:t>macrophages</w:t>
      </w:r>
      <w:r w:rsidR="009506DF" w:rsidRPr="00523BF6">
        <w:rPr>
          <w:rFonts w:eastAsia="Times New Roman" w:cstheme="minorHAnsi"/>
          <w:color w:val="000000" w:themeColor="text1"/>
          <w:sz w:val="22"/>
          <w:szCs w:val="22"/>
          <w:shd w:val="clear" w:color="auto" w:fill="FFFFFF"/>
        </w:rPr>
        <w:t xml:space="preserve"> in pregnancy complications.</w:t>
      </w:r>
      <w:r w:rsidR="008536E1" w:rsidRPr="00523BF6">
        <w:rPr>
          <w:rFonts w:eastAsia="Times New Roman" w:cstheme="minorHAnsi"/>
          <w:color w:val="000000" w:themeColor="text1"/>
          <w:sz w:val="22"/>
          <w:szCs w:val="22"/>
          <w:shd w:val="clear" w:color="auto" w:fill="FFFFFF"/>
        </w:rPr>
        <w:t xml:space="preserve"> </w:t>
      </w:r>
      <w:r w:rsidR="00825E24" w:rsidRPr="00523BF6">
        <w:rPr>
          <w:rFonts w:eastAsia="Times New Roman" w:cstheme="minorHAnsi"/>
          <w:color w:val="000000" w:themeColor="text1"/>
          <w:sz w:val="22"/>
          <w:szCs w:val="22"/>
          <w:shd w:val="clear" w:color="auto" w:fill="FFFFFF"/>
        </w:rPr>
        <w:t>Pr</w:t>
      </w:r>
      <w:r w:rsidR="00671025" w:rsidRPr="00523BF6">
        <w:rPr>
          <w:rFonts w:eastAsia="Times New Roman" w:cstheme="minorHAnsi"/>
          <w:color w:val="000000" w:themeColor="text1"/>
          <w:sz w:val="22"/>
          <w:szCs w:val="22"/>
          <w:shd w:val="clear" w:color="auto" w:fill="FFFFFF"/>
        </w:rPr>
        <w:t>e-eclampsia is also assocated with increased placental pr</w:t>
      </w:r>
      <w:r w:rsidR="00825E24" w:rsidRPr="00523BF6">
        <w:rPr>
          <w:rFonts w:eastAsia="Times New Roman" w:cstheme="minorHAnsi"/>
          <w:color w:val="000000" w:themeColor="text1"/>
          <w:sz w:val="22"/>
          <w:szCs w:val="22"/>
          <w:shd w:val="clear" w:color="auto" w:fill="FFFFFF"/>
        </w:rPr>
        <w:t xml:space="preserve">o-inflammatory </w:t>
      </w:r>
      <w:r w:rsidR="001241B0" w:rsidRPr="00523BF6">
        <w:rPr>
          <w:rFonts w:eastAsia="Times New Roman" w:cstheme="minorHAnsi"/>
          <w:color w:val="000000" w:themeColor="text1"/>
          <w:sz w:val="22"/>
          <w:szCs w:val="22"/>
          <w:shd w:val="clear" w:color="auto" w:fill="FFFFFF"/>
        </w:rPr>
        <w:t>cytokines, including several measured in this study</w:t>
      </w:r>
      <w:r w:rsidR="00825E24" w:rsidRPr="00523BF6">
        <w:rPr>
          <w:rFonts w:eastAsia="Times New Roman" w:cstheme="minorHAnsi"/>
          <w:color w:val="000000" w:themeColor="text1"/>
          <w:sz w:val="22"/>
          <w:szCs w:val="22"/>
          <w:shd w:val="clear" w:color="auto" w:fill="FFFFFF"/>
        </w:rPr>
        <w:t xml:space="preserve"> (reviewed in</w:t>
      </w:r>
      <w:r w:rsidR="00825E24" w:rsidRPr="00523BF6">
        <w:rPr>
          <w:rFonts w:eastAsia="Times New Roman" w:cstheme="minorHAnsi"/>
          <w:color w:val="000000" w:themeColor="text1"/>
          <w:sz w:val="22"/>
          <w:szCs w:val="22"/>
          <w:shd w:val="clear" w:color="auto" w:fill="FFFFFF"/>
        </w:rPr>
        <w:fldChar w:fldCharType="begin" w:fldLock="1"/>
      </w:r>
      <w:r w:rsidR="00825E24" w:rsidRPr="00523BF6">
        <w:rPr>
          <w:rFonts w:eastAsia="Times New Roman" w:cstheme="minorHAnsi"/>
          <w:color w:val="000000" w:themeColor="text1"/>
          <w:sz w:val="22"/>
          <w:szCs w:val="22"/>
          <w:shd w:val="clear" w:color="auto" w:fill="FFFFFF"/>
        </w:rPr>
        <w:instrText>ADDIN CSL_CITATION { "citationItems" : [ { "id" : "ITEM-1", "itemData" : { "DOI" : "10.2741/2266", "ISBN" : "1093-9946", "ISSN" : "1093-9946", "PMID" : "17127274", "abstract" : "Preeclampsia is a serious and life-threatening pregnancy complication. Reduced uteroplacental perfusion and oxygen tension, impaired trophoblast differentiation and invasion, and altered placental production of immunomodulators and growth factors are all considered to be important aspects in the aetiology of the condition. The placenta expresses a variety of pro and anti-inflammatory cytokines, adipokines and cytokine-like angiogenic growth factors, production of which is altered in preeclampsia, driven (at least in part) by hypoxia. Altered levels of cytokines have been measured in the circulation of women with preeclampsia, although for reasons that are not always apparent much of the data are disturbingly inconsistent. While the placenta undoubtedly makes an important contribution to plasma cytokine levels, production by maternal peripheral blood mononuclear cells (PBMCs) and other tissues is also likely to be significant, although to what extent remains undetermined. Increased placental expression of soluble receptors occurs with preeclampsia, resulting in elevated circulating concentrations which confer impaired angiogenesis, deficient placental vascularisation, increased placental apoptosis and endothelial dysfunction. The extent to which these changes reflect a response to the disorder, as opposed to being a causative factor in the development of maternal disease, is a matter of some debate. Nevertheless, convincing evidence is now accruing that autocrine/paracrine interactions between placental cytokines/growth factors and the maternal endothelium play a central role in the pathogenesis of preeclampsia.", "author" : [ { "dropping-particle" : "", "family" : "Keelan JA", "given" : "Mitchell MD.", "non-dropping-particle" : "", "parse-names" : false, "suffix" : "" } ], "container-title" : "Front Biosci.", "id" : "ITEM-1", "issued" : { "date-parts" : [ [ "2007" ] ] }, "page" : "2706-2727", "title" : "Placental cytokines and preeclampsia.", "type" : "article-journal", "volume" : "12" }, "uris" : [ "http://www.mendeley.com/documents/?uuid=0fd9a62c-8b9f-45e5-b280-dce36d383497" ] } ], "mendeley" : { "formattedCitation" : "[15]", "plainTextFormattedCitation" : "[15]" }, "properties" : {  }, "schema" : "https://github.com/citation-style-language/schema/raw/master/csl-citation.json" }</w:instrText>
      </w:r>
      <w:r w:rsidR="00825E24" w:rsidRPr="00523BF6">
        <w:rPr>
          <w:rFonts w:eastAsia="Times New Roman" w:cstheme="minorHAnsi"/>
          <w:color w:val="000000" w:themeColor="text1"/>
          <w:sz w:val="22"/>
          <w:szCs w:val="22"/>
          <w:shd w:val="clear" w:color="auto" w:fill="FFFFFF"/>
        </w:rPr>
        <w:fldChar w:fldCharType="separate"/>
      </w:r>
      <w:r w:rsidR="00825E24" w:rsidRPr="00523BF6">
        <w:rPr>
          <w:rFonts w:eastAsia="Times New Roman" w:cstheme="minorHAnsi"/>
          <w:noProof/>
          <w:color w:val="000000" w:themeColor="text1"/>
          <w:sz w:val="22"/>
          <w:szCs w:val="22"/>
          <w:shd w:val="clear" w:color="auto" w:fill="FFFFFF"/>
        </w:rPr>
        <w:t>[15]</w:t>
      </w:r>
      <w:r w:rsidR="00825E24" w:rsidRPr="00523BF6">
        <w:rPr>
          <w:rFonts w:eastAsia="Times New Roman" w:cstheme="minorHAnsi"/>
          <w:color w:val="000000" w:themeColor="text1"/>
          <w:sz w:val="22"/>
          <w:szCs w:val="22"/>
          <w:shd w:val="clear" w:color="auto" w:fill="FFFFFF"/>
        </w:rPr>
        <w:fldChar w:fldCharType="end"/>
      </w:r>
      <w:r w:rsidR="00825E24" w:rsidRPr="00523BF6">
        <w:rPr>
          <w:rFonts w:eastAsia="Times New Roman" w:cstheme="minorHAnsi"/>
          <w:color w:val="000000" w:themeColor="text1"/>
          <w:sz w:val="22"/>
          <w:szCs w:val="22"/>
          <w:shd w:val="clear" w:color="auto" w:fill="FFFFFF"/>
        </w:rPr>
        <w:t xml:space="preserve">). </w:t>
      </w:r>
      <w:r w:rsidR="00751E46" w:rsidRPr="00523BF6">
        <w:rPr>
          <w:rFonts w:eastAsia="Times New Roman" w:cstheme="minorHAnsi"/>
          <w:color w:val="000000" w:themeColor="text1"/>
          <w:sz w:val="22"/>
          <w:szCs w:val="22"/>
          <w:shd w:val="clear" w:color="auto" w:fill="FFFFFF"/>
        </w:rPr>
        <w:t xml:space="preserve">Released EVs are thus a potential messaging system </w:t>
      </w:r>
      <w:r w:rsidR="00D53AF0" w:rsidRPr="00523BF6">
        <w:rPr>
          <w:rFonts w:eastAsia="Times New Roman" w:cstheme="minorHAnsi"/>
          <w:color w:val="000000" w:themeColor="text1"/>
          <w:sz w:val="22"/>
          <w:szCs w:val="22"/>
          <w:shd w:val="clear" w:color="auto" w:fill="FFFFFF"/>
        </w:rPr>
        <w:t xml:space="preserve">that can </w:t>
      </w:r>
      <w:r w:rsidR="00751E46" w:rsidRPr="00523BF6">
        <w:rPr>
          <w:rFonts w:eastAsia="Times New Roman" w:cstheme="minorHAnsi"/>
          <w:color w:val="000000" w:themeColor="text1"/>
          <w:sz w:val="22"/>
          <w:szCs w:val="22"/>
          <w:shd w:val="clear" w:color="auto" w:fill="FFFFFF"/>
        </w:rPr>
        <w:t>m</w:t>
      </w:r>
      <w:r w:rsidR="00D53AF0" w:rsidRPr="00523BF6">
        <w:rPr>
          <w:rFonts w:eastAsia="Times New Roman" w:cstheme="minorHAnsi"/>
          <w:color w:val="000000" w:themeColor="text1"/>
          <w:sz w:val="22"/>
          <w:szCs w:val="22"/>
          <w:shd w:val="clear" w:color="auto" w:fill="FFFFFF"/>
        </w:rPr>
        <w:t>ediate</w:t>
      </w:r>
      <w:r w:rsidR="00751E46" w:rsidRPr="00523BF6">
        <w:rPr>
          <w:rFonts w:eastAsia="Times New Roman" w:cstheme="minorHAnsi"/>
          <w:color w:val="000000" w:themeColor="text1"/>
          <w:sz w:val="22"/>
          <w:szCs w:val="22"/>
          <w:shd w:val="clear" w:color="auto" w:fill="FFFFFF"/>
        </w:rPr>
        <w:t xml:space="preserve"> maternal-placental signalling from monocytes </w:t>
      </w:r>
      <w:r w:rsidR="00D53AF0" w:rsidRPr="00523BF6">
        <w:rPr>
          <w:rFonts w:eastAsia="Times New Roman" w:cstheme="minorHAnsi"/>
          <w:color w:val="000000" w:themeColor="text1"/>
          <w:sz w:val="22"/>
          <w:szCs w:val="22"/>
          <w:shd w:val="clear" w:color="auto" w:fill="FFFFFF"/>
        </w:rPr>
        <w:t xml:space="preserve">that have differentiated </w:t>
      </w:r>
      <w:r w:rsidR="00751E46" w:rsidRPr="00523BF6">
        <w:rPr>
          <w:rFonts w:eastAsia="Times New Roman" w:cstheme="minorHAnsi"/>
          <w:color w:val="000000" w:themeColor="text1"/>
          <w:sz w:val="22"/>
          <w:szCs w:val="22"/>
          <w:shd w:val="clear" w:color="auto" w:fill="FFFFFF"/>
        </w:rPr>
        <w:t xml:space="preserve">into </w:t>
      </w:r>
      <w:r w:rsidR="00D53AF0" w:rsidRPr="00523BF6">
        <w:rPr>
          <w:rFonts w:eastAsia="Times New Roman" w:cstheme="minorHAnsi"/>
          <w:color w:val="000000" w:themeColor="text1"/>
          <w:sz w:val="22"/>
          <w:szCs w:val="22"/>
          <w:shd w:val="clear" w:color="auto" w:fill="FFFFFF"/>
        </w:rPr>
        <w:t xml:space="preserve">decidua-infiltrating </w:t>
      </w:r>
      <w:r w:rsidR="00751E46" w:rsidRPr="00523BF6">
        <w:rPr>
          <w:rFonts w:eastAsia="Times New Roman" w:cstheme="minorHAnsi"/>
          <w:color w:val="000000" w:themeColor="text1"/>
          <w:sz w:val="22"/>
          <w:szCs w:val="22"/>
          <w:shd w:val="clear" w:color="auto" w:fill="FFFFFF"/>
        </w:rPr>
        <w:t>macrophages.</w:t>
      </w:r>
    </w:p>
    <w:p w14:paraId="0AF99650" w14:textId="77777777" w:rsidR="00981414" w:rsidRPr="00523BF6" w:rsidRDefault="00981414" w:rsidP="00E33727">
      <w:pPr>
        <w:widowControl w:val="0"/>
        <w:autoSpaceDE w:val="0"/>
        <w:autoSpaceDN w:val="0"/>
        <w:adjustRightInd w:val="0"/>
        <w:spacing w:line="480" w:lineRule="auto"/>
        <w:jc w:val="both"/>
        <w:rPr>
          <w:rFonts w:cs="Times New Roman"/>
          <w:sz w:val="22"/>
          <w:szCs w:val="22"/>
        </w:rPr>
      </w:pPr>
    </w:p>
    <w:p w14:paraId="09C29803" w14:textId="2120F4BC" w:rsidR="004A3FB1" w:rsidRPr="00523BF6" w:rsidRDefault="004A3FB1" w:rsidP="00E33727">
      <w:pPr>
        <w:widowControl w:val="0"/>
        <w:autoSpaceDE w:val="0"/>
        <w:autoSpaceDN w:val="0"/>
        <w:adjustRightInd w:val="0"/>
        <w:spacing w:line="480" w:lineRule="auto"/>
        <w:jc w:val="both"/>
        <w:outlineLvl w:val="0"/>
        <w:rPr>
          <w:rFonts w:cs="Times New Roman"/>
          <w:b/>
          <w:sz w:val="22"/>
          <w:szCs w:val="22"/>
        </w:rPr>
      </w:pPr>
      <w:r w:rsidRPr="00523BF6">
        <w:rPr>
          <w:rFonts w:cs="Times New Roman"/>
          <w:b/>
          <w:sz w:val="22"/>
          <w:szCs w:val="22"/>
        </w:rPr>
        <w:t>Acknowledgments</w:t>
      </w:r>
    </w:p>
    <w:p w14:paraId="779143AD" w14:textId="03F18F15" w:rsidR="004A3FB1" w:rsidRPr="00523BF6" w:rsidRDefault="002B7D88" w:rsidP="00E33727">
      <w:pPr>
        <w:spacing w:line="480" w:lineRule="auto"/>
        <w:jc w:val="both"/>
        <w:rPr>
          <w:rFonts w:eastAsia="Times New Roman" w:cstheme="minorHAnsi"/>
          <w:sz w:val="22"/>
          <w:szCs w:val="22"/>
        </w:rPr>
      </w:pPr>
      <w:r w:rsidRPr="00523BF6">
        <w:rPr>
          <w:rFonts w:cstheme="minorHAnsi"/>
          <w:sz w:val="22"/>
          <w:szCs w:val="22"/>
        </w:rPr>
        <w:t>BH and BK are supported by MRC The Gambia</w:t>
      </w:r>
      <w:r w:rsidR="001241B0" w:rsidRPr="00523BF6">
        <w:rPr>
          <w:rFonts w:cstheme="minorHAnsi"/>
          <w:sz w:val="22"/>
          <w:szCs w:val="22"/>
        </w:rPr>
        <w:t xml:space="preserve"> at LSHTM</w:t>
      </w:r>
      <w:r w:rsidRPr="00523BF6">
        <w:rPr>
          <w:rFonts w:cstheme="minorHAnsi"/>
          <w:sz w:val="22"/>
          <w:szCs w:val="22"/>
        </w:rPr>
        <w:t xml:space="preserve">. </w:t>
      </w:r>
      <w:bookmarkStart w:id="0" w:name="_GoBack"/>
      <w:bookmarkEnd w:id="0"/>
      <w:r w:rsidR="00E94CAF" w:rsidRPr="00523BF6">
        <w:rPr>
          <w:rFonts w:cstheme="minorHAnsi"/>
          <w:color w:val="000000"/>
          <w:sz w:val="22"/>
          <w:szCs w:val="22"/>
        </w:rPr>
        <w:t xml:space="preserve">The research </w:t>
      </w:r>
      <w:r w:rsidR="008536E1" w:rsidRPr="00523BF6">
        <w:rPr>
          <w:rFonts w:cstheme="minorHAnsi"/>
          <w:color w:val="000000"/>
          <w:sz w:val="22"/>
          <w:szCs w:val="22"/>
        </w:rPr>
        <w:t xml:space="preserve">was </w:t>
      </w:r>
      <w:r w:rsidR="00E94CAF" w:rsidRPr="00523BF6">
        <w:rPr>
          <w:rFonts w:cstheme="minorHAnsi"/>
          <w:color w:val="000000"/>
          <w:sz w:val="22"/>
          <w:szCs w:val="22"/>
        </w:rPr>
        <w:t>funded by the National Institute for Health Research (NIHR) Biomedical Research Centre based at</w:t>
      </w:r>
      <w:r w:rsidR="00E94CAF" w:rsidRPr="00523BF6">
        <w:rPr>
          <w:color w:val="000000"/>
          <w:sz w:val="22"/>
        </w:rPr>
        <w:t xml:space="preserve"> Imperial College Healthcare </w:t>
      </w:r>
      <w:r w:rsidR="00E94CAF" w:rsidRPr="00523BF6">
        <w:rPr>
          <w:rFonts w:cstheme="minorHAnsi"/>
          <w:color w:val="000000"/>
          <w:sz w:val="22"/>
          <w:szCs w:val="22"/>
        </w:rPr>
        <w:t xml:space="preserve">NHS Trust and Imperial College </w:t>
      </w:r>
      <w:r w:rsidR="00E94CAF" w:rsidRPr="00523BF6">
        <w:rPr>
          <w:rFonts w:cstheme="minorHAnsi"/>
          <w:color w:val="000000"/>
          <w:sz w:val="22"/>
          <w:szCs w:val="22"/>
        </w:rPr>
        <w:lastRenderedPageBreak/>
        <w:t xml:space="preserve">London. The views expressed are those of the author(s) and not necessarily those of the NHS, the NIHR or the Department of Health. </w:t>
      </w:r>
      <w:r w:rsidR="00E94CAF" w:rsidRPr="00523BF6">
        <w:rPr>
          <w:color w:val="000000"/>
          <w:sz w:val="22"/>
        </w:rPr>
        <w:t xml:space="preserve"> </w:t>
      </w:r>
      <w:r w:rsidR="0096193B" w:rsidRPr="00523BF6">
        <w:rPr>
          <w:rFonts w:cstheme="minorHAnsi"/>
          <w:sz w:val="22"/>
          <w:szCs w:val="22"/>
        </w:rPr>
        <w:t xml:space="preserve">We </w:t>
      </w:r>
      <w:r w:rsidR="00653B32" w:rsidRPr="00523BF6">
        <w:rPr>
          <w:rFonts w:eastAsia="Times New Roman" w:cstheme="minorHAnsi"/>
          <w:bCs/>
          <w:color w:val="000000"/>
          <w:sz w:val="22"/>
          <w:szCs w:val="22"/>
        </w:rPr>
        <w:t>thank</w:t>
      </w:r>
      <w:r w:rsidR="00820C9C" w:rsidRPr="00523BF6">
        <w:rPr>
          <w:rFonts w:eastAsia="Times New Roman" w:cstheme="minorHAnsi"/>
          <w:bCs/>
          <w:color w:val="000000"/>
          <w:sz w:val="22"/>
          <w:szCs w:val="22"/>
        </w:rPr>
        <w:t xml:space="preserve"> Dr. Yanping Guo and</w:t>
      </w:r>
      <w:r w:rsidR="00653B32" w:rsidRPr="00523BF6">
        <w:rPr>
          <w:rFonts w:eastAsia="Times New Roman" w:cstheme="minorHAnsi"/>
          <w:bCs/>
          <w:color w:val="000000"/>
          <w:sz w:val="22"/>
          <w:szCs w:val="22"/>
        </w:rPr>
        <w:t xml:space="preserve"> the St. Mary’s NHLI FACS core facility for support and instrumentation</w:t>
      </w:r>
      <w:r w:rsidR="00653B32" w:rsidRPr="00523BF6">
        <w:rPr>
          <w:rFonts w:eastAsia="Times New Roman" w:cstheme="minorHAnsi"/>
          <w:color w:val="000000"/>
          <w:sz w:val="22"/>
          <w:szCs w:val="22"/>
          <w:shd w:val="clear" w:color="auto" w:fill="FFFFFF"/>
        </w:rPr>
        <w:t xml:space="preserve"> for processing of luminex plates.</w:t>
      </w:r>
      <w:r w:rsidR="00653B32" w:rsidRPr="00523BF6">
        <w:rPr>
          <w:rFonts w:eastAsia="Times New Roman" w:cstheme="minorHAnsi"/>
          <w:sz w:val="22"/>
          <w:szCs w:val="22"/>
        </w:rPr>
        <w:t xml:space="preserve"> </w:t>
      </w:r>
      <w:r w:rsidR="00D72557" w:rsidRPr="00523BF6">
        <w:rPr>
          <w:rFonts w:cstheme="minorHAnsi"/>
          <w:sz w:val="22"/>
          <w:szCs w:val="22"/>
        </w:rPr>
        <w:t xml:space="preserve">We </w:t>
      </w:r>
      <w:r w:rsidR="00820C9C" w:rsidRPr="00523BF6">
        <w:rPr>
          <w:rFonts w:cstheme="minorHAnsi"/>
          <w:sz w:val="22"/>
          <w:szCs w:val="22"/>
        </w:rPr>
        <w:t xml:space="preserve">also </w:t>
      </w:r>
      <w:r w:rsidR="00D72557" w:rsidRPr="00523BF6">
        <w:rPr>
          <w:rFonts w:cstheme="minorHAnsi"/>
          <w:sz w:val="22"/>
          <w:szCs w:val="22"/>
        </w:rPr>
        <w:t xml:space="preserve">thank </w:t>
      </w:r>
      <w:r w:rsidR="004D58F0" w:rsidRPr="00523BF6">
        <w:rPr>
          <w:rFonts w:cstheme="minorHAnsi"/>
          <w:sz w:val="22"/>
          <w:szCs w:val="22"/>
        </w:rPr>
        <w:t>Section of Paediatrics staff</w:t>
      </w:r>
      <w:r w:rsidR="00C64FAB">
        <w:rPr>
          <w:rFonts w:cstheme="minorHAnsi"/>
          <w:sz w:val="22"/>
          <w:szCs w:val="22"/>
        </w:rPr>
        <w:t>, especially</w:t>
      </w:r>
      <w:r w:rsidR="00E94CAF" w:rsidRPr="00523BF6">
        <w:rPr>
          <w:rFonts w:cstheme="minorHAnsi"/>
          <w:sz w:val="22"/>
          <w:szCs w:val="22"/>
        </w:rPr>
        <w:t xml:space="preserve"> the Kampmann team, and Karen Forbes at Leeds University for critical appraisal of the manuscript.</w:t>
      </w:r>
    </w:p>
    <w:p w14:paraId="5FF604A6" w14:textId="77777777" w:rsidR="004A3FB1" w:rsidRPr="00523BF6" w:rsidRDefault="004A3FB1" w:rsidP="00E33727">
      <w:pPr>
        <w:widowControl w:val="0"/>
        <w:autoSpaceDE w:val="0"/>
        <w:autoSpaceDN w:val="0"/>
        <w:adjustRightInd w:val="0"/>
        <w:spacing w:line="480" w:lineRule="auto"/>
        <w:jc w:val="both"/>
        <w:rPr>
          <w:rFonts w:cs="Times New Roman"/>
          <w:sz w:val="22"/>
          <w:szCs w:val="22"/>
        </w:rPr>
      </w:pPr>
    </w:p>
    <w:p w14:paraId="5AE65698" w14:textId="77777777" w:rsidR="00E33727" w:rsidRPr="00523BF6" w:rsidRDefault="00E33727" w:rsidP="00E33727">
      <w:pPr>
        <w:pStyle w:val="p1"/>
        <w:spacing w:line="480" w:lineRule="auto"/>
        <w:jc w:val="both"/>
        <w:rPr>
          <w:rFonts w:asciiTheme="minorHAnsi" w:hAnsiTheme="minorHAnsi" w:cs="Times New Roman"/>
          <w:sz w:val="22"/>
          <w:szCs w:val="22"/>
        </w:rPr>
      </w:pPr>
    </w:p>
    <w:p w14:paraId="511E37B0" w14:textId="509826DC" w:rsidR="00536A2F" w:rsidRPr="00523BF6" w:rsidRDefault="00E33727" w:rsidP="00E33727">
      <w:pPr>
        <w:pStyle w:val="p1"/>
        <w:spacing w:line="480" w:lineRule="auto"/>
        <w:jc w:val="both"/>
        <w:rPr>
          <w:rFonts w:asciiTheme="minorHAnsi" w:hAnsiTheme="minorHAnsi" w:cs="Times New Roman"/>
          <w:b/>
          <w:sz w:val="22"/>
          <w:szCs w:val="22"/>
        </w:rPr>
      </w:pPr>
      <w:r w:rsidRPr="00523BF6">
        <w:rPr>
          <w:rFonts w:asciiTheme="minorHAnsi" w:hAnsiTheme="minorHAnsi" w:cs="Times New Roman"/>
          <w:b/>
          <w:sz w:val="22"/>
          <w:szCs w:val="22"/>
        </w:rPr>
        <w:t>References</w:t>
      </w:r>
    </w:p>
    <w:p w14:paraId="03273D8C" w14:textId="28927073" w:rsidR="00825E24" w:rsidRPr="00523BF6" w:rsidRDefault="00536A2F" w:rsidP="00825E24">
      <w:pPr>
        <w:widowControl w:val="0"/>
        <w:autoSpaceDE w:val="0"/>
        <w:autoSpaceDN w:val="0"/>
        <w:adjustRightInd w:val="0"/>
        <w:spacing w:line="480" w:lineRule="auto"/>
        <w:ind w:left="640" w:hanging="640"/>
        <w:rPr>
          <w:rFonts w:ascii="Calibri" w:hAnsi="Calibri" w:cs="Calibri"/>
          <w:noProof/>
          <w:sz w:val="22"/>
        </w:rPr>
      </w:pPr>
      <w:r w:rsidRPr="00523BF6">
        <w:rPr>
          <w:rFonts w:cs="Times New Roman"/>
          <w:sz w:val="22"/>
          <w:szCs w:val="22"/>
        </w:rPr>
        <w:fldChar w:fldCharType="begin" w:fldLock="1"/>
      </w:r>
      <w:r w:rsidRPr="00523BF6">
        <w:rPr>
          <w:rFonts w:cs="Times New Roman"/>
          <w:sz w:val="22"/>
          <w:szCs w:val="22"/>
        </w:rPr>
        <w:instrText xml:space="preserve">ADDIN Mendeley Bibliography CSL_BIBLIOGRAPHY </w:instrText>
      </w:r>
      <w:r w:rsidRPr="00523BF6">
        <w:rPr>
          <w:rFonts w:cs="Times New Roman"/>
          <w:sz w:val="22"/>
          <w:szCs w:val="22"/>
        </w:rPr>
        <w:fldChar w:fldCharType="separate"/>
      </w:r>
      <w:r w:rsidR="00825E24" w:rsidRPr="00523BF6">
        <w:rPr>
          <w:rFonts w:ascii="Calibri" w:hAnsi="Calibri" w:cs="Calibri"/>
          <w:noProof/>
          <w:sz w:val="22"/>
        </w:rPr>
        <w:t>[1]</w:t>
      </w:r>
      <w:r w:rsidR="00825E24" w:rsidRPr="00523BF6">
        <w:rPr>
          <w:rFonts w:ascii="Calibri" w:hAnsi="Calibri" w:cs="Calibri"/>
          <w:noProof/>
          <w:sz w:val="22"/>
        </w:rPr>
        <w:tab/>
        <w:t>J. Southcombe, D. Tannetta, C. Redman, I. Sargent, The immunomodulatory role of syncytiotrophoblast microvesicles., PLoS One. 6 (2011) e20245. doi:10.1371/journal.pone.0020245.</w:t>
      </w:r>
    </w:p>
    <w:p w14:paraId="1370E1D4"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[2]</w:t>
      </w:r>
      <w:r w:rsidRPr="00523BF6">
        <w:rPr>
          <w:rFonts w:ascii="Calibri" w:hAnsi="Calibri" w:cs="Calibri"/>
          <w:noProof/>
          <w:sz w:val="22"/>
        </w:rPr>
        <w:tab/>
        <w:t>B.S. Holder, C.L. Tower, C.J. Jones, J.D. Aplin, V.M. Abrahams, Heightened pro-inflammatory effect of preeclamptic placental microvesicles on peripheral blood immune cells in humans, Biol Reprod. 86 (2012) 103.</w:t>
      </w:r>
    </w:p>
    <w:p w14:paraId="6C943DCF"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[3]</w:t>
      </w:r>
      <w:r w:rsidRPr="00523BF6">
        <w:rPr>
          <w:rFonts w:ascii="Calibri" w:hAnsi="Calibri" w:cs="Calibri"/>
          <w:noProof/>
          <w:sz w:val="22"/>
        </w:rPr>
        <w:tab/>
        <w:t>B.S. Holder, C.L. Tower, K. Forbes, M.J. Mulla, J.D. Aplin, V.M. Abrahams, Immune cell activation by trophoblast-derived microvesicles is mediated by syncytin 1, Immunology. 136 (2012) 184–191.</w:t>
      </w:r>
    </w:p>
    <w:p w14:paraId="0E141D19"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[4]</w:t>
      </w:r>
      <w:r w:rsidRPr="00523BF6">
        <w:rPr>
          <w:rFonts w:ascii="Calibri" w:hAnsi="Calibri" w:cs="Calibri"/>
          <w:noProof/>
          <w:sz w:val="22"/>
        </w:rPr>
        <w:tab/>
        <w:t>M. Messerli, K. May, S.R. Hansson, H. Schneider, W. Holzgreve, S. Hahn, C. Rusterholz, Feto-maternal interactions in pregnancies: placental microparticles activate peripheral blood monocytes., Placenta. 31 (2010) 106–112.</w:t>
      </w:r>
    </w:p>
    <w:p w14:paraId="34ACF4F7"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[5]</w:t>
      </w:r>
      <w:r w:rsidRPr="00523BF6">
        <w:rPr>
          <w:rFonts w:ascii="Calibri" w:hAnsi="Calibri" w:cs="Calibri"/>
          <w:noProof/>
          <w:sz w:val="22"/>
        </w:rPr>
        <w:tab/>
        <w:t>M.S. Joerger-Messerli, I.M. Hoesli, C. Rusterholz, O. Lapaire, Stimulation of monocytes by placental microparticles involves toll-like receptors and nuclear factor kappa-light-chain-enhancer of activated B cells, Front. Immunol. 5 (2014). doi:10.3389/fimmu.2014.00173.</w:t>
      </w:r>
    </w:p>
    <w:p w14:paraId="6A3E7A00"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[6]</w:t>
      </w:r>
      <w:r w:rsidRPr="00523BF6">
        <w:rPr>
          <w:rFonts w:ascii="Calibri" w:hAnsi="Calibri" w:cs="Calibri"/>
          <w:noProof/>
          <w:sz w:val="22"/>
        </w:rPr>
        <w:tab/>
        <w:t>B. Holder, T. Jones, V. Sancho Shimizu, T.F. Rice, B. Donaldson, M. Bouqueau, K. Forbes, B. Kampmann, Macrophage Exosomes Induce Placental Inflammatory Cytokines: A Novel Mode of Maternal-Placental Messaging, Traffic. 17 (2016) 168–178. doi:10.1111/tra.12352.</w:t>
      </w:r>
    </w:p>
    <w:p w14:paraId="79DB3CC5" w14:textId="1B2A3DC5"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[7]</w:t>
      </w:r>
      <w:r w:rsidRPr="00523BF6">
        <w:rPr>
          <w:rFonts w:ascii="Calibri" w:hAnsi="Calibri" w:cs="Calibri"/>
          <w:noProof/>
          <w:sz w:val="22"/>
        </w:rPr>
        <w:tab/>
        <w:t>V.M. Abrahams, Y.M. Kim, S.L. Straszewski, R. Romero, G. Mor, Macrophages and Apoptotic Cell Clearance During Pregnancy, Am. J. Reprod. Immunol. 51 (2004) 275–282. doi:10.1111/j.1600-0897.2004.00156.x.</w:t>
      </w:r>
    </w:p>
    <w:p w14:paraId="6AB74B8C" w14:textId="3E9061BE"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[8]</w:t>
      </w:r>
      <w:r w:rsidRPr="00523BF6">
        <w:rPr>
          <w:rFonts w:ascii="Calibri" w:hAnsi="Calibri" w:cs="Calibri"/>
          <w:noProof/>
          <w:sz w:val="22"/>
        </w:rPr>
        <w:tab/>
        <w:t>A.E. Rozner, S. V Dambaeva, J.G. Drenzek, M. Durning, T.G. Golos, Modulation of cytokine and chemokine secretions in rhesus monkey trophoblast co-culture with decidual but not peripheral blood monocyte-derived macrophages., Am. J. Reprod. Immunol. 66 (2011) 115–27. doi:10.1111/j.1600-0897.2010.00979.x.</w:t>
      </w:r>
    </w:p>
    <w:p w14:paraId="14DA2EFA" w14:textId="4402922F"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lastRenderedPageBreak/>
        <w:t>[9]</w:t>
      </w:r>
      <w:r w:rsidRPr="00523BF6">
        <w:rPr>
          <w:rFonts w:ascii="Calibri" w:hAnsi="Calibri" w:cs="Calibri"/>
          <w:noProof/>
          <w:sz w:val="22"/>
        </w:rPr>
        <w:tab/>
        <w:t>R.J. Buckley, G.S. Whitley, I.E. Dumitriu, J.E. Cartwright, Macrophage polarisation affects their regulation of trophoblast behaviour, Placenta. 47 (2016) 73–80. doi:10.1016/j.placenta.2016.09.004.</w:t>
      </w:r>
    </w:p>
    <w:p w14:paraId="1148DCA1"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[10]</w:t>
      </w:r>
      <w:r w:rsidRPr="00523BF6">
        <w:rPr>
          <w:rFonts w:ascii="Calibri" w:hAnsi="Calibri" w:cs="Calibri"/>
          <w:noProof/>
          <w:sz w:val="22"/>
        </w:rPr>
        <w:tab/>
        <w:t>S. Tsuchiya, Y. Kobayashi, Y. Goto, H. Okumura, S. Nakae, T. Konno, K. Tada, Induction of maturation in cultured human monocytic leukemia cells by a phorbol diester., Cancer Res. 42 (1982) 1530–6.</w:t>
      </w:r>
    </w:p>
    <w:p w14:paraId="3344BB9F"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[11]</w:t>
      </w:r>
      <w:r w:rsidRPr="00523BF6">
        <w:rPr>
          <w:rFonts w:ascii="Calibri" w:hAnsi="Calibri" w:cs="Calibri"/>
          <w:noProof/>
          <w:sz w:val="22"/>
        </w:rPr>
        <w:tab/>
        <w:t>J. Van Deun, P. Mestdagh, P. Agostinis, Ö. Akay, S. Anand, J. Anckaert, Z.A. Martinez, T. Baetens, E. Beghein, L. Bertier, G. Berx, J. Boere, S. Boukouris, M. Bremer, D. Buschmann, J.B. Byrd, C. Casert, L. Cheng, A. Cmoch, D. Daveloose, E. De Smedt, S. Demirsoy, V. Depoorter, B. Dhondt, T.A.P. Driedonks, A. Dudek, A. Elsharawy, I. Floris, A.D. Foers, K. Gärtner, A.D. Garg, E. Geeurickx, J. Gettemans, F. Ghazavi, B. Giebel, T.G. Kormelink, G. Hancock, H. Helsmoortel, A.F. Hill, V. Hyenne, H. Kalra, D. Kim, J. Kowal, S. Kraemer, P. Leidinger, C. Leonelli, Y. Liang, L. Lippens, S. Liu, A. Lo Cicero, S. Martin, S. Mathivanan, P. Mathiyalagan, T. Matusek, G. Milani, M. Monguió-Tortajada, L.M. Mus, D.C. Muth, A. Németh, E.N.M. Nolte-’T Hoen, L. O’Driscoll, R. Palmulli, M.W. Pfaffl, B. Primdal-Bengtson, E. Romano, Q. Rousseau, S. Sahoo, N. Sampaio, M. Samuel, B. Scicluna, B. Soen, A. Steels, J. V. Swinnen, M. Takatalo, S. Thaminy, C. Théry, J. Tulkens, I. Van Audenhove, S. Van Der Grein, A. Van Goethem, M.J. Van Herwijnen, G. Van Niel, N. Van Roy, A.R. Van Vliet, N. Vandamme, S. Vanhauwaert, G. Vergauwen, F. Verweij, A. Wallaert, M. Wauben, K.W. Witwer, M.I. Zonneveld, O. De Wever, J. Vandesompele, A. Hendrix, EV-TRACK: Transparent reporting and centralizing knowledge in extracellular vesicle research, Nat. Methods. 14 (2017) 228–232. doi:10.1038/nmeth.4185.</w:t>
      </w:r>
    </w:p>
    <w:p w14:paraId="6EDE7FE7"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[12]</w:t>
      </w:r>
      <w:r w:rsidRPr="00523BF6">
        <w:rPr>
          <w:rFonts w:ascii="Calibri" w:hAnsi="Calibri" w:cs="Calibri"/>
          <w:noProof/>
          <w:sz w:val="22"/>
        </w:rPr>
        <w:tab/>
        <w:t>L.T.L. Medeiros, J.C. Peraçoli, C.F. Bannwart-Castro, M. Romão, I.C. Weel, M.A. Golim, L.G. de Oliveira, C.S. Kurokawa, V.T. Medeiros Borges, M.T.S. Peraçoli, Monocytes from Pregnant Women with Pre-Eclampsia are Polarized to a M1 Phenotype, Am. J. Reprod. Immunol. 72 (2014) 5–13. doi:10.1111/aji.12222.</w:t>
      </w:r>
    </w:p>
    <w:p w14:paraId="68DDA326"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[13]</w:t>
      </w:r>
      <w:r w:rsidRPr="00523BF6">
        <w:rPr>
          <w:rFonts w:ascii="Calibri" w:hAnsi="Calibri" w:cs="Calibri"/>
          <w:noProof/>
          <w:sz w:val="22"/>
        </w:rPr>
        <w:tab/>
        <w:t>F. Reister, H.-G. Frank, W. Heyl, G. Kosanke, B. Huppertz, W. Schröder, P. Kaufmann, W. Rath, The Distribution of Macrophages in Spiral Arteries of the Placental Bed in Pre-eclampsia Differs from that in Healthy Patients, Placenta. 20 (1999) 229–233. doi:10.1053/plac.1998.0373.</w:t>
      </w:r>
    </w:p>
    <w:p w14:paraId="19C8C7BE"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[14]</w:t>
      </w:r>
      <w:r w:rsidRPr="00523BF6">
        <w:rPr>
          <w:rFonts w:ascii="Calibri" w:hAnsi="Calibri" w:cs="Calibri"/>
          <w:noProof/>
          <w:sz w:val="22"/>
        </w:rPr>
        <w:tab/>
        <w:t>D. Schonkeren, M.L. Van Der Hoorn, P. Khedoe, G. Swings, E. Van Beelen, F. Claas, C. Van Kooten, E. De Heer, S. Scherjon, Differential distribution and phenotype of decidual macrophages in preeclamptic versus control pregnancies, Am. J. Pathol. 178 (2011) 709–717. doi:10.1016/j.ajpath.2010.10.011.</w:t>
      </w:r>
    </w:p>
    <w:p w14:paraId="46A37CD2" w14:textId="77777777" w:rsidR="00825E24" w:rsidRPr="00523BF6" w:rsidRDefault="00825E24" w:rsidP="00825E24">
      <w:pPr>
        <w:widowControl w:val="0"/>
        <w:autoSpaceDE w:val="0"/>
        <w:autoSpaceDN w:val="0"/>
        <w:adjustRightInd w:val="0"/>
        <w:spacing w:line="480" w:lineRule="auto"/>
        <w:ind w:left="640" w:hanging="640"/>
        <w:rPr>
          <w:rFonts w:ascii="Calibri" w:hAnsi="Calibri" w:cs="Calibri"/>
          <w:noProof/>
          <w:sz w:val="22"/>
        </w:rPr>
      </w:pPr>
      <w:r w:rsidRPr="00523BF6">
        <w:rPr>
          <w:rFonts w:ascii="Calibri" w:hAnsi="Calibri" w:cs="Calibri"/>
          <w:noProof/>
          <w:sz w:val="22"/>
        </w:rPr>
        <w:t>[15]</w:t>
      </w:r>
      <w:r w:rsidRPr="00523BF6">
        <w:rPr>
          <w:rFonts w:ascii="Calibri" w:hAnsi="Calibri" w:cs="Calibri"/>
          <w:noProof/>
          <w:sz w:val="22"/>
        </w:rPr>
        <w:tab/>
        <w:t>M.M. Keelan JA, Placental cytokines and preeclampsia., Front Biosci. 12 (2007) 2706–2727. doi:10.2741/2266.</w:t>
      </w:r>
    </w:p>
    <w:p w14:paraId="6B34363F" w14:textId="3E61B538" w:rsidR="00341707" w:rsidRDefault="00536A2F" w:rsidP="00341707">
      <w:pPr>
        <w:widowControl w:val="0"/>
        <w:autoSpaceDE w:val="0"/>
        <w:autoSpaceDN w:val="0"/>
        <w:adjustRightInd w:val="0"/>
        <w:spacing w:line="480" w:lineRule="auto"/>
        <w:jc w:val="both"/>
        <w:outlineLvl w:val="0"/>
        <w:rPr>
          <w:rFonts w:cs="Times New Roman"/>
          <w:b/>
          <w:sz w:val="22"/>
          <w:szCs w:val="22"/>
        </w:rPr>
      </w:pPr>
      <w:r w:rsidRPr="00523BF6">
        <w:rPr>
          <w:rFonts w:cs="Times New Roman"/>
          <w:sz w:val="22"/>
          <w:szCs w:val="22"/>
        </w:rPr>
        <w:fldChar w:fldCharType="end"/>
      </w:r>
      <w:r w:rsidR="00341707" w:rsidRPr="00523BF6">
        <w:rPr>
          <w:rFonts w:cs="Times New Roman"/>
          <w:b/>
          <w:sz w:val="22"/>
          <w:szCs w:val="22"/>
        </w:rPr>
        <w:t xml:space="preserve"> Figure</w:t>
      </w:r>
      <w:r w:rsidR="00C64FAB">
        <w:rPr>
          <w:rFonts w:cs="Times New Roman"/>
          <w:b/>
          <w:sz w:val="22"/>
          <w:szCs w:val="22"/>
        </w:rPr>
        <w:t>s</w:t>
      </w:r>
      <w:r w:rsidR="00341707" w:rsidRPr="00523BF6">
        <w:rPr>
          <w:rFonts w:cs="Times New Roman"/>
          <w:b/>
          <w:sz w:val="22"/>
          <w:szCs w:val="22"/>
        </w:rPr>
        <w:t xml:space="preserve"> </w:t>
      </w:r>
      <w:r w:rsidR="00C64FAB">
        <w:rPr>
          <w:rFonts w:cs="Times New Roman"/>
          <w:noProof/>
          <w:sz w:val="22"/>
          <w:szCs w:val="22"/>
        </w:rPr>
        <w:lastRenderedPageBreak/>
        <w:drawing>
          <wp:inline distT="0" distB="0" distL="0" distR="0" wp14:anchorId="7C6EDB0A" wp14:editId="43D612A8">
            <wp:extent cx="6631940" cy="4897755"/>
            <wp:effectExtent l="0" t="0" r="0" b="0"/>
            <wp:docPr id="2" name="Picture 2" descr="C:\Users\beth\AppData\Local\Microsoft\Windows\INetCache\Content.Word\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th\AppData\Local\Microsoft\Windows\INetCache\Content.Word\Picture1.t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31940" cy="4897755"/>
                    </a:xfrm>
                    <a:prstGeom prst="rect">
                      <a:avLst/>
                    </a:prstGeom>
                    <a:noFill/>
                    <a:ln>
                      <a:noFill/>
                    </a:ln>
                  </pic:spPr>
                </pic:pic>
              </a:graphicData>
            </a:graphic>
          </wp:inline>
        </w:drawing>
      </w:r>
    </w:p>
    <w:p w14:paraId="76CF7623" w14:textId="77777777" w:rsidR="00C64FAB" w:rsidRDefault="00C64FAB" w:rsidP="00C64FAB">
      <w:pPr>
        <w:pStyle w:val="p1"/>
        <w:spacing w:line="480" w:lineRule="auto"/>
        <w:jc w:val="both"/>
        <w:rPr>
          <w:rFonts w:asciiTheme="minorHAnsi" w:hAnsiTheme="minorHAnsi" w:cs="Times New Roman"/>
          <w:b/>
          <w:sz w:val="22"/>
          <w:szCs w:val="22"/>
        </w:rPr>
      </w:pPr>
    </w:p>
    <w:p w14:paraId="2E108B5B" w14:textId="197D4BBE" w:rsidR="00C64FAB" w:rsidRPr="00523BF6" w:rsidRDefault="00C64FAB" w:rsidP="00C64FAB">
      <w:pPr>
        <w:pStyle w:val="p1"/>
        <w:spacing w:line="480" w:lineRule="auto"/>
        <w:jc w:val="both"/>
        <w:rPr>
          <w:rFonts w:asciiTheme="minorHAnsi" w:hAnsiTheme="minorHAnsi" w:cs="Times New Roman"/>
          <w:sz w:val="22"/>
          <w:szCs w:val="22"/>
        </w:rPr>
      </w:pPr>
      <w:r w:rsidRPr="00523BF6">
        <w:rPr>
          <w:rFonts w:asciiTheme="minorHAnsi" w:hAnsiTheme="minorHAnsi" w:cs="Times New Roman"/>
          <w:b/>
          <w:sz w:val="22"/>
          <w:szCs w:val="22"/>
        </w:rPr>
        <w:t xml:space="preserve">Figure 1 Characterisation of monocyte and macrophage EVs. </w:t>
      </w:r>
      <w:r w:rsidRPr="00523BF6">
        <w:rPr>
          <w:rStyle w:val="apple-converted-space"/>
          <w:rFonts w:asciiTheme="minorHAnsi" w:hAnsiTheme="minorHAnsi" w:cs="Times New Roman"/>
          <w:sz w:val="22"/>
          <w:szCs w:val="22"/>
        </w:rPr>
        <w:t> </w:t>
      </w:r>
      <w:r w:rsidRPr="00523BF6">
        <w:rPr>
          <w:rFonts w:asciiTheme="minorHAnsi" w:hAnsiTheme="minorHAnsi" w:cs="Times New Roman"/>
          <w:sz w:val="22"/>
          <w:szCs w:val="22"/>
        </w:rPr>
        <w:t xml:space="preserve">Phenotype of EVs released by THP-1 monocytes and macrophages was assessed by Nanoparticle Tracking Analysis (NTA) and western blotting for exosome markers. A) Mean and mode size of </w:t>
      </w:r>
      <w:r w:rsidRPr="00523BF6">
        <w:rPr>
          <w:rFonts w:asciiTheme="minorHAnsi" w:hAnsiTheme="minorHAnsi" w:cstheme="minorHAnsi"/>
          <w:sz w:val="22"/>
          <w:szCs w:val="22"/>
        </w:rPr>
        <w:t xml:space="preserve">EVs released from monocytes (n=6) and macrophages (n=9). B) </w:t>
      </w:r>
      <w:r w:rsidRPr="00523BF6">
        <w:rPr>
          <w:rFonts w:asciiTheme="minorHAnsi" w:hAnsiTheme="minorHAnsi" w:cs="Times New Roman"/>
          <w:sz w:val="22"/>
          <w:szCs w:val="22"/>
        </w:rPr>
        <w:t xml:space="preserve">Representative NTA histogram demonstrating size distribution of EVs from macrophages (dark line) and monocytes (pale line). Red error bars indicate standard error of the mean. </w:t>
      </w:r>
      <w:r w:rsidRPr="00523BF6">
        <w:rPr>
          <w:rFonts w:asciiTheme="minorHAnsi" w:hAnsiTheme="minorHAnsi" w:cstheme="minorHAnsi"/>
          <w:sz w:val="22"/>
          <w:szCs w:val="22"/>
        </w:rPr>
        <w:t>C) Western blotting for exosome markers flotillin-1, MHC-I and TSG101 indicate the presence of exosomes in EV preparations, and lack of calnexin indicates the absence of cellular debris. Yield of EVs per million cells plated at start of 24h collection period was 3.5</w:t>
      </w:r>
      <w:r w:rsidRPr="00523BF6">
        <w:rPr>
          <w:rFonts w:asciiTheme="minorHAnsi" w:eastAsia="Times New Roman" w:hAnsiTheme="minorHAnsi" w:cstheme="minorHAnsi"/>
          <w:color w:val="000000"/>
          <w:sz w:val="22"/>
          <w:szCs w:val="22"/>
        </w:rPr>
        <w:t>x10</w:t>
      </w:r>
      <w:r w:rsidRPr="00523BF6">
        <w:rPr>
          <w:rFonts w:asciiTheme="minorHAnsi" w:eastAsia="Times New Roman" w:hAnsiTheme="minorHAnsi" w:cstheme="minorHAnsi"/>
          <w:color w:val="000000"/>
          <w:sz w:val="22"/>
          <w:szCs w:val="22"/>
          <w:vertAlign w:val="superscript"/>
        </w:rPr>
        <w:t xml:space="preserve">9 </w:t>
      </w:r>
      <w:r w:rsidRPr="00523BF6">
        <w:rPr>
          <w:rFonts w:asciiTheme="minorHAnsi" w:eastAsia="Times New Roman" w:hAnsiTheme="minorHAnsi" w:cstheme="minorHAnsi"/>
          <w:color w:val="000000"/>
          <w:sz w:val="22"/>
          <w:szCs w:val="22"/>
        </w:rPr>
        <w:t>from monocytes and 1.9x10</w:t>
      </w:r>
      <w:r w:rsidRPr="00523BF6">
        <w:rPr>
          <w:rFonts w:asciiTheme="minorHAnsi" w:eastAsia="Times New Roman" w:hAnsiTheme="minorHAnsi" w:cstheme="minorHAnsi"/>
          <w:color w:val="000000"/>
          <w:sz w:val="22"/>
          <w:szCs w:val="22"/>
          <w:vertAlign w:val="superscript"/>
        </w:rPr>
        <w:t xml:space="preserve">9 </w:t>
      </w:r>
      <w:r w:rsidRPr="00523BF6">
        <w:rPr>
          <w:rFonts w:asciiTheme="minorHAnsi" w:eastAsia="Times New Roman" w:hAnsiTheme="minorHAnsi" w:cstheme="minorHAnsi"/>
          <w:color w:val="000000"/>
          <w:sz w:val="22"/>
          <w:szCs w:val="22"/>
        </w:rPr>
        <w:t>from macrophages.</w:t>
      </w:r>
    </w:p>
    <w:p w14:paraId="45720A0C" w14:textId="77777777" w:rsidR="00C64FAB" w:rsidRPr="00523BF6" w:rsidRDefault="00C64FAB" w:rsidP="00341707">
      <w:pPr>
        <w:widowControl w:val="0"/>
        <w:autoSpaceDE w:val="0"/>
        <w:autoSpaceDN w:val="0"/>
        <w:adjustRightInd w:val="0"/>
        <w:spacing w:line="480" w:lineRule="auto"/>
        <w:jc w:val="both"/>
        <w:outlineLvl w:val="0"/>
        <w:rPr>
          <w:rFonts w:cs="Times New Roman"/>
          <w:b/>
          <w:sz w:val="22"/>
          <w:szCs w:val="22"/>
        </w:rPr>
      </w:pPr>
    </w:p>
    <w:p w14:paraId="45B7BB1C" w14:textId="5604A35E" w:rsidR="00341707" w:rsidRPr="00523BF6" w:rsidRDefault="00C64FAB" w:rsidP="00341707">
      <w:pPr>
        <w:pStyle w:val="p1"/>
        <w:spacing w:line="480" w:lineRule="auto"/>
        <w:jc w:val="both"/>
        <w:rPr>
          <w:rFonts w:asciiTheme="minorHAnsi" w:hAnsiTheme="minorHAnsi" w:cs="Times New Roman"/>
          <w:sz w:val="22"/>
          <w:szCs w:val="22"/>
        </w:rPr>
      </w:pPr>
      <w:r>
        <w:rPr>
          <w:rFonts w:asciiTheme="minorHAnsi" w:hAnsiTheme="minorHAnsi" w:cs="Times New Roman"/>
          <w:noProof/>
          <w:sz w:val="22"/>
          <w:szCs w:val="22"/>
        </w:rPr>
        <w:lastRenderedPageBreak/>
        <w:drawing>
          <wp:inline distT="0" distB="0" distL="0" distR="0" wp14:anchorId="0271F314" wp14:editId="237B1677">
            <wp:extent cx="6631940" cy="4740275"/>
            <wp:effectExtent l="0" t="0" r="0" b="3175"/>
            <wp:docPr id="3" name="Picture 3" descr="C:\Users\beth\AppData\Local\Microsoft\Windows\INetCache\Content.Word\Pict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th\AppData\Local\Microsoft\Windows\INetCache\Content.Word\Picture2.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31940" cy="4740275"/>
                    </a:xfrm>
                    <a:prstGeom prst="rect">
                      <a:avLst/>
                    </a:prstGeom>
                    <a:noFill/>
                    <a:ln>
                      <a:noFill/>
                    </a:ln>
                  </pic:spPr>
                </pic:pic>
              </a:graphicData>
            </a:graphic>
          </wp:inline>
        </w:drawing>
      </w:r>
    </w:p>
    <w:p w14:paraId="4A44FADC" w14:textId="4B12CEB5" w:rsidR="007B4E37" w:rsidRPr="00C64FAB" w:rsidRDefault="00341707" w:rsidP="00C64FAB">
      <w:pPr>
        <w:autoSpaceDE w:val="0"/>
        <w:autoSpaceDN w:val="0"/>
        <w:adjustRightInd w:val="0"/>
        <w:spacing w:line="480" w:lineRule="auto"/>
        <w:rPr>
          <w:sz w:val="22"/>
        </w:rPr>
      </w:pPr>
      <w:r w:rsidRPr="00523BF6">
        <w:rPr>
          <w:rFonts w:cs="Times New Roman"/>
          <w:b/>
          <w:sz w:val="22"/>
          <w:szCs w:val="22"/>
        </w:rPr>
        <w:t xml:space="preserve">Figure 2 </w:t>
      </w:r>
      <w:r w:rsidRPr="00523BF6">
        <w:rPr>
          <w:b/>
          <w:sz w:val="22"/>
        </w:rPr>
        <w:t xml:space="preserve">Placental release of cytokines in response to monocyte- and macrophage-derived EVs. </w:t>
      </w:r>
      <w:r w:rsidRPr="00523BF6">
        <w:rPr>
          <w:sz w:val="22"/>
        </w:rPr>
        <w:t>Term placental explants were treated with 5x10</w:t>
      </w:r>
      <w:r w:rsidRPr="00523BF6">
        <w:rPr>
          <w:sz w:val="22"/>
          <w:vertAlign w:val="superscript"/>
        </w:rPr>
        <w:t>9</w:t>
      </w:r>
      <w:r w:rsidRPr="00523BF6">
        <w:rPr>
          <w:sz w:val="22"/>
        </w:rPr>
        <w:t>- 5x10</w:t>
      </w:r>
      <w:r w:rsidRPr="00523BF6">
        <w:rPr>
          <w:sz w:val="22"/>
          <w:vertAlign w:val="superscript"/>
        </w:rPr>
        <w:t>10</w:t>
      </w:r>
      <w:r w:rsidRPr="00523BF6">
        <w:rPr>
          <w:sz w:val="22"/>
        </w:rPr>
        <w:t xml:space="preserve">/ml EVs derived from monocytes or macrophages, and culture </w:t>
      </w:r>
      <w:r w:rsidRPr="00523BF6">
        <w:rPr>
          <w:rFonts w:cs="Times New Roman"/>
          <w:sz w:val="22"/>
          <w:szCs w:val="22"/>
        </w:rPr>
        <w:t xml:space="preserve">supernatants collected at 24h. </w:t>
      </w:r>
      <w:r w:rsidRPr="00523BF6">
        <w:rPr>
          <w:rFonts w:eastAsia="Times New Roman" w:cs="Arial"/>
          <w:color w:val="222222"/>
          <w:sz w:val="22"/>
          <w:szCs w:val="22"/>
          <w:shd w:val="clear" w:color="auto" w:fill="FFFFFF"/>
        </w:rPr>
        <w:t>Explants were in 150</w:t>
      </w:r>
      <w:r w:rsidRPr="00523BF6">
        <w:rPr>
          <w:rFonts w:cs="Times New Roman"/>
          <w:color w:val="000000"/>
          <w:sz w:val="22"/>
          <w:szCs w:val="22"/>
        </w:rPr>
        <w:t>μ</w:t>
      </w:r>
      <w:r w:rsidRPr="00523BF6">
        <w:rPr>
          <w:rFonts w:cs="Times New Roman"/>
          <w:sz w:val="22"/>
          <w:szCs w:val="22"/>
        </w:rPr>
        <w:t>l culture media, equating to</w:t>
      </w:r>
      <w:r w:rsidRPr="00523BF6">
        <w:rPr>
          <w:rFonts w:eastAsia="Times New Roman" w:cs="Arial"/>
          <w:color w:val="222222"/>
          <w:sz w:val="22"/>
          <w:szCs w:val="22"/>
          <w:shd w:val="clear" w:color="auto" w:fill="FFFFFF"/>
        </w:rPr>
        <w:t xml:space="preserve"> </w:t>
      </w:r>
      <w:r w:rsidRPr="00523BF6">
        <w:rPr>
          <w:rFonts w:eastAsia="Times New Roman" w:cs="Times New Roman"/>
          <w:color w:val="000000"/>
          <w:sz w:val="22"/>
          <w:szCs w:val="22"/>
        </w:rPr>
        <w:t>1.5x10</w:t>
      </w:r>
      <w:r w:rsidRPr="00523BF6">
        <w:rPr>
          <w:rFonts w:eastAsia="Times New Roman" w:cs="Times New Roman"/>
          <w:color w:val="000000"/>
          <w:sz w:val="22"/>
          <w:szCs w:val="22"/>
          <w:vertAlign w:val="superscript"/>
        </w:rPr>
        <w:t>8</w:t>
      </w:r>
      <w:r w:rsidRPr="00523BF6">
        <w:rPr>
          <w:rFonts w:eastAsia="Times New Roman" w:cs="Times New Roman"/>
          <w:color w:val="000000"/>
          <w:sz w:val="22"/>
          <w:szCs w:val="22"/>
        </w:rPr>
        <w:t>, 3.75x10</w:t>
      </w:r>
      <w:r w:rsidRPr="00523BF6">
        <w:rPr>
          <w:rFonts w:eastAsia="Times New Roman" w:cs="Times New Roman"/>
          <w:color w:val="000000"/>
          <w:sz w:val="22"/>
          <w:szCs w:val="22"/>
          <w:vertAlign w:val="superscript"/>
        </w:rPr>
        <w:t>9</w:t>
      </w:r>
      <w:r w:rsidRPr="00523BF6">
        <w:rPr>
          <w:rFonts w:eastAsia="Times New Roman" w:cs="Times New Roman"/>
          <w:color w:val="000000"/>
          <w:sz w:val="22"/>
          <w:szCs w:val="22"/>
        </w:rPr>
        <w:t xml:space="preserve"> and 7.5x10</w:t>
      </w:r>
      <w:r w:rsidRPr="00523BF6">
        <w:rPr>
          <w:rFonts w:eastAsia="Times New Roman" w:cs="Times New Roman"/>
          <w:color w:val="000000"/>
          <w:sz w:val="22"/>
          <w:szCs w:val="22"/>
          <w:vertAlign w:val="superscript"/>
        </w:rPr>
        <w:t>9</w:t>
      </w:r>
      <w:r w:rsidRPr="00523BF6">
        <w:rPr>
          <w:rFonts w:eastAsia="Times New Roman" w:cs="Times New Roman"/>
          <w:color w:val="000000"/>
          <w:sz w:val="22"/>
          <w:szCs w:val="22"/>
        </w:rPr>
        <w:t xml:space="preserve"> EVs per explant for the three doses. </w:t>
      </w:r>
      <w:r w:rsidRPr="00523BF6">
        <w:rPr>
          <w:rFonts w:eastAsia="Times New Roman" w:cstheme="minorHAnsi"/>
          <w:color w:val="222222"/>
          <w:sz w:val="22"/>
          <w:szCs w:val="22"/>
          <w:shd w:val="clear" w:color="auto" w:fill="FFFFFF"/>
        </w:rPr>
        <w:t>For the highest concentration of EVs (5x10</w:t>
      </w:r>
      <w:r w:rsidRPr="00523BF6">
        <w:rPr>
          <w:rFonts w:eastAsia="Times New Roman" w:cstheme="minorHAnsi"/>
          <w:color w:val="222222"/>
          <w:sz w:val="22"/>
          <w:szCs w:val="22"/>
          <w:shd w:val="clear" w:color="auto" w:fill="FFFFFF"/>
          <w:vertAlign w:val="superscript"/>
        </w:rPr>
        <w:t>10</w:t>
      </w:r>
      <w:r w:rsidRPr="00523BF6">
        <w:rPr>
          <w:rFonts w:eastAsia="Times New Roman" w:cstheme="minorHAnsi"/>
          <w:color w:val="222222"/>
          <w:sz w:val="22"/>
          <w:szCs w:val="22"/>
          <w:shd w:val="clear" w:color="auto" w:fill="FFFFFF"/>
        </w:rPr>
        <w:t xml:space="preserve">/ml), the mean number of initial cells plated </w:t>
      </w:r>
      <w:r w:rsidRPr="00523BF6">
        <w:rPr>
          <w:rFonts w:eastAsia="Times New Roman" w:cs="Arial"/>
          <w:color w:val="222222"/>
          <w:sz w:val="22"/>
          <w:szCs w:val="22"/>
          <w:shd w:val="clear" w:color="auto" w:fill="FFFFFF"/>
        </w:rPr>
        <w:t>was 2.2x10</w:t>
      </w:r>
      <w:r w:rsidRPr="00523BF6">
        <w:rPr>
          <w:rFonts w:eastAsia="Times New Roman" w:cs="Arial"/>
          <w:color w:val="222222"/>
          <w:sz w:val="22"/>
          <w:szCs w:val="22"/>
          <w:shd w:val="clear" w:color="auto" w:fill="FFFFFF"/>
          <w:vertAlign w:val="superscript"/>
        </w:rPr>
        <w:t xml:space="preserve">6 </w:t>
      </w:r>
      <w:r w:rsidRPr="00523BF6">
        <w:rPr>
          <w:rFonts w:eastAsia="Times New Roman" w:cs="Arial"/>
          <w:color w:val="222222"/>
          <w:sz w:val="22"/>
          <w:szCs w:val="22"/>
          <w:shd w:val="clear" w:color="auto" w:fill="FFFFFF"/>
        </w:rPr>
        <w:t>monocytes and 4.7x10</w:t>
      </w:r>
      <w:r w:rsidRPr="00523BF6">
        <w:rPr>
          <w:rFonts w:eastAsia="Times New Roman" w:cs="Arial"/>
          <w:color w:val="222222"/>
          <w:sz w:val="22"/>
          <w:szCs w:val="22"/>
          <w:shd w:val="clear" w:color="auto" w:fill="FFFFFF"/>
          <w:vertAlign w:val="superscript"/>
        </w:rPr>
        <w:t xml:space="preserve">6 </w:t>
      </w:r>
      <w:r w:rsidRPr="00523BF6">
        <w:rPr>
          <w:rFonts w:eastAsia="Times New Roman" w:cs="Arial"/>
          <w:color w:val="222222"/>
          <w:sz w:val="22"/>
          <w:szCs w:val="22"/>
          <w:shd w:val="clear" w:color="auto" w:fill="FFFFFF"/>
        </w:rPr>
        <w:t>macrophages per explant.</w:t>
      </w:r>
      <w:r w:rsidRPr="00523BF6">
        <w:rPr>
          <w:color w:val="222222"/>
          <w:sz w:val="22"/>
          <w:shd w:val="clear" w:color="auto" w:fill="FFFFFF"/>
        </w:rPr>
        <w:t xml:space="preserve"> </w:t>
      </w:r>
      <w:r w:rsidRPr="00523BF6">
        <w:rPr>
          <w:sz w:val="22"/>
        </w:rPr>
        <w:t xml:space="preserve">A) Cytokine levels in culture supernatants assayed by ELISA showed that macrophage EVs induced significant dose-dependent increases in the production of IL-6, IL-8 and </w:t>
      </w:r>
      <w:r w:rsidRPr="00523BF6">
        <w:rPr>
          <w:rStyle w:val="Emphasis"/>
          <w:color w:val="000000" w:themeColor="text1"/>
          <w:sz w:val="22"/>
          <w:shd w:val="clear" w:color="auto" w:fill="FFFFFF"/>
        </w:rPr>
        <w:t>IL-1</w:t>
      </w:r>
      <w:r w:rsidRPr="00523BF6">
        <w:rPr>
          <w:sz w:val="22"/>
        </w:rPr>
        <w:t>ß, with no such re</w:t>
      </w:r>
      <w:r w:rsidR="00733A36" w:rsidRPr="00523BF6">
        <w:rPr>
          <w:sz w:val="22"/>
        </w:rPr>
        <w:t>sponse seen to monocyte EVs (n=5</w:t>
      </w:r>
      <w:r w:rsidRPr="00523BF6">
        <w:rPr>
          <w:rFonts w:cs="Arial"/>
          <w:sz w:val="22"/>
          <w:szCs w:val="22"/>
        </w:rPr>
        <w:t xml:space="preserve"> placentas</w:t>
      </w:r>
      <w:r w:rsidRPr="00523BF6">
        <w:rPr>
          <w:sz w:val="22"/>
        </w:rPr>
        <w:t>). B) Luminex performed for the highest exosome dose (5x10</w:t>
      </w:r>
      <w:r w:rsidRPr="00523BF6">
        <w:rPr>
          <w:sz w:val="22"/>
          <w:vertAlign w:val="superscript"/>
        </w:rPr>
        <w:t>10</w:t>
      </w:r>
      <w:r w:rsidRPr="00523BF6">
        <w:rPr>
          <w:sz w:val="22"/>
        </w:rPr>
        <w:t>/ml) additionally showed that IL-10 and TNF-</w:t>
      </w:r>
      <w:r w:rsidRPr="00523BF6">
        <w:rPr>
          <w:color w:val="222222"/>
          <w:sz w:val="22"/>
          <w:shd w:val="clear" w:color="auto" w:fill="FFFFFF"/>
        </w:rPr>
        <w:t>α and IL-1-α were significantly elevated in response to macrophage EVs, but not monocyte EVs (n=</w:t>
      </w:r>
      <w:r w:rsidR="00DE22E1" w:rsidRPr="00523BF6">
        <w:rPr>
          <w:color w:val="222222"/>
          <w:sz w:val="22"/>
          <w:shd w:val="clear" w:color="auto" w:fill="FFFFFF"/>
        </w:rPr>
        <w:t>8</w:t>
      </w:r>
      <w:r w:rsidRPr="00523BF6">
        <w:rPr>
          <w:rFonts w:eastAsia="Times New Roman" w:cstheme="minorHAnsi"/>
          <w:color w:val="222222"/>
          <w:sz w:val="22"/>
          <w:szCs w:val="22"/>
          <w:shd w:val="clear" w:color="auto" w:fill="FFFFFF"/>
        </w:rPr>
        <w:t xml:space="preserve"> placentas</w:t>
      </w:r>
      <w:r w:rsidRPr="00523BF6">
        <w:rPr>
          <w:color w:val="222222"/>
          <w:sz w:val="22"/>
          <w:shd w:val="clear" w:color="auto" w:fill="FFFFFF"/>
        </w:rPr>
        <w:t xml:space="preserve">). </w:t>
      </w:r>
      <w:r w:rsidRPr="00523BF6">
        <w:rPr>
          <w:sz w:val="22"/>
        </w:rPr>
        <w:t>Asterisks above individual columns indicates a significant difference from the non-treated (NT</w:t>
      </w:r>
      <w:r w:rsidRPr="00523BF6">
        <w:rPr>
          <w:rFonts w:cstheme="minorHAnsi"/>
          <w:sz w:val="22"/>
          <w:szCs w:val="22"/>
        </w:rPr>
        <w:t>). C) To confirm that cytokines detected were of placental origin, as previously shown for IL-6/IL-8</w:t>
      </w:r>
      <w:r w:rsidRPr="00523BF6">
        <w:rPr>
          <w:rFonts w:eastAsia="Times New Roman" w:cs="Arial"/>
          <w:color w:val="222222"/>
          <w:sz w:val="22"/>
          <w:szCs w:val="22"/>
          <w:shd w:val="clear" w:color="auto" w:fill="FFFFFF"/>
        </w:rPr>
        <w:fldChar w:fldCharType="begin" w:fldLock="1"/>
      </w:r>
      <w:r w:rsidRPr="00523BF6">
        <w:rPr>
          <w:rFonts w:eastAsia="Times New Roman" w:cs="Arial"/>
          <w:color w:val="222222"/>
          <w:sz w:val="22"/>
          <w:szCs w:val="22"/>
          <w:shd w:val="clear" w:color="auto" w:fill="FFFFFF"/>
        </w:rPr>
        <w:instrText>ADDIN CSL_CITATION { "citationItems" : [ { "id" : "ITEM-1", "itemData" : { "DOI" : "10.1111/tra.12352", "ISBN" : "1600-0854 (Electronic)\\r1398-9219 (Linking)", "ISSN" : "16000854", "PMID" : "26602702", "abstract" : "During pregnancy, the placenta forms the interface between mother and fetus. Highly controlled regulation of trans-placental trafficking is therefore essential for the healthy development of the growing fetus. Extracellular vesicle-mediated transfer of protein and nucleic acids from the human placenta into the maternal circulation is well documented; the possibility that this trafficking is bi-directional has not yet been explored but could affect placental function and impact on the fetus. We hypothesized that the ability of the placenta to respond to maternal inflammatory signals is mediated by the interaction of maternal immune cell exosomes with placental trophoblast. Utilising the BeWo cell line and whole placental explants, we demonstrated that the human placenta internalizes macrophage-derived exosomes in a time- and dose-dependent manner. This uptake was via clathrin-dependent endocytosis. Furthermore, macrophage exosomes induced production of proinflammatory cytokines by the placenta. Taken together, our data demonstrates that exosomes are actively transported into the human placenta and that exosomes from activated immune cells modulate placental cytokine production. This represents a novel mechanism by which immune cells can signal to the placental unit, potentially facilitating responses to maternal inflammation and infection, and thereby preventing harm to the fetus.", "author" : [ { "dropping-particle" : "", "family" : "Holder", "given" : "Beth", "non-dropping-particle" : "", "parse-names" : false, "suffix" : "" }, { "dropping-particle" : "", "family" : "Jones", "given" : "Tessa", "non-dropping-particle" : "", "parse-names" : false, "suffix" : "" }, { "dropping-particle" : "", "family" : "Sancho Shimizu", "given" : "Vanessa", "non-dropping-particle" : "", "parse-names" : false, "suffix" : "" }, { "dropping-particle" : "", "family" : "Rice", "given" : "Thomas F.", "non-dropping-particle" : "", "parse-names" : false, "suffix" : "" }, { "dropping-particle" : "", "family" : "Donaldson", "given" : "Beverly", "non-dropping-particle" : "", "parse-names" : false, "suffix" : "" }, { "dropping-particle" : "", "family" : "Bouqueau", "given" : "Marielle", "non-dropping-particle" : "", "parse-names" : false, "suffix" : "" }, { "dropping-particle" : "", "family" : "Forbes", "given" : "Karen", "non-dropping-particle" : "", "parse-names" : false, "suffix" : "" }, { "dropping-particle" : "", "family" : "Kampmann", "given" : "Beate", "non-dropping-particle" : "", "parse-names" : false, "suffix" : "" } ], "container-title" : "Traffic", "id" : "ITEM-1", "issue" : "2", "issued" : { "date-parts" : [ [ "2016" ] ] }, "page" : "168-178", "title" : "Macrophage Exosomes Induce Placental Inflammatory Cytokines: A Novel Mode of Maternal-Placental Messaging", "type" : "article-journal", "volume" : "17" }, "uris" : [ "http://www.mendeley.com/documents/?uuid=0430b510-90d3-45a4-b15a-15c5874d44f0" ] } ], "mendeley" : { "formattedCitation" : "[6]", "plainTextFormattedCitation" : "[6]", "previouslyFormattedCitation" : "[6]" }, "properties" : {  }, "schema" : "https://github.com/citation-style-language/schema/raw/master/csl-citation.json" }</w:instrText>
      </w:r>
      <w:r w:rsidRPr="00523BF6">
        <w:rPr>
          <w:rFonts w:eastAsia="Times New Roman" w:cs="Arial"/>
          <w:color w:val="222222"/>
          <w:sz w:val="22"/>
          <w:szCs w:val="22"/>
          <w:shd w:val="clear" w:color="auto" w:fill="FFFFFF"/>
        </w:rPr>
        <w:fldChar w:fldCharType="separate"/>
      </w:r>
      <w:r w:rsidRPr="00523BF6">
        <w:rPr>
          <w:rFonts w:eastAsia="Times New Roman" w:cs="Arial"/>
          <w:noProof/>
          <w:color w:val="222222"/>
          <w:sz w:val="22"/>
          <w:szCs w:val="22"/>
          <w:shd w:val="clear" w:color="auto" w:fill="FFFFFF"/>
        </w:rPr>
        <w:t>[6]</w:t>
      </w:r>
      <w:r w:rsidRPr="00523BF6">
        <w:rPr>
          <w:rFonts w:eastAsia="Times New Roman" w:cs="Arial"/>
          <w:color w:val="222222"/>
          <w:sz w:val="22"/>
          <w:szCs w:val="22"/>
          <w:shd w:val="clear" w:color="auto" w:fill="FFFFFF"/>
        </w:rPr>
        <w:fldChar w:fldCharType="end"/>
      </w:r>
      <w:r w:rsidRPr="00523BF6">
        <w:rPr>
          <w:rFonts w:cstheme="minorHAnsi"/>
          <w:sz w:val="22"/>
          <w:szCs w:val="22"/>
        </w:rPr>
        <w:t xml:space="preserve">, control wells of exosomes alone were incubated alongside placental explants at the highest concentration, and assayed for </w:t>
      </w:r>
      <w:r w:rsidRPr="00523BF6">
        <w:rPr>
          <w:rStyle w:val="Emphasis"/>
          <w:rFonts w:eastAsia="Times New Roman" w:cstheme="minorHAnsi"/>
          <w:color w:val="000000" w:themeColor="text1"/>
          <w:sz w:val="22"/>
          <w:szCs w:val="22"/>
          <w:shd w:val="clear" w:color="auto" w:fill="FFFFFF"/>
        </w:rPr>
        <w:t>IL-1</w:t>
      </w:r>
      <w:r w:rsidRPr="00523BF6">
        <w:rPr>
          <w:rFonts w:cstheme="minorHAnsi"/>
          <w:sz w:val="22"/>
          <w:szCs w:val="22"/>
        </w:rPr>
        <w:t>ß/TNF-</w:t>
      </w:r>
      <w:r w:rsidRPr="00523BF6">
        <w:rPr>
          <w:rFonts w:eastAsia="Times New Roman" w:cstheme="minorHAnsi"/>
          <w:color w:val="222222"/>
          <w:sz w:val="22"/>
          <w:szCs w:val="22"/>
          <w:shd w:val="clear" w:color="auto" w:fill="FFFFFF"/>
        </w:rPr>
        <w:t xml:space="preserve">α/IL-10/IL-1-α </w:t>
      </w:r>
      <w:r w:rsidRPr="00523BF6">
        <w:rPr>
          <w:rFonts w:cstheme="minorHAnsi"/>
          <w:sz w:val="22"/>
          <w:szCs w:val="22"/>
        </w:rPr>
        <w:t>by ELISA (n=8 placentas). At least two different EV preparations were used for each cytokine measurement.</w:t>
      </w:r>
      <w:r w:rsidRPr="00523BF6">
        <w:rPr>
          <w:sz w:val="22"/>
        </w:rPr>
        <w:t xml:space="preserve"> *p&lt;0.05, **p&lt;0.01, ***p&lt;0.001.</w:t>
      </w:r>
      <w:r w:rsidRPr="00872F7F">
        <w:rPr>
          <w:sz w:val="22"/>
        </w:rPr>
        <w:t xml:space="preserve"> </w:t>
      </w:r>
    </w:p>
    <w:sectPr w:rsidR="007B4E37" w:rsidRPr="00C64FAB" w:rsidSect="00E33727">
      <w:headerReference w:type="default" r:id="rId8"/>
      <w:footerReference w:type="even" r:id="rId9"/>
      <w:footerReference w:type="default" r:id="rId10"/>
      <w:pgSz w:w="11900" w:h="16840"/>
      <w:pgMar w:top="720" w:right="720" w:bottom="720" w:left="72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EEDE2" w14:textId="77777777" w:rsidR="008A7C46" w:rsidRDefault="008A7C46" w:rsidP="00E33727">
      <w:r>
        <w:separator/>
      </w:r>
    </w:p>
  </w:endnote>
  <w:endnote w:type="continuationSeparator" w:id="0">
    <w:p w14:paraId="77430A15" w14:textId="77777777" w:rsidR="008A7C46" w:rsidRDefault="008A7C46" w:rsidP="00E33727">
      <w:r>
        <w:continuationSeparator/>
      </w:r>
    </w:p>
  </w:endnote>
  <w:endnote w:type="continuationNotice" w:id="1">
    <w:p w14:paraId="6D9E4759" w14:textId="77777777" w:rsidR="008A7C46" w:rsidRDefault="008A7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C6269" w14:textId="77777777" w:rsidR="00E33727" w:rsidRDefault="00E33727" w:rsidP="004733D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BAC033" w14:textId="77777777" w:rsidR="00E33727" w:rsidRDefault="00E33727" w:rsidP="00E33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094F7" w14:textId="2D5EE154" w:rsidR="00E33727" w:rsidRDefault="00E33727" w:rsidP="004733D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4FAB">
      <w:rPr>
        <w:rStyle w:val="PageNumber"/>
        <w:noProof/>
      </w:rPr>
      <w:t>2</w:t>
    </w:r>
    <w:r>
      <w:rPr>
        <w:rStyle w:val="PageNumber"/>
      </w:rPr>
      <w:fldChar w:fldCharType="end"/>
    </w:r>
  </w:p>
  <w:p w14:paraId="7D4BE016" w14:textId="77777777" w:rsidR="00E33727" w:rsidRDefault="00E33727" w:rsidP="00E337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300C5" w14:textId="77777777" w:rsidR="008A7C46" w:rsidRDefault="008A7C46" w:rsidP="00E33727">
      <w:r>
        <w:separator/>
      </w:r>
    </w:p>
  </w:footnote>
  <w:footnote w:type="continuationSeparator" w:id="0">
    <w:p w14:paraId="5197DBF8" w14:textId="77777777" w:rsidR="008A7C46" w:rsidRDefault="008A7C46" w:rsidP="00E33727">
      <w:r>
        <w:continuationSeparator/>
      </w:r>
    </w:p>
  </w:footnote>
  <w:footnote w:type="continuationNotice" w:id="1">
    <w:p w14:paraId="7A786F57" w14:textId="77777777" w:rsidR="008A7C46" w:rsidRDefault="008A7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A2D0" w14:textId="77777777" w:rsidR="001371E6" w:rsidRDefault="00137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hideSpellingErrors/>
  <w:hideGrammaticalErrors/>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E72"/>
    <w:rsid w:val="00005036"/>
    <w:rsid w:val="00006F3F"/>
    <w:rsid w:val="00007570"/>
    <w:rsid w:val="00012B10"/>
    <w:rsid w:val="00014483"/>
    <w:rsid w:val="00014D10"/>
    <w:rsid w:val="000158D4"/>
    <w:rsid w:val="00016506"/>
    <w:rsid w:val="00030DC0"/>
    <w:rsid w:val="0004091A"/>
    <w:rsid w:val="00045FA6"/>
    <w:rsid w:val="00055026"/>
    <w:rsid w:val="00055D77"/>
    <w:rsid w:val="00063D1C"/>
    <w:rsid w:val="00073182"/>
    <w:rsid w:val="000776A2"/>
    <w:rsid w:val="00081C15"/>
    <w:rsid w:val="000B741A"/>
    <w:rsid w:val="000E07FB"/>
    <w:rsid w:val="000F3FCC"/>
    <w:rsid w:val="00102624"/>
    <w:rsid w:val="0010612F"/>
    <w:rsid w:val="00117FA3"/>
    <w:rsid w:val="00123390"/>
    <w:rsid w:val="001241B0"/>
    <w:rsid w:val="001371E6"/>
    <w:rsid w:val="00147BE1"/>
    <w:rsid w:val="00184801"/>
    <w:rsid w:val="0018741B"/>
    <w:rsid w:val="001A5892"/>
    <w:rsid w:val="001E19F2"/>
    <w:rsid w:val="001E4365"/>
    <w:rsid w:val="001F0899"/>
    <w:rsid w:val="00216189"/>
    <w:rsid w:val="002A2BE3"/>
    <w:rsid w:val="002A56AC"/>
    <w:rsid w:val="002B7D88"/>
    <w:rsid w:val="002C33CC"/>
    <w:rsid w:val="002C5706"/>
    <w:rsid w:val="002D5A10"/>
    <w:rsid w:val="002F056D"/>
    <w:rsid w:val="002F13DA"/>
    <w:rsid w:val="00302134"/>
    <w:rsid w:val="00326D7B"/>
    <w:rsid w:val="00337A34"/>
    <w:rsid w:val="00341707"/>
    <w:rsid w:val="00344CA4"/>
    <w:rsid w:val="00353399"/>
    <w:rsid w:val="003736FB"/>
    <w:rsid w:val="00385929"/>
    <w:rsid w:val="00391304"/>
    <w:rsid w:val="00391681"/>
    <w:rsid w:val="003929F2"/>
    <w:rsid w:val="003978E2"/>
    <w:rsid w:val="003C091B"/>
    <w:rsid w:val="003C0CD4"/>
    <w:rsid w:val="003D1D77"/>
    <w:rsid w:val="00407D64"/>
    <w:rsid w:val="00420404"/>
    <w:rsid w:val="00426282"/>
    <w:rsid w:val="00437D3F"/>
    <w:rsid w:val="00473FB2"/>
    <w:rsid w:val="0047559F"/>
    <w:rsid w:val="0048375B"/>
    <w:rsid w:val="004904F5"/>
    <w:rsid w:val="004A3FB1"/>
    <w:rsid w:val="004B0E72"/>
    <w:rsid w:val="004B3B5F"/>
    <w:rsid w:val="004C1ED4"/>
    <w:rsid w:val="004D0358"/>
    <w:rsid w:val="004D2D5D"/>
    <w:rsid w:val="004D58F0"/>
    <w:rsid w:val="004E318A"/>
    <w:rsid w:val="004F1897"/>
    <w:rsid w:val="0050338F"/>
    <w:rsid w:val="00503FF3"/>
    <w:rsid w:val="0052024D"/>
    <w:rsid w:val="00523684"/>
    <w:rsid w:val="00523BF6"/>
    <w:rsid w:val="00532C6A"/>
    <w:rsid w:val="00533881"/>
    <w:rsid w:val="00536A2F"/>
    <w:rsid w:val="005376B7"/>
    <w:rsid w:val="00547595"/>
    <w:rsid w:val="00557082"/>
    <w:rsid w:val="005845DF"/>
    <w:rsid w:val="0058719F"/>
    <w:rsid w:val="00595F54"/>
    <w:rsid w:val="005B62DD"/>
    <w:rsid w:val="005C2498"/>
    <w:rsid w:val="005E4169"/>
    <w:rsid w:val="005E5777"/>
    <w:rsid w:val="005F2993"/>
    <w:rsid w:val="00622320"/>
    <w:rsid w:val="00624327"/>
    <w:rsid w:val="00653B32"/>
    <w:rsid w:val="00671025"/>
    <w:rsid w:val="0069249A"/>
    <w:rsid w:val="006A53F3"/>
    <w:rsid w:val="006A5E0A"/>
    <w:rsid w:val="006A617B"/>
    <w:rsid w:val="006C4441"/>
    <w:rsid w:val="006D2604"/>
    <w:rsid w:val="006E0663"/>
    <w:rsid w:val="006E529C"/>
    <w:rsid w:val="006F3F64"/>
    <w:rsid w:val="00701452"/>
    <w:rsid w:val="00716F5B"/>
    <w:rsid w:val="00726E9A"/>
    <w:rsid w:val="00733A36"/>
    <w:rsid w:val="00745ACE"/>
    <w:rsid w:val="00751E46"/>
    <w:rsid w:val="00754180"/>
    <w:rsid w:val="0076220F"/>
    <w:rsid w:val="0076662A"/>
    <w:rsid w:val="0076739F"/>
    <w:rsid w:val="00771713"/>
    <w:rsid w:val="00780FD6"/>
    <w:rsid w:val="007A5CC1"/>
    <w:rsid w:val="007B16B9"/>
    <w:rsid w:val="007B188A"/>
    <w:rsid w:val="007B4E37"/>
    <w:rsid w:val="007B609B"/>
    <w:rsid w:val="007C3C62"/>
    <w:rsid w:val="007E4684"/>
    <w:rsid w:val="00820C9C"/>
    <w:rsid w:val="00825E24"/>
    <w:rsid w:val="00830DAE"/>
    <w:rsid w:val="00841761"/>
    <w:rsid w:val="008536E1"/>
    <w:rsid w:val="00861392"/>
    <w:rsid w:val="00870E84"/>
    <w:rsid w:val="008938E0"/>
    <w:rsid w:val="008A7C46"/>
    <w:rsid w:val="008C0358"/>
    <w:rsid w:val="008C3B20"/>
    <w:rsid w:val="008E28CE"/>
    <w:rsid w:val="00924F91"/>
    <w:rsid w:val="00926C89"/>
    <w:rsid w:val="00943A4D"/>
    <w:rsid w:val="009506DF"/>
    <w:rsid w:val="00951BD5"/>
    <w:rsid w:val="00952352"/>
    <w:rsid w:val="00952597"/>
    <w:rsid w:val="0096193B"/>
    <w:rsid w:val="00981414"/>
    <w:rsid w:val="009875C4"/>
    <w:rsid w:val="009B216C"/>
    <w:rsid w:val="009C0352"/>
    <w:rsid w:val="00A27FB4"/>
    <w:rsid w:val="00A4296D"/>
    <w:rsid w:val="00A5381F"/>
    <w:rsid w:val="00A637B5"/>
    <w:rsid w:val="00A75851"/>
    <w:rsid w:val="00A77539"/>
    <w:rsid w:val="00A97069"/>
    <w:rsid w:val="00AB15D8"/>
    <w:rsid w:val="00AB2D26"/>
    <w:rsid w:val="00AD6028"/>
    <w:rsid w:val="00AE2542"/>
    <w:rsid w:val="00AE3358"/>
    <w:rsid w:val="00B10F0A"/>
    <w:rsid w:val="00B12D28"/>
    <w:rsid w:val="00B27677"/>
    <w:rsid w:val="00B41925"/>
    <w:rsid w:val="00B5118D"/>
    <w:rsid w:val="00B71BC8"/>
    <w:rsid w:val="00B748C2"/>
    <w:rsid w:val="00B80029"/>
    <w:rsid w:val="00B930A6"/>
    <w:rsid w:val="00BA44AC"/>
    <w:rsid w:val="00BB3BD8"/>
    <w:rsid w:val="00BD486C"/>
    <w:rsid w:val="00BE6AA5"/>
    <w:rsid w:val="00BF1002"/>
    <w:rsid w:val="00BF7788"/>
    <w:rsid w:val="00C15928"/>
    <w:rsid w:val="00C162A5"/>
    <w:rsid w:val="00C16710"/>
    <w:rsid w:val="00C22D04"/>
    <w:rsid w:val="00C30D2B"/>
    <w:rsid w:val="00C526E6"/>
    <w:rsid w:val="00C6214B"/>
    <w:rsid w:val="00C64FAB"/>
    <w:rsid w:val="00C65982"/>
    <w:rsid w:val="00CB3961"/>
    <w:rsid w:val="00CC3D4A"/>
    <w:rsid w:val="00CC5F66"/>
    <w:rsid w:val="00CC7FE8"/>
    <w:rsid w:val="00CD2CFF"/>
    <w:rsid w:val="00CD2DB6"/>
    <w:rsid w:val="00CF1B47"/>
    <w:rsid w:val="00CF26F1"/>
    <w:rsid w:val="00CF78BE"/>
    <w:rsid w:val="00D20E45"/>
    <w:rsid w:val="00D374C8"/>
    <w:rsid w:val="00D53AF0"/>
    <w:rsid w:val="00D70FFD"/>
    <w:rsid w:val="00D72557"/>
    <w:rsid w:val="00D748A3"/>
    <w:rsid w:val="00DB5BB6"/>
    <w:rsid w:val="00DC12E9"/>
    <w:rsid w:val="00DE22E1"/>
    <w:rsid w:val="00E33727"/>
    <w:rsid w:val="00E45C1E"/>
    <w:rsid w:val="00E54911"/>
    <w:rsid w:val="00E623E9"/>
    <w:rsid w:val="00E72831"/>
    <w:rsid w:val="00E87C6B"/>
    <w:rsid w:val="00E94CAF"/>
    <w:rsid w:val="00EC6961"/>
    <w:rsid w:val="00ED1CB7"/>
    <w:rsid w:val="00EF23A9"/>
    <w:rsid w:val="00F210AB"/>
    <w:rsid w:val="00F2265E"/>
    <w:rsid w:val="00F22F32"/>
    <w:rsid w:val="00F306B9"/>
    <w:rsid w:val="00F3226D"/>
    <w:rsid w:val="00F43A52"/>
    <w:rsid w:val="00F558A2"/>
    <w:rsid w:val="00F64BB1"/>
    <w:rsid w:val="00F738DB"/>
    <w:rsid w:val="00F849CD"/>
    <w:rsid w:val="00F857B7"/>
    <w:rsid w:val="00F8605F"/>
    <w:rsid w:val="00F87573"/>
    <w:rsid w:val="00F9335F"/>
    <w:rsid w:val="00FB1D82"/>
    <w:rsid w:val="00FB4DED"/>
    <w:rsid w:val="00FC04A9"/>
    <w:rsid w:val="00FD201E"/>
    <w:rsid w:val="00FE3B99"/>
    <w:rsid w:val="00FE6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302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84801"/>
    <w:pPr>
      <w:spacing w:before="100" w:beforeAutospacing="1" w:after="100" w:afterAutospacing="1"/>
      <w:outlineLvl w:val="0"/>
    </w:pPr>
    <w:rPr>
      <w:rFonts w:ascii="Times" w:eastAsiaTheme="minorEastAsia" w:hAnsi="Times"/>
      <w:b/>
      <w:bCs/>
      <w:kern w:val="36"/>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801"/>
    <w:rPr>
      <w:rFonts w:ascii="Times" w:eastAsiaTheme="minorEastAsia" w:hAnsi="Times"/>
      <w:b/>
      <w:bCs/>
      <w:kern w:val="36"/>
      <w:sz w:val="48"/>
      <w:szCs w:val="48"/>
      <w:lang w:val="en-GB"/>
    </w:rPr>
  </w:style>
  <w:style w:type="paragraph" w:customStyle="1" w:styleId="p1">
    <w:name w:val="p1"/>
    <w:basedOn w:val="Normal"/>
    <w:rsid w:val="009C0352"/>
    <w:rPr>
      <w:rFonts w:ascii="Helvetica" w:hAnsi="Helvetica"/>
      <w:sz w:val="15"/>
      <w:szCs w:val="15"/>
    </w:rPr>
  </w:style>
  <w:style w:type="paragraph" w:customStyle="1" w:styleId="p2">
    <w:name w:val="p2"/>
    <w:basedOn w:val="Normal"/>
    <w:rsid w:val="009C0352"/>
    <w:rPr>
      <w:rFonts w:ascii="Helvetica" w:hAnsi="Helvetica"/>
      <w:sz w:val="12"/>
      <w:szCs w:val="12"/>
    </w:rPr>
  </w:style>
  <w:style w:type="character" w:customStyle="1" w:styleId="s1">
    <w:name w:val="s1"/>
    <w:basedOn w:val="DefaultParagraphFont"/>
    <w:rsid w:val="009C0352"/>
    <w:rPr>
      <w:rFonts w:ascii="Helvetica" w:hAnsi="Helvetica" w:hint="default"/>
      <w:sz w:val="9"/>
      <w:szCs w:val="9"/>
    </w:rPr>
  </w:style>
  <w:style w:type="character" w:customStyle="1" w:styleId="apple-converted-space">
    <w:name w:val="apple-converted-space"/>
    <w:basedOn w:val="DefaultParagraphFont"/>
    <w:rsid w:val="009C0352"/>
  </w:style>
  <w:style w:type="character" w:customStyle="1" w:styleId="s2">
    <w:name w:val="s2"/>
    <w:basedOn w:val="DefaultParagraphFont"/>
    <w:rsid w:val="002C5706"/>
    <w:rPr>
      <w:rFonts w:ascii="Helvetica" w:hAnsi="Helvetica" w:hint="default"/>
      <w:sz w:val="11"/>
      <w:szCs w:val="11"/>
    </w:rPr>
  </w:style>
  <w:style w:type="character" w:styleId="Emphasis">
    <w:name w:val="Emphasis"/>
    <w:basedOn w:val="DefaultParagraphFont"/>
    <w:uiPriority w:val="20"/>
    <w:qFormat/>
    <w:rsid w:val="0069249A"/>
    <w:rPr>
      <w:i/>
      <w:iCs/>
    </w:rPr>
  </w:style>
  <w:style w:type="character" w:styleId="Strong">
    <w:name w:val="Strong"/>
    <w:basedOn w:val="DefaultParagraphFont"/>
    <w:uiPriority w:val="22"/>
    <w:qFormat/>
    <w:rsid w:val="00117FA3"/>
    <w:rPr>
      <w:b/>
      <w:bCs/>
    </w:rPr>
  </w:style>
  <w:style w:type="paragraph" w:styleId="DocumentMap">
    <w:name w:val="Document Map"/>
    <w:basedOn w:val="Normal"/>
    <w:link w:val="DocumentMapChar"/>
    <w:uiPriority w:val="99"/>
    <w:semiHidden/>
    <w:unhideWhenUsed/>
    <w:rsid w:val="00820C9C"/>
    <w:rPr>
      <w:rFonts w:ascii="Times New Roman" w:hAnsi="Times New Roman"/>
    </w:rPr>
  </w:style>
  <w:style w:type="character" w:customStyle="1" w:styleId="DocumentMapChar">
    <w:name w:val="Document Map Char"/>
    <w:basedOn w:val="DefaultParagraphFont"/>
    <w:link w:val="DocumentMap"/>
    <w:uiPriority w:val="99"/>
    <w:semiHidden/>
    <w:rsid w:val="00820C9C"/>
    <w:rPr>
      <w:rFonts w:ascii="Times New Roman" w:hAnsi="Times New Roman"/>
    </w:rPr>
  </w:style>
  <w:style w:type="paragraph" w:styleId="Footer">
    <w:name w:val="footer"/>
    <w:basedOn w:val="Normal"/>
    <w:link w:val="FooterChar"/>
    <w:uiPriority w:val="99"/>
    <w:unhideWhenUsed/>
    <w:rsid w:val="00E33727"/>
    <w:pPr>
      <w:tabs>
        <w:tab w:val="center" w:pos="4513"/>
        <w:tab w:val="right" w:pos="9026"/>
      </w:tabs>
    </w:pPr>
  </w:style>
  <w:style w:type="character" w:customStyle="1" w:styleId="FooterChar">
    <w:name w:val="Footer Char"/>
    <w:basedOn w:val="DefaultParagraphFont"/>
    <w:link w:val="Footer"/>
    <w:uiPriority w:val="99"/>
    <w:rsid w:val="00E33727"/>
  </w:style>
  <w:style w:type="character" w:styleId="PageNumber">
    <w:name w:val="page number"/>
    <w:basedOn w:val="DefaultParagraphFont"/>
    <w:uiPriority w:val="99"/>
    <w:semiHidden/>
    <w:unhideWhenUsed/>
    <w:rsid w:val="00E33727"/>
  </w:style>
  <w:style w:type="character" w:styleId="LineNumber">
    <w:name w:val="line number"/>
    <w:basedOn w:val="DefaultParagraphFont"/>
    <w:uiPriority w:val="99"/>
    <w:semiHidden/>
    <w:unhideWhenUsed/>
    <w:rsid w:val="00E33727"/>
  </w:style>
  <w:style w:type="paragraph" w:styleId="Header">
    <w:name w:val="header"/>
    <w:basedOn w:val="Normal"/>
    <w:link w:val="HeaderChar"/>
    <w:uiPriority w:val="99"/>
    <w:unhideWhenUsed/>
    <w:rsid w:val="001371E6"/>
    <w:pPr>
      <w:tabs>
        <w:tab w:val="center" w:pos="4680"/>
        <w:tab w:val="right" w:pos="9360"/>
      </w:tabs>
    </w:pPr>
  </w:style>
  <w:style w:type="character" w:customStyle="1" w:styleId="HeaderChar">
    <w:name w:val="Header Char"/>
    <w:basedOn w:val="DefaultParagraphFont"/>
    <w:link w:val="Header"/>
    <w:uiPriority w:val="99"/>
    <w:rsid w:val="001371E6"/>
  </w:style>
  <w:style w:type="paragraph" w:styleId="BalloonText">
    <w:name w:val="Balloon Text"/>
    <w:basedOn w:val="Normal"/>
    <w:link w:val="BalloonTextChar"/>
    <w:uiPriority w:val="99"/>
    <w:semiHidden/>
    <w:unhideWhenUsed/>
    <w:rsid w:val="001371E6"/>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371E6"/>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80129">
      <w:bodyDiv w:val="1"/>
      <w:marLeft w:val="0"/>
      <w:marRight w:val="0"/>
      <w:marTop w:val="0"/>
      <w:marBottom w:val="0"/>
      <w:divBdr>
        <w:top w:val="none" w:sz="0" w:space="0" w:color="auto"/>
        <w:left w:val="none" w:sz="0" w:space="0" w:color="auto"/>
        <w:bottom w:val="none" w:sz="0" w:space="0" w:color="auto"/>
        <w:right w:val="none" w:sz="0" w:space="0" w:color="auto"/>
      </w:divBdr>
    </w:div>
    <w:div w:id="97721269">
      <w:bodyDiv w:val="1"/>
      <w:marLeft w:val="0"/>
      <w:marRight w:val="0"/>
      <w:marTop w:val="0"/>
      <w:marBottom w:val="0"/>
      <w:divBdr>
        <w:top w:val="none" w:sz="0" w:space="0" w:color="auto"/>
        <w:left w:val="none" w:sz="0" w:space="0" w:color="auto"/>
        <w:bottom w:val="none" w:sz="0" w:space="0" w:color="auto"/>
        <w:right w:val="none" w:sz="0" w:space="0" w:color="auto"/>
      </w:divBdr>
    </w:div>
    <w:div w:id="325985361">
      <w:bodyDiv w:val="1"/>
      <w:marLeft w:val="0"/>
      <w:marRight w:val="0"/>
      <w:marTop w:val="0"/>
      <w:marBottom w:val="0"/>
      <w:divBdr>
        <w:top w:val="none" w:sz="0" w:space="0" w:color="auto"/>
        <w:left w:val="none" w:sz="0" w:space="0" w:color="auto"/>
        <w:bottom w:val="none" w:sz="0" w:space="0" w:color="auto"/>
        <w:right w:val="none" w:sz="0" w:space="0" w:color="auto"/>
      </w:divBdr>
    </w:div>
    <w:div w:id="805242947">
      <w:bodyDiv w:val="1"/>
      <w:marLeft w:val="0"/>
      <w:marRight w:val="0"/>
      <w:marTop w:val="0"/>
      <w:marBottom w:val="0"/>
      <w:divBdr>
        <w:top w:val="none" w:sz="0" w:space="0" w:color="auto"/>
        <w:left w:val="none" w:sz="0" w:space="0" w:color="auto"/>
        <w:bottom w:val="none" w:sz="0" w:space="0" w:color="auto"/>
        <w:right w:val="none" w:sz="0" w:space="0" w:color="auto"/>
      </w:divBdr>
    </w:div>
    <w:div w:id="958950682">
      <w:bodyDiv w:val="1"/>
      <w:marLeft w:val="0"/>
      <w:marRight w:val="0"/>
      <w:marTop w:val="0"/>
      <w:marBottom w:val="0"/>
      <w:divBdr>
        <w:top w:val="none" w:sz="0" w:space="0" w:color="auto"/>
        <w:left w:val="none" w:sz="0" w:space="0" w:color="auto"/>
        <w:bottom w:val="none" w:sz="0" w:space="0" w:color="auto"/>
        <w:right w:val="none" w:sz="0" w:space="0" w:color="auto"/>
      </w:divBdr>
    </w:div>
    <w:div w:id="1600721381">
      <w:bodyDiv w:val="1"/>
      <w:marLeft w:val="0"/>
      <w:marRight w:val="0"/>
      <w:marTop w:val="0"/>
      <w:marBottom w:val="0"/>
      <w:divBdr>
        <w:top w:val="none" w:sz="0" w:space="0" w:color="auto"/>
        <w:left w:val="none" w:sz="0" w:space="0" w:color="auto"/>
        <w:bottom w:val="none" w:sz="0" w:space="0" w:color="auto"/>
        <w:right w:val="none" w:sz="0" w:space="0" w:color="auto"/>
      </w:divBdr>
    </w:div>
    <w:div w:id="1669602480">
      <w:bodyDiv w:val="1"/>
      <w:marLeft w:val="0"/>
      <w:marRight w:val="0"/>
      <w:marTop w:val="0"/>
      <w:marBottom w:val="0"/>
      <w:divBdr>
        <w:top w:val="none" w:sz="0" w:space="0" w:color="auto"/>
        <w:left w:val="none" w:sz="0" w:space="0" w:color="auto"/>
        <w:bottom w:val="none" w:sz="0" w:space="0" w:color="auto"/>
        <w:right w:val="none" w:sz="0" w:space="0" w:color="auto"/>
      </w:divBdr>
    </w:div>
    <w:div w:id="1716083752">
      <w:bodyDiv w:val="1"/>
      <w:marLeft w:val="0"/>
      <w:marRight w:val="0"/>
      <w:marTop w:val="0"/>
      <w:marBottom w:val="0"/>
      <w:divBdr>
        <w:top w:val="none" w:sz="0" w:space="0" w:color="auto"/>
        <w:left w:val="none" w:sz="0" w:space="0" w:color="auto"/>
        <w:bottom w:val="none" w:sz="0" w:space="0" w:color="auto"/>
        <w:right w:val="none" w:sz="0" w:space="0" w:color="auto"/>
      </w:divBdr>
    </w:div>
    <w:div w:id="1888838100">
      <w:bodyDiv w:val="1"/>
      <w:marLeft w:val="0"/>
      <w:marRight w:val="0"/>
      <w:marTop w:val="0"/>
      <w:marBottom w:val="0"/>
      <w:divBdr>
        <w:top w:val="none" w:sz="0" w:space="0" w:color="auto"/>
        <w:left w:val="none" w:sz="0" w:space="0" w:color="auto"/>
        <w:bottom w:val="none" w:sz="0" w:space="0" w:color="auto"/>
        <w:right w:val="none" w:sz="0" w:space="0" w:color="auto"/>
      </w:divBdr>
    </w:div>
    <w:div w:id="1939168320">
      <w:bodyDiv w:val="1"/>
      <w:marLeft w:val="0"/>
      <w:marRight w:val="0"/>
      <w:marTop w:val="0"/>
      <w:marBottom w:val="0"/>
      <w:divBdr>
        <w:top w:val="none" w:sz="0" w:space="0" w:color="auto"/>
        <w:left w:val="none" w:sz="0" w:space="0" w:color="auto"/>
        <w:bottom w:val="none" w:sz="0" w:space="0" w:color="auto"/>
        <w:right w:val="none" w:sz="0" w:space="0" w:color="auto"/>
      </w:divBdr>
    </w:div>
    <w:div w:id="1977638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14191</Words>
  <Characters>80893</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Holder, Beth</dc:creator>
  <cp:keywords/>
  <dc:description/>
  <cp:lastModifiedBy>Beth Holder</cp:lastModifiedBy>
  <cp:revision>2</cp:revision>
  <cp:lastPrinted>2018-05-29T10:49:00Z</cp:lastPrinted>
  <dcterms:created xsi:type="dcterms:W3CDTF">2018-07-25T12:10:00Z</dcterms:created>
  <dcterms:modified xsi:type="dcterms:W3CDTF">2018-07-25T12:10:00Z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8462a20e-4f5e-324a-a4c3-d8bda3063c3c</vt:lpwstr>
  </property>
  <property fmtid="{D5CDD505-2E9C-101B-9397-08002B2CF9AE}" pid="4" name="Mendeley Citation Style_1">
    <vt:lpwstr>http://www.zotero.org/styles/placenta</vt:lpwstr>
  </property>
</Properties>
</file>