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B134F" w14:textId="77777777" w:rsidR="00350249" w:rsidRDefault="00350249" w:rsidP="00350249">
      <w:pPr>
        <w:spacing w:after="160" w:line="278" w:lineRule="auto"/>
        <w:jc w:val="center"/>
        <w:rPr>
          <w:b/>
          <w:bCs/>
          <w:color w:val="000000"/>
          <w:lang w:eastAsia="en-GB"/>
        </w:rPr>
      </w:pPr>
      <w:r w:rsidRPr="00350249">
        <w:rPr>
          <w:b/>
          <w:bCs/>
          <w:color w:val="000000"/>
          <w:lang w:eastAsia="en-GB"/>
        </w:rPr>
        <w:t>Woulda Shoulda Coulda?: The Impact of Predictive, Prescriptive, and Prospective Expectations on Stakeholder Reactions</w:t>
      </w:r>
    </w:p>
    <w:p w14:paraId="3097BEE7" w14:textId="77777777" w:rsidR="00350249" w:rsidRDefault="00350249" w:rsidP="00350249">
      <w:pPr>
        <w:spacing w:after="160" w:line="278" w:lineRule="auto"/>
        <w:jc w:val="center"/>
        <w:rPr>
          <w:b/>
          <w:bCs/>
          <w:color w:val="000000"/>
          <w:lang w:eastAsia="en-GB"/>
        </w:rPr>
      </w:pPr>
    </w:p>
    <w:p w14:paraId="699A9DFB" w14:textId="1A758397" w:rsidR="00350249" w:rsidRPr="00350249" w:rsidRDefault="00350249" w:rsidP="000D7C69">
      <w:pPr>
        <w:spacing w:line="360" w:lineRule="auto"/>
        <w:jc w:val="center"/>
        <w:rPr>
          <w:b/>
          <w:bCs/>
          <w:color w:val="000000"/>
          <w:lang w:eastAsia="en-GB"/>
        </w:rPr>
      </w:pPr>
      <w:r>
        <w:rPr>
          <w:b/>
          <w:bCs/>
          <w:color w:val="000000"/>
          <w:lang w:eastAsia="en-GB"/>
        </w:rPr>
        <w:t>YURI MISHINA</w:t>
      </w:r>
    </w:p>
    <w:p w14:paraId="57026A97" w14:textId="48DA193E" w:rsidR="00C405E7" w:rsidRPr="00350249" w:rsidRDefault="00C405E7" w:rsidP="000D7C69">
      <w:pPr>
        <w:spacing w:line="360" w:lineRule="auto"/>
        <w:jc w:val="center"/>
        <w:rPr>
          <w:b/>
          <w:bCs/>
          <w:color w:val="000000"/>
          <w:lang w:eastAsia="en-GB"/>
        </w:rPr>
      </w:pPr>
      <w:r>
        <w:rPr>
          <w:b/>
          <w:bCs/>
          <w:color w:val="000000"/>
          <w:lang w:eastAsia="en-GB"/>
        </w:rPr>
        <w:t>Imperial Business School</w:t>
      </w:r>
    </w:p>
    <w:p w14:paraId="1AF587D3" w14:textId="77777777" w:rsidR="00350249" w:rsidRPr="00350249" w:rsidRDefault="00350249" w:rsidP="000D7C69">
      <w:pPr>
        <w:spacing w:line="360" w:lineRule="auto"/>
        <w:jc w:val="center"/>
        <w:rPr>
          <w:b/>
          <w:bCs/>
          <w:color w:val="000000"/>
          <w:lang w:eastAsia="en-GB"/>
        </w:rPr>
      </w:pPr>
      <w:r w:rsidRPr="00350249">
        <w:rPr>
          <w:b/>
          <w:bCs/>
          <w:color w:val="000000"/>
          <w:lang w:eastAsia="en-GB"/>
        </w:rPr>
        <w:t>Room 197D, Tanaka Building</w:t>
      </w:r>
    </w:p>
    <w:p w14:paraId="37C68148" w14:textId="77777777" w:rsidR="00350249" w:rsidRPr="00350249" w:rsidRDefault="00350249" w:rsidP="000D7C69">
      <w:pPr>
        <w:spacing w:line="360" w:lineRule="auto"/>
        <w:jc w:val="center"/>
        <w:rPr>
          <w:b/>
          <w:bCs/>
          <w:color w:val="000000"/>
          <w:lang w:eastAsia="en-GB"/>
        </w:rPr>
      </w:pPr>
      <w:r w:rsidRPr="00350249">
        <w:rPr>
          <w:b/>
          <w:bCs/>
          <w:color w:val="000000"/>
          <w:lang w:eastAsia="en-GB"/>
        </w:rPr>
        <w:t>South Kensington campus</w:t>
      </w:r>
    </w:p>
    <w:p w14:paraId="555A6F29" w14:textId="77777777" w:rsidR="00350249" w:rsidRPr="00350249" w:rsidRDefault="00350249" w:rsidP="000D7C69">
      <w:pPr>
        <w:spacing w:line="360" w:lineRule="auto"/>
        <w:jc w:val="center"/>
        <w:rPr>
          <w:b/>
          <w:bCs/>
          <w:color w:val="000000"/>
          <w:lang w:eastAsia="en-GB"/>
        </w:rPr>
      </w:pPr>
      <w:r w:rsidRPr="00350249">
        <w:rPr>
          <w:b/>
          <w:bCs/>
          <w:color w:val="000000"/>
          <w:lang w:eastAsia="en-GB"/>
        </w:rPr>
        <w:t>London SW7 2AZ</w:t>
      </w:r>
    </w:p>
    <w:p w14:paraId="5EEAA61C" w14:textId="6FCA1CA2" w:rsidR="00350249" w:rsidRPr="00350249" w:rsidRDefault="00350249" w:rsidP="000D7C69">
      <w:pPr>
        <w:spacing w:line="360" w:lineRule="auto"/>
        <w:jc w:val="center"/>
        <w:rPr>
          <w:b/>
          <w:bCs/>
          <w:color w:val="000000"/>
          <w:lang w:eastAsia="en-GB"/>
        </w:rPr>
      </w:pPr>
      <w:r w:rsidRPr="00350249">
        <w:rPr>
          <w:b/>
          <w:bCs/>
          <w:color w:val="000000"/>
          <w:lang w:eastAsia="en-GB"/>
        </w:rPr>
        <w:t>T</w:t>
      </w:r>
      <w:r>
        <w:rPr>
          <w:b/>
          <w:bCs/>
          <w:color w:val="000000"/>
          <w:lang w:eastAsia="en-GB"/>
        </w:rPr>
        <w:t>el</w:t>
      </w:r>
      <w:r w:rsidRPr="00350249">
        <w:rPr>
          <w:b/>
          <w:bCs/>
          <w:color w:val="000000"/>
          <w:lang w:eastAsia="en-GB"/>
        </w:rPr>
        <w:t>: +44 (0)20 7594 9415</w:t>
      </w:r>
    </w:p>
    <w:p w14:paraId="6AF36852" w14:textId="78585537" w:rsidR="00350249" w:rsidRPr="00350249" w:rsidRDefault="00350249" w:rsidP="000D7C69">
      <w:pPr>
        <w:spacing w:line="360" w:lineRule="auto"/>
        <w:jc w:val="center"/>
        <w:rPr>
          <w:b/>
          <w:bCs/>
          <w:color w:val="000000"/>
          <w:lang w:eastAsia="en-GB"/>
        </w:rPr>
      </w:pPr>
      <w:r w:rsidRPr="00350249">
        <w:rPr>
          <w:b/>
          <w:bCs/>
          <w:color w:val="000000"/>
          <w:lang w:eastAsia="en-GB"/>
        </w:rPr>
        <w:t>E</w:t>
      </w:r>
      <w:r>
        <w:rPr>
          <w:b/>
          <w:bCs/>
          <w:color w:val="000000"/>
          <w:lang w:eastAsia="en-GB"/>
        </w:rPr>
        <w:t>mail</w:t>
      </w:r>
      <w:r w:rsidRPr="00350249">
        <w:rPr>
          <w:b/>
          <w:bCs/>
          <w:color w:val="000000"/>
          <w:lang w:eastAsia="en-GB"/>
        </w:rPr>
        <w:t>: y.mishina@imperial.ac.uk</w:t>
      </w:r>
    </w:p>
    <w:p w14:paraId="485A8983" w14:textId="77777777" w:rsidR="00350249" w:rsidRDefault="00350249" w:rsidP="000D7C69">
      <w:pPr>
        <w:spacing w:line="360" w:lineRule="auto"/>
        <w:jc w:val="center"/>
        <w:rPr>
          <w:b/>
          <w:bCs/>
          <w:color w:val="000000"/>
          <w:lang w:eastAsia="en-GB"/>
        </w:rPr>
      </w:pPr>
    </w:p>
    <w:p w14:paraId="08842497" w14:textId="309C5FDD" w:rsidR="00B77CBA" w:rsidRPr="00B77CBA" w:rsidRDefault="00B77CBA" w:rsidP="000D7C69">
      <w:pPr>
        <w:spacing w:line="360" w:lineRule="auto"/>
        <w:jc w:val="center"/>
        <w:rPr>
          <w:b/>
          <w:bCs/>
          <w:color w:val="000000"/>
          <w:lang w:eastAsia="en-GB"/>
        </w:rPr>
      </w:pPr>
      <w:r w:rsidRPr="00B77CBA">
        <w:rPr>
          <w:b/>
          <w:bCs/>
          <w:color w:val="000000"/>
          <w:lang w:eastAsia="en-GB"/>
        </w:rPr>
        <w:t>MAXINE YU</w:t>
      </w:r>
    </w:p>
    <w:p w14:paraId="521CBB22" w14:textId="77777777" w:rsidR="00B77CBA" w:rsidRPr="00B77CBA" w:rsidRDefault="00B77CBA" w:rsidP="000D7C69">
      <w:pPr>
        <w:spacing w:line="360" w:lineRule="auto"/>
        <w:jc w:val="center"/>
        <w:rPr>
          <w:b/>
          <w:bCs/>
          <w:color w:val="000000"/>
          <w:lang w:eastAsia="en-GB"/>
        </w:rPr>
      </w:pPr>
      <w:r w:rsidRPr="00B77CBA">
        <w:rPr>
          <w:b/>
          <w:bCs/>
          <w:color w:val="000000"/>
          <w:lang w:eastAsia="en-GB"/>
        </w:rPr>
        <w:t>NEOMA Business School</w:t>
      </w:r>
    </w:p>
    <w:p w14:paraId="333C12F8" w14:textId="77777777" w:rsidR="00B77CBA" w:rsidRDefault="00B77CBA" w:rsidP="000D7C69">
      <w:pPr>
        <w:spacing w:line="360" w:lineRule="auto"/>
        <w:jc w:val="center"/>
        <w:rPr>
          <w:b/>
          <w:bCs/>
          <w:color w:val="000000"/>
          <w:lang w:eastAsia="en-GB"/>
        </w:rPr>
      </w:pPr>
      <w:r w:rsidRPr="00B77CBA">
        <w:rPr>
          <w:b/>
          <w:bCs/>
          <w:color w:val="000000"/>
          <w:lang w:eastAsia="en-GB"/>
        </w:rPr>
        <w:t>59 Rue Pierre Taittinger</w:t>
      </w:r>
    </w:p>
    <w:p w14:paraId="3343E96F" w14:textId="41CB6705" w:rsidR="00B77CBA" w:rsidRPr="00B77CBA" w:rsidRDefault="00B77CBA" w:rsidP="000D7C69">
      <w:pPr>
        <w:spacing w:line="360" w:lineRule="auto"/>
        <w:jc w:val="center"/>
        <w:rPr>
          <w:b/>
          <w:bCs/>
          <w:color w:val="000000"/>
          <w:lang w:eastAsia="en-GB"/>
        </w:rPr>
      </w:pPr>
      <w:r w:rsidRPr="00B77CBA">
        <w:rPr>
          <w:b/>
          <w:bCs/>
          <w:color w:val="000000"/>
          <w:lang w:eastAsia="en-GB"/>
        </w:rPr>
        <w:t>51100 Reims, France</w:t>
      </w:r>
    </w:p>
    <w:p w14:paraId="5E468B70" w14:textId="4F5F183F" w:rsidR="00350249" w:rsidRDefault="00B77CBA" w:rsidP="000D7C69">
      <w:pPr>
        <w:spacing w:line="360" w:lineRule="auto"/>
        <w:jc w:val="center"/>
        <w:rPr>
          <w:b/>
          <w:bCs/>
          <w:color w:val="000000"/>
          <w:lang w:eastAsia="en-GB"/>
        </w:rPr>
      </w:pPr>
      <w:r w:rsidRPr="00B77CBA">
        <w:rPr>
          <w:b/>
          <w:bCs/>
          <w:color w:val="000000"/>
          <w:lang w:eastAsia="en-GB"/>
        </w:rPr>
        <w:t>Email: maxine.yu@neoma-bs.fr</w:t>
      </w:r>
    </w:p>
    <w:p w14:paraId="1AF7C562" w14:textId="77777777" w:rsidR="00B77CBA" w:rsidRDefault="00B77CBA" w:rsidP="000D7C69">
      <w:pPr>
        <w:spacing w:line="360" w:lineRule="auto"/>
        <w:jc w:val="center"/>
        <w:rPr>
          <w:b/>
          <w:bCs/>
          <w:color w:val="000000"/>
          <w:lang w:eastAsia="en-GB"/>
        </w:rPr>
      </w:pPr>
    </w:p>
    <w:p w14:paraId="615FBE2E" w14:textId="77777777" w:rsidR="00D414B7" w:rsidRPr="00D414B7" w:rsidRDefault="00D414B7" w:rsidP="000D7C69">
      <w:pPr>
        <w:spacing w:line="360" w:lineRule="auto"/>
        <w:jc w:val="center"/>
        <w:rPr>
          <w:b/>
          <w:bCs/>
          <w:color w:val="000000"/>
          <w:lang w:eastAsia="en-GB"/>
        </w:rPr>
      </w:pPr>
      <w:r w:rsidRPr="00D414B7">
        <w:rPr>
          <w:b/>
          <w:bCs/>
          <w:color w:val="000000"/>
          <w:lang w:eastAsia="en-GB"/>
        </w:rPr>
        <w:t>DAVID GOMULYA</w:t>
      </w:r>
    </w:p>
    <w:p w14:paraId="310FCA78" w14:textId="77777777" w:rsidR="00D414B7" w:rsidRPr="00D414B7" w:rsidRDefault="00D414B7" w:rsidP="000D7C69">
      <w:pPr>
        <w:spacing w:line="360" w:lineRule="auto"/>
        <w:jc w:val="center"/>
        <w:rPr>
          <w:b/>
          <w:bCs/>
          <w:color w:val="000000"/>
          <w:lang w:eastAsia="en-GB"/>
        </w:rPr>
      </w:pPr>
      <w:r w:rsidRPr="00D414B7">
        <w:rPr>
          <w:b/>
          <w:bCs/>
          <w:color w:val="000000"/>
          <w:lang w:eastAsia="en-GB"/>
        </w:rPr>
        <w:t>Singapore Management University</w:t>
      </w:r>
    </w:p>
    <w:p w14:paraId="45D73CAD" w14:textId="77777777" w:rsidR="00D414B7" w:rsidRPr="00D414B7" w:rsidRDefault="00D414B7" w:rsidP="000D7C69">
      <w:pPr>
        <w:spacing w:line="360" w:lineRule="auto"/>
        <w:jc w:val="center"/>
        <w:rPr>
          <w:b/>
          <w:bCs/>
          <w:color w:val="000000"/>
          <w:lang w:eastAsia="en-GB"/>
        </w:rPr>
      </w:pPr>
      <w:r w:rsidRPr="00D414B7">
        <w:rPr>
          <w:b/>
          <w:bCs/>
          <w:color w:val="000000"/>
          <w:lang w:eastAsia="en-GB"/>
        </w:rPr>
        <w:t>50 Stamford Road #05-01</w:t>
      </w:r>
    </w:p>
    <w:p w14:paraId="6D3FA5F1" w14:textId="77777777" w:rsidR="00D414B7" w:rsidRPr="00D414B7" w:rsidRDefault="00D414B7" w:rsidP="000D7C69">
      <w:pPr>
        <w:spacing w:line="360" w:lineRule="auto"/>
        <w:jc w:val="center"/>
        <w:rPr>
          <w:b/>
          <w:bCs/>
          <w:color w:val="000000"/>
          <w:lang w:eastAsia="en-GB"/>
        </w:rPr>
      </w:pPr>
      <w:r w:rsidRPr="00D414B7">
        <w:rPr>
          <w:b/>
          <w:bCs/>
          <w:color w:val="000000"/>
          <w:lang w:eastAsia="en-GB"/>
        </w:rPr>
        <w:t>Singapore 178899</w:t>
      </w:r>
    </w:p>
    <w:p w14:paraId="3DCDFA60" w14:textId="77777777" w:rsidR="00D414B7" w:rsidRPr="00D414B7" w:rsidRDefault="00D414B7" w:rsidP="000D7C69">
      <w:pPr>
        <w:spacing w:line="360" w:lineRule="auto"/>
        <w:jc w:val="center"/>
        <w:rPr>
          <w:b/>
          <w:bCs/>
          <w:color w:val="000000"/>
          <w:lang w:eastAsia="en-GB"/>
        </w:rPr>
      </w:pPr>
      <w:r w:rsidRPr="00D414B7">
        <w:rPr>
          <w:b/>
          <w:bCs/>
          <w:color w:val="000000"/>
          <w:lang w:eastAsia="en-GB"/>
        </w:rPr>
        <w:t>Tel: +65-6828-9694</w:t>
      </w:r>
    </w:p>
    <w:p w14:paraId="18229B47" w14:textId="220AF70A" w:rsidR="00B77CBA" w:rsidRDefault="00D414B7" w:rsidP="000D7C69">
      <w:pPr>
        <w:spacing w:line="360" w:lineRule="auto"/>
        <w:jc w:val="center"/>
        <w:rPr>
          <w:b/>
          <w:bCs/>
          <w:color w:val="000000"/>
          <w:lang w:eastAsia="en-GB"/>
        </w:rPr>
      </w:pPr>
      <w:r w:rsidRPr="00D414B7">
        <w:rPr>
          <w:b/>
          <w:bCs/>
          <w:color w:val="000000"/>
          <w:lang w:eastAsia="en-GB"/>
        </w:rPr>
        <w:t>Email: dgomulya@smu.edu.sg</w:t>
      </w:r>
    </w:p>
    <w:p w14:paraId="2B8B6FD2" w14:textId="77777777" w:rsidR="00786E66" w:rsidRDefault="00786E66" w:rsidP="000D7C69">
      <w:pPr>
        <w:spacing w:line="360" w:lineRule="auto"/>
        <w:rPr>
          <w:b/>
          <w:bCs/>
          <w:color w:val="000000"/>
          <w:lang w:eastAsia="en-GB"/>
        </w:rPr>
      </w:pPr>
    </w:p>
    <w:p w14:paraId="4324807B" w14:textId="28535E57" w:rsidR="00786E66" w:rsidRPr="00786E66" w:rsidRDefault="00786E66" w:rsidP="000D7C69">
      <w:pPr>
        <w:spacing w:line="360" w:lineRule="auto"/>
        <w:rPr>
          <w:color w:val="000000"/>
          <w:lang w:eastAsia="en-GB"/>
        </w:rPr>
      </w:pPr>
      <w:r>
        <w:rPr>
          <w:b/>
          <w:bCs/>
          <w:color w:val="000000"/>
          <w:lang w:eastAsia="en-GB"/>
        </w:rPr>
        <w:t xml:space="preserve">Acknowledgments: </w:t>
      </w:r>
      <w:r w:rsidRPr="00786E66">
        <w:rPr>
          <w:color w:val="000000"/>
          <w:lang w:eastAsia="en-GB"/>
        </w:rPr>
        <w:t xml:space="preserve">We would like to thank Associate Editor John Dencker and the three anonymous </w:t>
      </w:r>
      <w:r>
        <w:rPr>
          <w:color w:val="000000"/>
          <w:lang w:eastAsia="en-GB"/>
        </w:rPr>
        <w:t xml:space="preserve">AMJ </w:t>
      </w:r>
      <w:r w:rsidRPr="00786E66">
        <w:rPr>
          <w:color w:val="000000"/>
          <w:lang w:eastAsia="en-GB"/>
        </w:rPr>
        <w:t xml:space="preserve">reviewers </w:t>
      </w:r>
      <w:r>
        <w:rPr>
          <w:color w:val="000000"/>
          <w:lang w:eastAsia="en-GB"/>
        </w:rPr>
        <w:t xml:space="preserve">for their many useful comments and suggestions. </w:t>
      </w:r>
      <w:r w:rsidR="00A07199">
        <w:rPr>
          <w:color w:val="000000"/>
          <w:lang w:eastAsia="en-GB"/>
        </w:rPr>
        <w:t xml:space="preserve">A special thank you to </w:t>
      </w:r>
      <w:r w:rsidRPr="00786E66">
        <w:rPr>
          <w:color w:val="000000"/>
          <w:lang w:eastAsia="en-GB"/>
        </w:rPr>
        <w:t>Warren Boeker, Jon Bundy, Peggy Lee, and Sven Mikolon for friendly reviews</w:t>
      </w:r>
      <w:r w:rsidR="007557E6">
        <w:rPr>
          <w:color w:val="000000"/>
          <w:lang w:eastAsia="en-GB"/>
        </w:rPr>
        <w:t>;</w:t>
      </w:r>
      <w:r w:rsidR="00A07199">
        <w:rPr>
          <w:color w:val="000000"/>
          <w:lang w:eastAsia="en-GB"/>
        </w:rPr>
        <w:t xml:space="preserve"> Lisa Duke and Mayu Mishina for copyediting</w:t>
      </w:r>
      <w:r w:rsidR="007557E6">
        <w:rPr>
          <w:color w:val="000000"/>
          <w:lang w:eastAsia="en-GB"/>
        </w:rPr>
        <w:t>;</w:t>
      </w:r>
      <w:r w:rsidR="00A07199">
        <w:rPr>
          <w:color w:val="000000"/>
          <w:lang w:eastAsia="en-GB"/>
        </w:rPr>
        <w:t xml:space="preserve"> and </w:t>
      </w:r>
      <w:r w:rsidR="007557E6" w:rsidRPr="00786E66">
        <w:rPr>
          <w:color w:val="000000"/>
          <w:lang w:eastAsia="en-GB"/>
        </w:rPr>
        <w:t>Donal Crilly</w:t>
      </w:r>
      <w:r w:rsidR="007557E6">
        <w:rPr>
          <w:color w:val="000000"/>
          <w:lang w:eastAsia="en-GB"/>
        </w:rPr>
        <w:t xml:space="preserve">, </w:t>
      </w:r>
      <w:r w:rsidR="007557E6" w:rsidRPr="00786E66">
        <w:rPr>
          <w:color w:val="000000"/>
          <w:lang w:eastAsia="en-GB"/>
        </w:rPr>
        <w:t>Xavier Martin</w:t>
      </w:r>
      <w:r w:rsidR="007557E6">
        <w:rPr>
          <w:color w:val="000000"/>
          <w:lang w:eastAsia="en-GB"/>
        </w:rPr>
        <w:t xml:space="preserve">, and </w:t>
      </w:r>
      <w:r w:rsidR="00A07199">
        <w:rPr>
          <w:color w:val="000000"/>
          <w:lang w:eastAsia="en-GB"/>
        </w:rPr>
        <w:t xml:space="preserve">the </w:t>
      </w:r>
      <w:r w:rsidR="007557E6">
        <w:rPr>
          <w:color w:val="000000"/>
          <w:lang w:eastAsia="en-GB"/>
        </w:rPr>
        <w:t xml:space="preserve">other </w:t>
      </w:r>
      <w:r w:rsidR="00A67722">
        <w:rPr>
          <w:color w:val="000000"/>
          <w:lang w:eastAsia="en-GB"/>
        </w:rPr>
        <w:t>reviewers and audience members at Academy of Management and Strategic Management Society Annual Meetings for their helpful thoughts</w:t>
      </w:r>
      <w:r w:rsidRPr="00786E66">
        <w:rPr>
          <w:color w:val="000000"/>
          <w:lang w:eastAsia="en-GB"/>
        </w:rPr>
        <w:t xml:space="preserve">. </w:t>
      </w:r>
    </w:p>
    <w:p w14:paraId="55A9B2A5" w14:textId="4883603C" w:rsidR="00350249" w:rsidRDefault="00350249">
      <w:pPr>
        <w:spacing w:after="160" w:line="278" w:lineRule="auto"/>
        <w:rPr>
          <w:b/>
          <w:bCs/>
          <w:color w:val="000000"/>
          <w:lang w:eastAsia="en-GB"/>
        </w:rPr>
      </w:pPr>
      <w:r>
        <w:rPr>
          <w:b/>
          <w:bCs/>
          <w:color w:val="000000"/>
          <w:lang w:eastAsia="en-GB"/>
        </w:rPr>
        <w:br w:type="page"/>
      </w:r>
    </w:p>
    <w:p w14:paraId="648759DE" w14:textId="5089E882" w:rsidR="00FF6053" w:rsidRPr="00D7223F" w:rsidRDefault="002A7485" w:rsidP="00FF6053">
      <w:pPr>
        <w:spacing w:line="360" w:lineRule="auto"/>
        <w:jc w:val="center"/>
        <w:rPr>
          <w:b/>
          <w:bCs/>
          <w:color w:val="000000"/>
          <w:lang w:eastAsia="en-GB"/>
        </w:rPr>
      </w:pPr>
      <w:r>
        <w:rPr>
          <w:b/>
          <w:bCs/>
          <w:color w:val="000000"/>
          <w:lang w:eastAsia="en-GB"/>
        </w:rPr>
        <w:lastRenderedPageBreak/>
        <w:t>Woulda Shoulda</w:t>
      </w:r>
      <w:r w:rsidR="005C63E3" w:rsidRPr="005C63E3">
        <w:rPr>
          <w:b/>
          <w:bCs/>
          <w:color w:val="000000"/>
          <w:lang w:eastAsia="en-GB"/>
        </w:rPr>
        <w:t xml:space="preserve"> </w:t>
      </w:r>
      <w:r w:rsidR="005C63E3">
        <w:rPr>
          <w:b/>
          <w:bCs/>
          <w:color w:val="000000"/>
          <w:lang w:eastAsia="en-GB"/>
        </w:rPr>
        <w:t>Coulda</w:t>
      </w:r>
      <w:r w:rsidR="0005299E" w:rsidRPr="00D7223F">
        <w:rPr>
          <w:b/>
          <w:bCs/>
          <w:color w:val="000000"/>
          <w:lang w:eastAsia="en-GB"/>
        </w:rPr>
        <w:t>?</w:t>
      </w:r>
      <w:r w:rsidR="00DA33A2" w:rsidRPr="00D7223F">
        <w:rPr>
          <w:b/>
          <w:bCs/>
          <w:color w:val="000000"/>
          <w:lang w:eastAsia="en-GB"/>
        </w:rPr>
        <w:t xml:space="preserve">: </w:t>
      </w:r>
      <w:r w:rsidR="00C70655" w:rsidRPr="00D7223F">
        <w:rPr>
          <w:b/>
          <w:bCs/>
          <w:color w:val="000000"/>
          <w:lang w:eastAsia="en-GB"/>
        </w:rPr>
        <w:t xml:space="preserve">The Impact of </w:t>
      </w:r>
      <w:r>
        <w:rPr>
          <w:b/>
          <w:bCs/>
          <w:color w:val="000000"/>
          <w:lang w:eastAsia="en-GB"/>
        </w:rPr>
        <w:t>Predictive, Prescriptive, and Prospective Expectations</w:t>
      </w:r>
      <w:r w:rsidR="00987467" w:rsidRPr="00D7223F">
        <w:rPr>
          <w:b/>
          <w:bCs/>
          <w:color w:val="000000"/>
          <w:lang w:eastAsia="en-GB"/>
        </w:rPr>
        <w:t xml:space="preserve"> </w:t>
      </w:r>
      <w:r w:rsidR="00C70655" w:rsidRPr="00D7223F">
        <w:rPr>
          <w:b/>
          <w:bCs/>
          <w:color w:val="000000"/>
          <w:lang w:eastAsia="en-GB"/>
        </w:rPr>
        <w:t>on</w:t>
      </w:r>
      <w:r w:rsidR="00987467" w:rsidRPr="00D7223F">
        <w:rPr>
          <w:b/>
          <w:bCs/>
          <w:color w:val="000000"/>
          <w:lang w:eastAsia="en-GB"/>
        </w:rPr>
        <w:t xml:space="preserve"> </w:t>
      </w:r>
      <w:r w:rsidR="00EA275B">
        <w:rPr>
          <w:b/>
          <w:bCs/>
          <w:color w:val="000000"/>
          <w:lang w:eastAsia="en-GB"/>
        </w:rPr>
        <w:t>Stakeholder</w:t>
      </w:r>
      <w:r w:rsidR="00474260" w:rsidRPr="00D7223F">
        <w:rPr>
          <w:b/>
          <w:bCs/>
          <w:color w:val="000000"/>
          <w:lang w:eastAsia="en-GB"/>
        </w:rPr>
        <w:t xml:space="preserve"> Reaction</w:t>
      </w:r>
      <w:r w:rsidR="00987467" w:rsidRPr="00D7223F">
        <w:rPr>
          <w:b/>
          <w:bCs/>
          <w:color w:val="000000"/>
          <w:lang w:eastAsia="en-GB"/>
        </w:rPr>
        <w:t>s</w:t>
      </w:r>
    </w:p>
    <w:p w14:paraId="587B209B" w14:textId="77777777" w:rsidR="00942E1E" w:rsidRPr="00D7223F" w:rsidRDefault="00942E1E" w:rsidP="00FF6053">
      <w:pPr>
        <w:spacing w:line="360" w:lineRule="auto"/>
        <w:jc w:val="center"/>
        <w:rPr>
          <w:b/>
        </w:rPr>
      </w:pPr>
    </w:p>
    <w:p w14:paraId="378F7D27" w14:textId="77777777" w:rsidR="00FF6053" w:rsidRPr="00D7223F" w:rsidRDefault="00FF6053" w:rsidP="00FF6053">
      <w:pPr>
        <w:spacing w:line="360" w:lineRule="auto"/>
        <w:jc w:val="center"/>
        <w:rPr>
          <w:b/>
        </w:rPr>
      </w:pPr>
      <w:r w:rsidRPr="00D7223F">
        <w:rPr>
          <w:b/>
        </w:rPr>
        <w:t>ABSTRACT</w:t>
      </w:r>
    </w:p>
    <w:p w14:paraId="13D7A3DB" w14:textId="455425A9" w:rsidR="000906A4" w:rsidRPr="00D7223F" w:rsidRDefault="001D2693" w:rsidP="00C01CD9">
      <w:pPr>
        <w:spacing w:line="480" w:lineRule="auto"/>
        <w:ind w:firstLine="720"/>
        <w:rPr>
          <w:bCs/>
        </w:rPr>
      </w:pPr>
      <w:bookmarkStart w:id="0" w:name="OLE_LINK12"/>
      <w:r>
        <w:rPr>
          <w:bCs/>
        </w:rPr>
        <w:t>W</w:t>
      </w:r>
      <w:r w:rsidRPr="001D2693">
        <w:rPr>
          <w:bCs/>
        </w:rPr>
        <w:t xml:space="preserve">hen and why might stakeholders react to firm </w:t>
      </w:r>
      <w:r w:rsidR="009F0905">
        <w:rPr>
          <w:bCs/>
        </w:rPr>
        <w:t>activities</w:t>
      </w:r>
      <w:r w:rsidR="009F0905" w:rsidRPr="001D2693">
        <w:rPr>
          <w:bCs/>
        </w:rPr>
        <w:t xml:space="preserve"> </w:t>
      </w:r>
      <w:r w:rsidRPr="001D2693">
        <w:rPr>
          <w:bCs/>
        </w:rPr>
        <w:t>in ways that might be different</w:t>
      </w:r>
      <w:r w:rsidR="002D1489">
        <w:rPr>
          <w:bCs/>
        </w:rPr>
        <w:t xml:space="preserve"> than</w:t>
      </w:r>
      <w:r w:rsidRPr="001D2693">
        <w:rPr>
          <w:bCs/>
        </w:rPr>
        <w:t>, or even contradictory to</w:t>
      </w:r>
      <w:r w:rsidR="002D1489">
        <w:rPr>
          <w:bCs/>
        </w:rPr>
        <w:t>,</w:t>
      </w:r>
      <w:r w:rsidRPr="001D2693">
        <w:rPr>
          <w:bCs/>
        </w:rPr>
        <w:t xml:space="preserve"> what we might expect based on the extant research</w:t>
      </w:r>
      <w:r>
        <w:rPr>
          <w:bCs/>
        </w:rPr>
        <w:t>?</w:t>
      </w:r>
      <w:r w:rsidR="00E8604D">
        <w:rPr>
          <w:bCs/>
        </w:rPr>
        <w:t xml:space="preserve"> </w:t>
      </w:r>
      <w:r w:rsidR="00E8604D">
        <w:t xml:space="preserve">We draw on expectancy violation theory (EVT) and bring in the notion of </w:t>
      </w:r>
      <w:r w:rsidR="00EB51A2">
        <w:t>heuristics and</w:t>
      </w:r>
      <w:r w:rsidR="00E8604D">
        <w:t xml:space="preserve"> future-oriented expectations to examine this question</w:t>
      </w:r>
      <w:r w:rsidR="00E6435B">
        <w:t>,</w:t>
      </w:r>
      <w:r w:rsidR="00E8604D">
        <w:t xml:space="preserve"> using </w:t>
      </w:r>
      <w:r w:rsidRPr="001D2693">
        <w:rPr>
          <w:bCs/>
        </w:rPr>
        <w:t xml:space="preserve">a sample of investor reactions to earnings surprises from 2013 to 2019. </w:t>
      </w:r>
      <w:bookmarkStart w:id="1" w:name="OLE_LINK41"/>
      <w:r w:rsidRPr="001D2693">
        <w:rPr>
          <w:bCs/>
        </w:rPr>
        <w:t xml:space="preserve">We find that, in addition to comparing earnings to consensus earnings estimates, investors appear to compare the earnings surprises to </w:t>
      </w:r>
      <w:r w:rsidR="00C87A2D">
        <w:rPr>
          <w:bCs/>
        </w:rPr>
        <w:t>the</w:t>
      </w:r>
      <w:r w:rsidR="00C87A2D">
        <w:rPr>
          <w:rFonts w:hint="eastAsia"/>
          <w:bCs/>
        </w:rPr>
        <w:t xml:space="preserve"> firm</w:t>
      </w:r>
      <w:r w:rsidR="00C87A2D">
        <w:rPr>
          <w:bCs/>
        </w:rPr>
        <w:t>’</w:t>
      </w:r>
      <w:r w:rsidR="00C87A2D">
        <w:rPr>
          <w:rFonts w:hint="eastAsia"/>
          <w:bCs/>
        </w:rPr>
        <w:t>s</w:t>
      </w:r>
      <w:r w:rsidRPr="001D2693">
        <w:rPr>
          <w:bCs/>
        </w:rPr>
        <w:t xml:space="preserve"> past performance and to </w:t>
      </w:r>
      <w:r w:rsidR="00C87A2D">
        <w:rPr>
          <w:rFonts w:hint="eastAsia"/>
          <w:bCs/>
        </w:rPr>
        <w:t>its</w:t>
      </w:r>
      <w:r w:rsidRPr="001D2693">
        <w:rPr>
          <w:bCs/>
        </w:rPr>
        <w:t xml:space="preserve"> peers</w:t>
      </w:r>
      <w:r w:rsidR="00C87A2D">
        <w:rPr>
          <w:rFonts w:hint="eastAsia"/>
          <w:bCs/>
        </w:rPr>
        <w:t>.</w:t>
      </w:r>
      <w:r w:rsidR="00C87A2D" w:rsidRPr="00C87A2D">
        <w:t xml:space="preserve"> </w:t>
      </w:r>
      <w:r w:rsidR="0084011B">
        <w:rPr>
          <w:bCs/>
        </w:rPr>
        <w:t>Importantly</w:t>
      </w:r>
      <w:r w:rsidR="00C87A2D" w:rsidRPr="00C87A2D">
        <w:rPr>
          <w:bCs/>
        </w:rPr>
        <w:t>, their expectations regarding future interactions with the firm appear to shape their decisions</w:t>
      </w:r>
      <w:r w:rsidR="006A21D0">
        <w:rPr>
          <w:bCs/>
        </w:rPr>
        <w:t xml:space="preserve"> </w:t>
      </w:r>
      <w:r w:rsidR="00DD1169" w:rsidRPr="00292414">
        <w:rPr>
          <w:bCs/>
          <w:i/>
          <w:iCs/>
        </w:rPr>
        <w:t>and</w:t>
      </w:r>
      <w:r w:rsidR="00DD1169">
        <w:rPr>
          <w:bCs/>
        </w:rPr>
        <w:t xml:space="preserve"> generate </w:t>
      </w:r>
      <w:r w:rsidR="003810E6">
        <w:rPr>
          <w:bCs/>
        </w:rPr>
        <w:t xml:space="preserve">anticipatory </w:t>
      </w:r>
      <w:r w:rsidR="00DD1169">
        <w:rPr>
          <w:bCs/>
        </w:rPr>
        <w:t xml:space="preserve">reactions </w:t>
      </w:r>
      <w:r w:rsidR="00C03BDE">
        <w:rPr>
          <w:bCs/>
        </w:rPr>
        <w:t xml:space="preserve">despite a lack of full certainty </w:t>
      </w:r>
      <w:r w:rsidR="00FD0A07">
        <w:rPr>
          <w:bCs/>
        </w:rPr>
        <w:t>about</w:t>
      </w:r>
      <w:r w:rsidR="00C03BDE">
        <w:rPr>
          <w:bCs/>
        </w:rPr>
        <w:t xml:space="preserve"> the future</w:t>
      </w:r>
      <w:r w:rsidR="0084011B">
        <w:rPr>
          <w:bCs/>
        </w:rPr>
        <w:t>, a</w:t>
      </w:r>
      <w:r w:rsidR="000275D5">
        <w:rPr>
          <w:bCs/>
        </w:rPr>
        <w:t xml:space="preserve"> point notably absent </w:t>
      </w:r>
      <w:r w:rsidR="006A21D0">
        <w:rPr>
          <w:bCs/>
        </w:rPr>
        <w:t>from</w:t>
      </w:r>
      <w:r w:rsidR="000275D5">
        <w:rPr>
          <w:bCs/>
        </w:rPr>
        <w:t xml:space="preserve"> the EVT literature so far</w:t>
      </w:r>
      <w:r w:rsidR="003810E6">
        <w:rPr>
          <w:bCs/>
        </w:rPr>
        <w:t>, which has tended to be reactive</w:t>
      </w:r>
      <w:r w:rsidRPr="001D2693">
        <w:rPr>
          <w:bCs/>
        </w:rPr>
        <w:t xml:space="preserve">. </w:t>
      </w:r>
      <w:r w:rsidR="007129DA">
        <w:rPr>
          <w:bCs/>
        </w:rPr>
        <w:t>N</w:t>
      </w:r>
      <w:r w:rsidRPr="001D2693">
        <w:rPr>
          <w:bCs/>
        </w:rPr>
        <w:t>umerous robustness checks and post hoc analyses</w:t>
      </w:r>
      <w:r w:rsidR="007129DA">
        <w:rPr>
          <w:bCs/>
        </w:rPr>
        <w:t xml:space="preserve"> indicate</w:t>
      </w:r>
      <w:r w:rsidRPr="001D2693">
        <w:rPr>
          <w:bCs/>
        </w:rPr>
        <w:t xml:space="preserve"> that this behavior is not necessarily driven by unsophisticated investors, as initially predicted, but seemingly by institutional investors who rely on </w:t>
      </w:r>
      <w:r w:rsidRPr="007129DA">
        <w:rPr>
          <w:bCs/>
        </w:rPr>
        <w:t>these multiple expectations</w:t>
      </w:r>
      <w:r w:rsidR="00C87A2D">
        <w:rPr>
          <w:rFonts w:hint="eastAsia"/>
          <w:bCs/>
        </w:rPr>
        <w:t>,</w:t>
      </w:r>
      <w:r w:rsidRPr="001D2693">
        <w:rPr>
          <w:bCs/>
        </w:rPr>
        <w:t xml:space="preserve"> even though that may not be </w:t>
      </w:r>
      <w:r w:rsidR="00C87A2D">
        <w:rPr>
          <w:rFonts w:hint="eastAsia"/>
          <w:bCs/>
        </w:rPr>
        <w:t>entirely</w:t>
      </w:r>
      <w:r w:rsidR="00C87A2D" w:rsidRPr="001D2693">
        <w:rPr>
          <w:bCs/>
        </w:rPr>
        <w:t xml:space="preserve"> </w:t>
      </w:r>
      <w:r w:rsidRPr="001D2693">
        <w:rPr>
          <w:bCs/>
        </w:rPr>
        <w:t>rational.</w:t>
      </w:r>
      <w:r w:rsidR="00E8604D">
        <w:rPr>
          <w:bCs/>
        </w:rPr>
        <w:t xml:space="preserve"> </w:t>
      </w:r>
      <w:bookmarkEnd w:id="1"/>
      <w:r w:rsidRPr="001D2693">
        <w:rPr>
          <w:bCs/>
        </w:rPr>
        <w:t xml:space="preserve">Our theorizing and findings make </w:t>
      </w:r>
      <w:r w:rsidR="00E8604D">
        <w:rPr>
          <w:bCs/>
        </w:rPr>
        <w:t>several</w:t>
      </w:r>
      <w:r w:rsidRPr="001D2693">
        <w:rPr>
          <w:bCs/>
        </w:rPr>
        <w:t xml:space="preserve"> contributions to the EVT literature</w:t>
      </w:r>
      <w:r w:rsidR="00E8604D">
        <w:rPr>
          <w:bCs/>
        </w:rPr>
        <w:t xml:space="preserve"> and offer practical insights for managers and investors.</w:t>
      </w:r>
    </w:p>
    <w:bookmarkEnd w:id="0"/>
    <w:p w14:paraId="0A77DEEB" w14:textId="08AAEFDD" w:rsidR="00FF6053" w:rsidRPr="00D7223F" w:rsidRDefault="00AC1A84" w:rsidP="00F4714F">
      <w:pPr>
        <w:spacing w:line="480" w:lineRule="auto"/>
        <w:rPr>
          <w:bCs/>
        </w:rPr>
      </w:pPr>
      <w:r w:rsidRPr="00D7223F">
        <w:rPr>
          <w:bCs/>
        </w:rPr>
        <w:t xml:space="preserve"> </w:t>
      </w:r>
      <w:r w:rsidR="00FF6053" w:rsidRPr="00D7223F">
        <w:rPr>
          <w:bCs/>
        </w:rPr>
        <w:br w:type="page"/>
      </w:r>
    </w:p>
    <w:p w14:paraId="5D35AA24" w14:textId="6ECD2016" w:rsidR="00EA275B" w:rsidRPr="00EA275B" w:rsidRDefault="00FF6053" w:rsidP="00EA275B">
      <w:pPr>
        <w:spacing w:line="360" w:lineRule="auto"/>
        <w:jc w:val="center"/>
        <w:rPr>
          <w:b/>
          <w:bCs/>
        </w:rPr>
      </w:pPr>
      <w:r w:rsidRPr="00D7223F">
        <w:rPr>
          <w:b/>
          <w:bCs/>
        </w:rPr>
        <w:lastRenderedPageBreak/>
        <w:t>INTRODUCTION</w:t>
      </w:r>
      <w:bookmarkStart w:id="2" w:name="OLE_LINK14"/>
      <w:bookmarkStart w:id="3" w:name="_Hlk157504931"/>
    </w:p>
    <w:p w14:paraId="633C208A" w14:textId="504B18BD" w:rsidR="00625240" w:rsidRDefault="00DF7BCF" w:rsidP="0022337B">
      <w:pPr>
        <w:spacing w:line="480" w:lineRule="auto"/>
        <w:ind w:firstLine="720"/>
      </w:pPr>
      <w:r>
        <w:t>In the third quarter of 2024,</w:t>
      </w:r>
      <w:r w:rsidR="009E4568">
        <w:t xml:space="preserve"> </w:t>
      </w:r>
      <w:r w:rsidR="00696274">
        <w:t xml:space="preserve">two firms that seemed to </w:t>
      </w:r>
      <w:r w:rsidR="006E71DA">
        <w:t xml:space="preserve">boast </w:t>
      </w:r>
      <w:r w:rsidR="00696274">
        <w:t xml:space="preserve">strong performance both experienced stock declines from unhappy investors. </w:t>
      </w:r>
      <w:r w:rsidR="00552256">
        <w:t xml:space="preserve">Eli Lilly posted revenues of $11.4 billion, a 20% increase over the previous quarter, but saw </w:t>
      </w:r>
      <w:r w:rsidR="00786BE6">
        <w:t xml:space="preserve">the value of its </w:t>
      </w:r>
      <w:r w:rsidR="00552256">
        <w:t xml:space="preserve">shares drop by 10% because investors </w:t>
      </w:r>
      <w:r w:rsidR="006E71DA">
        <w:t>did</w:t>
      </w:r>
      <w:r w:rsidR="007E4FD4">
        <w:t xml:space="preserve"> </w:t>
      </w:r>
      <w:r w:rsidR="006E71DA">
        <w:t>n</w:t>
      </w:r>
      <w:r w:rsidR="007E4FD4">
        <w:t>o</w:t>
      </w:r>
      <w:r w:rsidR="006E71DA">
        <w:t>t like</w:t>
      </w:r>
      <w:r w:rsidR="00552256">
        <w:t xml:space="preserve"> that the performance </w:t>
      </w:r>
      <w:r w:rsidR="006E71DA">
        <w:t xml:space="preserve">came in </w:t>
      </w:r>
      <w:r w:rsidR="00552256">
        <w:t xml:space="preserve">slightly below analyst estimates (Jagielski, 2024). </w:t>
      </w:r>
      <w:r>
        <w:t>Roughly a week earlier, Meta</w:t>
      </w:r>
      <w:r w:rsidR="00696274">
        <w:t xml:space="preserve"> saw its stock prices drop by 4%</w:t>
      </w:r>
      <w:r w:rsidR="00257607">
        <w:t xml:space="preserve">, despite reporting revenue growth and </w:t>
      </w:r>
      <w:r w:rsidR="002D14BF">
        <w:t xml:space="preserve">beating </w:t>
      </w:r>
      <w:r w:rsidRPr="00696274">
        <w:t>analyst expectations</w:t>
      </w:r>
      <w:r>
        <w:t xml:space="preserve"> for performance</w:t>
      </w:r>
      <w:r w:rsidR="00450F75">
        <w:t xml:space="preserve">. </w:t>
      </w:r>
      <w:r w:rsidR="00257607" w:rsidRPr="00257607">
        <w:t>The decline appeared to stem from investor</w:t>
      </w:r>
      <w:r w:rsidR="002A3052">
        <w:t>s’</w:t>
      </w:r>
      <w:r w:rsidR="00257607" w:rsidRPr="00257607">
        <w:t xml:space="preserve"> concerns that the company might face increased capital expenditures in the future</w:t>
      </w:r>
      <w:r w:rsidR="00257607">
        <w:t xml:space="preserve"> </w:t>
      </w:r>
      <w:r>
        <w:t>(Deffenbaugh, 2024).</w:t>
      </w:r>
      <w:r w:rsidR="00CA4D77">
        <w:t xml:space="preserve"> </w:t>
      </w:r>
    </w:p>
    <w:p w14:paraId="1C37CC77" w14:textId="5807D47A" w:rsidR="0022337B" w:rsidRDefault="00802A3E" w:rsidP="0022337B">
      <w:pPr>
        <w:spacing w:line="480" w:lineRule="auto"/>
        <w:ind w:firstLine="720"/>
      </w:pPr>
      <w:r>
        <w:t>While</w:t>
      </w:r>
      <w:r w:rsidR="00257607">
        <w:t xml:space="preserve"> t</w:t>
      </w:r>
      <w:r w:rsidR="00CA4D77">
        <w:t xml:space="preserve">he </w:t>
      </w:r>
      <w:r w:rsidR="00257607">
        <w:t xml:space="preserve">negative reaction </w:t>
      </w:r>
      <w:r>
        <w:t>from</w:t>
      </w:r>
      <w:r w:rsidR="00257607">
        <w:t xml:space="preserve"> E</w:t>
      </w:r>
      <w:r w:rsidR="00572799">
        <w:t>l</w:t>
      </w:r>
      <w:r w:rsidR="002A3052">
        <w:t>i</w:t>
      </w:r>
      <w:r w:rsidR="00257607">
        <w:t xml:space="preserve"> Lilly’</w:t>
      </w:r>
      <w:r w:rsidR="00572799">
        <w:t>s</w:t>
      </w:r>
      <w:r w:rsidR="00257607">
        <w:t xml:space="preserve"> investors </w:t>
      </w:r>
      <w:r w:rsidR="00257607" w:rsidRPr="00DC6C56">
        <w:t>seem</w:t>
      </w:r>
      <w:r w:rsidR="00615AAC" w:rsidRPr="00DC6C56">
        <w:t>s</w:t>
      </w:r>
      <w:r w:rsidR="00257607">
        <w:t xml:space="preserve"> </w:t>
      </w:r>
      <w:r w:rsidR="00786BE6">
        <w:t>counter</w:t>
      </w:r>
      <w:r w:rsidR="000C0E31">
        <w:t xml:space="preserve"> to what </w:t>
      </w:r>
      <w:r w:rsidR="00EF03FA">
        <w:t xml:space="preserve">one </w:t>
      </w:r>
      <w:r w:rsidR="000C0E31">
        <w:t xml:space="preserve">might </w:t>
      </w:r>
      <w:r w:rsidR="00EF03FA">
        <w:t xml:space="preserve">predict given the </w:t>
      </w:r>
      <w:r w:rsidR="00615AAC">
        <w:t>circumstances</w:t>
      </w:r>
      <w:r w:rsidR="00257607">
        <w:t xml:space="preserve">, </w:t>
      </w:r>
      <w:r w:rsidR="00552256">
        <w:t>expectancy violations theory (EVT) (e.g., Burgoon, 1993, 2015)</w:t>
      </w:r>
      <w:r w:rsidR="00257607">
        <w:t xml:space="preserve"> </w:t>
      </w:r>
      <w:r w:rsidR="00615AAC">
        <w:t xml:space="preserve">in fact </w:t>
      </w:r>
      <w:r w:rsidR="00257607">
        <w:t>suggests that</w:t>
      </w:r>
      <w:r w:rsidR="00552256">
        <w:t xml:space="preserve"> </w:t>
      </w:r>
      <w:r>
        <w:t xml:space="preserve">reactions are driven </w:t>
      </w:r>
      <w:r w:rsidRPr="00615AAC">
        <w:t>not</w:t>
      </w:r>
      <w:r>
        <w:t xml:space="preserve"> by the behavior</w:t>
      </w:r>
      <w:r w:rsidR="009E0157">
        <w:t>s themselves</w:t>
      </w:r>
      <w:r>
        <w:t xml:space="preserve"> but by </w:t>
      </w:r>
      <w:r w:rsidR="00190173">
        <w:t xml:space="preserve">the </w:t>
      </w:r>
      <w:r w:rsidR="00552256">
        <w:t xml:space="preserve">comparison </w:t>
      </w:r>
      <w:r w:rsidR="00190173">
        <w:t xml:space="preserve">of </w:t>
      </w:r>
      <w:r>
        <w:t xml:space="preserve">those </w:t>
      </w:r>
      <w:r w:rsidR="00190173">
        <w:t>behavior</w:t>
      </w:r>
      <w:r w:rsidR="00EF03FA">
        <w:t>s</w:t>
      </w:r>
      <w:r w:rsidR="00190173">
        <w:t xml:space="preserve"> </w:t>
      </w:r>
      <w:r w:rsidR="00552256">
        <w:t xml:space="preserve">to </w:t>
      </w:r>
      <w:r w:rsidR="00EF03FA">
        <w:t xml:space="preserve">ex ante </w:t>
      </w:r>
      <w:r w:rsidR="00552256">
        <w:t>expectations</w:t>
      </w:r>
      <w:r w:rsidR="00F7077D">
        <w:rPr>
          <w:rStyle w:val="FootnoteReference"/>
        </w:rPr>
        <w:footnoteReference w:id="2"/>
      </w:r>
      <w:r w:rsidR="00552256">
        <w:t xml:space="preserve"> </w:t>
      </w:r>
      <w:r w:rsidR="00CA4D77">
        <w:t>(Blagoeva, Kavusan, &amp; Jansen, 2020; Graffin, Haleblian, &amp; Kiley, 2016; Pfarrer, Pollock, &amp; Rindova, 2010)</w:t>
      </w:r>
      <w:r w:rsidR="00190173">
        <w:t>.</w:t>
      </w:r>
      <w:r w:rsidR="0017142B">
        <w:t xml:space="preserve"> </w:t>
      </w:r>
      <w:r w:rsidR="00615AAC">
        <w:t>T</w:t>
      </w:r>
      <w:r w:rsidR="00CA4D77">
        <w:t xml:space="preserve">he case of Meta </w:t>
      </w:r>
      <w:r w:rsidR="00615AAC">
        <w:t>is</w:t>
      </w:r>
      <w:r w:rsidR="00CA4D77">
        <w:t xml:space="preserve"> more perplexing</w:t>
      </w:r>
      <w:r w:rsidR="00615AAC">
        <w:t>, however,</w:t>
      </w:r>
      <w:r w:rsidR="00CA4D77">
        <w:t xml:space="preserve"> </w:t>
      </w:r>
      <w:r>
        <w:t>considering</w:t>
      </w:r>
      <w:r w:rsidR="00CA4D77">
        <w:t xml:space="preserve"> that Meta ha</w:t>
      </w:r>
      <w:r w:rsidR="00190173">
        <w:t>d</w:t>
      </w:r>
      <w:r w:rsidR="00CA4D77">
        <w:t xml:space="preserve"> </w:t>
      </w:r>
      <w:r w:rsidR="00CA4D77" w:rsidRPr="00CA4D77">
        <w:rPr>
          <w:i/>
          <w:iCs/>
        </w:rPr>
        <w:t>exceeded</w:t>
      </w:r>
      <w:r w:rsidR="00CA4D77">
        <w:t xml:space="preserve"> analyst expectations for performance</w:t>
      </w:r>
      <w:r w:rsidR="00EF03FA">
        <w:t xml:space="preserve"> (i.e., a positive expectancy violation)</w:t>
      </w:r>
      <w:r w:rsidR="00CA4D77">
        <w:t xml:space="preserve">, and analysts </w:t>
      </w:r>
      <w:r w:rsidR="004F3C14">
        <w:t>are generally considered to possess</w:t>
      </w:r>
      <w:r w:rsidR="00CA4D77">
        <w:t xml:space="preserve"> better information and knowledge than the </w:t>
      </w:r>
      <w:r w:rsidR="004F3C14">
        <w:t xml:space="preserve">average </w:t>
      </w:r>
      <w:r w:rsidR="00CA4D77">
        <w:t xml:space="preserve">investor (e.g., </w:t>
      </w:r>
      <w:r w:rsidR="00CA4D77" w:rsidRPr="00CA4D77">
        <w:t xml:space="preserve">Clement &amp; Tse, 2005; Paik, </w:t>
      </w:r>
      <w:r w:rsidR="00906F20">
        <w:t xml:space="preserve">Pollock, Boivie, Lange, &amp; Lee, </w:t>
      </w:r>
      <w:r w:rsidR="00CA4D77" w:rsidRPr="00CA4D77">
        <w:t>2022</w:t>
      </w:r>
      <w:r w:rsidR="00CA4D77">
        <w:t>)</w:t>
      </w:r>
      <w:r w:rsidR="008C7E80">
        <w:t>. H</w:t>
      </w:r>
      <w:r w:rsidR="00DD7E8C">
        <w:t>ence</w:t>
      </w:r>
      <w:r w:rsidR="008C7E80">
        <w:t>,</w:t>
      </w:r>
      <w:r w:rsidR="00DD7E8C">
        <w:t xml:space="preserve"> one would have </w:t>
      </w:r>
      <w:r w:rsidR="00EF03FA">
        <w:t xml:space="preserve">anticipated </w:t>
      </w:r>
      <w:r w:rsidR="002A3052">
        <w:t xml:space="preserve">a positive </w:t>
      </w:r>
      <w:r w:rsidR="00DD7E8C">
        <w:t>investor</w:t>
      </w:r>
      <w:r w:rsidR="002A3052">
        <w:t xml:space="preserve"> reaction</w:t>
      </w:r>
      <w:r w:rsidR="00DD7E8C">
        <w:t xml:space="preserve">, </w:t>
      </w:r>
      <w:r w:rsidR="00DD7E8C">
        <w:lastRenderedPageBreak/>
        <w:t xml:space="preserve">rather than </w:t>
      </w:r>
      <w:r w:rsidR="002A3052">
        <w:t xml:space="preserve">a </w:t>
      </w:r>
      <w:r w:rsidR="00DD7E8C">
        <w:t>negative</w:t>
      </w:r>
      <w:r w:rsidR="002A3052">
        <w:t xml:space="preserve"> one</w:t>
      </w:r>
      <w:r w:rsidR="00DD7E8C">
        <w:t xml:space="preserve">. </w:t>
      </w:r>
      <w:r w:rsidR="00F55AA3">
        <w:t xml:space="preserve">By comparing the </w:t>
      </w:r>
      <w:r w:rsidR="00D1342B">
        <w:t xml:space="preserve">Meta </w:t>
      </w:r>
      <w:r w:rsidR="00F55AA3">
        <w:t>example to what we know from the extant EVT literature,</w:t>
      </w:r>
      <w:r>
        <w:t xml:space="preserve"> </w:t>
      </w:r>
      <w:r w:rsidR="00F55AA3">
        <w:t xml:space="preserve">we see </w:t>
      </w:r>
      <w:r w:rsidR="0022337B">
        <w:t xml:space="preserve">at least </w:t>
      </w:r>
      <w:r w:rsidR="00F46373">
        <w:rPr>
          <w:rFonts w:hint="eastAsia"/>
        </w:rPr>
        <w:t>two</w:t>
      </w:r>
      <w:r w:rsidR="0022337B">
        <w:t xml:space="preserve"> reasons why further research on expectations</w:t>
      </w:r>
      <w:r w:rsidR="004F3C14">
        <w:t xml:space="preserve"> is warranted</w:t>
      </w:r>
      <w:r w:rsidR="0022337B">
        <w:t>.</w:t>
      </w:r>
    </w:p>
    <w:p w14:paraId="47395094" w14:textId="21329D82" w:rsidR="00CD51ED" w:rsidRDefault="00F46373" w:rsidP="005D2068">
      <w:pPr>
        <w:spacing w:line="480" w:lineRule="auto"/>
        <w:ind w:firstLine="720"/>
      </w:pPr>
      <w:bookmarkStart w:id="4" w:name="OLE_LINK1"/>
      <w:r w:rsidRPr="006957A2">
        <w:t>First</w:t>
      </w:r>
      <w:r w:rsidR="0022337B" w:rsidRPr="006957A2">
        <w:t xml:space="preserve">, </w:t>
      </w:r>
      <w:r w:rsidR="00CD51ED" w:rsidRPr="006957A2">
        <w:t>the Meta example raises the question of why investors would</w:t>
      </w:r>
      <w:r w:rsidR="00CA5B73">
        <w:t xml:space="preserve"> </w:t>
      </w:r>
      <w:r w:rsidR="00CD51ED" w:rsidRPr="006957A2">
        <w:t>second guess the opinions of professional equity analysts</w:t>
      </w:r>
      <w:r w:rsidR="00C76989">
        <w:t xml:space="preserve"> in the first </w:t>
      </w:r>
      <w:r w:rsidR="00146DD1">
        <w:t>place yet</w:t>
      </w:r>
      <w:r w:rsidR="00CD51ED" w:rsidRPr="006957A2">
        <w:t xml:space="preserve"> still react negatively when a firm outperforms the expectations set by these arguably well-informed and capable experts</w:t>
      </w:r>
      <w:r w:rsidR="00CD51ED" w:rsidRPr="00F30081">
        <w:t xml:space="preserve"> (Goldstein, 2024; Paik et al., 2022</w:t>
      </w:r>
      <w:r w:rsidR="00CD51ED" w:rsidRPr="0090193D">
        <w:t>)</w:t>
      </w:r>
      <w:r w:rsidR="00FD640F" w:rsidRPr="0090193D">
        <w:t>.</w:t>
      </w:r>
      <w:r w:rsidR="00CD51ED">
        <w:t xml:space="preserve"> Although analysts are not always accurate (Goldstein, 2024; Paik et al., 2022), </w:t>
      </w:r>
      <w:r w:rsidR="00CD51ED" w:rsidRPr="006D4724">
        <w:t>it remains puzzling why investors—who generally</w:t>
      </w:r>
      <w:r w:rsidR="00CD51ED">
        <w:t xml:space="preserve"> lack the same level of expertise and access to information—would believe they can outperform analysts in their assessment of the firm. We suggest that, because investors are constantly looking for a potential “edge” to spot market mispricing (e.g., </w:t>
      </w:r>
      <w:r w:rsidR="00CD51ED" w:rsidRPr="003B00F4">
        <w:t>Marquering, Nisser, &amp; Valla, 2006</w:t>
      </w:r>
      <w:r w:rsidR="00CD51ED">
        <w:t xml:space="preserve">), the very fact that even analysts are not always right (Goldstein, 2024; Paik et al., 2022) incentivizes </w:t>
      </w:r>
      <w:r w:rsidR="004C74C0">
        <w:t xml:space="preserve">investors </w:t>
      </w:r>
      <w:r w:rsidR="00CD51ED">
        <w:t>to search for alternative ways to set their expectations. This, however, is a challenging task given the numerous determinants of firm behaviors and performance (e.g., Blagoeva et al., 2020; Graffin et al., 2016; Keller,</w:t>
      </w:r>
      <w:r w:rsidR="00906F20">
        <w:t xml:space="preserve"> Glaum, Bausch, &amp; Bunz,</w:t>
      </w:r>
      <w:r w:rsidR="00CD51ED">
        <w:t xml:space="preserve"> 2023; Pfarrer et al., 2010), coupled with investors’ own </w:t>
      </w:r>
      <w:r w:rsidR="00CD51ED">
        <w:rPr>
          <w:rFonts w:hint="eastAsia"/>
        </w:rPr>
        <w:t xml:space="preserve">cognitive capacity constraints </w:t>
      </w:r>
      <w:r w:rsidR="00CD51ED">
        <w:t xml:space="preserve">(e.g., Simon, 1955). We thus </w:t>
      </w:r>
      <w:r w:rsidR="00CD51ED">
        <w:rPr>
          <w:rFonts w:hint="eastAsia"/>
        </w:rPr>
        <w:t>propose that</w:t>
      </w:r>
      <w:r w:rsidR="00CD51ED">
        <w:t xml:space="preserve">, </w:t>
      </w:r>
      <w:r w:rsidR="00CD51ED" w:rsidRPr="007E4E72">
        <w:t>when second-guessing analysts’ estimates</w:t>
      </w:r>
      <w:r w:rsidR="00CD51ED">
        <w:t>,</w:t>
      </w:r>
      <w:r w:rsidR="00CD51ED">
        <w:rPr>
          <w:rFonts w:hint="eastAsia"/>
        </w:rPr>
        <w:t xml:space="preserve"> investors rely on heuristics </w:t>
      </w:r>
      <w:r w:rsidR="00CD51ED">
        <w:t xml:space="preserve">that distill complex judgments into simple decision rules (e.g., Tversky &amp; Kahneman, 1974). </w:t>
      </w:r>
    </w:p>
    <w:p w14:paraId="7764237C" w14:textId="525D9781" w:rsidR="003A1CB7" w:rsidRDefault="00CD51ED" w:rsidP="005D2068">
      <w:pPr>
        <w:spacing w:line="480" w:lineRule="auto"/>
        <w:ind w:firstLine="720"/>
      </w:pPr>
      <w:r>
        <w:t xml:space="preserve">Second, </w:t>
      </w:r>
      <w:r w:rsidR="00C46121">
        <w:t xml:space="preserve">the Meta example illustrates how </w:t>
      </w:r>
      <w:r w:rsidR="007658EA">
        <w:t xml:space="preserve">stakeholders </w:t>
      </w:r>
      <w:r w:rsidR="00C46121">
        <w:t xml:space="preserve">may have </w:t>
      </w:r>
      <w:r w:rsidR="00C46121" w:rsidRPr="00C46121">
        <w:rPr>
          <w:i/>
          <w:iCs/>
        </w:rPr>
        <w:t>anticipatory</w:t>
      </w:r>
      <w:r w:rsidR="00C46121">
        <w:t xml:space="preserve"> </w:t>
      </w:r>
      <w:r w:rsidR="00C46121" w:rsidRPr="00C46121">
        <w:rPr>
          <w:i/>
          <w:iCs/>
        </w:rPr>
        <w:t>reactions</w:t>
      </w:r>
      <w:r w:rsidR="00C46121">
        <w:t xml:space="preserve"> to a possible change in </w:t>
      </w:r>
      <w:r w:rsidR="007658EA">
        <w:t xml:space="preserve">a firm’s </w:t>
      </w:r>
      <w:r w:rsidR="00C46121">
        <w:t>activity</w:t>
      </w:r>
      <w:r w:rsidR="001F08B1">
        <w:rPr>
          <w:rStyle w:val="FootnoteReference"/>
        </w:rPr>
        <w:footnoteReference w:id="3"/>
      </w:r>
      <w:r w:rsidR="00C46121">
        <w:t xml:space="preserve"> (e.g., capital expenditure allocation)</w:t>
      </w:r>
      <w:r w:rsidR="007658EA">
        <w:t>. Such a reaction is yet to be included in the EVT literature</w:t>
      </w:r>
      <w:r w:rsidR="001079DA">
        <w:t xml:space="preserve"> </w:t>
      </w:r>
      <w:r w:rsidR="00053DB8">
        <w:t>b</w:t>
      </w:r>
      <w:r w:rsidR="001079DA">
        <w:t xml:space="preserve">ecause </w:t>
      </w:r>
      <w:r w:rsidR="00C46121">
        <w:t>EVT has tended to be retrospective</w:t>
      </w:r>
      <w:r w:rsidR="00C46121" w:rsidRPr="00D40262">
        <w:t>—</w:t>
      </w:r>
      <w:r w:rsidR="00C46121">
        <w:t>analyzing</w:t>
      </w:r>
      <w:r w:rsidR="00C46121" w:rsidRPr="00D40262" w:rsidDel="00D40262">
        <w:t xml:space="preserve"> </w:t>
      </w:r>
      <w:r w:rsidR="00C46121">
        <w:t xml:space="preserve">behaviors against what was expected </w:t>
      </w:r>
      <w:r w:rsidR="00292414">
        <w:t xml:space="preserve">to happen </w:t>
      </w:r>
      <w:r w:rsidR="00C46121">
        <w:t>(e.g., Burgoon, 1993, 2015)</w:t>
      </w:r>
      <w:r w:rsidR="001F08B1">
        <w:t xml:space="preserve">. </w:t>
      </w:r>
      <w:r w:rsidR="00E149C4">
        <w:t>Yet</w:t>
      </w:r>
      <w:r w:rsidR="001F08B1">
        <w:t xml:space="preserve"> </w:t>
      </w:r>
      <w:bookmarkStart w:id="5" w:name="OLE_LINK3"/>
      <w:r w:rsidR="001F08B1">
        <w:t>o</w:t>
      </w:r>
      <w:r w:rsidR="00C46121">
        <w:t xml:space="preserve">ther streams of </w:t>
      </w:r>
      <w:r w:rsidR="00C46121">
        <w:lastRenderedPageBreak/>
        <w:t xml:space="preserve">literature on social interactions suggest that, when interactions are ongoing rather than just one-time occurrences, expectations about subsequent interactions with </w:t>
      </w:r>
      <w:r w:rsidR="005D2068">
        <w:t>the actor in question</w:t>
      </w:r>
      <w:r w:rsidR="00C46121">
        <w:t xml:space="preserve"> could figure into an individual’s reactions (e.g., Fiske &amp; Taylor, 2013; Snyder &amp; Stukas, 1999). </w:t>
      </w:r>
      <w:r w:rsidR="001F08B1">
        <w:t xml:space="preserve">Given that </w:t>
      </w:r>
      <w:r w:rsidR="005D2068">
        <w:t xml:space="preserve">observing behavior </w:t>
      </w:r>
      <w:r w:rsidR="001F08B1">
        <w:t xml:space="preserve">not only </w:t>
      </w:r>
      <w:r w:rsidR="005D2068">
        <w:t>lead</w:t>
      </w:r>
      <w:r w:rsidR="001F08B1">
        <w:t>s</w:t>
      </w:r>
      <w:r w:rsidR="005D2068">
        <w:t xml:space="preserve"> to reactions when expectations are confirmed or </w:t>
      </w:r>
      <w:r w:rsidR="00146DD1">
        <w:t>violated but</w:t>
      </w:r>
      <w:r w:rsidR="005D2068">
        <w:t xml:space="preserve"> may also lead to an updating of those expectations and other beliefs about future interactions with that actor (e.g., Burgoon, 1993, 2005)</w:t>
      </w:r>
      <w:r w:rsidR="001F08B1">
        <w:t xml:space="preserve">, it seems logical that the updating process may also </w:t>
      </w:r>
      <w:r w:rsidR="007658EA">
        <w:t xml:space="preserve">elicit </w:t>
      </w:r>
      <w:r w:rsidR="001F08B1">
        <w:t>reactions</w:t>
      </w:r>
      <w:r w:rsidR="00986650" w:rsidRPr="00292414">
        <w:rPr>
          <w:i/>
          <w:iCs/>
        </w:rPr>
        <w:t xml:space="preserve"> </w:t>
      </w:r>
      <w:r w:rsidR="00D0680B" w:rsidRPr="00292414">
        <w:rPr>
          <w:i/>
          <w:iCs/>
        </w:rPr>
        <w:t xml:space="preserve">despite </w:t>
      </w:r>
      <w:r w:rsidR="006D6586" w:rsidRPr="00292414">
        <w:rPr>
          <w:i/>
          <w:iCs/>
        </w:rPr>
        <w:t>lack of full certainty about the future</w:t>
      </w:r>
      <w:r w:rsidR="001F08B1">
        <w:t xml:space="preserve">. </w:t>
      </w:r>
      <w:r w:rsidR="005D2068">
        <w:t xml:space="preserve">We thus argue that, if the observed behavior changes beliefs about what interactions with that actor are likely to be in the future (a concept we label </w:t>
      </w:r>
      <w:r w:rsidR="005D2068" w:rsidRPr="00803328">
        <w:rPr>
          <w:i/>
          <w:iCs/>
        </w:rPr>
        <w:t>prospective expectations</w:t>
      </w:r>
      <w:r w:rsidR="005D2068">
        <w:t xml:space="preserve">), stakeholders are likely to have anticipatory reactions </w:t>
      </w:r>
      <w:r w:rsidR="00C46121">
        <w:t xml:space="preserve">rather than waiting to react until those expectations are confirmed or violated by behavior </w:t>
      </w:r>
      <w:bookmarkEnd w:id="5"/>
      <w:r w:rsidR="00562C6C">
        <w:t>later</w:t>
      </w:r>
      <w:r w:rsidR="003A1CB7">
        <w:t>.</w:t>
      </w:r>
    </w:p>
    <w:p w14:paraId="60159FF5" w14:textId="6D9C1BE6" w:rsidR="002D7593" w:rsidRDefault="00077012" w:rsidP="001B1A4E">
      <w:pPr>
        <w:spacing w:line="480" w:lineRule="auto"/>
        <w:ind w:firstLine="720"/>
      </w:pPr>
      <w:bookmarkStart w:id="6" w:name="OLE_LINK2"/>
      <w:bookmarkEnd w:id="4"/>
      <w:r w:rsidRPr="00206357">
        <w:t xml:space="preserve">We </w:t>
      </w:r>
      <w:r w:rsidR="00CD51ED" w:rsidRPr="00206357">
        <w:t xml:space="preserve">discuss the role of heuristics and </w:t>
      </w:r>
      <w:r w:rsidR="004F6023" w:rsidRPr="00206357">
        <w:t xml:space="preserve">bring in the notion of </w:t>
      </w:r>
      <w:r w:rsidR="002D14BF" w:rsidRPr="00206357">
        <w:t xml:space="preserve">future-oriented </w:t>
      </w:r>
      <w:r w:rsidR="00127D96" w:rsidRPr="00206357">
        <w:t>expectations</w:t>
      </w:r>
      <w:r w:rsidR="000D6A3E" w:rsidRPr="00206357">
        <w:t xml:space="preserve"> </w:t>
      </w:r>
      <w:r w:rsidR="00127D96" w:rsidRPr="00206357">
        <w:t>into EVT</w:t>
      </w:r>
      <w:r w:rsidR="002D14BF" w:rsidRPr="00206357">
        <w:t xml:space="preserve"> </w:t>
      </w:r>
      <w:r w:rsidR="004F6023" w:rsidRPr="00206357">
        <w:t xml:space="preserve">to </w:t>
      </w:r>
      <w:r w:rsidRPr="00206357">
        <w:t xml:space="preserve">examine when and why stakeholders might react to </w:t>
      </w:r>
      <w:r w:rsidR="00DD7E8C" w:rsidRPr="00206357">
        <w:t xml:space="preserve">firm </w:t>
      </w:r>
      <w:r w:rsidR="009E0157" w:rsidRPr="00206357">
        <w:t>behaviors</w:t>
      </w:r>
      <w:r w:rsidR="0002715E" w:rsidRPr="00206357">
        <w:t xml:space="preserve"> in ways that differ</w:t>
      </w:r>
      <w:r w:rsidR="006D0ABE" w:rsidRPr="00206357">
        <w:t xml:space="preserve"> from</w:t>
      </w:r>
      <w:r w:rsidR="00190E68" w:rsidRPr="00206357">
        <w:t>,</w:t>
      </w:r>
      <w:r w:rsidR="0002715E" w:rsidRPr="00206357">
        <w:t xml:space="preserve"> </w:t>
      </w:r>
      <w:r w:rsidR="00B736E6" w:rsidRPr="00206357">
        <w:t xml:space="preserve">or </w:t>
      </w:r>
      <w:r w:rsidR="004F6023" w:rsidRPr="00206357">
        <w:t>even</w:t>
      </w:r>
      <w:r w:rsidR="0002715E" w:rsidRPr="00206357">
        <w:t xml:space="preserve"> </w:t>
      </w:r>
      <w:r w:rsidR="00B736E6" w:rsidRPr="00206357">
        <w:t>contradict</w:t>
      </w:r>
      <w:r w:rsidR="00190E68" w:rsidRPr="00206357">
        <w:t xml:space="preserve">, </w:t>
      </w:r>
      <w:r w:rsidR="0002715E" w:rsidRPr="00206357">
        <w:t>what we might expect based on the extant research.</w:t>
      </w:r>
      <w:r w:rsidR="002D7593">
        <w:t xml:space="preserve"> </w:t>
      </w:r>
      <w:bookmarkEnd w:id="6"/>
      <w:r w:rsidR="002D7593" w:rsidRPr="00D7223F">
        <w:t>We test</w:t>
      </w:r>
      <w:r w:rsidR="006D0ABE">
        <w:t>ed</w:t>
      </w:r>
      <w:r w:rsidR="002D7593" w:rsidRPr="00D7223F">
        <w:t xml:space="preserve"> our hypotheses using a sample of investor reactions to earnings surprises from 2013 to 2019</w:t>
      </w:r>
      <w:r w:rsidR="00CE03F8">
        <w:t>.</w:t>
      </w:r>
      <w:r w:rsidR="002D7593">
        <w:t xml:space="preserve"> We find that, in addition to comparing earnings to consensus earnings estimates, investors appear to </w:t>
      </w:r>
      <w:r w:rsidR="00E05F32">
        <w:t xml:space="preserve">both </w:t>
      </w:r>
      <w:r w:rsidR="002D7593">
        <w:t xml:space="preserve">compare the earnings surprises to </w:t>
      </w:r>
      <w:r w:rsidR="000A33C5">
        <w:rPr>
          <w:rFonts w:hint="eastAsia"/>
        </w:rPr>
        <w:t>the firm</w:t>
      </w:r>
      <w:r w:rsidR="000A33C5">
        <w:t>’</w:t>
      </w:r>
      <w:r w:rsidR="000A33C5">
        <w:rPr>
          <w:rFonts w:hint="eastAsia"/>
        </w:rPr>
        <w:t>s</w:t>
      </w:r>
      <w:r w:rsidR="009039FE">
        <w:t xml:space="preserve"> </w:t>
      </w:r>
      <w:r w:rsidR="001642C3">
        <w:t>p</w:t>
      </w:r>
      <w:r w:rsidR="009039FE">
        <w:t>ast performance</w:t>
      </w:r>
      <w:r w:rsidR="001642C3">
        <w:t xml:space="preserve"> </w:t>
      </w:r>
      <w:r w:rsidR="002D7593">
        <w:t xml:space="preserve">and </w:t>
      </w:r>
      <w:r w:rsidR="009039FE">
        <w:t xml:space="preserve">to </w:t>
      </w:r>
      <w:r w:rsidR="000A33C5">
        <w:rPr>
          <w:rFonts w:hint="eastAsia"/>
        </w:rPr>
        <w:t>its</w:t>
      </w:r>
      <w:r w:rsidR="009039FE">
        <w:t xml:space="preserve"> </w:t>
      </w:r>
      <w:r w:rsidR="002D7593">
        <w:t>peers</w:t>
      </w:r>
      <w:r w:rsidR="00586CAE">
        <w:t xml:space="preserve"> and </w:t>
      </w:r>
      <w:r w:rsidR="004D2D4A">
        <w:t xml:space="preserve">importantly </w:t>
      </w:r>
      <w:r w:rsidR="00586CAE">
        <w:t xml:space="preserve">have anticipatory reactions to future firm performance. </w:t>
      </w:r>
      <w:r w:rsidR="00DC52FB">
        <w:t>In n</w:t>
      </w:r>
      <w:r w:rsidR="00077613">
        <w:t>umerous robustness checks and post hoc analyses</w:t>
      </w:r>
      <w:r w:rsidR="00DC52FB">
        <w:t xml:space="preserve">, we </w:t>
      </w:r>
      <w:r w:rsidR="006A21D0">
        <w:t xml:space="preserve">also </w:t>
      </w:r>
      <w:r w:rsidR="00DC52FB">
        <w:t xml:space="preserve">find that </w:t>
      </w:r>
      <w:r w:rsidR="00C00B50">
        <w:t>these heuristics-based reactions are</w:t>
      </w:r>
      <w:r w:rsidR="00077613">
        <w:t xml:space="preserve"> not necessarily driven by unsophisticated investors, as </w:t>
      </w:r>
      <w:r w:rsidR="00DC52FB">
        <w:t>initially predicted</w:t>
      </w:r>
      <w:r w:rsidR="000009B7">
        <w:t>. Instead</w:t>
      </w:r>
      <w:r w:rsidR="004A38D6">
        <w:rPr>
          <w:rFonts w:hint="eastAsia"/>
        </w:rPr>
        <w:t>,</w:t>
      </w:r>
      <w:r w:rsidR="000009B7">
        <w:t xml:space="preserve"> it </w:t>
      </w:r>
      <w:r w:rsidR="00A92916">
        <w:t>seem</w:t>
      </w:r>
      <w:r w:rsidR="000009B7">
        <w:t>s</w:t>
      </w:r>
      <w:r w:rsidR="00077613">
        <w:t xml:space="preserve"> </w:t>
      </w:r>
      <w:r w:rsidR="000009B7">
        <w:t>to be</w:t>
      </w:r>
      <w:r w:rsidR="00077613">
        <w:t xml:space="preserve"> institutional investors</w:t>
      </w:r>
      <w:r w:rsidR="00DC52FB">
        <w:t xml:space="preserve"> who </w:t>
      </w:r>
      <w:r w:rsidR="00DC52FB" w:rsidRPr="00CD154D">
        <w:t xml:space="preserve">rely on these </w:t>
      </w:r>
      <w:r w:rsidR="00CD154D" w:rsidRPr="00CD154D">
        <w:t>heuristics</w:t>
      </w:r>
      <w:r w:rsidR="000009B7" w:rsidRPr="00CD154D">
        <w:t>,</w:t>
      </w:r>
      <w:r w:rsidR="00DC52FB" w:rsidRPr="00CD154D">
        <w:t xml:space="preserve"> </w:t>
      </w:r>
      <w:r w:rsidR="00C96098" w:rsidRPr="00CD154D">
        <w:t>even though that may not be fully rational</w:t>
      </w:r>
      <w:r w:rsidR="00077613" w:rsidRPr="00CD154D">
        <w:t>.</w:t>
      </w:r>
    </w:p>
    <w:p w14:paraId="07308CE0" w14:textId="1B7C6CFE" w:rsidR="002D7593" w:rsidRDefault="00077613" w:rsidP="00F86C1F">
      <w:pPr>
        <w:spacing w:line="480" w:lineRule="auto"/>
        <w:ind w:firstLine="720"/>
      </w:pPr>
      <w:r>
        <w:t xml:space="preserve">Our theorizing and findings make </w:t>
      </w:r>
      <w:r w:rsidR="00CD154D">
        <w:t>two</w:t>
      </w:r>
      <w:r>
        <w:t xml:space="preserve"> primary contributions to the literature. First, </w:t>
      </w:r>
      <w:r w:rsidR="00B363CD">
        <w:t>we introduce the concept of expectations about</w:t>
      </w:r>
      <w:r w:rsidR="00195765">
        <w:t xml:space="preserve"> subsequent</w:t>
      </w:r>
      <w:r w:rsidR="00B363CD">
        <w:t xml:space="preserve"> future interactions (what we call </w:t>
      </w:r>
      <w:r w:rsidR="00B363CD" w:rsidRPr="00B363CD">
        <w:rPr>
          <w:i/>
          <w:iCs/>
        </w:rPr>
        <w:t>prospective expectations</w:t>
      </w:r>
      <w:r w:rsidR="00B363CD">
        <w:t xml:space="preserve">) </w:t>
      </w:r>
      <w:r w:rsidR="009D2F6F">
        <w:t xml:space="preserve">as a </w:t>
      </w:r>
      <w:r w:rsidR="007024C9" w:rsidRPr="007024C9">
        <w:t>complement</w:t>
      </w:r>
      <w:r w:rsidR="009D2F6F">
        <w:t xml:space="preserve"> to</w:t>
      </w:r>
      <w:r w:rsidR="007024C9" w:rsidRPr="007024C9">
        <w:t xml:space="preserve"> </w:t>
      </w:r>
      <w:r w:rsidR="00823734">
        <w:t xml:space="preserve">the existing </w:t>
      </w:r>
      <w:r w:rsidR="007024C9" w:rsidRPr="007024C9">
        <w:t xml:space="preserve">predictive and prescriptive </w:t>
      </w:r>
      <w:r w:rsidR="007024C9" w:rsidRPr="007024C9">
        <w:lastRenderedPageBreak/>
        <w:t>expectations</w:t>
      </w:r>
      <w:r w:rsidR="007024C9">
        <w:t xml:space="preserve"> </w:t>
      </w:r>
      <w:r w:rsidR="00B363CD">
        <w:t xml:space="preserve">in </w:t>
      </w:r>
      <w:r w:rsidR="00CD154D">
        <w:t xml:space="preserve">the </w:t>
      </w:r>
      <w:r w:rsidR="00B363CD">
        <w:t>EVT</w:t>
      </w:r>
      <w:r w:rsidR="00CD154D">
        <w:t xml:space="preserve"> literature</w:t>
      </w:r>
      <w:r w:rsidR="000516AF">
        <w:t>.</w:t>
      </w:r>
      <w:r w:rsidR="00B363CD">
        <w:t xml:space="preserve"> </w:t>
      </w:r>
      <w:r w:rsidR="000516AF">
        <w:t xml:space="preserve">We then examine </w:t>
      </w:r>
      <w:r w:rsidR="00171842">
        <w:t xml:space="preserve">whether </w:t>
      </w:r>
      <w:r w:rsidR="000516AF">
        <w:t>these prospective expectations are likely to influence stakeholder reactions.</w:t>
      </w:r>
      <w:r w:rsidR="0031726A">
        <w:t xml:space="preserve"> </w:t>
      </w:r>
      <w:r w:rsidR="005C63E3">
        <w:t xml:space="preserve">By bringing in prospective expectations into an EVT framework, we explicitly recognize that reactions to </w:t>
      </w:r>
      <w:r w:rsidR="005C63E3" w:rsidRPr="00FA7C74">
        <w:t>interactions</w:t>
      </w:r>
      <w:r w:rsidR="005C63E3">
        <w:t xml:space="preserve"> are likely to differ depending on </w:t>
      </w:r>
      <w:r w:rsidR="00013010">
        <w:t xml:space="preserve">whether </w:t>
      </w:r>
      <w:r w:rsidR="002C2B43">
        <w:t xml:space="preserve">stakeholders believe </w:t>
      </w:r>
      <w:r w:rsidR="004E21B4">
        <w:t>th</w:t>
      </w:r>
      <w:r w:rsidR="00246D61">
        <w:t>os</w:t>
      </w:r>
      <w:r w:rsidR="004E21B4">
        <w:t>e</w:t>
      </w:r>
      <w:r w:rsidR="002C2B43">
        <w:t xml:space="preserve"> interactions</w:t>
      </w:r>
      <w:r w:rsidR="004E21B4">
        <w:t xml:space="preserve"> are likely to change in the future. </w:t>
      </w:r>
      <w:r w:rsidR="003810E6">
        <w:t xml:space="preserve">This is notable because both predictive and prescriptive violations are reactive (i.e., in response to a behavior that violates expectations), whilst prospective violations are anticipatory (i.e., in anticipation that their future interactions will be different). </w:t>
      </w:r>
      <w:r w:rsidR="006D18D0">
        <w:t>By distinguishing between predictive, prescriptive, and prospective expectations, we also answer Burgoon’s (2015</w:t>
      </w:r>
      <w:r w:rsidR="007112AE">
        <w:t>: 8</w:t>
      </w:r>
      <w:r w:rsidR="006D18D0">
        <w:t xml:space="preserve">) </w:t>
      </w:r>
      <w:r w:rsidR="007112AE">
        <w:t>request that “</w:t>
      </w:r>
      <w:r w:rsidR="007112AE" w:rsidRPr="007112AE">
        <w:t>EVT must distinguish which type of</w:t>
      </w:r>
      <w:r w:rsidR="007112AE">
        <w:t xml:space="preserve"> </w:t>
      </w:r>
      <w:r w:rsidR="007112AE" w:rsidRPr="007112AE">
        <w:t>expectancy violation it addresses</w:t>
      </w:r>
      <w:r w:rsidR="007112AE">
        <w:t xml:space="preserve">.” </w:t>
      </w:r>
      <w:r w:rsidR="00CD154D">
        <w:t>Second</w:t>
      </w:r>
      <w:r w:rsidR="000D6A3E">
        <w:t xml:space="preserve">, we demonstrate that, at least in our context, stakeholders appear to </w:t>
      </w:r>
      <w:r w:rsidR="0053192B">
        <w:rPr>
          <w:rFonts w:hint="eastAsia"/>
        </w:rPr>
        <w:t xml:space="preserve">form </w:t>
      </w:r>
      <w:r w:rsidR="000D6A3E">
        <w:t xml:space="preserve">expectations </w:t>
      </w:r>
      <w:r w:rsidR="0053192B">
        <w:rPr>
          <w:rFonts w:hint="eastAsia"/>
        </w:rPr>
        <w:t xml:space="preserve">using </w:t>
      </w:r>
      <w:r w:rsidR="000D6A3E" w:rsidRPr="00007F8B">
        <w:t>simplifying heuristics.</w:t>
      </w:r>
      <w:r w:rsidR="000D6A3E">
        <w:t xml:space="preserve"> </w:t>
      </w:r>
      <w:r w:rsidR="00C95338">
        <w:t>Because so many factors can potentially impact</w:t>
      </w:r>
      <w:r w:rsidR="00F86C1F">
        <w:t xml:space="preserve"> the behavior and performance of firms </w:t>
      </w:r>
      <w:r w:rsidR="00C95338" w:rsidRPr="00C95338">
        <w:t>(</w:t>
      </w:r>
      <w:r w:rsidR="00F86C1F">
        <w:t xml:space="preserve">e.g., </w:t>
      </w:r>
      <w:r w:rsidR="00C95338" w:rsidRPr="00C95338">
        <w:t>Blagoeva et al., 2020; Graffin et al., 2016</w:t>
      </w:r>
      <w:r w:rsidR="00F86C1F">
        <w:t>;</w:t>
      </w:r>
      <w:r w:rsidR="00F86C1F" w:rsidRPr="00F86C1F">
        <w:t xml:space="preserve"> </w:t>
      </w:r>
      <w:r w:rsidR="00F86C1F">
        <w:t xml:space="preserve">Keller et al., 2023; </w:t>
      </w:r>
      <w:r w:rsidR="00F86C1F" w:rsidRPr="00C95338">
        <w:t>Pfarrer et al., 2010</w:t>
      </w:r>
      <w:r w:rsidR="00C95338" w:rsidRPr="00C95338">
        <w:t xml:space="preserve">), </w:t>
      </w:r>
      <w:r w:rsidR="0053192B" w:rsidRPr="001E484B">
        <w:t xml:space="preserve">investors </w:t>
      </w:r>
      <w:r w:rsidR="00F86C1F">
        <w:t xml:space="preserve">appear </w:t>
      </w:r>
      <w:r w:rsidR="0053192B" w:rsidRPr="001E484B">
        <w:t>to rely on cognitive shortcuts to streamline their decision-making</w:t>
      </w:r>
      <w:r w:rsidR="0053192B" w:rsidRPr="001E484B">
        <w:rPr>
          <w:rFonts w:hint="eastAsia"/>
        </w:rPr>
        <w:t xml:space="preserve"> (Tversky &amp; Kahneman, 1974).</w:t>
      </w:r>
      <w:r w:rsidR="0053192B">
        <w:rPr>
          <w:rFonts w:hint="eastAsia"/>
        </w:rPr>
        <w:t xml:space="preserve"> </w:t>
      </w:r>
      <w:r w:rsidR="00203CDA">
        <w:t>T</w:t>
      </w:r>
      <w:r w:rsidR="00007F8B">
        <w:t>hat the</w:t>
      </w:r>
      <w:r w:rsidR="002C2B43">
        <w:t xml:space="preserve"> use of these heuristics</w:t>
      </w:r>
      <w:r w:rsidR="00007F8B">
        <w:t xml:space="preserve"> appear to be driven by institutional investors, as opposed to unsophisticated </w:t>
      </w:r>
      <w:r w:rsidR="00A92916">
        <w:t>retail</w:t>
      </w:r>
      <w:r w:rsidR="00007F8B">
        <w:t xml:space="preserve"> investors,</w:t>
      </w:r>
      <w:r w:rsidR="002F68A4">
        <w:t xml:space="preserve"> is surprising since these heuristics also do not appear to </w:t>
      </w:r>
      <w:r w:rsidR="00D02D3E">
        <w:rPr>
          <w:rFonts w:hint="eastAsia"/>
        </w:rPr>
        <w:t>stem from entirely</w:t>
      </w:r>
      <w:r w:rsidR="002F68A4">
        <w:t xml:space="preserve"> rational calculations. </w:t>
      </w:r>
      <w:bookmarkStart w:id="7" w:name="OLE_LINK36"/>
      <w:r w:rsidR="002F68A4">
        <w:t>Additional analyses</w:t>
      </w:r>
      <w:r w:rsidR="00007F8B">
        <w:t xml:space="preserve"> </w:t>
      </w:r>
      <w:r w:rsidR="00A92916">
        <w:t>suggest that</w:t>
      </w:r>
      <w:r w:rsidR="00203CDA">
        <w:t>, rather than</w:t>
      </w:r>
      <w:r w:rsidR="00A92916">
        <w:t xml:space="preserve"> </w:t>
      </w:r>
      <w:r w:rsidR="00203CDA">
        <w:t xml:space="preserve">serving </w:t>
      </w:r>
      <w:r w:rsidR="007E74AC">
        <w:t>to</w:t>
      </w:r>
      <w:r w:rsidR="00A92916">
        <w:t xml:space="preserve"> deal with uncertainty from the lack of information </w:t>
      </w:r>
      <w:r w:rsidR="00A11F6E">
        <w:rPr>
          <w:rFonts w:hint="eastAsia"/>
        </w:rPr>
        <w:t>when setting expectations</w:t>
      </w:r>
      <w:r w:rsidR="00D02D3E">
        <w:rPr>
          <w:rFonts w:hint="eastAsia"/>
        </w:rPr>
        <w:t xml:space="preserve">, these heuristics function </w:t>
      </w:r>
      <w:r w:rsidR="002B18D2">
        <w:t>to</w:t>
      </w:r>
      <w:r w:rsidR="00A92916">
        <w:t xml:space="preserve"> simplify the situation when there </w:t>
      </w:r>
      <w:r w:rsidR="002F68A4">
        <w:t xml:space="preserve">may be </w:t>
      </w:r>
      <w:r w:rsidR="00A92916">
        <w:t>an abundance of both potential information and noise.</w:t>
      </w:r>
      <w:bookmarkEnd w:id="7"/>
      <w:r w:rsidR="00A92916">
        <w:t xml:space="preserve"> </w:t>
      </w:r>
      <w:r w:rsidR="00CD154D">
        <w:t xml:space="preserve">By </w:t>
      </w:r>
      <w:r w:rsidR="007F5648">
        <w:t>digging into</w:t>
      </w:r>
      <w:r w:rsidR="00CD154D">
        <w:t xml:space="preserve"> investor reactions to earnings surprises, we </w:t>
      </w:r>
      <w:r w:rsidR="007E74AC">
        <w:t>can</w:t>
      </w:r>
      <w:r w:rsidR="00CD154D">
        <w:t xml:space="preserve"> provide a novel contribution that </w:t>
      </w:r>
      <w:r w:rsidR="005E549D" w:rsidRPr="005E549D">
        <w:t xml:space="preserve">deepens our understanding of how </w:t>
      </w:r>
      <w:r w:rsidR="00C57D5F">
        <w:t>evaluators in general</w:t>
      </w:r>
      <w:r w:rsidR="00292414">
        <w:t>,</w:t>
      </w:r>
      <w:r w:rsidR="00C57D5F">
        <w:t xml:space="preserve"> and </w:t>
      </w:r>
      <w:r w:rsidR="005E549D" w:rsidRPr="005E549D">
        <w:t xml:space="preserve">investors </w:t>
      </w:r>
      <w:r w:rsidR="00C57D5F">
        <w:t>specific</w:t>
      </w:r>
      <w:r w:rsidR="00292414">
        <w:t>ally,</w:t>
      </w:r>
      <w:r w:rsidR="00C57D5F">
        <w:t xml:space="preserve"> may </w:t>
      </w:r>
      <w:r w:rsidR="005E549D" w:rsidRPr="005E549D">
        <w:t xml:space="preserve">evaluate critical firm </w:t>
      </w:r>
      <w:r w:rsidR="00C57D5F">
        <w:t>information</w:t>
      </w:r>
      <w:r w:rsidR="005E549D">
        <w:t>. Moving</w:t>
      </w:r>
      <w:r w:rsidR="00CD154D">
        <w:t xml:space="preserve"> beyond </w:t>
      </w:r>
      <w:r w:rsidR="005E549D">
        <w:t xml:space="preserve">prior research that </w:t>
      </w:r>
      <w:r w:rsidR="00CD154D">
        <w:t>focus</w:t>
      </w:r>
      <w:r w:rsidR="005E549D">
        <w:t>es</w:t>
      </w:r>
      <w:r w:rsidR="00CD154D">
        <w:t xml:space="preserve"> exclusively on the magnitude of earnings surprises </w:t>
      </w:r>
      <w:r w:rsidR="00CD154D" w:rsidRPr="00CD154D">
        <w:t>(Barron, Byard, &amp; Yu, 2008; Pfarrer</w:t>
      </w:r>
      <w:r w:rsidR="00906F20">
        <w:t xml:space="preserve"> et al.</w:t>
      </w:r>
      <w:r w:rsidR="00CD154D" w:rsidRPr="00CD154D">
        <w:t>, 2010)</w:t>
      </w:r>
      <w:r w:rsidR="00CD154D">
        <w:t xml:space="preserve"> or </w:t>
      </w:r>
      <w:r w:rsidR="00BA0BFE">
        <w:t xml:space="preserve">that </w:t>
      </w:r>
      <w:r w:rsidR="005E549D">
        <w:t>compares</w:t>
      </w:r>
      <w:r w:rsidR="007F5648">
        <w:t xml:space="preserve"> firm earnings to </w:t>
      </w:r>
      <w:r w:rsidR="005E549D">
        <w:t>expectations derived from</w:t>
      </w:r>
      <w:r w:rsidR="007F5648">
        <w:t xml:space="preserve"> seasonal random walk model</w:t>
      </w:r>
      <w:r w:rsidR="005E549D">
        <w:t>s</w:t>
      </w:r>
      <w:r w:rsidR="007F5648">
        <w:t xml:space="preserve"> </w:t>
      </w:r>
      <w:r w:rsidR="007F5648">
        <w:lastRenderedPageBreak/>
        <w:t>(</w:t>
      </w:r>
      <w:r w:rsidR="007F5648" w:rsidRPr="004254AB">
        <w:t>Bartov</w:t>
      </w:r>
      <w:r w:rsidR="00906F20">
        <w:t>,</w:t>
      </w:r>
      <w:r w:rsidR="00906F20" w:rsidRPr="00906F20">
        <w:t xml:space="preserve"> </w:t>
      </w:r>
      <w:r w:rsidR="00906F20" w:rsidRPr="000B3AC1">
        <w:t>Radhakrishnan</w:t>
      </w:r>
      <w:r w:rsidR="007F5648" w:rsidRPr="004254AB">
        <w:t xml:space="preserve">, </w:t>
      </w:r>
      <w:r w:rsidR="00906F20">
        <w:t xml:space="preserve">&amp; Krinsky, </w:t>
      </w:r>
      <w:r w:rsidR="007F5648" w:rsidRPr="004254AB">
        <w:t>2000; Bernard &amp; Thomas, 1990</w:t>
      </w:r>
      <w:r w:rsidR="007F5648">
        <w:t>)</w:t>
      </w:r>
      <w:r w:rsidR="005E549D">
        <w:t>, our study suggest</w:t>
      </w:r>
      <w:r w:rsidR="002A4D46">
        <w:t>s</w:t>
      </w:r>
      <w:r w:rsidR="005E549D">
        <w:t xml:space="preserve"> that </w:t>
      </w:r>
      <w:r w:rsidR="007F5648">
        <w:t xml:space="preserve">investors react to </w:t>
      </w:r>
      <w:r w:rsidR="005E549D">
        <w:t xml:space="preserve">earnings surprises </w:t>
      </w:r>
      <w:r w:rsidR="007F5648">
        <w:t xml:space="preserve">in a more nuanced and granular manner. </w:t>
      </w:r>
      <w:r w:rsidR="005D0845" w:rsidRPr="00D7223F">
        <w:t>We develop our theory and hypotheses in the next section.</w:t>
      </w:r>
    </w:p>
    <w:bookmarkEnd w:id="2"/>
    <w:bookmarkEnd w:id="3"/>
    <w:p w14:paraId="2CCA8D81" w14:textId="77777777" w:rsidR="002F1F07" w:rsidRPr="00D7223F" w:rsidRDefault="002F1F07" w:rsidP="0002694F">
      <w:pPr>
        <w:spacing w:line="360" w:lineRule="auto"/>
        <w:jc w:val="center"/>
        <w:rPr>
          <w:b/>
          <w:bCs/>
        </w:rPr>
      </w:pPr>
      <w:r w:rsidRPr="00DC6C56">
        <w:rPr>
          <w:b/>
          <w:bCs/>
        </w:rPr>
        <w:t>THEORY AND HYPOTHESES</w:t>
      </w:r>
    </w:p>
    <w:p w14:paraId="473E1E7A" w14:textId="7513A8FD" w:rsidR="007967F8" w:rsidRDefault="00D73A10" w:rsidP="007967F8">
      <w:pPr>
        <w:spacing w:line="480" w:lineRule="auto"/>
        <w:ind w:firstLine="720"/>
      </w:pPr>
      <w:r>
        <w:t xml:space="preserve">EVT </w:t>
      </w:r>
      <w:r w:rsidR="00077275" w:rsidRPr="00BC2531">
        <w:rPr>
          <w:bCs/>
        </w:rPr>
        <w:t xml:space="preserve">comes from the field of communications </w:t>
      </w:r>
      <w:r w:rsidR="00077275">
        <w:rPr>
          <w:bCs/>
        </w:rPr>
        <w:t xml:space="preserve">and </w:t>
      </w:r>
      <w:r>
        <w:t xml:space="preserve">was initially developed to explain </w:t>
      </w:r>
      <w:r w:rsidR="00710E1C">
        <w:t>how individuals react to</w:t>
      </w:r>
      <w:r w:rsidR="0021617E">
        <w:t xml:space="preserve"> violations of personal space during </w:t>
      </w:r>
      <w:r w:rsidR="007112AE">
        <w:t>interpersonal communication</w:t>
      </w:r>
      <w:r w:rsidR="0021617E">
        <w:t xml:space="preserve"> (Burgoon &amp; Jones, 1976)</w:t>
      </w:r>
      <w:r w:rsidR="00077275">
        <w:t xml:space="preserve">. </w:t>
      </w:r>
      <w:r w:rsidR="00817B7B">
        <w:t xml:space="preserve">In its original form, the authors discussed how </w:t>
      </w:r>
      <w:r w:rsidR="008A28DD">
        <w:t>an individual would form expectations about how close someone would stand to them during interpersonal communication</w:t>
      </w:r>
      <w:r w:rsidR="00817B7B">
        <w:t xml:space="preserve">, guided by </w:t>
      </w:r>
      <w:r w:rsidR="008A28DD">
        <w:t xml:space="preserve">social norms (e.g., context, relationship, etc.) and </w:t>
      </w:r>
      <w:r w:rsidR="00817B7B">
        <w:t xml:space="preserve">knowledge </w:t>
      </w:r>
      <w:r w:rsidR="008A28DD">
        <w:t>about the person’s prior behavior. If these expectations are violated (e.g., the person stands closer than expected), the reactions would tend to be greater than if the expectations are confirmed</w:t>
      </w:r>
      <w:r w:rsidR="00817B7B">
        <w:t>. Moreover</w:t>
      </w:r>
      <w:r w:rsidR="008A28DD">
        <w:t>, the reaction would depend on how the</w:t>
      </w:r>
      <w:r w:rsidR="00DC6C56">
        <w:t xml:space="preserve"> individual</w:t>
      </w:r>
      <w:r w:rsidR="008A28DD">
        <w:t xml:space="preserve"> feel</w:t>
      </w:r>
      <w:r w:rsidR="00DC6C56">
        <w:t>s</w:t>
      </w:r>
      <w:r w:rsidR="008A28DD">
        <w:t xml:space="preserve"> about that person, such that a person standing closer than expected might be viewed as a negative violation for those the individual finds repulsive, but the same behavior </w:t>
      </w:r>
      <w:r w:rsidR="006406A9">
        <w:t xml:space="preserve">could </w:t>
      </w:r>
      <w:r w:rsidR="008A28DD">
        <w:t>be viewed as a positive violation if the</w:t>
      </w:r>
      <w:r w:rsidR="0002694F">
        <w:t xml:space="preserve"> individual</w:t>
      </w:r>
      <w:r w:rsidR="008A28DD">
        <w:t xml:space="preserve"> find</w:t>
      </w:r>
      <w:r w:rsidR="008843B7">
        <w:rPr>
          <w:rFonts w:hint="eastAsia"/>
        </w:rPr>
        <w:t>s</w:t>
      </w:r>
      <w:r w:rsidR="008A28DD">
        <w:t xml:space="preserve"> the person appealing (Burgoon &amp; Jones, 1976). </w:t>
      </w:r>
      <w:r w:rsidR="007967F8">
        <w:t>From these roots, EVT has been extended to explaining reactions to other types of interpersonal behavior (Burgoon, 1993, 2015)</w:t>
      </w:r>
      <w:r w:rsidR="00B77527">
        <w:t xml:space="preserve"> and importantly, to the organizational level. </w:t>
      </w:r>
      <w:r w:rsidR="00DC6C56">
        <w:t>S</w:t>
      </w:r>
      <w:r w:rsidR="00B77527">
        <w:t xml:space="preserve">cholars have used EVT to examine </w:t>
      </w:r>
      <w:r w:rsidR="007967F8">
        <w:t xml:space="preserve">stakeholder reactions to </w:t>
      </w:r>
      <w:r w:rsidR="00CA4152">
        <w:t>firm-level activities</w:t>
      </w:r>
      <w:r w:rsidR="007967F8">
        <w:t xml:space="preserve"> such as alliance announcements (Blagoeva</w:t>
      </w:r>
      <w:r w:rsidR="00906F20">
        <w:t xml:space="preserve"> et al.</w:t>
      </w:r>
      <w:r w:rsidR="007967F8">
        <w:t>, 2020; Graffin</w:t>
      </w:r>
      <w:r w:rsidR="00906F20">
        <w:t xml:space="preserve"> et al.</w:t>
      </w:r>
      <w:r w:rsidR="007967F8">
        <w:t>, 2016; Jin, Li, &amp; Hoskisson, 2022)</w:t>
      </w:r>
      <w:r w:rsidR="004E21B4">
        <w:t xml:space="preserve">, </w:t>
      </w:r>
      <w:r w:rsidR="007967F8">
        <w:t xml:space="preserve">scandals </w:t>
      </w:r>
      <w:r w:rsidR="00B77527">
        <w:t xml:space="preserve">or </w:t>
      </w:r>
      <w:r w:rsidR="007967F8">
        <w:t>misconduct (Bundy, Iqbal, &amp; Pfarrer, 202</w:t>
      </w:r>
      <w:r w:rsidR="00542ECA">
        <w:t>1</w:t>
      </w:r>
      <w:r w:rsidR="007967F8">
        <w:t xml:space="preserve">), and </w:t>
      </w:r>
      <w:r w:rsidR="007967F8">
        <w:rPr>
          <w:bCs/>
        </w:rPr>
        <w:t>firm performance (Pfarrer et al., 2010)</w:t>
      </w:r>
      <w:r w:rsidR="007967F8" w:rsidRPr="00BC2531">
        <w:rPr>
          <w:rStyle w:val="FootnoteReference"/>
          <w:rFonts w:eastAsiaTheme="majorEastAsia"/>
          <w:bCs/>
        </w:rPr>
        <w:footnoteReference w:id="4"/>
      </w:r>
      <w:r w:rsidR="007967F8">
        <w:rPr>
          <w:bCs/>
        </w:rPr>
        <w:t xml:space="preserve">. </w:t>
      </w:r>
    </w:p>
    <w:p w14:paraId="34ECA473" w14:textId="5C26DEF1" w:rsidR="00FC2EE1" w:rsidRDefault="00B77527" w:rsidP="00833532">
      <w:pPr>
        <w:spacing w:line="480" w:lineRule="auto"/>
        <w:ind w:firstLine="720"/>
        <w:rPr>
          <w:bCs/>
        </w:rPr>
      </w:pPr>
      <w:r w:rsidRPr="001C440A">
        <w:lastRenderedPageBreak/>
        <w:t>At the organizational level, t</w:t>
      </w:r>
      <w:r w:rsidR="006C7FD8" w:rsidRPr="001C440A">
        <w:t xml:space="preserve">he basic idea </w:t>
      </w:r>
      <w:r w:rsidRPr="001C440A">
        <w:t>of EVT remains consistent: w</w:t>
      </w:r>
      <w:r w:rsidR="006C7FD8" w:rsidRPr="001C440A">
        <w:t xml:space="preserve">hen a stakeholder’s expectation of a firm’s behavior is violated, their </w:t>
      </w:r>
      <w:r w:rsidR="00077275" w:rsidRPr="001C440A">
        <w:rPr>
          <w:bCs/>
        </w:rPr>
        <w:t>reactions tend to be greater than</w:t>
      </w:r>
      <w:r w:rsidR="00077275" w:rsidRPr="00BC2531">
        <w:rPr>
          <w:bCs/>
        </w:rPr>
        <w:t xml:space="preserve"> when their expectations are confirmed</w:t>
      </w:r>
      <w:r>
        <w:rPr>
          <w:bCs/>
        </w:rPr>
        <w:t xml:space="preserve">. </w:t>
      </w:r>
      <w:r w:rsidR="00C721D4">
        <w:rPr>
          <w:bCs/>
        </w:rPr>
        <w:t>W</w:t>
      </w:r>
      <w:r w:rsidR="00077275" w:rsidRPr="00BC2531">
        <w:rPr>
          <w:bCs/>
        </w:rPr>
        <w:t xml:space="preserve">hen reality turns out better than expected, that is considered a “positive violation,” </w:t>
      </w:r>
      <w:r>
        <w:rPr>
          <w:bCs/>
        </w:rPr>
        <w:t xml:space="preserve">prompting </w:t>
      </w:r>
      <w:r w:rsidR="00077275" w:rsidRPr="00BC2531">
        <w:rPr>
          <w:bCs/>
        </w:rPr>
        <w:t xml:space="preserve">more favorable </w:t>
      </w:r>
      <w:r>
        <w:rPr>
          <w:bCs/>
        </w:rPr>
        <w:t xml:space="preserve">reactions </w:t>
      </w:r>
      <w:r w:rsidR="00077275" w:rsidRPr="00BC2531">
        <w:rPr>
          <w:bCs/>
        </w:rPr>
        <w:t>than merely meeting expectations. In contrast, when reality turns out worse than expected, that would be considered a “negative violation,”</w:t>
      </w:r>
      <w:r>
        <w:rPr>
          <w:bCs/>
        </w:rPr>
        <w:t xml:space="preserve"> leading to </w:t>
      </w:r>
      <w:r w:rsidR="00077275" w:rsidRPr="00BC2531">
        <w:rPr>
          <w:bCs/>
        </w:rPr>
        <w:t xml:space="preserve">less favorable </w:t>
      </w:r>
      <w:r>
        <w:rPr>
          <w:bCs/>
        </w:rPr>
        <w:t xml:space="preserve">reactions </w:t>
      </w:r>
      <w:r w:rsidR="00077275" w:rsidRPr="00BC2531">
        <w:rPr>
          <w:bCs/>
        </w:rPr>
        <w:t>than if expectations had been met (e.g., Bundy et al., 2021; Graffin et al., 2016</w:t>
      </w:r>
      <w:r w:rsidR="006C7FD8">
        <w:rPr>
          <w:bCs/>
        </w:rPr>
        <w:t xml:space="preserve">; </w:t>
      </w:r>
      <w:r w:rsidR="00077275" w:rsidRPr="00BC2531">
        <w:rPr>
          <w:bCs/>
        </w:rPr>
        <w:t>Pfarrer et al., 2010).</w:t>
      </w:r>
      <w:r w:rsidR="006C7FD8">
        <w:rPr>
          <w:bCs/>
        </w:rPr>
        <w:t xml:space="preserve"> </w:t>
      </w:r>
    </w:p>
    <w:p w14:paraId="2709FE4E" w14:textId="0FE29BBA" w:rsidR="00C46952" w:rsidRDefault="001557C7" w:rsidP="00771BC8">
      <w:pPr>
        <w:spacing w:line="480" w:lineRule="auto"/>
        <w:ind w:firstLine="720"/>
      </w:pPr>
      <w:r w:rsidRPr="00CC557A">
        <w:rPr>
          <w:bCs/>
        </w:rPr>
        <w:t xml:space="preserve">Applying EVT, management research has </w:t>
      </w:r>
      <w:r w:rsidR="00467769" w:rsidRPr="00CC557A">
        <w:t>identified a variety of factors that may impact stakeholder reactions</w:t>
      </w:r>
      <w:r w:rsidR="0055375F" w:rsidRPr="00CC557A">
        <w:t xml:space="preserve"> by influencing </w:t>
      </w:r>
      <w:r w:rsidR="00226632" w:rsidRPr="00CC557A">
        <w:t xml:space="preserve">their </w:t>
      </w:r>
      <w:r w:rsidR="0055375F" w:rsidRPr="00CC557A">
        <w:t>expectations</w:t>
      </w:r>
      <w:r w:rsidR="00226632" w:rsidRPr="00CC557A">
        <w:t>. These</w:t>
      </w:r>
      <w:r w:rsidR="00467769" w:rsidRPr="00CC557A">
        <w:t xml:space="preserve"> includ</w:t>
      </w:r>
      <w:r w:rsidR="00226632" w:rsidRPr="00CC557A">
        <w:t>e</w:t>
      </w:r>
      <w:r w:rsidR="00467769" w:rsidRPr="00CC557A">
        <w:t xml:space="preserve"> </w:t>
      </w:r>
      <w:r w:rsidR="0055375F" w:rsidRPr="00CC557A">
        <w:t>generalized norms</w:t>
      </w:r>
      <w:r w:rsidR="00467769" w:rsidRPr="00CC557A">
        <w:t xml:space="preserve"> (Graffin et al., 2016; Pfarrer</w:t>
      </w:r>
      <w:r w:rsidR="00751D90" w:rsidRPr="00CC557A">
        <w:t xml:space="preserve"> et al.</w:t>
      </w:r>
      <w:r w:rsidR="00467769" w:rsidRPr="00CC557A">
        <w:t>, 2010), communication by the firm (</w:t>
      </w:r>
      <w:r w:rsidR="00751D90" w:rsidRPr="00CC557A">
        <w:t>Blagoeva et al., 2020</w:t>
      </w:r>
      <w:r w:rsidR="00467769" w:rsidRPr="00CC557A">
        <w:t>), past behavior (</w:t>
      </w:r>
      <w:r w:rsidR="00751D90" w:rsidRPr="00CC557A">
        <w:t>Blagoeva et al., 2020</w:t>
      </w:r>
      <w:r w:rsidR="0055375F" w:rsidRPr="00CC557A">
        <w:t>; Graffin et al., 2016</w:t>
      </w:r>
      <w:r w:rsidR="00467769" w:rsidRPr="00CC557A">
        <w:t>)</w:t>
      </w:r>
      <w:r w:rsidR="00751D90" w:rsidRPr="00CC557A">
        <w:t>, and factors that might capture prior</w:t>
      </w:r>
      <w:r w:rsidR="00751D90" w:rsidRPr="00467769">
        <w:t xml:space="preserve"> behavior, such as reputations (</w:t>
      </w:r>
      <w:r w:rsidR="00DE0905">
        <w:t>Bundy et al., 2021</w:t>
      </w:r>
      <w:r w:rsidR="00751D90" w:rsidRPr="00467769">
        <w:t>; Pfarrer et al., 2010)</w:t>
      </w:r>
      <w:r w:rsidR="0055375F">
        <w:t xml:space="preserve">—i.e., essentially </w:t>
      </w:r>
      <w:r w:rsidR="00467769" w:rsidRPr="00467769">
        <w:t xml:space="preserve">any </w:t>
      </w:r>
      <w:r w:rsidR="0090040A">
        <w:t>element</w:t>
      </w:r>
      <w:r w:rsidR="0090040A" w:rsidRPr="00467769">
        <w:t xml:space="preserve"> </w:t>
      </w:r>
      <w:r w:rsidR="00467769" w:rsidRPr="00467769">
        <w:t xml:space="preserve">that can affect what stakeholders believe </w:t>
      </w:r>
      <w:r w:rsidR="0090040A">
        <w:t xml:space="preserve">about </w:t>
      </w:r>
      <w:r w:rsidR="00467769" w:rsidRPr="00C8719E">
        <w:rPr>
          <w:i/>
          <w:iCs/>
        </w:rPr>
        <w:t>the firm</w:t>
      </w:r>
      <w:r w:rsidR="00C721D4" w:rsidRPr="00C8719E">
        <w:rPr>
          <w:i/>
          <w:iCs/>
        </w:rPr>
        <w:t>’s likely behavior</w:t>
      </w:r>
      <w:r w:rsidR="00467769" w:rsidRPr="00467769">
        <w:t xml:space="preserve"> (i.e., predictive expectations) or </w:t>
      </w:r>
      <w:r w:rsidR="00C721D4">
        <w:t xml:space="preserve">normative beliefs about </w:t>
      </w:r>
      <w:r w:rsidR="00C721D4" w:rsidRPr="00C8719E">
        <w:rPr>
          <w:i/>
          <w:iCs/>
        </w:rPr>
        <w:t>the appropriateness of particular types of behavior</w:t>
      </w:r>
      <w:r w:rsidR="00467769" w:rsidRPr="00467769">
        <w:t xml:space="preserve"> (i.e., prescriptive expectations) (Burgoon, 2015). </w:t>
      </w:r>
      <w:r w:rsidR="00610725">
        <w:t xml:space="preserve">In addition to </w:t>
      </w:r>
      <w:r w:rsidR="00A41A1A">
        <w:t>meeting or violating the</w:t>
      </w:r>
      <w:r w:rsidR="00610725">
        <w:t xml:space="preserve"> predictive and prescriptive expectations suggested by Burgoon (2015; Burgoon &amp; Jones, 1976), </w:t>
      </w:r>
      <w:r w:rsidR="00112781">
        <w:t xml:space="preserve">however, </w:t>
      </w:r>
      <w:r w:rsidR="00610725">
        <w:t xml:space="preserve">we suggest that </w:t>
      </w:r>
      <w:r w:rsidR="00A41A1A">
        <w:t xml:space="preserve">stakeholder reactions to firm </w:t>
      </w:r>
      <w:r w:rsidR="00CA4152">
        <w:t xml:space="preserve">activities </w:t>
      </w:r>
      <w:r w:rsidR="00A41A1A">
        <w:t xml:space="preserve">may also depend on </w:t>
      </w:r>
      <w:r w:rsidR="00D40DD2">
        <w:t>whether</w:t>
      </w:r>
      <w:r w:rsidR="00771BC8">
        <w:t xml:space="preserve"> </w:t>
      </w:r>
      <w:r w:rsidR="00A41A1A">
        <w:t xml:space="preserve">their </w:t>
      </w:r>
      <w:r w:rsidR="00A41A1A" w:rsidRPr="00A41A1A">
        <w:t xml:space="preserve">expectations </w:t>
      </w:r>
      <w:r w:rsidR="00D40DD2">
        <w:t>change regarding</w:t>
      </w:r>
      <w:r w:rsidR="00195765">
        <w:t xml:space="preserve"> </w:t>
      </w:r>
      <w:r w:rsidR="00771BC8" w:rsidRPr="00771BC8">
        <w:rPr>
          <w:i/>
          <w:iCs/>
        </w:rPr>
        <w:t xml:space="preserve">the nature of </w:t>
      </w:r>
      <w:r w:rsidR="00195765" w:rsidRPr="00771BC8">
        <w:rPr>
          <w:i/>
          <w:iCs/>
        </w:rPr>
        <w:t>subsequent</w:t>
      </w:r>
      <w:r w:rsidR="00A41A1A" w:rsidRPr="00771BC8">
        <w:rPr>
          <w:i/>
          <w:iCs/>
        </w:rPr>
        <w:t xml:space="preserve"> future interactions with the firm</w:t>
      </w:r>
      <w:r w:rsidR="00771BC8">
        <w:t xml:space="preserve">, what we call prospective expectations. </w:t>
      </w:r>
      <w:r w:rsidR="00FB4B5E">
        <w:t xml:space="preserve">This </w:t>
      </w:r>
      <w:r w:rsidR="00C70EC3">
        <w:t>type of</w:t>
      </w:r>
      <w:r>
        <w:t xml:space="preserve"> expectation </w:t>
      </w:r>
      <w:r w:rsidR="00771BC8">
        <w:t xml:space="preserve">(and expectancy violation) </w:t>
      </w:r>
      <w:r>
        <w:t>ha</w:t>
      </w:r>
      <w:r w:rsidR="00171842">
        <w:t>s</w:t>
      </w:r>
      <w:r>
        <w:t xml:space="preserve"> </w:t>
      </w:r>
      <w:r w:rsidR="00B54540">
        <w:t xml:space="preserve">previously </w:t>
      </w:r>
      <w:r>
        <w:t xml:space="preserve">been overlooked in </w:t>
      </w:r>
      <w:r w:rsidR="00171842">
        <w:t xml:space="preserve">the </w:t>
      </w:r>
      <w:r>
        <w:t xml:space="preserve">prior </w:t>
      </w:r>
      <w:r w:rsidR="00171842">
        <w:t xml:space="preserve">EVT </w:t>
      </w:r>
      <w:r>
        <w:t>literature</w:t>
      </w:r>
      <w:r w:rsidR="00B54540">
        <w:t>, as</w:t>
      </w:r>
      <w:r w:rsidR="00C46952">
        <w:t xml:space="preserve"> the </w:t>
      </w:r>
      <w:r w:rsidR="00137312">
        <w:t xml:space="preserve">notion </w:t>
      </w:r>
      <w:r w:rsidR="00C46952">
        <w:t>of updating</w:t>
      </w:r>
      <w:r w:rsidR="00162B28">
        <w:t xml:space="preserve"> expectations</w:t>
      </w:r>
      <w:r w:rsidR="00C46952">
        <w:t xml:space="preserve"> and </w:t>
      </w:r>
      <w:r w:rsidR="00137312">
        <w:t xml:space="preserve">the nature </w:t>
      </w:r>
      <w:r w:rsidR="00C46952">
        <w:t xml:space="preserve">of </w:t>
      </w:r>
      <w:r w:rsidR="00137312">
        <w:t xml:space="preserve">the actor/stakeholder </w:t>
      </w:r>
      <w:r w:rsidR="00C46952">
        <w:t>relationship ha</w:t>
      </w:r>
      <w:r w:rsidR="00137312">
        <w:t>ve</w:t>
      </w:r>
      <w:r w:rsidR="00C46952">
        <w:t xml:space="preserve"> not been </w:t>
      </w:r>
      <w:r w:rsidR="005C5D13">
        <w:t xml:space="preserve">adequately </w:t>
      </w:r>
      <w:r w:rsidR="00FC4458">
        <w:t xml:space="preserve">incorporated </w:t>
      </w:r>
      <w:r w:rsidR="005C5D13">
        <w:t>into the theorizing.</w:t>
      </w:r>
    </w:p>
    <w:p w14:paraId="1FDC8F52" w14:textId="2681A715" w:rsidR="005E1138" w:rsidRDefault="007077BB" w:rsidP="005E1138">
      <w:pPr>
        <w:spacing w:line="480" w:lineRule="auto"/>
        <w:ind w:firstLine="720"/>
      </w:pPr>
      <w:r>
        <w:lastRenderedPageBreak/>
        <w:t>T</w:t>
      </w:r>
      <w:r w:rsidR="00FC4458" w:rsidRPr="008D3CB1">
        <w:t xml:space="preserve">he EVT literature assumes that </w:t>
      </w:r>
      <w:r w:rsidR="005C5D13" w:rsidRPr="008D3CB1">
        <w:t>any updating of beliefs would only occur after a reaction to the expecta</w:t>
      </w:r>
      <w:r w:rsidR="00191898" w:rsidRPr="008D3CB1">
        <w:t>ncy</w:t>
      </w:r>
      <w:r w:rsidR="005C5D13" w:rsidRPr="008D3CB1">
        <w:t xml:space="preserve"> violation</w:t>
      </w:r>
      <w:r w:rsidR="00843A55" w:rsidRPr="008D3CB1">
        <w:t xml:space="preserve"> (e.g., Burgoon, 1993, 2015)</w:t>
      </w:r>
      <w:r w:rsidR="00FC4458" w:rsidRPr="008D3CB1">
        <w:t xml:space="preserve">. </w:t>
      </w:r>
      <w:r w:rsidR="00263107">
        <w:t>Violations are assessed along three different factors: 1) its magnitude</w:t>
      </w:r>
      <w:r w:rsidR="00354A9B">
        <w:t xml:space="preserve"> (that is, </w:t>
      </w:r>
      <w:r w:rsidR="00263107">
        <w:t>the amount or scale of violation</w:t>
      </w:r>
      <w:r w:rsidR="00354A9B">
        <w:t>)</w:t>
      </w:r>
      <w:r w:rsidR="00263107">
        <w:t xml:space="preserve">, 2) its </w:t>
      </w:r>
      <w:r w:rsidR="005E4F16">
        <w:t xml:space="preserve">valence (the direction of the violation, </w:t>
      </w:r>
      <w:r w:rsidR="00193AC1">
        <w:t>be it positive or negative</w:t>
      </w:r>
      <w:r w:rsidR="005E4F16">
        <w:t xml:space="preserve">), and 3) the </w:t>
      </w:r>
      <w:r w:rsidR="00C94330">
        <w:t>actor’s appeal</w:t>
      </w:r>
      <w:r w:rsidR="00E24806">
        <w:t xml:space="preserve"> (what Burgoon, 2015: p. 3 refers to as “communicator reward valence”)</w:t>
      </w:r>
      <w:r w:rsidR="001F2FFF">
        <w:t>.</w:t>
      </w:r>
      <w:r w:rsidR="00354A9B">
        <w:t xml:space="preserve"> </w:t>
      </w:r>
      <w:r w:rsidR="001D613F">
        <w:t xml:space="preserve">According to </w:t>
      </w:r>
      <w:r w:rsidR="005C5D13" w:rsidRPr="008D3CB1">
        <w:t>the current conceptualization of EVT</w:t>
      </w:r>
      <w:r w:rsidR="001D613F">
        <w:t>,</w:t>
      </w:r>
      <w:r w:rsidR="00EC04AE">
        <w:t xml:space="preserve"> </w:t>
      </w:r>
      <w:r w:rsidR="001D613F">
        <w:t xml:space="preserve">reactions to </w:t>
      </w:r>
      <w:r w:rsidR="00CB511E">
        <w:t>a</w:t>
      </w:r>
      <w:r w:rsidR="001D613F">
        <w:t>n expectancy</w:t>
      </w:r>
      <w:r w:rsidR="00CB511E">
        <w:t xml:space="preserve"> violation would be the same for</w:t>
      </w:r>
      <w:r w:rsidR="00417576">
        <w:t xml:space="preserve"> a situation </w:t>
      </w:r>
      <w:r w:rsidR="00CB511E">
        <w:t xml:space="preserve">where updating has occurred </w:t>
      </w:r>
      <w:r w:rsidR="003B21E2">
        <w:t>versus</w:t>
      </w:r>
      <w:r w:rsidR="00CB511E">
        <w:t xml:space="preserve"> one where it has not, provided</w:t>
      </w:r>
      <w:r w:rsidR="006B1814">
        <w:t xml:space="preserve"> </w:t>
      </w:r>
      <w:r w:rsidR="005C5D13" w:rsidRPr="008D3CB1">
        <w:t>the three factors that determine reactions are identical</w:t>
      </w:r>
      <w:r w:rsidR="006B1814">
        <w:t>.</w:t>
      </w:r>
      <w:r w:rsidR="005C5D13" w:rsidRPr="008D3CB1">
        <w:t xml:space="preserve"> </w:t>
      </w:r>
      <w:r w:rsidR="006B1814">
        <w:t>T</w:t>
      </w:r>
      <w:r w:rsidR="005C5D13" w:rsidRPr="008D3CB1">
        <w:t xml:space="preserve">hat is, if </w:t>
      </w:r>
      <w:r w:rsidR="00E90E25">
        <w:t xml:space="preserve">each situation </w:t>
      </w:r>
      <w:r w:rsidR="00FD2368">
        <w:t>involved</w:t>
      </w:r>
      <w:r w:rsidR="00FD2368" w:rsidRPr="008D3CB1">
        <w:t xml:space="preserve"> </w:t>
      </w:r>
      <w:r w:rsidR="005C5D13" w:rsidRPr="008D3CB1">
        <w:t xml:space="preserve">1) </w:t>
      </w:r>
      <w:r w:rsidR="005C5D13" w:rsidRPr="001B7495">
        <w:t xml:space="preserve">the same magnitude </w:t>
      </w:r>
      <w:r w:rsidR="00FD2368">
        <w:t xml:space="preserve">of </w:t>
      </w:r>
      <w:r w:rsidR="005C5D13" w:rsidRPr="001B7495">
        <w:t xml:space="preserve">violation </w:t>
      </w:r>
      <w:r w:rsidR="00E90E25" w:rsidRPr="001B7495">
        <w:t>2)</w:t>
      </w:r>
      <w:r w:rsidR="00B960A5">
        <w:t xml:space="preserve"> </w:t>
      </w:r>
      <w:r w:rsidR="005C5D13" w:rsidRPr="001B7495">
        <w:t xml:space="preserve">of the same valence </w:t>
      </w:r>
      <w:r w:rsidR="00E90E25" w:rsidRPr="001B7495">
        <w:t>3)</w:t>
      </w:r>
      <w:r w:rsidR="00E90E25">
        <w:t xml:space="preserve"> </w:t>
      </w:r>
      <w:r w:rsidR="005C5D13" w:rsidRPr="001B7495">
        <w:t>by the same actor</w:t>
      </w:r>
      <w:r w:rsidR="00FD2368">
        <w:t>, then</w:t>
      </w:r>
      <w:r w:rsidR="00EB27DE">
        <w:t xml:space="preserve"> the stakeholder reaction would not differ,</w:t>
      </w:r>
      <w:r w:rsidR="00B50150">
        <w:t xml:space="preserve"> even if</w:t>
      </w:r>
      <w:r w:rsidR="005C5D13" w:rsidRPr="00551D46">
        <w:t xml:space="preserve"> the violation led to an updating of expectations in one situation and not in another</w:t>
      </w:r>
      <w:r w:rsidR="005C5D13" w:rsidRPr="008D3CB1">
        <w:t xml:space="preserve">. </w:t>
      </w:r>
      <w:bookmarkStart w:id="8" w:name="OLE_LINK39"/>
      <w:r w:rsidR="00EF6A62">
        <w:t>W</w:t>
      </w:r>
      <w:r w:rsidR="00843A55" w:rsidRPr="008D3CB1">
        <w:t>e argue</w:t>
      </w:r>
      <w:r w:rsidR="00EF6A62">
        <w:t>, however,</w:t>
      </w:r>
      <w:r w:rsidR="00843A55" w:rsidRPr="008D3CB1">
        <w:t xml:space="preserve"> that reactions might differ depending on whether </w:t>
      </w:r>
      <w:r w:rsidR="000B64AF">
        <w:rPr>
          <w:rFonts w:hint="eastAsia"/>
        </w:rPr>
        <w:t xml:space="preserve">there is an update of expectations. Specifically, </w:t>
      </w:r>
      <w:r w:rsidR="00FC4458" w:rsidRPr="008D3CB1">
        <w:t>evaluators</w:t>
      </w:r>
      <w:r w:rsidR="00843A55" w:rsidRPr="008D3CB1">
        <w:t xml:space="preserve"> </w:t>
      </w:r>
      <w:r w:rsidR="000B64AF">
        <w:rPr>
          <w:rFonts w:hint="eastAsia"/>
        </w:rPr>
        <w:t xml:space="preserve">may </w:t>
      </w:r>
      <w:r w:rsidR="00843A55" w:rsidRPr="008D3CB1">
        <w:t xml:space="preserve">believe that </w:t>
      </w:r>
      <w:r w:rsidR="00714042" w:rsidRPr="008D3CB1">
        <w:t xml:space="preserve">the violation was </w:t>
      </w:r>
      <w:r w:rsidR="009D201C" w:rsidRPr="008D3CB1">
        <w:t xml:space="preserve">1) </w:t>
      </w:r>
      <w:r w:rsidR="00843A55" w:rsidRPr="008D3CB1">
        <w:t xml:space="preserve">a one-off behavior that was not likely to repeat in the future (i.e., no updating of expectations), versus 2) an incident that </w:t>
      </w:r>
      <w:r w:rsidR="00714042">
        <w:rPr>
          <w:rFonts w:hint="eastAsia"/>
        </w:rPr>
        <w:t>would</w:t>
      </w:r>
      <w:r w:rsidR="00714042" w:rsidRPr="008D3CB1">
        <w:t xml:space="preserve"> </w:t>
      </w:r>
      <w:r w:rsidR="00843A55" w:rsidRPr="008D3CB1">
        <w:t xml:space="preserve">lead to </w:t>
      </w:r>
      <w:r w:rsidR="00714042">
        <w:rPr>
          <w:rFonts w:hint="eastAsia"/>
        </w:rPr>
        <w:t>an enduring</w:t>
      </w:r>
      <w:r w:rsidR="00787B34" w:rsidRPr="008D3CB1">
        <w:t xml:space="preserve"> change</w:t>
      </w:r>
      <w:r w:rsidR="00843A55" w:rsidRPr="008D3CB1">
        <w:t xml:space="preserve"> in behavior, </w:t>
      </w:r>
      <w:r w:rsidR="00714042">
        <w:rPr>
          <w:rFonts w:hint="eastAsia"/>
        </w:rPr>
        <w:t xml:space="preserve">thereby </w:t>
      </w:r>
      <w:r w:rsidR="00787B34" w:rsidRPr="008D3CB1">
        <w:t xml:space="preserve">prompting a reassessment of what to expect </w:t>
      </w:r>
      <w:r w:rsidR="000B64AF">
        <w:rPr>
          <w:rFonts w:hint="eastAsia"/>
        </w:rPr>
        <w:t>moving</w:t>
      </w:r>
      <w:r w:rsidR="000B64AF" w:rsidRPr="008D3CB1">
        <w:t xml:space="preserve"> </w:t>
      </w:r>
      <w:r w:rsidR="00787B34" w:rsidRPr="008D3CB1">
        <w:t xml:space="preserve">forward. In the latter case, a </w:t>
      </w:r>
      <w:r w:rsidR="00843A55" w:rsidRPr="008D3CB1">
        <w:t xml:space="preserve">“new normal” </w:t>
      </w:r>
      <w:r w:rsidR="00787B34" w:rsidRPr="008D3CB1">
        <w:t xml:space="preserve">will </w:t>
      </w:r>
      <w:r w:rsidR="00011393" w:rsidRPr="008D3CB1">
        <w:t xml:space="preserve">be </w:t>
      </w:r>
      <w:r w:rsidR="00787B34" w:rsidRPr="008D3CB1">
        <w:t xml:space="preserve">established that deviates </w:t>
      </w:r>
      <w:r w:rsidR="00843A55" w:rsidRPr="008D3CB1">
        <w:t xml:space="preserve">from the past (i.e., an updating of expectations). </w:t>
      </w:r>
    </w:p>
    <w:p w14:paraId="175A0B96" w14:textId="06B6F478" w:rsidR="005C5D13" w:rsidRDefault="005E1138" w:rsidP="005E1138">
      <w:pPr>
        <w:spacing w:line="480" w:lineRule="auto"/>
        <w:ind w:firstLine="720"/>
      </w:pPr>
      <w:r>
        <w:t>R</w:t>
      </w:r>
      <w:r w:rsidR="005C5D13" w:rsidRPr="008D3CB1">
        <w:t xml:space="preserve">elatedly, </w:t>
      </w:r>
      <w:r w:rsidR="00843A55" w:rsidRPr="008D3CB1">
        <w:t xml:space="preserve">the current version of EVT </w:t>
      </w:r>
      <w:r>
        <w:t>does</w:t>
      </w:r>
      <w:r w:rsidRPr="008D3CB1">
        <w:t xml:space="preserve"> </w:t>
      </w:r>
      <w:r w:rsidR="00843A55" w:rsidRPr="008D3CB1">
        <w:t xml:space="preserve">not make differential predictions for reactions based on </w:t>
      </w:r>
      <w:r w:rsidR="00870984" w:rsidRPr="008D3CB1">
        <w:t xml:space="preserve">the nature of </w:t>
      </w:r>
      <w:r w:rsidR="0090782A">
        <w:t xml:space="preserve">the </w:t>
      </w:r>
      <w:r w:rsidR="00870984" w:rsidRPr="008D3CB1">
        <w:t>relationship</w:t>
      </w:r>
      <w:r>
        <w:t>,</w:t>
      </w:r>
      <w:r w:rsidR="00870984" w:rsidRPr="008D3CB1">
        <w:t xml:space="preserve"> such as </w:t>
      </w:r>
      <w:r w:rsidR="00843A55" w:rsidRPr="008D3CB1">
        <w:t xml:space="preserve">the number and frequency of anticipated future interactions. </w:t>
      </w:r>
      <w:r w:rsidR="00787B34" w:rsidRPr="008D3CB1">
        <w:t>Yet</w:t>
      </w:r>
      <w:r w:rsidR="00843A55" w:rsidRPr="008D3CB1">
        <w:t xml:space="preserve"> it would be difficult to imagine someone </w:t>
      </w:r>
      <w:r w:rsidR="00787B34" w:rsidRPr="008D3CB1">
        <w:t>responding</w:t>
      </w:r>
      <w:r w:rsidR="00843A55" w:rsidRPr="008D3CB1">
        <w:t xml:space="preserve"> the same way to a </w:t>
      </w:r>
      <w:r w:rsidR="00054213">
        <w:t>negative</w:t>
      </w:r>
      <w:r w:rsidR="00054213" w:rsidRPr="008D3CB1">
        <w:t xml:space="preserve"> </w:t>
      </w:r>
      <w:r w:rsidR="00843A55" w:rsidRPr="008D3CB1">
        <w:t xml:space="preserve">violation by a coworker they </w:t>
      </w:r>
      <w:r w:rsidR="00054213">
        <w:t>dis</w:t>
      </w:r>
      <w:r w:rsidR="00843A55" w:rsidRPr="008D3CB1">
        <w:t xml:space="preserve">like that they see only once every six months versus one they see every week. </w:t>
      </w:r>
      <w:r w:rsidR="00FC4458" w:rsidRPr="008D3CB1">
        <w:t>That is</w:t>
      </w:r>
      <w:r w:rsidR="00843A55" w:rsidRPr="008D3CB1">
        <w:t xml:space="preserve">, reactions are likely to differ </w:t>
      </w:r>
      <w:r w:rsidR="00787B34" w:rsidRPr="008D3CB1">
        <w:t xml:space="preserve">depending on whether </w:t>
      </w:r>
      <w:r w:rsidR="00843A55" w:rsidRPr="008D3CB1">
        <w:t xml:space="preserve">one expects only a few more interactions with someone versus repeated interactions for the foreseeable future. </w:t>
      </w:r>
      <w:r w:rsidR="00787B34" w:rsidRPr="008D3CB1">
        <w:t>As such, t</w:t>
      </w:r>
      <w:r w:rsidR="00843A55" w:rsidRPr="008D3CB1">
        <w:t>he existing theoretical framework falls short in capturing these nuances.</w:t>
      </w:r>
      <w:bookmarkEnd w:id="8"/>
      <w:r w:rsidR="00CB511E" w:rsidRPr="00CB511E">
        <w:t xml:space="preserve"> </w:t>
      </w:r>
    </w:p>
    <w:p w14:paraId="146ABA46" w14:textId="570EBEE0" w:rsidR="00C46952" w:rsidRDefault="00C46952" w:rsidP="00C46952">
      <w:pPr>
        <w:spacing w:line="480" w:lineRule="auto"/>
        <w:ind w:firstLine="720"/>
      </w:pPr>
      <w:r>
        <w:lastRenderedPageBreak/>
        <w:t xml:space="preserve">We suggest that, by introducing prospective expectations, we can more fully incorporate </w:t>
      </w:r>
      <w:r w:rsidR="00332FA1">
        <w:t xml:space="preserve">into EVT </w:t>
      </w:r>
      <w:r>
        <w:t xml:space="preserve">both the role of updating and the nature of </w:t>
      </w:r>
      <w:r w:rsidR="0090782A">
        <w:t xml:space="preserve">the </w:t>
      </w:r>
      <w:r>
        <w:t>relationship</w:t>
      </w:r>
      <w:r w:rsidR="00870984">
        <w:t xml:space="preserve"> </w:t>
      </w:r>
      <w:r>
        <w:t>on</w:t>
      </w:r>
      <w:r w:rsidR="00BD6558">
        <w:t xml:space="preserve"> observer</w:t>
      </w:r>
      <w:r>
        <w:t xml:space="preserve"> reactions. We </w:t>
      </w:r>
      <w:r w:rsidR="00FE30E9">
        <w:t xml:space="preserve">thus </w:t>
      </w:r>
      <w:r>
        <w:t xml:space="preserve">define prospective expectations as the </w:t>
      </w:r>
      <w:r w:rsidR="00235F4B">
        <w:t xml:space="preserve">current </w:t>
      </w:r>
      <w:r>
        <w:t>expected value, to the stakeholder, of future interactions with the individual or firm</w:t>
      </w:r>
      <w:r w:rsidR="00843A55">
        <w:t xml:space="preserve">. </w:t>
      </w:r>
      <w:r>
        <w:t xml:space="preserve">As such, </w:t>
      </w:r>
      <w:r w:rsidR="00377E28">
        <w:t xml:space="preserve">the violation of prospective expectations </w:t>
      </w:r>
      <w:r w:rsidR="00024E70">
        <w:t xml:space="preserve">is </w:t>
      </w:r>
      <w:r>
        <w:t xml:space="preserve">not about a particular instance of behavior, per se, but </w:t>
      </w:r>
      <w:r w:rsidR="001A5F8E">
        <w:t xml:space="preserve">about </w:t>
      </w:r>
      <w:r w:rsidR="00377E28">
        <w:t xml:space="preserve">how the behavior changes evaluators’ beliefs </w:t>
      </w:r>
      <w:r>
        <w:t xml:space="preserve">about the nature of future interactions. </w:t>
      </w:r>
      <w:r w:rsidR="00486569">
        <w:t xml:space="preserve">Prospective </w:t>
      </w:r>
      <w:r>
        <w:t>expectations</w:t>
      </w:r>
      <w:r w:rsidR="002B7307">
        <w:t>,</w:t>
      </w:r>
      <w:r>
        <w:t xml:space="preserve"> </w:t>
      </w:r>
      <w:r w:rsidR="002B7307" w:rsidRPr="00486569">
        <w:t xml:space="preserve">then, </w:t>
      </w:r>
      <w:r w:rsidRPr="00486569">
        <w:t xml:space="preserve">are a function of not only </w:t>
      </w:r>
      <w:r w:rsidR="00843A55" w:rsidRPr="00486569">
        <w:t xml:space="preserve">how appealing the actor is, </w:t>
      </w:r>
      <w:r w:rsidRPr="00486569">
        <w:t>but also</w:t>
      </w:r>
      <w:r w:rsidR="00843A55" w:rsidRPr="00486569">
        <w:t xml:space="preserve"> of </w:t>
      </w:r>
      <w:r w:rsidRPr="00486569">
        <w:t>predictive expectations, prescriptive expectations, and the likely number and frequency of future interactions.</w:t>
      </w:r>
      <w:r>
        <w:t xml:space="preserve"> </w:t>
      </w:r>
      <w:bookmarkStart w:id="9" w:name="OLE_LINK43"/>
      <w:r>
        <w:t xml:space="preserve">Any updates to any of these factors would then result in a violation of prospective expectations, </w:t>
      </w:r>
      <w:r w:rsidR="00C1697C">
        <w:t xml:space="preserve">triggering </w:t>
      </w:r>
      <w:r>
        <w:t>an anticipatory reaction</w:t>
      </w:r>
      <w:r w:rsidR="00C1697C">
        <w:t xml:space="preserve">. </w:t>
      </w:r>
      <w:r w:rsidR="00C1697C" w:rsidRPr="006226B3">
        <w:t>This is</w:t>
      </w:r>
      <w:r w:rsidRPr="006226B3">
        <w:t xml:space="preserve"> </w:t>
      </w:r>
      <w:r w:rsidR="00ED6D00" w:rsidRPr="006226B3">
        <w:t>because the prospect of future interactions with those one finds appealing is likely</w:t>
      </w:r>
      <w:r w:rsidR="00E75835" w:rsidRPr="006226B3">
        <w:t xml:space="preserve"> to</w:t>
      </w:r>
      <w:r w:rsidR="00ED6D00" w:rsidRPr="006226B3">
        <w:t xml:space="preserve"> </w:t>
      </w:r>
      <w:r w:rsidR="00C1697C" w:rsidRPr="006226B3">
        <w:t xml:space="preserve">evoke positive anticipation, whereas </w:t>
      </w:r>
      <w:r w:rsidR="00ED6D00" w:rsidRPr="006226B3">
        <w:t xml:space="preserve">future interactions with those one finds repulsive, </w:t>
      </w:r>
      <w:r w:rsidR="00ED6D00" w:rsidRPr="006226B3">
        <w:rPr>
          <w:rFonts w:hint="eastAsia"/>
        </w:rPr>
        <w:t>dull</w:t>
      </w:r>
      <w:r w:rsidR="00ED6D00" w:rsidRPr="006226B3">
        <w:t xml:space="preserve">, or otherwise unappealing are likely to </w:t>
      </w:r>
      <w:r w:rsidR="00C1697C" w:rsidRPr="006226B3">
        <w:t>elicit negative an</w:t>
      </w:r>
      <w:r w:rsidR="00E75835" w:rsidRPr="006226B3">
        <w:t>ti</w:t>
      </w:r>
      <w:r w:rsidR="00C1697C" w:rsidRPr="006226B3">
        <w:t>cipation</w:t>
      </w:r>
      <w:r w:rsidR="00ED6D00" w:rsidRPr="006226B3">
        <w:t xml:space="preserve"> (e.g., Fiske &amp; Taylor, 2013; Snyder &amp; Stukas, 1999).</w:t>
      </w:r>
    </w:p>
    <w:bookmarkEnd w:id="9"/>
    <w:p w14:paraId="0644CA53" w14:textId="1835F06E" w:rsidR="00843A55" w:rsidRDefault="00843A55" w:rsidP="00843A55">
      <w:pPr>
        <w:spacing w:line="480" w:lineRule="auto"/>
        <w:ind w:firstLine="720"/>
      </w:pPr>
      <w:r>
        <w:t xml:space="preserve">Although the extant EVT literature has not </w:t>
      </w:r>
      <w:r w:rsidR="00C1697C">
        <w:t xml:space="preserve">explicitly </w:t>
      </w:r>
      <w:r>
        <w:t xml:space="preserve">considered prospective expectations or anticipatory reactions, these ideas </w:t>
      </w:r>
      <w:r w:rsidR="00F30E1D">
        <w:t>are a natural extension of</w:t>
      </w:r>
      <w:r>
        <w:t xml:space="preserve"> its arguments. Burgoon (2015) notes that the interpretive process stakeholders use to make sense of observed behavior entails </w:t>
      </w:r>
      <w:r w:rsidRPr="009378BF">
        <w:t>making attributions about intent, motive, and meaning</w:t>
      </w:r>
      <w:r>
        <w:t xml:space="preserve"> of the act. In so doing, these attributions may result in an updating of various beliefs, including </w:t>
      </w:r>
      <w:r w:rsidRPr="009378BF">
        <w:t xml:space="preserve">predictive </w:t>
      </w:r>
      <w:r>
        <w:t xml:space="preserve">and/or prescriptive </w:t>
      </w:r>
      <w:r w:rsidRPr="009378BF">
        <w:t>expectations</w:t>
      </w:r>
      <w:r>
        <w:t>,</w:t>
      </w:r>
      <w:r w:rsidRPr="009378BF">
        <w:t xml:space="preserve"> </w:t>
      </w:r>
      <w:r>
        <w:t xml:space="preserve">as well as </w:t>
      </w:r>
      <w:r w:rsidRPr="009378BF">
        <w:t xml:space="preserve">one’s views about </w:t>
      </w:r>
      <w:r>
        <w:t>how appealing the</w:t>
      </w:r>
      <w:r w:rsidRPr="009378BF">
        <w:t xml:space="preserve"> </w:t>
      </w:r>
      <w:r>
        <w:t xml:space="preserve">actor is, </w:t>
      </w:r>
      <w:r w:rsidR="00146DD1">
        <w:t>and</w:t>
      </w:r>
      <w:r w:rsidR="00B14EB0">
        <w:t xml:space="preserve"> we contend,</w:t>
      </w:r>
      <w:r w:rsidRPr="009378BF">
        <w:t xml:space="preserve"> the number, frequency, and nature of future interactions with that </w:t>
      </w:r>
      <w:r>
        <w:t>actor</w:t>
      </w:r>
      <w:r w:rsidRPr="009378BF">
        <w:t xml:space="preserve">. For example, an appealing individual who engaged in a positive violation may be viewed as even more appealing than before, while the same individual may be viewed as less appealing if they engaged in a major negative violation that was interpreted as intentional. </w:t>
      </w:r>
      <w:r w:rsidR="00467C60">
        <w:t>Further</w:t>
      </w:r>
      <w:r w:rsidRPr="009378BF">
        <w:t xml:space="preserve">, if I think someone stood close to </w:t>
      </w:r>
      <w:r w:rsidRPr="009378BF">
        <w:lastRenderedPageBreak/>
        <w:t xml:space="preserve">me because they liked me, I may also think that they would try to come see me more frequently than </w:t>
      </w:r>
      <w:r w:rsidR="00146DD1" w:rsidRPr="009378BF">
        <w:t>before and</w:t>
      </w:r>
      <w:r w:rsidR="00467C60">
        <w:t xml:space="preserve"> even</w:t>
      </w:r>
      <w:r w:rsidRPr="009378BF">
        <w:t xml:space="preserve"> escalate their behavior to stand even closer next time. </w:t>
      </w:r>
      <w:r w:rsidR="009D201C">
        <w:t>O</w:t>
      </w:r>
      <w:r w:rsidRPr="009378BF">
        <w:t xml:space="preserve">ur notion of prospective expectations allows us to explicitly incorporate these ideas into EVT and thus </w:t>
      </w:r>
      <w:r w:rsidR="00C1697C">
        <w:t>be more precise</w:t>
      </w:r>
      <w:r w:rsidRPr="009378BF">
        <w:t xml:space="preserve"> about when and why </w:t>
      </w:r>
      <w:r w:rsidR="00C1697C">
        <w:t xml:space="preserve">violations happen and </w:t>
      </w:r>
      <w:r w:rsidR="00011393">
        <w:t xml:space="preserve">to </w:t>
      </w:r>
      <w:r w:rsidR="00C1697C">
        <w:t xml:space="preserve">predict </w:t>
      </w:r>
      <w:r w:rsidRPr="009378BF">
        <w:t>reactions.</w:t>
      </w:r>
    </w:p>
    <w:p w14:paraId="6F5B1D23" w14:textId="09BDD50F" w:rsidR="00AC5D8A" w:rsidRDefault="00ED6D00" w:rsidP="00906ABA">
      <w:pPr>
        <w:spacing w:line="480" w:lineRule="auto"/>
        <w:ind w:firstLine="720"/>
      </w:pPr>
      <w:r>
        <w:t xml:space="preserve">We </w:t>
      </w:r>
      <w:r w:rsidR="006947D3">
        <w:t xml:space="preserve">therefore </w:t>
      </w:r>
      <w:r w:rsidR="00897492">
        <w:rPr>
          <w:rFonts w:hint="eastAsia"/>
        </w:rPr>
        <w:t>propose</w:t>
      </w:r>
      <w:r w:rsidR="00EF6E01">
        <w:t xml:space="preserve"> that </w:t>
      </w:r>
      <w:r w:rsidR="00ED7CB3">
        <w:t xml:space="preserve">stakeholder reactions to firm behavior </w:t>
      </w:r>
      <w:r w:rsidR="00AE3CC0">
        <w:rPr>
          <w:rFonts w:hint="eastAsia"/>
        </w:rPr>
        <w:t>depend on</w:t>
      </w:r>
      <w:r w:rsidR="00ED7CB3">
        <w:t xml:space="preserve"> </w:t>
      </w:r>
      <w:r w:rsidR="001F1390">
        <w:t xml:space="preserve">the degree to which the behavior </w:t>
      </w:r>
      <w:r w:rsidR="00F45240">
        <w:rPr>
          <w:rFonts w:hint="eastAsia"/>
        </w:rPr>
        <w:t>violat</w:t>
      </w:r>
      <w:r w:rsidR="002A79ED">
        <w:t>es</w:t>
      </w:r>
      <w:r w:rsidR="00F45240">
        <w:t xml:space="preserve"> </w:t>
      </w:r>
      <w:r w:rsidR="00ED7CB3">
        <w:t>predictive</w:t>
      </w:r>
      <w:r>
        <w:t xml:space="preserve"> (what it “would” do)</w:t>
      </w:r>
      <w:r w:rsidR="00ED7CB3">
        <w:t>, prescriptive</w:t>
      </w:r>
      <w:r>
        <w:t xml:space="preserve"> (what it “should” do)</w:t>
      </w:r>
      <w:r w:rsidR="00ED7CB3">
        <w:t>, and prospective expectations</w:t>
      </w:r>
      <w:r>
        <w:t xml:space="preserve"> (and what it “could” do in the future)</w:t>
      </w:r>
      <w:r w:rsidR="00ED7CB3">
        <w:t>.</w:t>
      </w:r>
      <w:r w:rsidR="00682B9A">
        <w:t xml:space="preserve"> </w:t>
      </w:r>
      <w:r w:rsidR="001F1390">
        <w:t xml:space="preserve">A violation of </w:t>
      </w:r>
      <w:r w:rsidR="001F1390" w:rsidRPr="00804B6D">
        <w:rPr>
          <w:i/>
          <w:iCs/>
        </w:rPr>
        <w:t>predictive</w:t>
      </w:r>
      <w:r w:rsidR="001F1390">
        <w:t xml:space="preserve"> expectations would entail the observed behavior not matching the behavior that was predicted to occur</w:t>
      </w:r>
      <w:r w:rsidR="00AC5D8A">
        <w:t xml:space="preserve">. For example, did an appealing person stand closer than I predicted that they would, or did the firm purchase more goods from me than I predicted? </w:t>
      </w:r>
      <w:r w:rsidR="00A8570F">
        <w:t xml:space="preserve">EVT (e.g., Burgoon, 1993, 2015) would </w:t>
      </w:r>
      <w:r w:rsidR="00377E28">
        <w:t xml:space="preserve">suggest </w:t>
      </w:r>
      <w:r w:rsidR="00A8570F">
        <w:t>that b</w:t>
      </w:r>
      <w:r w:rsidR="00AC5D8A">
        <w:t xml:space="preserve">oth would be positive violations of </w:t>
      </w:r>
      <w:r w:rsidR="00356F2C">
        <w:t xml:space="preserve">my </w:t>
      </w:r>
      <w:r w:rsidR="00AC5D8A">
        <w:t>predictive expectations</w:t>
      </w:r>
      <w:r w:rsidR="00903C2C">
        <w:t xml:space="preserve"> and </w:t>
      </w:r>
      <w:r w:rsidR="00356F2C">
        <w:t xml:space="preserve">thus that I am likely to have a </w:t>
      </w:r>
      <w:r w:rsidR="00903C2C">
        <w:t xml:space="preserve">more favorable reaction than if </w:t>
      </w:r>
      <w:r w:rsidR="00A1756B">
        <w:t xml:space="preserve">the individual or firm </w:t>
      </w:r>
      <w:r w:rsidR="00356F2C">
        <w:t xml:space="preserve">had </w:t>
      </w:r>
      <w:r w:rsidR="00FE6000">
        <w:t xml:space="preserve">just </w:t>
      </w:r>
      <w:r w:rsidR="00A1756B">
        <w:t xml:space="preserve">met </w:t>
      </w:r>
      <w:r w:rsidR="00356F2C">
        <w:t xml:space="preserve">my </w:t>
      </w:r>
      <w:r w:rsidR="00A1756B">
        <w:t>predictive expectations</w:t>
      </w:r>
      <w:r w:rsidR="00AC5D8A">
        <w:t>.</w:t>
      </w:r>
    </w:p>
    <w:p w14:paraId="7FD7414B" w14:textId="3EA5BD39" w:rsidR="00AC5D8A" w:rsidRDefault="00AC5D8A" w:rsidP="00906ABA">
      <w:pPr>
        <w:spacing w:line="480" w:lineRule="auto"/>
        <w:ind w:firstLine="720"/>
      </w:pPr>
      <w:r w:rsidRPr="00D15D98">
        <w:t>A</w:t>
      </w:r>
      <w:r w:rsidR="001F1390" w:rsidRPr="00D15D98">
        <w:t xml:space="preserve"> violation of </w:t>
      </w:r>
      <w:r w:rsidR="001F1390" w:rsidRPr="00795DB2">
        <w:rPr>
          <w:i/>
          <w:iCs/>
        </w:rPr>
        <w:t>prescriptive</w:t>
      </w:r>
      <w:r w:rsidR="001F1390" w:rsidRPr="00D15D98">
        <w:t xml:space="preserve"> expectations would entail the observed behavior not matching</w:t>
      </w:r>
      <w:r w:rsidR="001F1390">
        <w:t xml:space="preserve"> normative guidance regarding</w:t>
      </w:r>
      <w:r w:rsidR="00D15D98">
        <w:t xml:space="preserve"> what is considered</w:t>
      </w:r>
      <w:r w:rsidR="001F1390">
        <w:t xml:space="preserve"> appropriate behavior</w:t>
      </w:r>
      <w:r>
        <w:t xml:space="preserve">. For example, </w:t>
      </w:r>
      <w:r w:rsidR="00025432">
        <w:t>was the person</w:t>
      </w:r>
      <w:r>
        <w:t xml:space="preserve"> standing closer than social norms would deem appropriate</w:t>
      </w:r>
      <w:r w:rsidR="008A32D2">
        <w:t xml:space="preserve">, or was the firm purchasing goods from me even though </w:t>
      </w:r>
      <w:r w:rsidR="004261AE">
        <w:t>it was</w:t>
      </w:r>
      <w:r w:rsidR="008A32D2">
        <w:t xml:space="preserve"> supposed to have an exclusive supply arrangement with </w:t>
      </w:r>
      <w:r w:rsidR="00FA0022">
        <w:t xml:space="preserve">a different supplier? </w:t>
      </w:r>
      <w:r w:rsidR="00356F2C">
        <w:t xml:space="preserve">EVT would predict that I </w:t>
      </w:r>
      <w:r w:rsidR="00FA0022">
        <w:t>would likely view</w:t>
      </w:r>
      <w:r w:rsidR="00356F2C">
        <w:t xml:space="preserve"> both</w:t>
      </w:r>
      <w:r w:rsidR="00FA0022">
        <w:t xml:space="preserve"> as negative violations of </w:t>
      </w:r>
      <w:r w:rsidR="00356F2C">
        <w:t xml:space="preserve">my </w:t>
      </w:r>
      <w:r w:rsidR="00FA0022">
        <w:t>prescriptive expectations</w:t>
      </w:r>
      <w:r w:rsidR="00A1756B">
        <w:t xml:space="preserve"> and thus </w:t>
      </w:r>
      <w:r w:rsidR="00356F2C">
        <w:t>that I would</w:t>
      </w:r>
      <w:r w:rsidR="00A1756B">
        <w:t xml:space="preserve"> </w:t>
      </w:r>
      <w:r w:rsidR="001B4541">
        <w:t>likely</w:t>
      </w:r>
      <w:r w:rsidR="00A1756B">
        <w:t xml:space="preserve"> </w:t>
      </w:r>
      <w:r w:rsidR="00356F2C">
        <w:t>have a</w:t>
      </w:r>
      <w:r w:rsidR="00A1756B">
        <w:t xml:space="preserve"> more unfavorable reaction than if the individual or firm had </w:t>
      </w:r>
      <w:r w:rsidR="00A8570F">
        <w:t xml:space="preserve">just </w:t>
      </w:r>
      <w:r w:rsidR="00A1756B">
        <w:t xml:space="preserve">met </w:t>
      </w:r>
      <w:r w:rsidR="00356F2C">
        <w:t xml:space="preserve">my </w:t>
      </w:r>
      <w:r w:rsidR="00A1756B">
        <w:t>prescriptive expectations.</w:t>
      </w:r>
    </w:p>
    <w:p w14:paraId="5C61609C" w14:textId="0C89A005" w:rsidR="001F1390" w:rsidRDefault="00FA0022" w:rsidP="00CC43EE">
      <w:pPr>
        <w:spacing w:line="480" w:lineRule="auto"/>
        <w:ind w:firstLine="720"/>
      </w:pPr>
      <w:r w:rsidRPr="002C7D49">
        <w:t xml:space="preserve">Finally, </w:t>
      </w:r>
      <w:r w:rsidR="001F1390" w:rsidRPr="002C7D49">
        <w:t xml:space="preserve">a violation of </w:t>
      </w:r>
      <w:r w:rsidR="001F1390" w:rsidRPr="002C7D49">
        <w:rPr>
          <w:i/>
          <w:iCs/>
        </w:rPr>
        <w:t>prospective</w:t>
      </w:r>
      <w:r w:rsidR="001F1390" w:rsidRPr="002C7D49">
        <w:t xml:space="preserve"> expectations would occur if the observed behavior resulted in an updating of </w:t>
      </w:r>
      <w:r w:rsidR="0042139B" w:rsidRPr="002C7D49">
        <w:t>the prospective expectation held prior to witnessing the behavior</w:t>
      </w:r>
      <w:r w:rsidR="000636FF" w:rsidRPr="002C7D49">
        <w:t>.</w:t>
      </w:r>
      <w:r w:rsidR="000636FF">
        <w:rPr>
          <w:rFonts w:hint="eastAsia"/>
        </w:rPr>
        <w:t xml:space="preserve"> Specifically, a positive (or negative) </w:t>
      </w:r>
      <w:r w:rsidR="00BF2E17">
        <w:t xml:space="preserve">prospective expectancy </w:t>
      </w:r>
      <w:r w:rsidR="000636FF">
        <w:t>violation</w:t>
      </w:r>
      <w:r w:rsidR="000636FF">
        <w:rPr>
          <w:rFonts w:hint="eastAsia"/>
        </w:rPr>
        <w:t xml:space="preserve"> would </w:t>
      </w:r>
      <w:r w:rsidR="00937356">
        <w:t>infer</w:t>
      </w:r>
      <w:r w:rsidR="000636FF">
        <w:rPr>
          <w:rFonts w:hint="eastAsia"/>
        </w:rPr>
        <w:t xml:space="preserve"> an increase (or </w:t>
      </w:r>
      <w:r w:rsidR="000636FF">
        <w:rPr>
          <w:rFonts w:hint="eastAsia"/>
        </w:rPr>
        <w:lastRenderedPageBreak/>
        <w:t xml:space="preserve">decrease) in </w:t>
      </w:r>
      <w:r w:rsidR="00356F2C">
        <w:t>the</w:t>
      </w:r>
      <w:r w:rsidR="005002FC">
        <w:t xml:space="preserve"> expected value of future </w:t>
      </w:r>
      <w:r w:rsidR="00A8570F">
        <w:t xml:space="preserve">interactions with the </w:t>
      </w:r>
      <w:r w:rsidR="00356F2C">
        <w:t xml:space="preserve">individual or </w:t>
      </w:r>
      <w:r w:rsidR="005002FC">
        <w:t>firm</w:t>
      </w:r>
      <w:r w:rsidR="00356F2C">
        <w:t xml:space="preserve"> in question</w:t>
      </w:r>
      <w:r w:rsidR="000636FF">
        <w:rPr>
          <w:rFonts w:hint="eastAsia"/>
        </w:rPr>
        <w:t>.</w:t>
      </w:r>
      <w:r w:rsidR="005002FC">
        <w:t xml:space="preserve"> </w:t>
      </w:r>
      <w:r w:rsidR="00A1756B">
        <w:t xml:space="preserve">For example, </w:t>
      </w:r>
      <w:bookmarkStart w:id="10" w:name="OLE_LINK11"/>
      <w:r w:rsidR="00A1756B">
        <w:t xml:space="preserve">after observing the behavior, </w:t>
      </w:r>
      <w:r w:rsidR="00356F2C">
        <w:t>do I</w:t>
      </w:r>
      <w:r w:rsidR="00A1756B">
        <w:t xml:space="preserve"> now believe that </w:t>
      </w:r>
      <w:r w:rsidR="009F50C1">
        <w:t xml:space="preserve">my coworker </w:t>
      </w:r>
      <w:r w:rsidR="009F50C1" w:rsidRPr="009F50C1">
        <w:t>behav</w:t>
      </w:r>
      <w:r w:rsidR="009F50C1">
        <w:t>ed</w:t>
      </w:r>
      <w:r w:rsidR="009F50C1" w:rsidRPr="009F50C1">
        <w:t xml:space="preserve"> in a “creepy” manner</w:t>
      </w:r>
      <w:r w:rsidR="004E5CBA">
        <w:t xml:space="preserve"> </w:t>
      </w:r>
      <w:r w:rsidR="00CC43EE">
        <w:t>and</w:t>
      </w:r>
      <w:r w:rsidR="004E5CBA">
        <w:t xml:space="preserve"> that they are going to try to talk to me more often because they like me? </w:t>
      </w:r>
      <w:r w:rsidR="00A1756B">
        <w:t xml:space="preserve">Do </w:t>
      </w:r>
      <w:r w:rsidR="00356F2C">
        <w:t>I</w:t>
      </w:r>
      <w:r w:rsidR="00A1756B">
        <w:t xml:space="preserve"> believe that </w:t>
      </w:r>
      <w:r w:rsidR="000636FF">
        <w:t xml:space="preserve">the firm's </w:t>
      </w:r>
      <w:r w:rsidR="004E5CBA">
        <w:t>reduced</w:t>
      </w:r>
      <w:r w:rsidR="000636FF">
        <w:t xml:space="preserve"> </w:t>
      </w:r>
      <w:r w:rsidR="00356F2C">
        <w:t>purchase</w:t>
      </w:r>
      <w:r w:rsidR="004E5CBA">
        <w:t xml:space="preserve"> levels </w:t>
      </w:r>
      <w:r w:rsidR="00CC43EE">
        <w:t>are now permanent and thus that future orders will be similarly lower than what</w:t>
      </w:r>
      <w:r w:rsidR="00A1756B">
        <w:t xml:space="preserve"> </w:t>
      </w:r>
      <w:r w:rsidR="00356F2C">
        <w:t>I</w:t>
      </w:r>
      <w:r w:rsidR="00A1756B">
        <w:t xml:space="preserve"> </w:t>
      </w:r>
      <w:r w:rsidR="00937356">
        <w:t xml:space="preserve">had </w:t>
      </w:r>
      <w:r w:rsidR="00A1756B">
        <w:t xml:space="preserve">anticipated </w:t>
      </w:r>
      <w:r w:rsidR="002F5014">
        <w:t xml:space="preserve">before </w:t>
      </w:r>
      <w:r w:rsidR="00ED6D00">
        <w:t xml:space="preserve">or that they will purchase from me </w:t>
      </w:r>
      <w:r w:rsidR="00CC43EE">
        <w:t>less</w:t>
      </w:r>
      <w:r w:rsidR="00ED6D00">
        <w:t xml:space="preserve"> frequently</w:t>
      </w:r>
      <w:r w:rsidR="00386A83">
        <w:t xml:space="preserve">? </w:t>
      </w:r>
      <w:bookmarkEnd w:id="10"/>
      <w:r w:rsidR="00386A83">
        <w:t xml:space="preserve">In both </w:t>
      </w:r>
      <w:r w:rsidR="00DF6603">
        <w:t>examples</w:t>
      </w:r>
      <w:r w:rsidR="00386A83">
        <w:t xml:space="preserve">, </w:t>
      </w:r>
      <w:r w:rsidR="00356F2C">
        <w:t xml:space="preserve">my </w:t>
      </w:r>
      <w:r w:rsidR="00386A83">
        <w:t xml:space="preserve">prior beliefs about the future were updated </w:t>
      </w:r>
      <w:r w:rsidR="00A8570F">
        <w:t>by</w:t>
      </w:r>
      <w:r w:rsidR="000636FF">
        <w:rPr>
          <w:rFonts w:hint="eastAsia"/>
        </w:rPr>
        <w:t xml:space="preserve"> </w:t>
      </w:r>
      <w:r w:rsidR="00356F2C">
        <w:t xml:space="preserve">observing </w:t>
      </w:r>
      <w:r w:rsidR="000636FF">
        <w:rPr>
          <w:rFonts w:hint="eastAsia"/>
        </w:rPr>
        <w:t xml:space="preserve">the current behavior, </w:t>
      </w:r>
      <w:r w:rsidR="00154D30">
        <w:t>such</w:t>
      </w:r>
      <w:r w:rsidR="00386A83">
        <w:t xml:space="preserve"> that the expected value of </w:t>
      </w:r>
      <w:r w:rsidR="00356F2C">
        <w:t xml:space="preserve">my </w:t>
      </w:r>
      <w:r w:rsidR="00386A83">
        <w:t xml:space="preserve">future </w:t>
      </w:r>
      <w:r w:rsidR="00154D30">
        <w:t xml:space="preserve">interactions </w:t>
      </w:r>
      <w:r w:rsidR="00356F2C">
        <w:t>with</w:t>
      </w:r>
      <w:r w:rsidR="00386A83">
        <w:t xml:space="preserve"> the person or firm have </w:t>
      </w:r>
      <w:r w:rsidR="00CC43EE">
        <w:t>de</w:t>
      </w:r>
      <w:r w:rsidR="00386A83">
        <w:t>creased</w:t>
      </w:r>
      <w:r w:rsidR="00DF6603">
        <w:t>.</w:t>
      </w:r>
      <w:r w:rsidR="001B4541">
        <w:t xml:space="preserve"> </w:t>
      </w:r>
      <w:r w:rsidR="00157526">
        <w:t>A</w:t>
      </w:r>
      <w:r w:rsidR="001B4541">
        <w:t xml:space="preserve">s </w:t>
      </w:r>
      <w:r w:rsidR="00CC43EE">
        <w:t>negative</w:t>
      </w:r>
      <w:r w:rsidR="001B4541">
        <w:t xml:space="preserve"> violations of </w:t>
      </w:r>
      <w:r w:rsidR="00356F2C">
        <w:t xml:space="preserve">my </w:t>
      </w:r>
      <w:r w:rsidR="001B4541">
        <w:t xml:space="preserve">prospective </w:t>
      </w:r>
      <w:r w:rsidR="001B4541" w:rsidRPr="00B61910">
        <w:t>expectations</w:t>
      </w:r>
      <w:r w:rsidR="003948FD">
        <w:t>, and</w:t>
      </w:r>
      <w:r w:rsidR="003948FD" w:rsidRPr="003948FD">
        <w:t xml:space="preserve"> </w:t>
      </w:r>
      <w:r w:rsidR="003948FD" w:rsidRPr="00B61910">
        <w:t>regardless of the level of predictive or prescriptive violations</w:t>
      </w:r>
      <w:r w:rsidR="00157526">
        <w:t>, these behaviors</w:t>
      </w:r>
      <w:r w:rsidR="001B4541" w:rsidRPr="00B61910">
        <w:t xml:space="preserve"> </w:t>
      </w:r>
      <w:r w:rsidR="00391A1F">
        <w:t>w</w:t>
      </w:r>
      <w:r w:rsidR="001B4541" w:rsidRPr="00B61910">
        <w:t xml:space="preserve">ould lead </w:t>
      </w:r>
      <w:r w:rsidR="00356F2C" w:rsidRPr="00B61910">
        <w:t xml:space="preserve">me </w:t>
      </w:r>
      <w:r w:rsidR="001B4541" w:rsidRPr="00B61910">
        <w:t xml:space="preserve">to </w:t>
      </w:r>
      <w:r w:rsidR="00391A1F">
        <w:t xml:space="preserve">react </w:t>
      </w:r>
      <w:r w:rsidR="001B4541" w:rsidRPr="00B61910">
        <w:t xml:space="preserve">more </w:t>
      </w:r>
      <w:r w:rsidR="00CC43EE" w:rsidRPr="00B61910">
        <w:t>un</w:t>
      </w:r>
      <w:r w:rsidR="001B4541" w:rsidRPr="00B61910">
        <w:t>favorabl</w:t>
      </w:r>
      <w:r w:rsidR="00391A1F">
        <w:t>y</w:t>
      </w:r>
      <w:r w:rsidR="001B4541" w:rsidRPr="00B61910">
        <w:t xml:space="preserve"> than if the observed behavior did not lead to an updating of </w:t>
      </w:r>
      <w:r w:rsidR="00356F2C" w:rsidRPr="00B61910">
        <w:t xml:space="preserve">my </w:t>
      </w:r>
      <w:r w:rsidR="001B4541" w:rsidRPr="00B61910">
        <w:t>prospective expectations.</w:t>
      </w:r>
      <w:r w:rsidR="001B4541">
        <w:t xml:space="preserve"> </w:t>
      </w:r>
      <w:r w:rsidR="001F5C49">
        <w:t xml:space="preserve">The </w:t>
      </w:r>
      <w:r w:rsidR="001B4541">
        <w:t xml:space="preserve">following </w:t>
      </w:r>
      <w:r w:rsidR="006C1A43">
        <w:t xml:space="preserve">general </w:t>
      </w:r>
      <w:r w:rsidR="001B4541">
        <w:t>formulas provide a</w:t>
      </w:r>
      <w:r w:rsidR="001F5C49">
        <w:t>nother way of displaying our proposed ideas:</w:t>
      </w:r>
    </w:p>
    <w:p w14:paraId="7DDF4275" w14:textId="5BBC6F20" w:rsidR="001B4541" w:rsidRPr="00FA6836" w:rsidRDefault="001B4541" w:rsidP="00F00430">
      <w:pPr>
        <w:pStyle w:val="ListParagraph"/>
        <w:numPr>
          <w:ilvl w:val="0"/>
          <w:numId w:val="36"/>
        </w:numPr>
        <w:spacing w:after="160" w:line="278" w:lineRule="auto"/>
      </w:pPr>
      <w:r w:rsidRPr="00FA6836">
        <w:t>Reaction</w:t>
      </w:r>
      <w:r w:rsidRPr="001F5C49">
        <w:rPr>
          <w:vertAlign w:val="subscript"/>
        </w:rPr>
        <w:t>t</w:t>
      </w:r>
      <w:r w:rsidR="001F5C49">
        <w:t xml:space="preserve"> </w:t>
      </w:r>
      <w:r w:rsidRPr="00FA6836">
        <w:t xml:space="preserve">= </w:t>
      </w:r>
      <w:r w:rsidRPr="001F5C49">
        <w:rPr>
          <w:i/>
          <w:iCs/>
        </w:rPr>
        <w:t>b</w:t>
      </w:r>
      <w:r w:rsidRPr="001F5C49">
        <w:rPr>
          <w:vertAlign w:val="subscript"/>
        </w:rPr>
        <w:t>1</w:t>
      </w:r>
      <w:r w:rsidRPr="00FA6836">
        <w:t xml:space="preserve"> </w:t>
      </w:r>
      <w:r w:rsidR="001F5C49">
        <w:t>V</w:t>
      </w:r>
      <w:r w:rsidRPr="00FA6836">
        <w:t>iolations of predictive expectation</w:t>
      </w:r>
      <w:r w:rsidR="00A14341">
        <w:t>s</w:t>
      </w:r>
      <w:r w:rsidRPr="001F5C49">
        <w:rPr>
          <w:vertAlign w:val="subscript"/>
        </w:rPr>
        <w:t>t</w:t>
      </w:r>
      <w:r w:rsidRPr="00FA6836">
        <w:t xml:space="preserve"> + </w:t>
      </w:r>
      <w:r w:rsidRPr="001F5C49">
        <w:rPr>
          <w:i/>
          <w:iCs/>
        </w:rPr>
        <w:t>b</w:t>
      </w:r>
      <w:r w:rsidRPr="001F5C49">
        <w:rPr>
          <w:vertAlign w:val="subscript"/>
        </w:rPr>
        <w:t>2</w:t>
      </w:r>
      <w:r w:rsidRPr="00FA6836">
        <w:t xml:space="preserve"> </w:t>
      </w:r>
      <w:r w:rsidR="001F5C49">
        <w:t>V</w:t>
      </w:r>
      <w:r w:rsidRPr="00FA6836">
        <w:t>iolations of prescriptive expectations</w:t>
      </w:r>
      <w:r w:rsidRPr="001F5C49">
        <w:rPr>
          <w:vertAlign w:val="subscript"/>
        </w:rPr>
        <w:t>t</w:t>
      </w:r>
      <w:r w:rsidRPr="00FA6836">
        <w:t xml:space="preserve"> + </w:t>
      </w:r>
      <w:r w:rsidRPr="00A14341">
        <w:rPr>
          <w:i/>
          <w:iCs/>
        </w:rPr>
        <w:t>b</w:t>
      </w:r>
      <w:r w:rsidRPr="001F5C49">
        <w:rPr>
          <w:vertAlign w:val="subscript"/>
        </w:rPr>
        <w:t>3</w:t>
      </w:r>
      <w:r w:rsidRPr="00FA6836">
        <w:t xml:space="preserve"> </w:t>
      </w:r>
      <w:r w:rsidR="00A14341">
        <w:t>V</w:t>
      </w:r>
      <w:r w:rsidRPr="00FA6836">
        <w:t>iolations of prospective expectations</w:t>
      </w:r>
      <w:r w:rsidRPr="001F5C49">
        <w:rPr>
          <w:vertAlign w:val="subscript"/>
        </w:rPr>
        <w:t xml:space="preserve">t </w:t>
      </w:r>
      <w:r w:rsidRPr="00FA6836">
        <w:t>+ Other factors</w:t>
      </w:r>
      <w:r w:rsidRPr="001F5C49">
        <w:rPr>
          <w:vertAlign w:val="subscript"/>
        </w:rPr>
        <w:t xml:space="preserve">t </w:t>
      </w:r>
      <w:r w:rsidRPr="00FA6836">
        <w:t xml:space="preserve">+ </w:t>
      </w:r>
      <w:r w:rsidRPr="00A14341">
        <w:rPr>
          <w:rFonts w:ascii="Symbol" w:hAnsi="Symbol"/>
        </w:rPr>
        <w:t>e</w:t>
      </w:r>
      <w:r w:rsidRPr="001F5C49">
        <w:rPr>
          <w:vertAlign w:val="subscript"/>
        </w:rPr>
        <w:t>t</w:t>
      </w:r>
    </w:p>
    <w:p w14:paraId="79057E82" w14:textId="31A09B2C" w:rsidR="001B4541" w:rsidRPr="00FA6836" w:rsidRDefault="001B4541" w:rsidP="001F5C49">
      <w:pPr>
        <w:pStyle w:val="ListParagraph"/>
        <w:numPr>
          <w:ilvl w:val="0"/>
          <w:numId w:val="36"/>
        </w:numPr>
        <w:spacing w:after="160" w:line="278" w:lineRule="auto"/>
      </w:pPr>
      <w:r w:rsidRPr="00FA6836">
        <w:t xml:space="preserve">Violation of Predictive </w:t>
      </w:r>
      <w:r w:rsidR="00A14341">
        <w:t>expectation</w:t>
      </w:r>
      <w:r w:rsidR="00A14341" w:rsidRPr="00A14341">
        <w:rPr>
          <w:vertAlign w:val="subscript"/>
        </w:rPr>
        <w:t>t</w:t>
      </w:r>
      <w:r w:rsidR="00A14341">
        <w:t xml:space="preserve"> =</w:t>
      </w:r>
      <w:r w:rsidRPr="00FA6836">
        <w:t xml:space="preserve"> </w:t>
      </w:r>
      <w:r w:rsidR="00A14341">
        <w:t>Observed b</w:t>
      </w:r>
      <w:r w:rsidRPr="00FA6836">
        <w:t>ehavior</w:t>
      </w:r>
      <w:r w:rsidRPr="001F5C49">
        <w:rPr>
          <w:vertAlign w:val="subscript"/>
        </w:rPr>
        <w:t xml:space="preserve">t </w:t>
      </w:r>
      <w:r w:rsidRPr="00FA6836">
        <w:t>– Predictive expectation</w:t>
      </w:r>
      <w:r w:rsidRPr="001F5C49">
        <w:rPr>
          <w:vertAlign w:val="subscript"/>
        </w:rPr>
        <w:t>t</w:t>
      </w:r>
    </w:p>
    <w:p w14:paraId="62D34121" w14:textId="592AAD1C" w:rsidR="001B4541" w:rsidRPr="00FA6836" w:rsidRDefault="001B4541" w:rsidP="001F5C49">
      <w:pPr>
        <w:pStyle w:val="ListParagraph"/>
        <w:numPr>
          <w:ilvl w:val="0"/>
          <w:numId w:val="36"/>
        </w:numPr>
        <w:spacing w:after="160" w:line="278" w:lineRule="auto"/>
      </w:pPr>
      <w:r w:rsidRPr="00FA6836">
        <w:t xml:space="preserve">Violation of Prescriptive </w:t>
      </w:r>
      <w:r w:rsidR="00A14341">
        <w:t>expectation</w:t>
      </w:r>
      <w:r w:rsidR="00A14341" w:rsidRPr="00A14341">
        <w:rPr>
          <w:vertAlign w:val="subscript"/>
        </w:rPr>
        <w:t>t</w:t>
      </w:r>
      <w:r w:rsidR="00A14341">
        <w:t xml:space="preserve"> = Observed b</w:t>
      </w:r>
      <w:r w:rsidRPr="00FA6836">
        <w:t>ehavior</w:t>
      </w:r>
      <w:r w:rsidRPr="001F5C49">
        <w:rPr>
          <w:vertAlign w:val="subscript"/>
        </w:rPr>
        <w:t xml:space="preserve">t </w:t>
      </w:r>
      <w:r w:rsidRPr="00FA6836">
        <w:t>– Prescriptive expectation</w:t>
      </w:r>
      <w:r w:rsidRPr="001F5C49">
        <w:rPr>
          <w:vertAlign w:val="subscript"/>
        </w:rPr>
        <w:t>t</w:t>
      </w:r>
    </w:p>
    <w:p w14:paraId="5D766B39" w14:textId="4FBB2A94" w:rsidR="001B4541" w:rsidRPr="00FA6836" w:rsidRDefault="001B4541" w:rsidP="001F5C49">
      <w:pPr>
        <w:pStyle w:val="ListParagraph"/>
        <w:numPr>
          <w:ilvl w:val="0"/>
          <w:numId w:val="36"/>
        </w:numPr>
        <w:spacing w:after="160" w:line="278" w:lineRule="auto"/>
      </w:pPr>
      <w:r w:rsidRPr="00FA6836">
        <w:t xml:space="preserve">Violation of </w:t>
      </w:r>
      <w:r w:rsidR="00154D30">
        <w:t>P</w:t>
      </w:r>
      <w:r w:rsidRPr="00FA6836">
        <w:t>rospective expectation</w:t>
      </w:r>
      <w:r w:rsidRPr="001F5C49">
        <w:rPr>
          <w:vertAlign w:val="subscript"/>
        </w:rPr>
        <w:t xml:space="preserve">t </w:t>
      </w:r>
      <w:r w:rsidRPr="00FA6836">
        <w:t>= Prospective expectation</w:t>
      </w:r>
      <w:r w:rsidRPr="001F5C49">
        <w:rPr>
          <w:vertAlign w:val="subscript"/>
        </w:rPr>
        <w:t>t</w:t>
      </w:r>
      <w:r w:rsidRPr="00FA6836">
        <w:t xml:space="preserve"> – Prospective expectation</w:t>
      </w:r>
      <w:r w:rsidRPr="001F5C49">
        <w:rPr>
          <w:vertAlign w:val="subscript"/>
        </w:rPr>
        <w:t>t-1</w:t>
      </w:r>
    </w:p>
    <w:p w14:paraId="2778ED1A" w14:textId="0FC20063" w:rsidR="00CC43EE" w:rsidRPr="00FA6836" w:rsidRDefault="00A14341" w:rsidP="0091272E">
      <w:pPr>
        <w:pStyle w:val="ListParagraph"/>
        <w:numPr>
          <w:ilvl w:val="0"/>
          <w:numId w:val="36"/>
        </w:numPr>
        <w:spacing w:after="160" w:line="278" w:lineRule="auto"/>
      </w:pPr>
      <w:r w:rsidRPr="001F5C49">
        <w:rPr>
          <w:lang w:val="en-US"/>
        </w:rPr>
        <w:t>Prospective expectation</w:t>
      </w:r>
      <w:r w:rsidRPr="001F5C49">
        <w:rPr>
          <w:vertAlign w:val="subscript"/>
          <w:lang w:val="en-US"/>
        </w:rPr>
        <w:t>t</w:t>
      </w:r>
      <w:r w:rsidRPr="001F5C49">
        <w:rPr>
          <w:lang w:val="en-US"/>
        </w:rPr>
        <w:t xml:space="preserve"> = ƒ(Prospective expectation</w:t>
      </w:r>
      <w:r w:rsidRPr="001F5C49">
        <w:rPr>
          <w:vertAlign w:val="subscript"/>
          <w:lang w:val="en-US"/>
        </w:rPr>
        <w:t>t-1</w:t>
      </w:r>
      <w:r w:rsidRPr="001F5C49">
        <w:rPr>
          <w:lang w:val="en-US"/>
        </w:rPr>
        <w:t xml:space="preserve">, </w:t>
      </w:r>
      <w:r>
        <w:rPr>
          <w:lang w:val="en-US"/>
        </w:rPr>
        <w:t>O</w:t>
      </w:r>
      <w:r w:rsidRPr="001F5C49">
        <w:rPr>
          <w:lang w:val="en-US"/>
        </w:rPr>
        <w:t>bserved behavior</w:t>
      </w:r>
      <w:r w:rsidRPr="001F5C49">
        <w:rPr>
          <w:vertAlign w:val="subscript"/>
          <w:lang w:val="en-US"/>
        </w:rPr>
        <w:t>t</w:t>
      </w:r>
      <w:r w:rsidRPr="001F5C49">
        <w:rPr>
          <w:lang w:val="en-US"/>
        </w:rPr>
        <w:t>)</w:t>
      </w:r>
    </w:p>
    <w:p w14:paraId="17B3F559" w14:textId="40874756" w:rsidR="006C1A43" w:rsidRPr="006C1A43" w:rsidRDefault="006C1A43" w:rsidP="006C1A43">
      <w:pPr>
        <w:spacing w:line="480" w:lineRule="auto"/>
      </w:pPr>
      <w:r w:rsidRPr="006C1A43">
        <w:t>Where Reaction</w:t>
      </w:r>
      <w:r w:rsidRPr="006C1A43">
        <w:rPr>
          <w:vertAlign w:val="subscript"/>
        </w:rPr>
        <w:t>t</w:t>
      </w:r>
      <w:r w:rsidRPr="006C1A43">
        <w:t xml:space="preserve"> is the stakeholder reaction at time </w:t>
      </w:r>
      <w:r w:rsidRPr="006C1A43">
        <w:rPr>
          <w:i/>
          <w:iCs/>
        </w:rPr>
        <w:t>t</w:t>
      </w:r>
      <w:r w:rsidR="007F7169">
        <w:rPr>
          <w:i/>
          <w:iCs/>
        </w:rPr>
        <w:t>;</w:t>
      </w:r>
      <w:r w:rsidRPr="006C1A43">
        <w:t xml:space="preserve"> </w:t>
      </w:r>
      <w:r>
        <w:t>Predictive expectation</w:t>
      </w:r>
      <w:r w:rsidRPr="006C1A43">
        <w:rPr>
          <w:vertAlign w:val="subscript"/>
        </w:rPr>
        <w:t>t</w:t>
      </w:r>
      <w:r>
        <w:t xml:space="preserve"> is how the stakeholder thought the firm would behave in time </w:t>
      </w:r>
      <w:r w:rsidRPr="006C1A43">
        <w:rPr>
          <w:i/>
          <w:iCs/>
        </w:rPr>
        <w:t>t</w:t>
      </w:r>
      <w:r w:rsidR="007F7169">
        <w:t>;</w:t>
      </w:r>
      <w:r>
        <w:t xml:space="preserve"> Prescriptive expectation</w:t>
      </w:r>
      <w:r w:rsidRPr="006C1A43">
        <w:rPr>
          <w:vertAlign w:val="subscript"/>
        </w:rPr>
        <w:t>t</w:t>
      </w:r>
      <w:r>
        <w:t xml:space="preserve"> is how the stakeholder thought the firm should behave in time </w:t>
      </w:r>
      <w:r w:rsidRPr="006C1A43">
        <w:rPr>
          <w:i/>
          <w:iCs/>
        </w:rPr>
        <w:t>t</w:t>
      </w:r>
      <w:r>
        <w:t xml:space="preserve"> from a normative standpoint</w:t>
      </w:r>
      <w:r w:rsidR="007F7169">
        <w:t>;</w:t>
      </w:r>
      <w:r>
        <w:t xml:space="preserve"> Prospective expectation</w:t>
      </w:r>
      <w:r w:rsidRPr="006C1A43">
        <w:rPr>
          <w:vertAlign w:val="subscript"/>
        </w:rPr>
        <w:t>t</w:t>
      </w:r>
      <w:r>
        <w:t xml:space="preserve"> is the expected value of </w:t>
      </w:r>
      <w:r w:rsidR="00195765">
        <w:t xml:space="preserve">subsequent </w:t>
      </w:r>
      <w:r>
        <w:t>future firm behaviors</w:t>
      </w:r>
      <w:r w:rsidR="00831F6D">
        <w:t xml:space="preserve"> (i.e., how the firm </w:t>
      </w:r>
      <w:r w:rsidR="00531C32">
        <w:t>c</w:t>
      </w:r>
      <w:r w:rsidR="00831F6D">
        <w:t>ould behave</w:t>
      </w:r>
      <w:r w:rsidR="00531C32">
        <w:t xml:space="preserve"> in the future</w:t>
      </w:r>
      <w:r w:rsidR="00831F6D">
        <w:t>)</w:t>
      </w:r>
      <w:r>
        <w:t xml:space="preserve"> at time </w:t>
      </w:r>
      <w:r w:rsidRPr="006C1A43">
        <w:rPr>
          <w:i/>
          <w:iCs/>
        </w:rPr>
        <w:t>t</w:t>
      </w:r>
      <w:r w:rsidR="007F7169">
        <w:t>;</w:t>
      </w:r>
      <w:r>
        <w:t xml:space="preserve"> </w:t>
      </w:r>
      <w:r w:rsidRPr="006C1A43">
        <w:rPr>
          <w:i/>
          <w:iCs/>
        </w:rPr>
        <w:t>b</w:t>
      </w:r>
      <w:r w:rsidRPr="006C1A43">
        <w:rPr>
          <w:vertAlign w:val="subscript"/>
        </w:rPr>
        <w:t>1</w:t>
      </w:r>
      <w:r w:rsidRPr="006C1A43">
        <w:t xml:space="preserve">, </w:t>
      </w:r>
      <w:r w:rsidRPr="006C1A43">
        <w:rPr>
          <w:i/>
          <w:iCs/>
        </w:rPr>
        <w:t>b</w:t>
      </w:r>
      <w:r w:rsidRPr="006C1A43">
        <w:rPr>
          <w:vertAlign w:val="subscript"/>
        </w:rPr>
        <w:t>2</w:t>
      </w:r>
      <w:r w:rsidRPr="006C1A43">
        <w:t xml:space="preserve">, and </w:t>
      </w:r>
      <w:r w:rsidRPr="006C1A43">
        <w:rPr>
          <w:i/>
          <w:iCs/>
        </w:rPr>
        <w:t>b</w:t>
      </w:r>
      <w:r w:rsidRPr="006C1A43">
        <w:rPr>
          <w:vertAlign w:val="subscript"/>
        </w:rPr>
        <w:t>3</w:t>
      </w:r>
      <w:r w:rsidRPr="006C1A43">
        <w:t xml:space="preserve"> are behavioral coefficients in reaction to violations of expectations</w:t>
      </w:r>
      <w:r w:rsidR="007F7169">
        <w:t>;</w:t>
      </w:r>
      <w:r w:rsidRPr="006C1A43">
        <w:t xml:space="preserve"> Other factors</w:t>
      </w:r>
      <w:r w:rsidRPr="006C1A43">
        <w:rPr>
          <w:vertAlign w:val="subscript"/>
        </w:rPr>
        <w:t>t</w:t>
      </w:r>
      <w:r w:rsidRPr="006C1A43">
        <w:t xml:space="preserve"> refer to factors other than violation of expectations that might impact reactions</w:t>
      </w:r>
      <w:r w:rsidR="00154D30">
        <w:t xml:space="preserve"> and thus need to be controlled for</w:t>
      </w:r>
      <w:r w:rsidR="007F7169">
        <w:t>; and</w:t>
      </w:r>
      <w:r w:rsidRPr="006C1A43">
        <w:t xml:space="preserve"> </w:t>
      </w:r>
      <w:r w:rsidRPr="006C1A43">
        <w:rPr>
          <w:rFonts w:ascii="Symbol" w:hAnsi="Symbol"/>
        </w:rPr>
        <w:t>e</w:t>
      </w:r>
      <w:r w:rsidRPr="006C1A43">
        <w:rPr>
          <w:vertAlign w:val="subscript"/>
        </w:rPr>
        <w:t>t</w:t>
      </w:r>
      <w:r w:rsidRPr="006C1A43">
        <w:t xml:space="preserve"> is an error term. </w:t>
      </w:r>
    </w:p>
    <w:p w14:paraId="7B20E401" w14:textId="7C912510" w:rsidR="004D26BE" w:rsidRPr="004D26BE" w:rsidRDefault="00C6368B" w:rsidP="004D26BE">
      <w:pPr>
        <w:spacing w:line="480" w:lineRule="auto"/>
        <w:ind w:firstLine="720"/>
      </w:pPr>
      <w:r>
        <w:lastRenderedPageBreak/>
        <w:t xml:space="preserve">Sometimes, </w:t>
      </w:r>
      <w:r w:rsidR="006C1A43">
        <w:t xml:space="preserve">the observed behavior </w:t>
      </w:r>
      <w:r>
        <w:t xml:space="preserve">in a particular instance </w:t>
      </w:r>
      <w:r w:rsidR="00564418">
        <w:t>may</w:t>
      </w:r>
      <w:r>
        <w:t xml:space="preserve"> </w:t>
      </w:r>
      <w:r w:rsidR="006C1A43">
        <w:t>n</w:t>
      </w:r>
      <w:r>
        <w:t>o</w:t>
      </w:r>
      <w:r w:rsidR="006C1A43">
        <w:t xml:space="preserve">t alter prospective expectations (e.g., if the observed behavior was viewed as a one-off behavior that was not informative of future </w:t>
      </w:r>
      <w:r w:rsidR="00E57724">
        <w:t>interaction</w:t>
      </w:r>
      <w:r w:rsidR="006B79FF">
        <w:t>s</w:t>
      </w:r>
      <w:r w:rsidR="006C1A43">
        <w:t>)</w:t>
      </w:r>
      <w:r w:rsidR="002F5014">
        <w:t>.</w:t>
      </w:r>
      <w:r w:rsidR="006C1A43">
        <w:t xml:space="preserve"> </w:t>
      </w:r>
      <w:bookmarkStart w:id="11" w:name="OLE_LINK37"/>
      <w:r w:rsidR="002F5014">
        <w:t>I</w:t>
      </w:r>
      <w:r>
        <w:t xml:space="preserve">n those situations, </w:t>
      </w:r>
      <w:r w:rsidR="006C1A43">
        <w:t xml:space="preserve">the reactions </w:t>
      </w:r>
      <w:r>
        <w:t>would be</w:t>
      </w:r>
      <w:r w:rsidR="006C1A43">
        <w:t xml:space="preserve"> equivalent to what we would be familiar with from the standard EVT model</w:t>
      </w:r>
      <w:r w:rsidR="00593B88">
        <w:t>—driven by violations of predictive expectations, violations of prescriptive expectations, and other specified factors</w:t>
      </w:r>
      <w:r w:rsidR="006C1A43">
        <w:t xml:space="preserve">. </w:t>
      </w:r>
      <w:bookmarkEnd w:id="11"/>
      <w:r w:rsidR="00682B9A">
        <w:t>We now turn to our context and discuss how</w:t>
      </w:r>
      <w:r w:rsidR="00122A98">
        <w:t xml:space="preserve"> expectations specifically relate to firm earnings announcements and then develop specific hypotheses.</w:t>
      </w:r>
    </w:p>
    <w:p w14:paraId="05C0C82F" w14:textId="5F8B07A4" w:rsidR="00DD5585" w:rsidRDefault="00DD5585" w:rsidP="006B009F">
      <w:pPr>
        <w:spacing w:line="360" w:lineRule="auto"/>
        <w:rPr>
          <w:b/>
          <w:bCs/>
        </w:rPr>
      </w:pPr>
      <w:r w:rsidRPr="005B1292">
        <w:rPr>
          <w:b/>
          <w:bCs/>
        </w:rPr>
        <w:t>Firm Earnings</w:t>
      </w:r>
      <w:r w:rsidR="00122A98" w:rsidRPr="005B1292">
        <w:rPr>
          <w:b/>
          <w:bCs/>
        </w:rPr>
        <w:t xml:space="preserve"> Announcements</w:t>
      </w:r>
      <w:r w:rsidR="008F3294" w:rsidRPr="005B1292">
        <w:rPr>
          <w:b/>
          <w:bCs/>
        </w:rPr>
        <w:t xml:space="preserve"> and</w:t>
      </w:r>
      <w:r w:rsidRPr="005B1292">
        <w:rPr>
          <w:b/>
          <w:bCs/>
        </w:rPr>
        <w:t xml:space="preserve"> Expectations</w:t>
      </w:r>
    </w:p>
    <w:p w14:paraId="78069668" w14:textId="7CE38033" w:rsidR="00CE54BE" w:rsidRDefault="00CE15A7" w:rsidP="00CE54BE">
      <w:pPr>
        <w:spacing w:line="480" w:lineRule="auto"/>
        <w:ind w:firstLine="720"/>
      </w:pPr>
      <w:r w:rsidRPr="00A2643F">
        <w:t xml:space="preserve">One </w:t>
      </w:r>
      <w:proofErr w:type="gramStart"/>
      <w:r w:rsidRPr="00A2643F">
        <w:t>particular firm</w:t>
      </w:r>
      <w:proofErr w:type="gramEnd"/>
      <w:r w:rsidRPr="00A2643F">
        <w:t xml:space="preserve"> </w:t>
      </w:r>
      <w:r w:rsidR="00880464">
        <w:t>activity</w:t>
      </w:r>
      <w:r w:rsidR="00880464" w:rsidRPr="00A2643F">
        <w:t xml:space="preserve"> </w:t>
      </w:r>
      <w:r w:rsidRPr="00A2643F">
        <w:t xml:space="preserve">that has been examined </w:t>
      </w:r>
      <w:r w:rsidR="00211F96">
        <w:t>through</w:t>
      </w:r>
      <w:r w:rsidR="00211F96" w:rsidRPr="00A2643F">
        <w:t xml:space="preserve"> </w:t>
      </w:r>
      <w:r w:rsidRPr="00A2643F">
        <w:t>an EVT lens is a</w:t>
      </w:r>
      <w:r>
        <w:t xml:space="preserve"> firm’s announcement of its quarterly earnings</w:t>
      </w:r>
      <w:r w:rsidR="00C6368B">
        <w:t xml:space="preserve"> (e.g., Pfarrer et al., 2010)</w:t>
      </w:r>
      <w:r>
        <w:t xml:space="preserve">. Investors and analysts eagerly await </w:t>
      </w:r>
      <w:r w:rsidR="009032F2">
        <w:t xml:space="preserve">quarterly earnings </w:t>
      </w:r>
      <w:r>
        <w:t xml:space="preserve">news because earnings </w:t>
      </w:r>
      <w:r w:rsidR="00CE54BE">
        <w:t xml:space="preserve">are considered one of the </w:t>
      </w:r>
      <w:r w:rsidR="00CE54BE" w:rsidRPr="00CE54BE">
        <w:t xml:space="preserve">“fundamentals” </w:t>
      </w:r>
      <w:r w:rsidR="00CE54BE">
        <w:t xml:space="preserve">that capture a firm’s underlying value </w:t>
      </w:r>
      <w:r w:rsidR="00CE54BE" w:rsidRPr="00CE54BE">
        <w:t>(Barth &amp; Clinch, 2009; Francis &amp; Schipper, 1999; Ohlson, 1995).</w:t>
      </w:r>
      <w:r w:rsidR="00CE54BE">
        <w:t xml:space="preserve"> At the same time, earnings are evaluated by both analysts and investors based on how </w:t>
      </w:r>
      <w:r w:rsidR="00A2643F">
        <w:t xml:space="preserve">they </w:t>
      </w:r>
      <w:r w:rsidR="00CE54BE">
        <w:t>compare to consensus analyst estimates.</w:t>
      </w:r>
    </w:p>
    <w:p w14:paraId="3B4831EC" w14:textId="324FB7DA" w:rsidR="00CE54BE" w:rsidRDefault="00CE54BE" w:rsidP="00CE54BE">
      <w:pPr>
        <w:spacing w:line="480" w:lineRule="auto"/>
        <w:ind w:firstLine="720"/>
      </w:pPr>
      <w:r>
        <w:t>Equity analysts calculate earnings estimates based on their knowledge and expertise</w:t>
      </w:r>
      <w:r w:rsidR="006A47CA">
        <w:t>.</w:t>
      </w:r>
      <w:r>
        <w:t xml:space="preserve"> </w:t>
      </w:r>
      <w:r w:rsidR="006A47CA">
        <w:t>A</w:t>
      </w:r>
      <w:r w:rsidRPr="00CE15A7">
        <w:t>nalyst</w:t>
      </w:r>
      <w:r>
        <w:t>s’</w:t>
      </w:r>
      <w:r w:rsidRPr="00CE15A7">
        <w:t xml:space="preserve"> career prospects depend on being accurate</w:t>
      </w:r>
      <w:r w:rsidR="006A47CA">
        <w:t>,</w:t>
      </w:r>
      <w:r w:rsidRPr="00CE15A7">
        <w:t xml:space="preserve"> since they are rewarded for </w:t>
      </w:r>
      <w:r w:rsidR="00274320">
        <w:t xml:space="preserve">the </w:t>
      </w:r>
      <w:r w:rsidRPr="00CE15A7">
        <w:t>accuracy of their forecasts and punished for inaccurate forecasts (Paik et al., 2022).</w:t>
      </w:r>
      <w:r>
        <w:t xml:space="preserve"> They thus arguably </w:t>
      </w:r>
      <w:r w:rsidRPr="00CE15A7">
        <w:t xml:space="preserve">represent the best available information and knowledge about </w:t>
      </w:r>
      <w:r w:rsidR="006A47CA">
        <w:t>a firm’s</w:t>
      </w:r>
      <w:r w:rsidR="006A47CA" w:rsidRPr="00CE15A7">
        <w:t xml:space="preserve"> </w:t>
      </w:r>
      <w:r w:rsidRPr="00CE15A7">
        <w:t>likely short-term performance</w:t>
      </w:r>
      <w:r>
        <w:t>, and e</w:t>
      </w:r>
      <w:r w:rsidRPr="00CE15A7">
        <w:t>arnings estimates are widely disseminated, including through such services as I/B/E/S (or popular websites such as Yahoo Finance)</w:t>
      </w:r>
      <w:r>
        <w:t xml:space="preserve">. Because </w:t>
      </w:r>
      <w:r w:rsidR="006A47CA">
        <w:t xml:space="preserve">individual analysts’ </w:t>
      </w:r>
      <w:r>
        <w:t xml:space="preserve">earnings estimates may vary from one another, the consensus analyst estimate represents the “best educated guess” across analysts about </w:t>
      </w:r>
      <w:r w:rsidR="006A47CA">
        <w:t xml:space="preserve">a firm’s </w:t>
      </w:r>
      <w:r w:rsidR="00FD6B55">
        <w:t xml:space="preserve">likely earnings </w:t>
      </w:r>
      <w:r w:rsidR="00EA47CD">
        <w:t xml:space="preserve">for </w:t>
      </w:r>
      <w:r w:rsidR="00E121AF">
        <w:t>a given</w:t>
      </w:r>
      <w:r w:rsidR="00EA47CD">
        <w:t xml:space="preserve"> quarter</w:t>
      </w:r>
      <w:r w:rsidR="006A47CA">
        <w:t>.</w:t>
      </w:r>
      <w:r w:rsidR="00180DBC">
        <w:t xml:space="preserve"> </w:t>
      </w:r>
      <w:r w:rsidR="004A45DF">
        <w:t>As a result, it often</w:t>
      </w:r>
      <w:r w:rsidR="00F00612">
        <w:t xml:space="preserve"> act</w:t>
      </w:r>
      <w:r w:rsidR="00180DBC">
        <w:t>s</w:t>
      </w:r>
      <w:r w:rsidR="00F00612">
        <w:t xml:space="preserve"> as </w:t>
      </w:r>
      <w:r w:rsidR="006A0F29">
        <w:t xml:space="preserve">investors’ </w:t>
      </w:r>
      <w:r w:rsidR="00FD6B55" w:rsidRPr="00EA47CD">
        <w:rPr>
          <w:i/>
          <w:iCs/>
        </w:rPr>
        <w:t>predict</w:t>
      </w:r>
      <w:r w:rsidR="00EA47CD">
        <w:rPr>
          <w:i/>
          <w:iCs/>
        </w:rPr>
        <w:t>ive</w:t>
      </w:r>
      <w:r w:rsidR="00FD6B55">
        <w:t xml:space="preserve"> expectation regarding firm earnings </w:t>
      </w:r>
      <w:r w:rsidRPr="00CE15A7">
        <w:t>(e.g., Gentry &amp; Shen, 2013; Petrenko,</w:t>
      </w:r>
      <w:r w:rsidR="00906F20">
        <w:t xml:space="preserve"> Aime, Recendes, &amp; Chandler,</w:t>
      </w:r>
      <w:r w:rsidRPr="00CE15A7">
        <w:t xml:space="preserve"> 2019). </w:t>
      </w:r>
      <w:r w:rsidR="00AB0FDF">
        <w:t xml:space="preserve">In this context, </w:t>
      </w:r>
      <w:r w:rsidR="00EA47CD">
        <w:t>EVT</w:t>
      </w:r>
      <w:r w:rsidR="00AB0FDF">
        <w:t xml:space="preserve"> would predict that</w:t>
      </w:r>
      <w:r w:rsidR="00EA47CD">
        <w:t xml:space="preserve"> </w:t>
      </w:r>
      <w:r w:rsidR="00EA47CD">
        <w:lastRenderedPageBreak/>
        <w:t>i</w:t>
      </w:r>
      <w:r w:rsidRPr="00CE15A7">
        <w:t xml:space="preserve">nvestors </w:t>
      </w:r>
      <w:r w:rsidR="004D26BE">
        <w:rPr>
          <w:rFonts w:hint="eastAsia"/>
        </w:rPr>
        <w:t>typically react favorably</w:t>
      </w:r>
      <w:r w:rsidRPr="00CE15A7">
        <w:t xml:space="preserve"> when firms’ earnings exceed </w:t>
      </w:r>
      <w:r w:rsidR="00EA47CD">
        <w:t xml:space="preserve">these predictive </w:t>
      </w:r>
      <w:r w:rsidRPr="00CE15A7">
        <w:t xml:space="preserve">expectations (i.e., a positive earnings surprise) than when earnings targets are </w:t>
      </w:r>
      <w:r w:rsidR="00DE3717">
        <w:t xml:space="preserve">just </w:t>
      </w:r>
      <w:r w:rsidRPr="00CE15A7">
        <w:t>met</w:t>
      </w:r>
      <w:r w:rsidR="004D26BE">
        <w:rPr>
          <w:rFonts w:hint="eastAsia"/>
        </w:rPr>
        <w:t xml:space="preserve">. Conversely, when </w:t>
      </w:r>
      <w:r w:rsidRPr="00CE15A7">
        <w:t xml:space="preserve">firms’ earnings </w:t>
      </w:r>
      <w:r w:rsidR="004D26BE">
        <w:rPr>
          <w:rFonts w:hint="eastAsia"/>
        </w:rPr>
        <w:t xml:space="preserve">fall short of these predictive expectations </w:t>
      </w:r>
      <w:r w:rsidRPr="00CE15A7">
        <w:t>(i.e., a negative earnings surpris</w:t>
      </w:r>
      <w:r w:rsidR="00EA47CD">
        <w:t>e</w:t>
      </w:r>
      <w:r w:rsidRPr="00CE15A7">
        <w:t>)</w:t>
      </w:r>
      <w:r w:rsidR="004D26BE">
        <w:rPr>
          <w:rFonts w:hint="eastAsia"/>
        </w:rPr>
        <w:t xml:space="preserve">, investors tend to react more negatively than if </w:t>
      </w:r>
      <w:r w:rsidRPr="00CE15A7">
        <w:t xml:space="preserve">consensus earnings targets </w:t>
      </w:r>
      <w:r w:rsidR="004D26BE">
        <w:rPr>
          <w:rFonts w:hint="eastAsia"/>
        </w:rPr>
        <w:t>had been</w:t>
      </w:r>
      <w:r w:rsidR="004D26BE" w:rsidRPr="00CE15A7">
        <w:t xml:space="preserve"> </w:t>
      </w:r>
      <w:r w:rsidRPr="00CE15A7">
        <w:t>met (e.g., Bartov, Givoly, &amp; Hayn, 2002; Kinney, Burgstahler, &amp; Martin, 2002; Pfarrer et al., 2010).</w:t>
      </w:r>
      <w:r w:rsidR="00FD6B55">
        <w:t xml:space="preserve"> </w:t>
      </w:r>
      <w:r w:rsidR="00CE05D2">
        <w:t xml:space="preserve">Based on </w:t>
      </w:r>
      <w:r w:rsidR="00FA5D52">
        <w:t>these ideas,</w:t>
      </w:r>
      <w:r w:rsidR="008F3294">
        <w:t xml:space="preserve"> we start with the following baseline hypothesis.</w:t>
      </w:r>
    </w:p>
    <w:p w14:paraId="34FAAB3F" w14:textId="10FFB124" w:rsidR="008F3294" w:rsidRDefault="008F3294" w:rsidP="00C22A7F">
      <w:pPr>
        <w:ind w:left="567"/>
        <w:rPr>
          <w:i/>
          <w:iCs/>
        </w:rPr>
      </w:pPr>
      <w:r>
        <w:rPr>
          <w:i/>
          <w:iCs/>
        </w:rPr>
        <w:t xml:space="preserve">Baseline </w:t>
      </w:r>
      <w:r w:rsidRPr="00D7223F">
        <w:rPr>
          <w:i/>
          <w:iCs/>
        </w:rPr>
        <w:t>Hypothesis</w:t>
      </w:r>
      <w:r w:rsidR="00783653">
        <w:rPr>
          <w:i/>
          <w:iCs/>
        </w:rPr>
        <w:t>.</w:t>
      </w:r>
      <w:r w:rsidRPr="00D7223F">
        <w:rPr>
          <w:i/>
          <w:iCs/>
        </w:rPr>
        <w:t xml:space="preserve"> </w:t>
      </w:r>
      <w:r>
        <w:rPr>
          <w:i/>
          <w:iCs/>
        </w:rPr>
        <w:t>Investors will use consensus earnings estimates as a predictive expectation, such that they will react more positively (negatively) w</w:t>
      </w:r>
      <w:r w:rsidRPr="00D7223F">
        <w:rPr>
          <w:i/>
          <w:iCs/>
        </w:rPr>
        <w:t xml:space="preserve">hen the current </w:t>
      </w:r>
      <w:r>
        <w:rPr>
          <w:i/>
          <w:iCs/>
        </w:rPr>
        <w:t xml:space="preserve">earnings exceed (are below) the predictive expectations than when </w:t>
      </w:r>
      <w:r w:rsidR="006A47CA">
        <w:rPr>
          <w:i/>
          <w:iCs/>
        </w:rPr>
        <w:t xml:space="preserve">earnings </w:t>
      </w:r>
      <w:r>
        <w:rPr>
          <w:i/>
          <w:iCs/>
        </w:rPr>
        <w:t xml:space="preserve">meet predictive expectations. </w:t>
      </w:r>
    </w:p>
    <w:p w14:paraId="73C3697D" w14:textId="77777777" w:rsidR="00190481" w:rsidRDefault="00190481" w:rsidP="00AB6280">
      <w:pPr>
        <w:ind w:left="567"/>
        <w:rPr>
          <w:i/>
          <w:iCs/>
        </w:rPr>
      </w:pPr>
    </w:p>
    <w:p w14:paraId="25726DB0" w14:textId="3FFC30F6" w:rsidR="008F3294" w:rsidRDefault="008F3294" w:rsidP="00AB6280">
      <w:pPr>
        <w:spacing w:line="360" w:lineRule="auto"/>
        <w:rPr>
          <w:b/>
          <w:bCs/>
        </w:rPr>
      </w:pPr>
      <w:r>
        <w:rPr>
          <w:b/>
          <w:bCs/>
        </w:rPr>
        <w:t>Earnings Surprises and Heuristics</w:t>
      </w:r>
    </w:p>
    <w:p w14:paraId="25E1EFDE" w14:textId="3BEECE1A" w:rsidR="00D84630" w:rsidRDefault="00652830" w:rsidP="0091272E">
      <w:pPr>
        <w:spacing w:line="480" w:lineRule="auto"/>
        <w:ind w:firstLine="720"/>
      </w:pPr>
      <w:r>
        <w:t xml:space="preserve">While earnings surprises represent expectancy violations relative to a predictive expectation, it is not just predictive expectations, </w:t>
      </w:r>
      <w:r w:rsidR="00044D72">
        <w:t xml:space="preserve">but also </w:t>
      </w:r>
      <w:r>
        <w:t>prescriptive and prospective expectations</w:t>
      </w:r>
      <w:r w:rsidR="00044D72">
        <w:t>, that</w:t>
      </w:r>
      <w:r>
        <w:t xml:space="preserve"> are likely to impact stakeholder reactions to firm behaviors. Analysts </w:t>
      </w:r>
      <w:r w:rsidR="00883F49">
        <w:t>in general</w:t>
      </w:r>
      <w:r w:rsidR="003519D1">
        <w:t xml:space="preserve"> </w:t>
      </w:r>
      <w:r>
        <w:t xml:space="preserve">have been remarkably accurate in their estimates (Goldstein, 2024), especially considering they are making predictions about future firm performance. At the same time, however, this does not mean </w:t>
      </w:r>
      <w:r w:rsidR="00CF6AAF">
        <w:t>they</w:t>
      </w:r>
      <w:r>
        <w:t xml:space="preserve"> are always accurate in their estimates (Clement &amp; Tse, 2005; P</w:t>
      </w:r>
      <w:r w:rsidRPr="0017549E">
        <w:t>aik et al., 2022)</w:t>
      </w:r>
      <w:r w:rsidR="004E09A1">
        <w:t>;</w:t>
      </w:r>
      <w:r>
        <w:t xml:space="preserve"> their estimates may sometimes differ from actual earnings by a large amount (e.g., Goldstein, 2024). The fact that analysts are not always accurate </w:t>
      </w:r>
      <w:r w:rsidR="008F2996" w:rsidRPr="007F373A">
        <w:t xml:space="preserve">incentivizes </w:t>
      </w:r>
      <w:r w:rsidRPr="007F373A">
        <w:t xml:space="preserve">investors to </w:t>
      </w:r>
      <w:r w:rsidR="008F2996" w:rsidRPr="007F373A">
        <w:t xml:space="preserve">seek opportunities to </w:t>
      </w:r>
      <w:r w:rsidRPr="007F373A">
        <w:t>capitalize on market mispricing</w:t>
      </w:r>
      <w:r w:rsidRPr="0017549E">
        <w:t xml:space="preserve"> (e.g., Marquering</w:t>
      </w:r>
      <w:r w:rsidR="00906F20">
        <w:t xml:space="preserve"> et al.</w:t>
      </w:r>
      <w:r w:rsidRPr="0017549E">
        <w:t>, 2006),</w:t>
      </w:r>
      <w:r>
        <w:t xml:space="preserve"> </w:t>
      </w:r>
      <w:r w:rsidR="008F2996">
        <w:t>prompting them to rely on</w:t>
      </w:r>
      <w:r>
        <w:t xml:space="preserve"> other criteria in judging a firm’s performance. </w:t>
      </w:r>
      <w:r w:rsidR="00205CE2">
        <w:t>As p</w:t>
      </w:r>
      <w:r w:rsidR="001C2BDC">
        <w:t xml:space="preserve">rescriptive expectations refer to expectations about </w:t>
      </w:r>
      <w:r w:rsidR="00351413">
        <w:t>what a firm “should” do (e.g., Burgoon, 2015)</w:t>
      </w:r>
      <w:r w:rsidR="00205CE2">
        <w:t>,</w:t>
      </w:r>
      <w:r w:rsidR="00351413">
        <w:t xml:space="preserve"> </w:t>
      </w:r>
      <w:r w:rsidR="00205CE2">
        <w:t>they</w:t>
      </w:r>
      <w:r w:rsidR="00B72F35">
        <w:t xml:space="preserve"> </w:t>
      </w:r>
      <w:r w:rsidR="00351413">
        <w:t xml:space="preserve">thus deal with the </w:t>
      </w:r>
      <w:r w:rsidR="00AF573C">
        <w:t>degree to which a firm’s</w:t>
      </w:r>
      <w:r w:rsidR="00351413">
        <w:t xml:space="preserve"> </w:t>
      </w:r>
      <w:r w:rsidR="00880464">
        <w:t xml:space="preserve">activities </w:t>
      </w:r>
      <w:r w:rsidR="00AF573C">
        <w:t xml:space="preserve">match or violate </w:t>
      </w:r>
      <w:r w:rsidR="00E31D39">
        <w:t xml:space="preserve">various types of normative expectations. In the context of earnings, this </w:t>
      </w:r>
      <w:r w:rsidR="006A47CA">
        <w:t xml:space="preserve">would </w:t>
      </w:r>
      <w:r w:rsidR="00E31D39">
        <w:t>entail</w:t>
      </w:r>
      <w:r w:rsidR="00FC582C">
        <w:t xml:space="preserve"> investors</w:t>
      </w:r>
      <w:r w:rsidR="00E31D39">
        <w:t xml:space="preserve"> trying to determine the level of earnings </w:t>
      </w:r>
      <w:r w:rsidR="00A8140A">
        <w:t xml:space="preserve">the </w:t>
      </w:r>
      <w:r w:rsidR="00A8140A">
        <w:lastRenderedPageBreak/>
        <w:t xml:space="preserve">firm </w:t>
      </w:r>
      <w:r w:rsidR="00A8140A" w:rsidRPr="00A8140A">
        <w:rPr>
          <w:i/>
          <w:iCs/>
        </w:rPr>
        <w:t>should</w:t>
      </w:r>
      <w:r w:rsidR="00A8140A">
        <w:t xml:space="preserve"> </w:t>
      </w:r>
      <w:r w:rsidR="00E31D39">
        <w:t xml:space="preserve">achieve, </w:t>
      </w:r>
      <w:r w:rsidR="002E15BD">
        <w:t xml:space="preserve">rather than </w:t>
      </w:r>
      <w:r w:rsidR="000E0912">
        <w:t>what</w:t>
      </w:r>
      <w:r w:rsidR="002E15BD">
        <w:t xml:space="preserve"> it was predicted to achieve or the actual level of earnings it did achieve. </w:t>
      </w:r>
      <w:bookmarkStart w:id="12" w:name="OLE_LINK15"/>
    </w:p>
    <w:p w14:paraId="0CF82438" w14:textId="5A8DFE43" w:rsidR="00CE54BE" w:rsidRDefault="006277BE" w:rsidP="00CE54BE">
      <w:pPr>
        <w:spacing w:line="480" w:lineRule="auto"/>
        <w:ind w:firstLine="720"/>
      </w:pPr>
      <w:r>
        <w:t>E</w:t>
      </w:r>
      <w:r w:rsidR="00684BEC">
        <w:t>arnings</w:t>
      </w:r>
      <w:r w:rsidR="0049510E">
        <w:t>, or any type of firm performance,</w:t>
      </w:r>
      <w:r w:rsidR="00684BEC">
        <w:t xml:space="preserve"> </w:t>
      </w:r>
      <w:r w:rsidR="00C75BBA">
        <w:t>depend on a wide range of factors, including firm and industry characteristics, macroeconomic conditions, and various unexplained factors (</w:t>
      </w:r>
      <w:r w:rsidR="00F00612">
        <w:t xml:space="preserve">e.g., </w:t>
      </w:r>
      <w:r w:rsidR="00C75BBA">
        <w:t xml:space="preserve">Keller et al., 2023). </w:t>
      </w:r>
      <w:r w:rsidR="007B4C11" w:rsidRPr="007B4C11">
        <w:t xml:space="preserve">The complex interplay of </w:t>
      </w:r>
      <w:r w:rsidR="007B4C11">
        <w:t>these factors</w:t>
      </w:r>
      <w:r w:rsidR="0091272E">
        <w:t xml:space="preserve"> </w:t>
      </w:r>
      <w:r w:rsidR="006479C8">
        <w:t>m</w:t>
      </w:r>
      <w:r w:rsidR="001D235F">
        <w:t>ak</w:t>
      </w:r>
      <w:r w:rsidR="006479C8">
        <w:t>es it challenging to form</w:t>
      </w:r>
      <w:r w:rsidR="006434AA" w:rsidRPr="006434AA">
        <w:t xml:space="preserve"> expectations about firm behavior</w:t>
      </w:r>
      <w:r w:rsidR="0091272E">
        <w:t xml:space="preserve">. </w:t>
      </w:r>
      <w:r w:rsidR="0049510E" w:rsidRPr="003C764A">
        <w:t xml:space="preserve">Complicating this further is </w:t>
      </w:r>
      <w:r w:rsidR="00CD51ED">
        <w:t xml:space="preserve">the fact </w:t>
      </w:r>
      <w:r w:rsidR="0049510E" w:rsidRPr="003C764A">
        <w:t>that earnings are generally</w:t>
      </w:r>
      <w:r w:rsidR="0049510E">
        <w:t xml:space="preserve"> reported relative to the number of shares outstanding, and firms may differ greatly in the number </w:t>
      </w:r>
      <w:r w:rsidR="0049510E" w:rsidRPr="00245DDF">
        <w:t xml:space="preserve">of shares they have </w:t>
      </w:r>
      <w:r w:rsidR="000B5B4F" w:rsidRPr="00245DDF">
        <w:t>issued</w:t>
      </w:r>
      <w:r w:rsidR="0049510E" w:rsidRPr="00245DDF">
        <w:t xml:space="preserve">. </w:t>
      </w:r>
      <w:r w:rsidR="008A4408">
        <w:t xml:space="preserve">We argue that </w:t>
      </w:r>
      <w:r w:rsidR="00A8140A">
        <w:t>due to</w:t>
      </w:r>
      <w:r w:rsidR="008A4408">
        <w:t xml:space="preserve"> these complexities</w:t>
      </w:r>
      <w:r w:rsidR="0005587B">
        <w:t xml:space="preserve"> and to reduce the burden on their limited attention and cognitive capacity (Simon, 1955)</w:t>
      </w:r>
      <w:r w:rsidR="008A4408">
        <w:t xml:space="preserve">, </w:t>
      </w:r>
      <w:r w:rsidR="00C75BBA" w:rsidRPr="0038620C">
        <w:t xml:space="preserve">investors </w:t>
      </w:r>
      <w:r w:rsidR="0049510E" w:rsidRPr="0038620C">
        <w:t xml:space="preserve">are likely to use simplifying heuristics (e.g., Tversky &amp; Kahneman, 1974) </w:t>
      </w:r>
      <w:r w:rsidR="00F00612">
        <w:t xml:space="preserve">rather </w:t>
      </w:r>
      <w:r w:rsidR="00F00612" w:rsidRPr="00B23C93">
        <w:t xml:space="preserve">than develop </w:t>
      </w:r>
      <w:r w:rsidR="00C75BBA" w:rsidRPr="00B23C93">
        <w:t>fine-grained prescriptive expectations</w:t>
      </w:r>
      <w:r w:rsidR="00F00612" w:rsidRPr="00B23C93">
        <w:t xml:space="preserve"> based on complex formulas and numerous factors.</w:t>
      </w:r>
      <w:bookmarkEnd w:id="12"/>
    </w:p>
    <w:p w14:paraId="24E2CC0D" w14:textId="14B897DB" w:rsidR="00311446" w:rsidRDefault="008F3294" w:rsidP="00572F60">
      <w:pPr>
        <w:spacing w:line="480" w:lineRule="auto"/>
        <w:ind w:firstLine="720"/>
      </w:pPr>
      <w:r>
        <w:t xml:space="preserve">As a first step, </w:t>
      </w:r>
      <w:r w:rsidR="00F1523D">
        <w:t>because consensus earnings estimates not only set</w:t>
      </w:r>
      <w:r w:rsidR="00F1523D" w:rsidRPr="00F1523D">
        <w:t xml:space="preserve"> </w:t>
      </w:r>
      <w:r w:rsidR="000B5B4F">
        <w:t xml:space="preserve">predictive </w:t>
      </w:r>
      <w:r w:rsidR="00F1523D" w:rsidRPr="00F1523D">
        <w:t>expectations for investors (Petrenko et al., 2019)</w:t>
      </w:r>
      <w:r w:rsidR="00F1523D">
        <w:t xml:space="preserve"> but also</w:t>
      </w:r>
      <w:r w:rsidR="00F1523D" w:rsidRPr="00F1523D">
        <w:t xml:space="preserve"> act as a performance target for managers (Gentry &amp; Shen, 2013),</w:t>
      </w:r>
      <w:r w:rsidR="00F1523D">
        <w:t xml:space="preserve"> </w:t>
      </w:r>
      <w:r w:rsidR="000B5B4F">
        <w:t xml:space="preserve">investors might use </w:t>
      </w:r>
      <w:r w:rsidR="0009284D">
        <w:t xml:space="preserve">performance relative to those estimates </w:t>
      </w:r>
      <w:r w:rsidR="00936B1E">
        <w:t xml:space="preserve">(i.e., earnings surprises) </w:t>
      </w:r>
      <w:r w:rsidR="00260933">
        <w:t>to transform idiosyncratic firm performance into seemingly standardized and comparable performance indicator</w:t>
      </w:r>
      <w:r w:rsidR="000B5B4F">
        <w:t>s</w:t>
      </w:r>
      <w:r w:rsidR="00A8140A">
        <w:t xml:space="preserve"> </w:t>
      </w:r>
      <w:r w:rsidR="00260933">
        <w:t>(e.g., Espeland &amp; Stevens, 1998)</w:t>
      </w:r>
      <w:r w:rsidR="00B4711B">
        <w:t xml:space="preserve">. This may be </w:t>
      </w:r>
      <w:r w:rsidR="000B5B4F">
        <w:t>especially</w:t>
      </w:r>
      <w:r w:rsidR="00B4711B">
        <w:t xml:space="preserve"> the case</w:t>
      </w:r>
      <w:r w:rsidR="000B5B4F">
        <w:t xml:space="preserve"> since </w:t>
      </w:r>
      <w:r w:rsidR="00260933">
        <w:t xml:space="preserve">earnings estimates </w:t>
      </w:r>
      <w:r w:rsidR="00467941">
        <w:t xml:space="preserve">already </w:t>
      </w:r>
      <w:r w:rsidR="00557486">
        <w:t>consider</w:t>
      </w:r>
      <w:r w:rsidR="00F1523D">
        <w:t xml:space="preserve"> a range of factors that may differ across firms and across time</w:t>
      </w:r>
      <w:r w:rsidR="002B4F70">
        <w:t xml:space="preserve"> </w:t>
      </w:r>
      <w:r w:rsidR="002B4F70" w:rsidRPr="00CE15A7">
        <w:t>(</w:t>
      </w:r>
      <w:r w:rsidR="002B4F70">
        <w:t xml:space="preserve">e.g., </w:t>
      </w:r>
      <w:r w:rsidR="002B4F70" w:rsidRPr="00CE15A7">
        <w:t>Paik et al., 2022)</w:t>
      </w:r>
      <w:r w:rsidR="00260933">
        <w:t xml:space="preserve">. Doing so results in </w:t>
      </w:r>
      <w:r w:rsidR="00260933" w:rsidRPr="00260933">
        <w:t>“transformation of different qualities into a common metric” (</w:t>
      </w:r>
      <w:r w:rsidR="00260933">
        <w:t xml:space="preserve">Espeland &amp; Stevens, 1998: </w:t>
      </w:r>
      <w:r w:rsidR="00260933" w:rsidRPr="00260933">
        <w:t>314)</w:t>
      </w:r>
      <w:r w:rsidR="004C4284">
        <w:t xml:space="preserve">, </w:t>
      </w:r>
      <w:r w:rsidR="00193027">
        <w:t xml:space="preserve">which </w:t>
      </w:r>
      <w:r w:rsidR="00260933">
        <w:t>“</w:t>
      </w:r>
      <w:r w:rsidR="00260933" w:rsidRPr="00260933">
        <w:t xml:space="preserve">reduces the amount of information </w:t>
      </w:r>
      <w:r w:rsidR="00260933" w:rsidRPr="00193027">
        <w:t>people have to process” (p. 316)</w:t>
      </w:r>
      <w:r w:rsidR="000B5B4F" w:rsidRPr="00193027">
        <w:t>.</w:t>
      </w:r>
      <w:r w:rsidR="00097C67" w:rsidRPr="00193027">
        <w:t xml:space="preserve"> </w:t>
      </w:r>
      <w:r w:rsidR="00572F60" w:rsidRPr="00193027">
        <w:t xml:space="preserve">We </w:t>
      </w:r>
      <w:r w:rsidRPr="00193027">
        <w:t xml:space="preserve">further </w:t>
      </w:r>
      <w:r w:rsidR="00572F60" w:rsidRPr="00193027">
        <w:t xml:space="preserve">suggest that </w:t>
      </w:r>
      <w:r w:rsidR="00311446" w:rsidRPr="00193027">
        <w:t xml:space="preserve">investors are </w:t>
      </w:r>
      <w:r w:rsidR="00936B1E" w:rsidRPr="00193027">
        <w:t xml:space="preserve">then </w:t>
      </w:r>
      <w:r w:rsidR="00311446" w:rsidRPr="00193027">
        <w:t>likely to use two</w:t>
      </w:r>
      <w:r w:rsidR="00311446">
        <w:t xml:space="preserve"> different types of heuristics to evaluate how a firm’s earnings </w:t>
      </w:r>
      <w:r w:rsidR="00936B1E">
        <w:t>surprises</w:t>
      </w:r>
      <w:r w:rsidR="00311446">
        <w:t xml:space="preserve"> compare to their prescriptive expectations</w:t>
      </w:r>
      <w:r w:rsidR="006B79FF">
        <w:t>.</w:t>
      </w:r>
    </w:p>
    <w:p w14:paraId="4CD18D6D" w14:textId="491A2C6E" w:rsidR="00572F60" w:rsidRPr="00D7223F" w:rsidRDefault="00D559B6" w:rsidP="00CD65D5">
      <w:pPr>
        <w:spacing w:line="360" w:lineRule="auto"/>
      </w:pPr>
      <w:r>
        <w:rPr>
          <w:b/>
          <w:bCs/>
        </w:rPr>
        <w:t>Past</w:t>
      </w:r>
      <w:r w:rsidR="008F3294">
        <w:rPr>
          <w:b/>
          <w:bCs/>
        </w:rPr>
        <w:t xml:space="preserve"> Performance</w:t>
      </w:r>
      <w:r w:rsidR="00311446">
        <w:rPr>
          <w:b/>
          <w:bCs/>
        </w:rPr>
        <w:t xml:space="preserve"> </w:t>
      </w:r>
      <w:r w:rsidR="00B0375A">
        <w:rPr>
          <w:b/>
          <w:bCs/>
        </w:rPr>
        <w:t xml:space="preserve">and Peer </w:t>
      </w:r>
      <w:r w:rsidR="00A8140A">
        <w:rPr>
          <w:b/>
          <w:bCs/>
        </w:rPr>
        <w:t>Comparison</w:t>
      </w:r>
      <w:r w:rsidR="00B0375A">
        <w:rPr>
          <w:b/>
          <w:bCs/>
        </w:rPr>
        <w:t xml:space="preserve"> </w:t>
      </w:r>
      <w:r w:rsidR="00311446">
        <w:rPr>
          <w:b/>
          <w:bCs/>
        </w:rPr>
        <w:t>as Prescriptive Expectation</w:t>
      </w:r>
      <w:r w:rsidR="00B0375A">
        <w:rPr>
          <w:b/>
          <w:bCs/>
        </w:rPr>
        <w:t>s</w:t>
      </w:r>
    </w:p>
    <w:p w14:paraId="74D1576B" w14:textId="62C4330A" w:rsidR="002F6BB4" w:rsidRDefault="0000386F" w:rsidP="004E1992">
      <w:pPr>
        <w:spacing w:line="480" w:lineRule="auto"/>
        <w:ind w:firstLine="720"/>
      </w:pPr>
      <w:r>
        <w:lastRenderedPageBreak/>
        <w:t>P</w:t>
      </w:r>
      <w:r w:rsidR="00572F60" w:rsidRPr="00D7223F">
        <w:t>rior research in a variety of traditions has suggested that both managers and those evaluating their performance (e.g., directors, investors) may use referents when evaluating performance (e.g., Cyert &amp; March, 1963; Mishina, Dykes, Block, &amp; Pollock, 2010)</w:t>
      </w:r>
      <w:r w:rsidR="009D3817">
        <w:t xml:space="preserve">. </w:t>
      </w:r>
      <w:r w:rsidR="002F6BB4">
        <w:t>Cyert and March (1963)</w:t>
      </w:r>
      <w:r w:rsidR="009D3817">
        <w:t xml:space="preserve">, for example, noted </w:t>
      </w:r>
      <w:r w:rsidR="002F6BB4">
        <w:t>that organizations have internal aspirations</w:t>
      </w:r>
      <w:r w:rsidR="009D3817">
        <w:t xml:space="preserve"> that are</w:t>
      </w:r>
      <w:r w:rsidR="00E00BF5">
        <w:t xml:space="preserve"> a</w:t>
      </w:r>
      <w:r w:rsidR="009D3817">
        <w:t xml:space="preserve"> function of </w:t>
      </w:r>
      <w:r w:rsidR="002F6BB4">
        <w:t>past performance</w:t>
      </w:r>
      <w:r w:rsidR="009D3817">
        <w:t>,</w:t>
      </w:r>
      <w:r w:rsidR="002F6BB4">
        <w:t xml:space="preserve"> as well as the performance of comparable firms</w:t>
      </w:r>
      <w:r w:rsidR="009D3817">
        <w:t xml:space="preserve"> along that same dimension</w:t>
      </w:r>
      <w:r w:rsidR="004E1992">
        <w:t>. They argue that, “[i]n the steady state, aspiration level exceeds achievement by a small amount</w:t>
      </w:r>
      <w:r w:rsidR="00E00BF5">
        <w:t>,</w:t>
      </w:r>
      <w:r w:rsidR="00227B34">
        <w:t>”</w:t>
      </w:r>
      <w:r w:rsidR="00494620">
        <w:t xml:space="preserve"> and</w:t>
      </w:r>
      <w:r w:rsidR="00D47038">
        <w:t xml:space="preserve"> that the </w:t>
      </w:r>
      <w:r w:rsidR="004E1992">
        <w:t xml:space="preserve">current aspirations tend to be “an optimistic extrapolation of past achievement and past aspirations” (p. 39). Supporting these notions, </w:t>
      </w:r>
      <w:r w:rsidR="00494620">
        <w:t>research has found that not only are aspirations</w:t>
      </w:r>
      <w:r w:rsidR="002F6BB4">
        <w:t xml:space="preserve"> </w:t>
      </w:r>
      <w:r w:rsidR="00494620">
        <w:t>adjusted</w:t>
      </w:r>
      <w:r w:rsidR="002F6BB4">
        <w:t xml:space="preserve"> with performance feedback</w:t>
      </w:r>
      <w:r w:rsidR="009D3817">
        <w:t xml:space="preserve">, but </w:t>
      </w:r>
      <w:r w:rsidR="00494620">
        <w:t xml:space="preserve">they are </w:t>
      </w:r>
      <w:r w:rsidR="001926C5">
        <w:t xml:space="preserve">also </w:t>
      </w:r>
      <w:r w:rsidR="00494620">
        <w:t xml:space="preserve">adjusted </w:t>
      </w:r>
      <w:r w:rsidR="009D3817">
        <w:t>with an optimistic bias (Lant, 1992)</w:t>
      </w:r>
      <w:r w:rsidR="00494620">
        <w:t xml:space="preserve">, such that what was strong performance at one period soon becomes the baseline </w:t>
      </w:r>
      <w:r w:rsidR="00E00BF5">
        <w:t xml:space="preserve">against </w:t>
      </w:r>
      <w:r w:rsidR="00494620">
        <w:t xml:space="preserve">which subsequent performance </w:t>
      </w:r>
      <w:r w:rsidR="00227B34">
        <w:t>is</w:t>
      </w:r>
      <w:r w:rsidR="00494620">
        <w:t xml:space="preserve"> evaluated. </w:t>
      </w:r>
      <w:r w:rsidR="002F6BB4">
        <w:t xml:space="preserve">Others have drawn on and extended </w:t>
      </w:r>
      <w:r w:rsidR="00E00BF5">
        <w:t xml:space="preserve">these ideas </w:t>
      </w:r>
      <w:r w:rsidR="002F6BB4">
        <w:t xml:space="preserve">to argue that </w:t>
      </w:r>
      <w:r w:rsidR="00D32B3B">
        <w:t xml:space="preserve">it is </w:t>
      </w:r>
      <w:r w:rsidR="002F6BB4">
        <w:t>not just internal aspirations that are determined by these factors</w:t>
      </w:r>
      <w:r w:rsidR="00494620">
        <w:t xml:space="preserve"> and </w:t>
      </w:r>
      <w:r w:rsidR="00AD3260">
        <w:t>biased by optimism</w:t>
      </w:r>
      <w:r w:rsidR="00494620">
        <w:t>,</w:t>
      </w:r>
      <w:r w:rsidR="002F6BB4">
        <w:t xml:space="preserve"> but also th</w:t>
      </w:r>
      <w:r w:rsidR="00637835">
        <w:t>at</w:t>
      </w:r>
      <w:r w:rsidR="002F6BB4">
        <w:t xml:space="preserve"> expectations </w:t>
      </w:r>
      <w:r w:rsidR="00DA6213">
        <w:t xml:space="preserve">of </w:t>
      </w:r>
      <w:r w:rsidR="002F6BB4">
        <w:t xml:space="preserve">external stakeholders </w:t>
      </w:r>
      <w:r w:rsidR="00637835">
        <w:t xml:space="preserve">might also be similarly optimistic </w:t>
      </w:r>
      <w:r w:rsidR="002F6BB4">
        <w:t xml:space="preserve">(Mishina et al., 2010). </w:t>
      </w:r>
    </w:p>
    <w:p w14:paraId="358C77BC" w14:textId="2336AE32" w:rsidR="002F6BB4" w:rsidRDefault="00494620" w:rsidP="00494620">
      <w:pPr>
        <w:spacing w:line="480" w:lineRule="auto"/>
        <w:ind w:firstLine="720"/>
      </w:pPr>
      <w:r>
        <w:t>Indeed, the idea that expectations are not static is common to numerous literatures. R</w:t>
      </w:r>
      <w:r w:rsidR="00DC2635">
        <w:t xml:space="preserve">esearch on both individuals (e.g., Merton, 1968) and organizations </w:t>
      </w:r>
      <w:r w:rsidR="000312E9">
        <w:t xml:space="preserve">(e.g., </w:t>
      </w:r>
      <w:r w:rsidR="00616062">
        <w:t>Rhee &amp; Haunschild, 2006; Wade, Porac, Pollock, &amp; Graffin, 2006</w:t>
      </w:r>
      <w:r w:rsidR="000312E9">
        <w:t xml:space="preserve">) </w:t>
      </w:r>
      <w:r w:rsidR="00DC2635">
        <w:t>has noted that strong performance</w:t>
      </w:r>
      <w:r w:rsidR="004152D4">
        <w:t xml:space="preserve"> not only lead</w:t>
      </w:r>
      <w:r w:rsidR="00AD0D82">
        <w:t>s</w:t>
      </w:r>
      <w:r w:rsidR="004152D4">
        <w:t xml:space="preserve"> to a variety of rewards but also</w:t>
      </w:r>
      <w:r w:rsidR="00DC2635">
        <w:t xml:space="preserve"> to greater expectations </w:t>
      </w:r>
      <w:r w:rsidR="004152D4">
        <w:t>such that, with every accomplishment, “[m]ore and more is expected of them” (Merton, 1968: 57)</w:t>
      </w:r>
      <w:r w:rsidR="00616062">
        <w:t>, creating “</w:t>
      </w:r>
      <w:r w:rsidR="00616062" w:rsidRPr="00616062">
        <w:t>a higher ‘expectational hurdle’ to meet in order to be valued positively by the market” (</w:t>
      </w:r>
      <w:r w:rsidR="00616062">
        <w:t xml:space="preserve">Wade et al., 2006: </w:t>
      </w:r>
      <w:r w:rsidR="00616062" w:rsidRPr="00616062">
        <w:t>656)</w:t>
      </w:r>
      <w:r w:rsidR="00616062">
        <w:t>.</w:t>
      </w:r>
      <w:r w:rsidR="0053098F">
        <w:t xml:space="preserve"> </w:t>
      </w:r>
      <w:bookmarkStart w:id="13" w:name="OLE_LINK16"/>
      <w:r w:rsidR="0053098F">
        <w:t xml:space="preserve">This </w:t>
      </w:r>
      <w:r w:rsidR="003F4D0F">
        <w:rPr>
          <w:rFonts w:hint="eastAsia"/>
        </w:rPr>
        <w:t xml:space="preserve">implies </w:t>
      </w:r>
      <w:r w:rsidR="0053098F">
        <w:t xml:space="preserve">that, after a period of strong performance, </w:t>
      </w:r>
      <w:r w:rsidR="003F4D0F">
        <w:rPr>
          <w:rFonts w:hint="eastAsia"/>
        </w:rPr>
        <w:t xml:space="preserve">expectations tend to shift toward even higher </w:t>
      </w:r>
      <w:r w:rsidR="003F4D0F">
        <w:t>future</w:t>
      </w:r>
      <w:r w:rsidR="003F4D0F">
        <w:rPr>
          <w:rFonts w:hint="eastAsia"/>
        </w:rPr>
        <w:t xml:space="preserve"> performance</w:t>
      </w:r>
      <w:r w:rsidR="00DD670D">
        <w:t>. H</w:t>
      </w:r>
      <w:r>
        <w:t>ence</w:t>
      </w:r>
      <w:r w:rsidR="002557E5">
        <w:rPr>
          <w:rFonts w:hint="eastAsia"/>
        </w:rPr>
        <w:t>,</w:t>
      </w:r>
      <w:r>
        <w:t xml:space="preserve"> the belief that performance is only “acceptable” </w:t>
      </w:r>
      <w:r w:rsidRPr="00494620">
        <w:rPr>
          <w:i/>
          <w:iCs/>
        </w:rPr>
        <w:t xml:space="preserve">when it meets or </w:t>
      </w:r>
      <w:r w:rsidRPr="00494620">
        <w:rPr>
          <w:i/>
          <w:iCs/>
        </w:rPr>
        <w:lastRenderedPageBreak/>
        <w:t xml:space="preserve">exceeds </w:t>
      </w:r>
      <w:r>
        <w:rPr>
          <w:i/>
          <w:iCs/>
        </w:rPr>
        <w:t>prior</w:t>
      </w:r>
      <w:r w:rsidRPr="00494620">
        <w:rPr>
          <w:i/>
          <w:iCs/>
        </w:rPr>
        <w:t xml:space="preserve"> performance</w:t>
      </w:r>
      <w:r>
        <w:t xml:space="preserve"> is likely to be part of the normative beliefs of most individuals, including investors.</w:t>
      </w:r>
    </w:p>
    <w:p w14:paraId="0499E81C" w14:textId="67E6CD64" w:rsidR="00572F60" w:rsidRPr="00D7223F" w:rsidRDefault="00572F60" w:rsidP="002C1E39">
      <w:pPr>
        <w:spacing w:line="480" w:lineRule="auto"/>
        <w:ind w:firstLine="720"/>
      </w:pPr>
      <w:bookmarkStart w:id="14" w:name="OLE_LINK17"/>
      <w:bookmarkStart w:id="15" w:name="OLE_LINK4"/>
      <w:bookmarkEnd w:id="13"/>
      <w:r w:rsidRPr="00D7223F">
        <w:t>If</w:t>
      </w:r>
      <w:r w:rsidR="00936B1E">
        <w:t xml:space="preserve">, as we argued above, investors use earnings surprises as a </w:t>
      </w:r>
      <w:r w:rsidR="00013676">
        <w:t xml:space="preserve">performance metric that may allow them to compare firm performance across time, they may </w:t>
      </w:r>
      <w:r w:rsidR="00D559B6">
        <w:t>compare that earnings surprise with</w:t>
      </w:r>
      <w:r w:rsidR="00494620">
        <w:t xml:space="preserve"> </w:t>
      </w:r>
      <w:r w:rsidR="00D559B6">
        <w:t>recent past</w:t>
      </w:r>
      <w:r w:rsidR="00494620">
        <w:t xml:space="preserve"> performance as a heuristic to determine if </w:t>
      </w:r>
      <w:r w:rsidR="00D559B6">
        <w:t>the firm’s earnings meet their pre</w:t>
      </w:r>
      <w:r w:rsidR="00096E19">
        <w:t>scrip</w:t>
      </w:r>
      <w:r w:rsidR="00D559B6">
        <w:t xml:space="preserve">tive expectations. </w:t>
      </w:r>
      <w:r w:rsidR="0032097F">
        <w:rPr>
          <w:rFonts w:hint="eastAsia"/>
        </w:rPr>
        <w:t>As a result</w:t>
      </w:r>
      <w:r w:rsidR="002C1E39">
        <w:t xml:space="preserve">, even if the firm’s quarterly earnings exceeded consensus earnings estimates (i.e., a positive earnings surprise), </w:t>
      </w:r>
      <w:r w:rsidR="0032097F">
        <w:rPr>
          <w:rFonts w:hint="eastAsia"/>
        </w:rPr>
        <w:t>investors</w:t>
      </w:r>
      <w:r w:rsidR="0032097F">
        <w:t xml:space="preserve"> </w:t>
      </w:r>
      <w:r w:rsidR="002C1E39">
        <w:t xml:space="preserve">may </w:t>
      </w:r>
      <w:r w:rsidRPr="00D7223F">
        <w:t xml:space="preserve">still be disappointed if </w:t>
      </w:r>
      <w:r w:rsidR="00013676">
        <w:t>the earnings surprise</w:t>
      </w:r>
      <w:r w:rsidRPr="00D7223F">
        <w:t xml:space="preserve"> is below what they expected from </w:t>
      </w:r>
      <w:r w:rsidR="00D559B6">
        <w:t>a comparison with past performance</w:t>
      </w:r>
      <w:r w:rsidRPr="00D7223F">
        <w:t>.</w:t>
      </w:r>
      <w:r w:rsidR="002C1E39">
        <w:t xml:space="preserve"> </w:t>
      </w:r>
      <w:bookmarkEnd w:id="14"/>
      <w:r w:rsidRPr="00D7223F">
        <w:t>We thus suggest,</w:t>
      </w:r>
    </w:p>
    <w:bookmarkEnd w:id="15"/>
    <w:p w14:paraId="1F6A349E" w14:textId="66C5458E" w:rsidR="00572F60" w:rsidRDefault="00572F60">
      <w:pPr>
        <w:ind w:left="567"/>
        <w:rPr>
          <w:i/>
          <w:iCs/>
        </w:rPr>
      </w:pPr>
      <w:r w:rsidRPr="00D7223F">
        <w:rPr>
          <w:i/>
          <w:iCs/>
        </w:rPr>
        <w:t xml:space="preserve">Hypothesis </w:t>
      </w:r>
      <w:r w:rsidR="00013676">
        <w:rPr>
          <w:i/>
          <w:iCs/>
        </w:rPr>
        <w:t>1</w:t>
      </w:r>
      <w:r w:rsidRPr="00D7223F">
        <w:rPr>
          <w:i/>
          <w:iCs/>
        </w:rPr>
        <w:t xml:space="preserve"> (H</w:t>
      </w:r>
      <w:r w:rsidR="00013676">
        <w:rPr>
          <w:i/>
          <w:iCs/>
        </w:rPr>
        <w:t>1</w:t>
      </w:r>
      <w:r w:rsidRPr="00D7223F">
        <w:rPr>
          <w:i/>
          <w:iCs/>
        </w:rPr>
        <w:t>)</w:t>
      </w:r>
      <w:r w:rsidR="00C0389E">
        <w:rPr>
          <w:i/>
          <w:iCs/>
        </w:rPr>
        <w:t>.</w:t>
      </w:r>
      <w:r w:rsidRPr="00D7223F">
        <w:rPr>
          <w:i/>
          <w:iCs/>
        </w:rPr>
        <w:t xml:space="preserve"> When the current </w:t>
      </w:r>
      <w:r w:rsidR="00013676">
        <w:rPr>
          <w:i/>
          <w:iCs/>
        </w:rPr>
        <w:t>earnings surprise</w:t>
      </w:r>
      <w:r w:rsidRPr="00D7223F">
        <w:rPr>
          <w:i/>
          <w:iCs/>
        </w:rPr>
        <w:t xml:space="preserve"> </w:t>
      </w:r>
      <w:r w:rsidR="0069343D">
        <w:rPr>
          <w:i/>
          <w:iCs/>
        </w:rPr>
        <w:t>falls short of</w:t>
      </w:r>
      <w:r w:rsidRPr="00D7223F">
        <w:rPr>
          <w:i/>
          <w:iCs/>
        </w:rPr>
        <w:t xml:space="preserve"> the </w:t>
      </w:r>
      <w:r w:rsidR="00013676">
        <w:rPr>
          <w:i/>
          <w:iCs/>
        </w:rPr>
        <w:t>prescriptive</w:t>
      </w:r>
      <w:r w:rsidRPr="00D7223F">
        <w:rPr>
          <w:i/>
          <w:iCs/>
        </w:rPr>
        <w:t xml:space="preserve"> </w:t>
      </w:r>
      <w:r w:rsidR="00013676">
        <w:rPr>
          <w:i/>
          <w:iCs/>
        </w:rPr>
        <w:t>expectation</w:t>
      </w:r>
      <w:r w:rsidRPr="00D7223F">
        <w:rPr>
          <w:i/>
          <w:iCs/>
        </w:rPr>
        <w:t xml:space="preserve"> (based on </w:t>
      </w:r>
      <w:r w:rsidR="00D559B6">
        <w:rPr>
          <w:i/>
          <w:iCs/>
        </w:rPr>
        <w:t>past performance</w:t>
      </w:r>
      <w:r w:rsidRPr="00D7223F">
        <w:rPr>
          <w:i/>
          <w:iCs/>
        </w:rPr>
        <w:t xml:space="preserve">), </w:t>
      </w:r>
      <w:r w:rsidR="002C1E39">
        <w:rPr>
          <w:i/>
          <w:iCs/>
        </w:rPr>
        <w:t>investors</w:t>
      </w:r>
      <w:r w:rsidR="0069343D">
        <w:rPr>
          <w:i/>
          <w:iCs/>
        </w:rPr>
        <w:t xml:space="preserve"> will react more negatively</w:t>
      </w:r>
      <w:r w:rsidR="00097C67">
        <w:rPr>
          <w:i/>
          <w:iCs/>
        </w:rPr>
        <w:t xml:space="preserve"> than if the current earnings surprise meets or exceeds the prescriptive expectation based on </w:t>
      </w:r>
      <w:r w:rsidR="00D559B6">
        <w:rPr>
          <w:i/>
          <w:iCs/>
        </w:rPr>
        <w:t>past performance</w:t>
      </w:r>
      <w:r w:rsidR="002C1E39">
        <w:rPr>
          <w:i/>
          <w:iCs/>
        </w:rPr>
        <w:t>.</w:t>
      </w:r>
    </w:p>
    <w:p w14:paraId="5113BEF7" w14:textId="77777777" w:rsidR="00190481" w:rsidRPr="00D7223F" w:rsidRDefault="00190481" w:rsidP="005F7B83">
      <w:pPr>
        <w:ind w:left="567"/>
        <w:rPr>
          <w:i/>
          <w:iCs/>
        </w:rPr>
      </w:pPr>
    </w:p>
    <w:p w14:paraId="7E8F9A89" w14:textId="37AD4670" w:rsidR="00572F60" w:rsidRPr="00D7223F" w:rsidRDefault="00AD3260" w:rsidP="00572F60">
      <w:pPr>
        <w:spacing w:line="480" w:lineRule="auto"/>
        <w:ind w:firstLine="720"/>
      </w:pPr>
      <w:r w:rsidRPr="00692C1C">
        <w:t>Besides past performance</w:t>
      </w:r>
      <w:r w:rsidR="00D559B6" w:rsidRPr="00692C1C">
        <w:t xml:space="preserve">, </w:t>
      </w:r>
      <w:r w:rsidR="00572F60" w:rsidRPr="00692C1C">
        <w:t xml:space="preserve">prior literature </w:t>
      </w:r>
      <w:r w:rsidR="00D559B6" w:rsidRPr="00692C1C">
        <w:t xml:space="preserve">also </w:t>
      </w:r>
      <w:r w:rsidR="00572F60" w:rsidRPr="00692C1C">
        <w:t xml:space="preserve">suggests that performance </w:t>
      </w:r>
      <w:r w:rsidR="00D559B6" w:rsidRPr="00692C1C">
        <w:t>is likely to</w:t>
      </w:r>
      <w:r w:rsidR="00572F60" w:rsidRPr="00692C1C">
        <w:t xml:space="preserve"> be compared to the performance of </w:t>
      </w:r>
      <w:r w:rsidR="00D559B6" w:rsidRPr="00692C1C">
        <w:t xml:space="preserve">“other ‘comparable’ </w:t>
      </w:r>
      <w:r w:rsidR="00D518F8" w:rsidRPr="00692C1C">
        <w:t>organizations” (</w:t>
      </w:r>
      <w:r w:rsidR="00927978" w:rsidRPr="00692C1C">
        <w:t xml:space="preserve">Cyert &amp; March, 1963: 162). </w:t>
      </w:r>
      <w:r w:rsidR="004260ED" w:rsidRPr="00692C1C">
        <w:t>In this regard</w:t>
      </w:r>
      <w:r w:rsidR="00D559B6" w:rsidRPr="00692C1C">
        <w:t xml:space="preserve">, </w:t>
      </w:r>
      <w:r w:rsidR="00572F60" w:rsidRPr="00692C1C">
        <w:t xml:space="preserve">industry peers often serve as </w:t>
      </w:r>
      <w:r w:rsidR="005F7B83">
        <w:t>an</w:t>
      </w:r>
      <w:r w:rsidR="00572F60" w:rsidRPr="00692C1C">
        <w:t xml:space="preserve"> effective reference frame for </w:t>
      </w:r>
      <w:r w:rsidR="005B1292" w:rsidRPr="00692C1C">
        <w:rPr>
          <w:rFonts w:hint="eastAsia"/>
        </w:rPr>
        <w:t>external stakeholders</w:t>
      </w:r>
      <w:r w:rsidR="00927978" w:rsidRPr="00692C1C">
        <w:t>,</w:t>
      </w:r>
      <w:r w:rsidR="005B1292" w:rsidRPr="00692C1C">
        <w:t xml:space="preserve"> </w:t>
      </w:r>
      <w:r w:rsidR="00572F60" w:rsidRPr="00692C1C">
        <w:t xml:space="preserve">due to similar organizational forms, operations, and products or services (e.g., </w:t>
      </w:r>
      <w:bookmarkStart w:id="16" w:name="OLE_LINK6"/>
      <w:r w:rsidR="00572F60" w:rsidRPr="00692C1C">
        <w:t xml:space="preserve">Mishina et al., 2010; </w:t>
      </w:r>
      <w:bookmarkEnd w:id="16"/>
      <w:r w:rsidR="00572F60" w:rsidRPr="00692C1C">
        <w:t>Porac, Thomas, Wilson, Paton, &amp; Kanfer, 1995).</w:t>
      </w:r>
      <w:r w:rsidR="003D5BFE" w:rsidRPr="00692C1C">
        <w:t xml:space="preserve"> Hence</w:t>
      </w:r>
      <w:r w:rsidRPr="00692C1C">
        <w:t>,</w:t>
      </w:r>
      <w:r w:rsidR="003D5BFE" w:rsidRPr="00692C1C">
        <w:t xml:space="preserve"> the performance of peers—that the firm should meet or beat the performance of its peers</w:t>
      </w:r>
      <w:r w:rsidR="000E0DB1">
        <w:t>—</w:t>
      </w:r>
      <w:r w:rsidR="000E0DB1" w:rsidRPr="00692C1C">
        <w:t>is likely to act as another prescriptive expectation</w:t>
      </w:r>
      <w:r w:rsidR="003D5BFE" w:rsidRPr="00692C1C">
        <w:t xml:space="preserve">. </w:t>
      </w:r>
      <w:r w:rsidR="00572F60" w:rsidRPr="00692C1C">
        <w:t xml:space="preserve">By comparing the focal firm’s </w:t>
      </w:r>
      <w:r w:rsidR="00B0375A" w:rsidRPr="00692C1C">
        <w:t>earnings surprise</w:t>
      </w:r>
      <w:r w:rsidR="00572F60" w:rsidRPr="00692C1C">
        <w:t xml:space="preserve"> against those of its industry peers, </w:t>
      </w:r>
      <w:r w:rsidR="00B0375A" w:rsidRPr="00692C1C">
        <w:t>investors</w:t>
      </w:r>
      <w:r w:rsidR="00572F60" w:rsidRPr="00692C1C">
        <w:t xml:space="preserve"> may follow a </w:t>
      </w:r>
      <w:r w:rsidR="00D559B6" w:rsidRPr="00692C1C">
        <w:t>heuristic</w:t>
      </w:r>
      <w:r w:rsidR="00572F60" w:rsidRPr="00692C1C">
        <w:t xml:space="preserve"> of peer comparisons to try to determine </w:t>
      </w:r>
      <w:r w:rsidR="00B0375A" w:rsidRPr="00692C1C">
        <w:t xml:space="preserve">if the firm’s performance </w:t>
      </w:r>
      <w:r w:rsidR="00572F60" w:rsidRPr="00692C1C">
        <w:t xml:space="preserve">is above or below </w:t>
      </w:r>
      <w:r w:rsidR="00B0375A" w:rsidRPr="00692C1C">
        <w:t>what should be</w:t>
      </w:r>
      <w:r w:rsidR="00572F60" w:rsidRPr="00692C1C">
        <w:t xml:space="preserve"> possible in the industry (e.g., Jenter &amp; Kaanan, 2015; Mishina et al., 2010). Thus,</w:t>
      </w:r>
    </w:p>
    <w:p w14:paraId="66286DFC" w14:textId="50425DD6" w:rsidR="00572F60" w:rsidRDefault="00572F60">
      <w:pPr>
        <w:ind w:left="567"/>
        <w:rPr>
          <w:i/>
          <w:iCs/>
        </w:rPr>
      </w:pPr>
      <w:r w:rsidRPr="00D7223F">
        <w:rPr>
          <w:i/>
          <w:iCs/>
        </w:rPr>
        <w:t xml:space="preserve">Hypothesis </w:t>
      </w:r>
      <w:r w:rsidR="00B0375A">
        <w:rPr>
          <w:i/>
          <w:iCs/>
        </w:rPr>
        <w:t>2</w:t>
      </w:r>
      <w:r w:rsidRPr="00D7223F">
        <w:rPr>
          <w:i/>
          <w:iCs/>
        </w:rPr>
        <w:t xml:space="preserve"> (H</w:t>
      </w:r>
      <w:r w:rsidR="00B0375A">
        <w:rPr>
          <w:i/>
          <w:iCs/>
        </w:rPr>
        <w:t>2</w:t>
      </w:r>
      <w:r w:rsidRPr="00D7223F">
        <w:rPr>
          <w:i/>
          <w:iCs/>
        </w:rPr>
        <w:t>)</w:t>
      </w:r>
      <w:r w:rsidR="00C0389E">
        <w:rPr>
          <w:i/>
          <w:iCs/>
        </w:rPr>
        <w:t>.</w:t>
      </w:r>
      <w:r w:rsidRPr="00D7223F">
        <w:rPr>
          <w:i/>
          <w:iCs/>
        </w:rPr>
        <w:t xml:space="preserve"> </w:t>
      </w:r>
      <w:r w:rsidR="003D5BFE" w:rsidRPr="00D7223F">
        <w:rPr>
          <w:i/>
          <w:iCs/>
        </w:rPr>
        <w:t xml:space="preserve">When the current </w:t>
      </w:r>
      <w:r w:rsidR="003D5BFE">
        <w:rPr>
          <w:i/>
          <w:iCs/>
        </w:rPr>
        <w:t>earnings surprise</w:t>
      </w:r>
      <w:r w:rsidR="003D5BFE" w:rsidRPr="00D7223F">
        <w:rPr>
          <w:i/>
          <w:iCs/>
        </w:rPr>
        <w:t xml:space="preserve"> </w:t>
      </w:r>
      <w:r w:rsidR="00A45749">
        <w:rPr>
          <w:i/>
          <w:iCs/>
        </w:rPr>
        <w:t>falls short of</w:t>
      </w:r>
      <w:r w:rsidR="003D5BFE" w:rsidRPr="00D7223F">
        <w:rPr>
          <w:i/>
          <w:iCs/>
        </w:rPr>
        <w:t xml:space="preserve"> the </w:t>
      </w:r>
      <w:r w:rsidR="003D5BFE">
        <w:rPr>
          <w:i/>
          <w:iCs/>
        </w:rPr>
        <w:t>prescriptive</w:t>
      </w:r>
      <w:r w:rsidR="003D5BFE" w:rsidRPr="00D7223F">
        <w:rPr>
          <w:i/>
          <w:iCs/>
        </w:rPr>
        <w:t xml:space="preserve"> </w:t>
      </w:r>
      <w:r w:rsidR="003D5BFE">
        <w:rPr>
          <w:i/>
          <w:iCs/>
        </w:rPr>
        <w:t>expectation</w:t>
      </w:r>
      <w:r w:rsidR="003D5BFE" w:rsidRPr="00D7223F">
        <w:rPr>
          <w:i/>
          <w:iCs/>
        </w:rPr>
        <w:t xml:space="preserve"> (based on </w:t>
      </w:r>
      <w:r w:rsidR="00A45749">
        <w:rPr>
          <w:i/>
          <w:iCs/>
        </w:rPr>
        <w:t xml:space="preserve">peer </w:t>
      </w:r>
      <w:r w:rsidR="003D5BFE">
        <w:rPr>
          <w:i/>
          <w:iCs/>
        </w:rPr>
        <w:t>compari</w:t>
      </w:r>
      <w:r w:rsidR="00A45749">
        <w:rPr>
          <w:i/>
          <w:iCs/>
        </w:rPr>
        <w:t>son</w:t>
      </w:r>
      <w:r w:rsidR="003D5BFE" w:rsidRPr="00D7223F">
        <w:rPr>
          <w:i/>
          <w:iCs/>
        </w:rPr>
        <w:t xml:space="preserve">), </w:t>
      </w:r>
      <w:r w:rsidR="003D5BFE">
        <w:rPr>
          <w:i/>
          <w:iCs/>
        </w:rPr>
        <w:t>investors</w:t>
      </w:r>
      <w:r w:rsidR="00A45749">
        <w:rPr>
          <w:i/>
          <w:iCs/>
        </w:rPr>
        <w:t xml:space="preserve"> will react more negatively</w:t>
      </w:r>
      <w:r w:rsidR="00097C67">
        <w:rPr>
          <w:i/>
          <w:iCs/>
        </w:rPr>
        <w:t xml:space="preserve"> than if the </w:t>
      </w:r>
      <w:r w:rsidR="00097C67">
        <w:rPr>
          <w:i/>
          <w:iCs/>
        </w:rPr>
        <w:lastRenderedPageBreak/>
        <w:t>current earnings surprise meets or exceeds t</w:t>
      </w:r>
      <w:r w:rsidR="00A45749">
        <w:rPr>
          <w:i/>
          <w:iCs/>
        </w:rPr>
        <w:t>h</w:t>
      </w:r>
      <w:r w:rsidR="00097C67">
        <w:rPr>
          <w:i/>
          <w:iCs/>
        </w:rPr>
        <w:t xml:space="preserve">e prescriptive expectation based on </w:t>
      </w:r>
      <w:r w:rsidR="00A45749">
        <w:rPr>
          <w:i/>
          <w:iCs/>
        </w:rPr>
        <w:t xml:space="preserve">peer </w:t>
      </w:r>
      <w:r w:rsidR="00097C67">
        <w:rPr>
          <w:i/>
          <w:iCs/>
        </w:rPr>
        <w:t>compari</w:t>
      </w:r>
      <w:r w:rsidR="00A45749">
        <w:rPr>
          <w:i/>
          <w:iCs/>
        </w:rPr>
        <w:t>son</w:t>
      </w:r>
      <w:r w:rsidR="003D5BFE">
        <w:rPr>
          <w:i/>
          <w:iCs/>
        </w:rPr>
        <w:t>.</w:t>
      </w:r>
    </w:p>
    <w:p w14:paraId="54E63ED7" w14:textId="77777777" w:rsidR="00190481" w:rsidRDefault="00190481" w:rsidP="005F7B83">
      <w:pPr>
        <w:ind w:left="567"/>
        <w:rPr>
          <w:i/>
          <w:iCs/>
        </w:rPr>
      </w:pPr>
    </w:p>
    <w:p w14:paraId="45A0B1D2" w14:textId="031A19B3" w:rsidR="00DD5585" w:rsidRPr="00D7223F" w:rsidRDefault="00DD5585" w:rsidP="005F7B83">
      <w:pPr>
        <w:spacing w:line="360" w:lineRule="auto"/>
        <w:rPr>
          <w:b/>
          <w:bCs/>
        </w:rPr>
      </w:pPr>
      <w:r w:rsidRPr="008F0EE1">
        <w:rPr>
          <w:b/>
          <w:bCs/>
        </w:rPr>
        <w:t>Prospective Expectation</w:t>
      </w:r>
      <w:r w:rsidR="00652830">
        <w:rPr>
          <w:b/>
          <w:bCs/>
        </w:rPr>
        <w:t>s</w:t>
      </w:r>
    </w:p>
    <w:p w14:paraId="17B3A2D6" w14:textId="66D619DC" w:rsidR="00F362D6" w:rsidRDefault="00074007" w:rsidP="00713C58">
      <w:pPr>
        <w:spacing w:line="480" w:lineRule="auto"/>
        <w:ind w:firstLine="720"/>
      </w:pPr>
      <w:bookmarkStart w:id="17" w:name="OLE_LINK18"/>
      <w:r>
        <w:t>As mentioned earlier, i</w:t>
      </w:r>
      <w:r w:rsidR="00B0375A">
        <w:t xml:space="preserve">nvestors are </w:t>
      </w:r>
      <w:r w:rsidR="003A66BF">
        <w:t>not only</w:t>
      </w:r>
      <w:r w:rsidR="006729B4">
        <w:t xml:space="preserve"> </w:t>
      </w:r>
      <w:r w:rsidR="003A66BF">
        <w:t xml:space="preserve">likely to react based on how a firm’s </w:t>
      </w:r>
      <w:r w:rsidR="003A66BF" w:rsidRPr="0093113F">
        <w:t xml:space="preserve">performance compares to predictive and prescriptive expectations but </w:t>
      </w:r>
      <w:r w:rsidR="00B0375A" w:rsidRPr="0093113F">
        <w:t>also based on</w:t>
      </w:r>
      <w:r w:rsidR="00AE6FD7" w:rsidRPr="0093113F">
        <w:t xml:space="preserve"> how </w:t>
      </w:r>
      <w:r w:rsidR="00097C67" w:rsidRPr="0093113F">
        <w:t xml:space="preserve">the observed performance might alter their beliefs about </w:t>
      </w:r>
      <w:r w:rsidR="00103EE2" w:rsidRPr="0093113F">
        <w:t xml:space="preserve">the expected value they might receive from </w:t>
      </w:r>
      <w:r w:rsidR="000B5CEF" w:rsidRPr="0093113F">
        <w:t xml:space="preserve">their </w:t>
      </w:r>
      <w:r w:rsidR="00195765">
        <w:t xml:space="preserve">subsequent </w:t>
      </w:r>
      <w:r w:rsidR="000B5CEF" w:rsidRPr="0093113F">
        <w:t xml:space="preserve">interactions with the </w:t>
      </w:r>
      <w:r w:rsidR="00103EE2" w:rsidRPr="0093113F">
        <w:t>firm</w:t>
      </w:r>
      <w:bookmarkEnd w:id="17"/>
      <w:r w:rsidR="00103EE2" w:rsidRPr="0093113F">
        <w:t>—i.e., what a firm “could” do</w:t>
      </w:r>
      <w:r w:rsidR="00891931" w:rsidRPr="0093113F">
        <w:t xml:space="preserve"> </w:t>
      </w:r>
      <w:r w:rsidR="00083542" w:rsidRPr="0093113F">
        <w:t>for the investor</w:t>
      </w:r>
      <w:r w:rsidR="00891931" w:rsidRPr="0093113F">
        <w:t xml:space="preserve"> in the future</w:t>
      </w:r>
      <w:r w:rsidR="00103EE2" w:rsidRPr="0093113F">
        <w:t>.</w:t>
      </w:r>
      <w:r w:rsidR="00103EE2">
        <w:t xml:space="preserve"> </w:t>
      </w:r>
      <w:r w:rsidR="00DA3A0D">
        <w:t xml:space="preserve">In this regard, </w:t>
      </w:r>
      <w:r w:rsidR="007345EC">
        <w:t xml:space="preserve">investors </w:t>
      </w:r>
      <w:r w:rsidR="00DA3A0D">
        <w:t xml:space="preserve">will </w:t>
      </w:r>
      <w:r w:rsidR="001C627D">
        <w:t xml:space="preserve">update their prospective expectations </w:t>
      </w:r>
      <w:r w:rsidR="007345EC">
        <w:t xml:space="preserve">whenever </w:t>
      </w:r>
      <w:r w:rsidR="00CF3D39">
        <w:t xml:space="preserve">the current information leads them to </w:t>
      </w:r>
      <w:r w:rsidR="007345EC">
        <w:t>believe their existing prospective expectation is no longer accurate</w:t>
      </w:r>
      <w:r w:rsidR="001C627D">
        <w:t xml:space="preserve">. </w:t>
      </w:r>
      <w:r w:rsidR="00713C58">
        <w:t>A</w:t>
      </w:r>
      <w:r w:rsidR="001C627D">
        <w:t xml:space="preserve"> </w:t>
      </w:r>
      <w:r w:rsidR="00713C58">
        <w:t xml:space="preserve">positive or negative </w:t>
      </w:r>
      <w:r w:rsidR="001C627D">
        <w:t>violation may occur</w:t>
      </w:r>
      <w:r w:rsidR="00713C58">
        <w:t xml:space="preserve"> in this case</w:t>
      </w:r>
      <w:r w:rsidR="001C627D">
        <w:t xml:space="preserve">, </w:t>
      </w:r>
      <w:r w:rsidR="00713C58">
        <w:t>depending on the direction of the update</w:t>
      </w:r>
      <w:r w:rsidR="001C627D">
        <w:t xml:space="preserve">. </w:t>
      </w:r>
      <w:r w:rsidR="00083542">
        <w:t xml:space="preserve">Notably, because prospective expectations are about the expected value of future interactions, </w:t>
      </w:r>
      <w:r w:rsidR="006578FD">
        <w:t xml:space="preserve">they </w:t>
      </w:r>
      <w:r w:rsidR="0051464B">
        <w:t xml:space="preserve">capture investors’ expectation of </w:t>
      </w:r>
      <w:r w:rsidR="0093113F">
        <w:t xml:space="preserve">the </w:t>
      </w:r>
      <w:r w:rsidR="0051464B">
        <w:t xml:space="preserve">firm’s future </w:t>
      </w:r>
      <w:r w:rsidR="001E19A8">
        <w:t>from that point onward</w:t>
      </w:r>
      <w:r w:rsidR="00195765">
        <w:t xml:space="preserve">, </w:t>
      </w:r>
      <w:r w:rsidR="0051464B">
        <w:t>in general</w:t>
      </w:r>
      <w:r w:rsidR="00195765">
        <w:t>,</w:t>
      </w:r>
      <w:r w:rsidR="0051464B">
        <w:t xml:space="preserve"> rather than pertaining to</w:t>
      </w:r>
      <w:r w:rsidR="00083542">
        <w:t xml:space="preserve"> any </w:t>
      </w:r>
      <w:r w:rsidR="006578FD">
        <w:t>specific</w:t>
      </w:r>
      <w:r w:rsidR="00083542">
        <w:t xml:space="preserve"> period.</w:t>
      </w:r>
      <w:r w:rsidR="006578FD">
        <w:t xml:space="preserve"> </w:t>
      </w:r>
      <w:r w:rsidR="005B1292">
        <w:rPr>
          <w:rFonts w:hint="eastAsia"/>
        </w:rPr>
        <w:t>In the earnings announcement context, w</w:t>
      </w:r>
      <w:r w:rsidR="0051464B">
        <w:t xml:space="preserve">hen anticipating the future, investors </w:t>
      </w:r>
      <w:r w:rsidR="00F362D6">
        <w:t>are likely to react differently depending on whether they believe that the violation is an aberration or if they believe that the</w:t>
      </w:r>
      <w:r w:rsidR="0045166B">
        <w:t>ir</w:t>
      </w:r>
      <w:r w:rsidR="00A616B3">
        <w:t xml:space="preserve"> expectations require updating because (a) the</w:t>
      </w:r>
      <w:r w:rsidR="00F362D6">
        <w:t>y had misjudged the firm’s behavioral tendencies</w:t>
      </w:r>
      <w:r w:rsidR="00431E32">
        <w:t xml:space="preserve">, </w:t>
      </w:r>
      <w:r w:rsidR="0090494B">
        <w:t xml:space="preserve">or there have been changes to </w:t>
      </w:r>
      <w:r w:rsidR="00431E32">
        <w:t xml:space="preserve">(b) </w:t>
      </w:r>
      <w:r w:rsidR="0090494B">
        <w:t xml:space="preserve">the firm, (c) </w:t>
      </w:r>
      <w:r w:rsidR="000B1C86">
        <w:t>their relationship with</w:t>
      </w:r>
      <w:r w:rsidR="009F7E36">
        <w:t xml:space="preserve"> the firm</w:t>
      </w:r>
      <w:r w:rsidR="00C76D6B">
        <w:t>, and/or (d) their needs or requirements</w:t>
      </w:r>
      <w:r w:rsidR="00F362D6">
        <w:t>.</w:t>
      </w:r>
    </w:p>
    <w:p w14:paraId="63D2F7E9" w14:textId="77E09617" w:rsidR="00EE3375" w:rsidRDefault="00EE3375" w:rsidP="0051464B">
      <w:pPr>
        <w:spacing w:line="480" w:lineRule="auto"/>
        <w:ind w:firstLine="720"/>
      </w:pPr>
      <w:r>
        <w:t>Even when there are violations to predictive expectations, this does not always mean that those predictive expectations were incorrect</w:t>
      </w:r>
      <w:r w:rsidR="006E0889">
        <w:t xml:space="preserve"> estimates of the firm’s performance</w:t>
      </w:r>
      <w:r>
        <w:t xml:space="preserve">. A variety of situational characteristics (e.g., Bundy et al., 2021) may explain why a firm might have behaved differently than expected. Indeed, Burgoon (2015) notes that, when a violation occurs, individuals try to make sense of it by making attributions about motive, intentionality, and meaning of the action. In the context of earnings surprises, this may entail trying to determine if the surprise was due to </w:t>
      </w:r>
      <w:r w:rsidR="00615439">
        <w:t xml:space="preserve">systematic </w:t>
      </w:r>
      <w:r>
        <w:t>misjudg</w:t>
      </w:r>
      <w:r w:rsidR="00615439">
        <w:t>ments about</w:t>
      </w:r>
      <w:r>
        <w:t xml:space="preserve"> the firm </w:t>
      </w:r>
      <w:r w:rsidR="00615439">
        <w:t xml:space="preserve">and its capabilities (whether too </w:t>
      </w:r>
      <w:r w:rsidR="00615439">
        <w:lastRenderedPageBreak/>
        <w:t xml:space="preserve">high or too low) </w:t>
      </w:r>
      <w:r>
        <w:t>or due to one-time factors that are not under the firm’s control, since roughly half of the variance in firm performance is based on unexplained factors (Keller et al., 2023). If</w:t>
      </w:r>
      <w:r w:rsidR="00615439">
        <w:t xml:space="preserve"> the earnings surprise is attributed to misjudgment about the firm</w:t>
      </w:r>
      <w:r w:rsidR="00BD7D18">
        <w:t>,</w:t>
      </w:r>
      <w:r w:rsidR="0090494B">
        <w:t xml:space="preserve"> or to changes in the firm, their relationship to the firm, and/or their requirements for the firm</w:t>
      </w:r>
      <w:r w:rsidR="00615439">
        <w:t xml:space="preserve">, then investors are likely to </w:t>
      </w:r>
      <w:r w:rsidR="00750C65">
        <w:t xml:space="preserve">update their beliefs about </w:t>
      </w:r>
      <w:r w:rsidR="000F267C">
        <w:t xml:space="preserve">expected value of their relationship with </w:t>
      </w:r>
      <w:r w:rsidR="00750C65">
        <w:t xml:space="preserve">the firm going into </w:t>
      </w:r>
      <w:r w:rsidR="00615439">
        <w:t>the future (e.g., Burgoon, 2015)</w:t>
      </w:r>
      <w:r w:rsidR="000F267C">
        <w:t xml:space="preserve">—i.e., </w:t>
      </w:r>
      <w:r w:rsidR="00615439">
        <w:t xml:space="preserve">their prospective expectations. This updating will result in a violation of prospective expectations, </w:t>
      </w:r>
      <w:r w:rsidR="00751B0C">
        <w:t>which will</w:t>
      </w:r>
      <w:r w:rsidR="00615439">
        <w:t xml:space="preserve"> likely result in an anticipatory reaction that reflects whether </w:t>
      </w:r>
      <w:r w:rsidR="00F26270">
        <w:t xml:space="preserve">investors </w:t>
      </w:r>
      <w:r w:rsidR="00615439">
        <w:t xml:space="preserve">believe that future interactions with the firm will now be </w:t>
      </w:r>
      <w:proofErr w:type="gramStart"/>
      <w:r w:rsidR="00615439">
        <w:t>more or less rewarding</w:t>
      </w:r>
      <w:proofErr w:type="gramEnd"/>
      <w:r w:rsidR="00615439">
        <w:t xml:space="preserve"> than they were previously.</w:t>
      </w:r>
      <w:r w:rsidR="00AC0B64">
        <w:t xml:space="preserve"> </w:t>
      </w:r>
      <w:r w:rsidR="00615439">
        <w:t xml:space="preserve">Conversely, if the earnings surprise is attributed to one-time factors, then </w:t>
      </w:r>
      <w:r w:rsidR="006F4258">
        <w:t>investors are</w:t>
      </w:r>
      <w:r w:rsidR="00615439">
        <w:t xml:space="preserve"> not likely to updat</w:t>
      </w:r>
      <w:r w:rsidR="006F4258">
        <w:t>e</w:t>
      </w:r>
      <w:r w:rsidR="00615439">
        <w:t xml:space="preserve"> or adjust expectations</w:t>
      </w:r>
      <w:r w:rsidR="007235A1">
        <w:t>.</w:t>
      </w:r>
      <w:r w:rsidR="00615439">
        <w:t xml:space="preserve"> </w:t>
      </w:r>
      <w:r w:rsidR="00441C5F">
        <w:t>N</w:t>
      </w:r>
      <w:r w:rsidR="00615439">
        <w:t xml:space="preserve">o additional anticipatory reaction </w:t>
      </w:r>
      <w:r w:rsidR="00441C5F">
        <w:t xml:space="preserve">will take place, </w:t>
      </w:r>
      <w:r w:rsidR="00615439">
        <w:t xml:space="preserve">since </w:t>
      </w:r>
      <w:r w:rsidR="00F24864">
        <w:t>no</w:t>
      </w:r>
      <w:r w:rsidR="00615439">
        <w:t xml:space="preserve"> violation of prospective expectations</w:t>
      </w:r>
      <w:r w:rsidR="00F24864">
        <w:t xml:space="preserve"> has occurred</w:t>
      </w:r>
      <w:r w:rsidR="00615439">
        <w:t>.</w:t>
      </w:r>
      <w:r w:rsidR="00146DD1">
        <w:t xml:space="preserve"> </w:t>
      </w:r>
    </w:p>
    <w:p w14:paraId="70B4BFA3" w14:textId="70359DF1" w:rsidR="00547102" w:rsidRDefault="00DD5585">
      <w:pPr>
        <w:ind w:left="567"/>
        <w:rPr>
          <w:i/>
          <w:iCs/>
        </w:rPr>
      </w:pPr>
      <w:r w:rsidRPr="00C87D29">
        <w:rPr>
          <w:i/>
          <w:iCs/>
        </w:rPr>
        <w:t xml:space="preserve">Hypothesis </w:t>
      </w:r>
      <w:r w:rsidR="003A66BF" w:rsidRPr="00C87D29">
        <w:rPr>
          <w:i/>
          <w:iCs/>
        </w:rPr>
        <w:t>3</w:t>
      </w:r>
      <w:r w:rsidRPr="00C87D29">
        <w:rPr>
          <w:i/>
          <w:iCs/>
        </w:rPr>
        <w:t xml:space="preserve"> (H</w:t>
      </w:r>
      <w:r w:rsidR="003A66BF" w:rsidRPr="00C87D29">
        <w:rPr>
          <w:i/>
          <w:iCs/>
        </w:rPr>
        <w:t>3</w:t>
      </w:r>
      <w:r w:rsidRPr="00C87D29">
        <w:rPr>
          <w:i/>
          <w:iCs/>
        </w:rPr>
        <w:t>)</w:t>
      </w:r>
      <w:r w:rsidR="00C0389E">
        <w:rPr>
          <w:i/>
          <w:iCs/>
        </w:rPr>
        <w:t>.</w:t>
      </w:r>
      <w:r w:rsidRPr="00C87D29">
        <w:rPr>
          <w:i/>
          <w:iCs/>
        </w:rPr>
        <w:t xml:space="preserve"> </w:t>
      </w:r>
      <w:r w:rsidR="007660B0" w:rsidRPr="00C87D29">
        <w:rPr>
          <w:i/>
          <w:iCs/>
        </w:rPr>
        <w:t>I</w:t>
      </w:r>
      <w:r w:rsidR="000C6E8A" w:rsidRPr="00C87D29">
        <w:rPr>
          <w:i/>
          <w:iCs/>
        </w:rPr>
        <w:t>nvestors</w:t>
      </w:r>
      <w:r w:rsidR="007660B0" w:rsidRPr="00C87D29">
        <w:rPr>
          <w:i/>
          <w:iCs/>
        </w:rPr>
        <w:t xml:space="preserve"> are more likely to react negatively when they </w:t>
      </w:r>
      <w:r w:rsidR="00822CAE" w:rsidRPr="00C87D29">
        <w:rPr>
          <w:i/>
          <w:iCs/>
        </w:rPr>
        <w:t>experience a negative prospective expecta</w:t>
      </w:r>
      <w:r w:rsidR="00B96EC6" w:rsidRPr="00C87D29">
        <w:rPr>
          <w:i/>
          <w:iCs/>
        </w:rPr>
        <w:t>ncy</w:t>
      </w:r>
      <w:r w:rsidR="00822CAE" w:rsidRPr="00C87D29">
        <w:rPr>
          <w:i/>
          <w:iCs/>
        </w:rPr>
        <w:t xml:space="preserve"> violation—i.e., they </w:t>
      </w:r>
      <w:r w:rsidR="007660B0" w:rsidRPr="00C87D29">
        <w:rPr>
          <w:i/>
          <w:iCs/>
        </w:rPr>
        <w:t xml:space="preserve">believe that </w:t>
      </w:r>
      <w:r w:rsidR="00615439" w:rsidRPr="00C87D29">
        <w:rPr>
          <w:i/>
          <w:iCs/>
        </w:rPr>
        <w:t>the firm’s future earnings will be lower</w:t>
      </w:r>
      <w:r w:rsidR="00822CAE" w:rsidRPr="00C87D29">
        <w:rPr>
          <w:i/>
          <w:iCs/>
        </w:rPr>
        <w:t>—</w:t>
      </w:r>
      <w:r w:rsidR="007660B0" w:rsidRPr="00C87D29">
        <w:rPr>
          <w:i/>
          <w:iCs/>
        </w:rPr>
        <w:t xml:space="preserve">than </w:t>
      </w:r>
      <w:r w:rsidR="00822CAE" w:rsidRPr="00C87D29">
        <w:rPr>
          <w:i/>
          <w:iCs/>
        </w:rPr>
        <w:t>if their prospective expectations remain unchanged or if they experience a positive prospective expecta</w:t>
      </w:r>
      <w:r w:rsidR="00B96EC6" w:rsidRPr="00C87D29">
        <w:rPr>
          <w:i/>
          <w:iCs/>
        </w:rPr>
        <w:t>ncy</w:t>
      </w:r>
      <w:r w:rsidR="00822CAE" w:rsidRPr="00C87D29">
        <w:rPr>
          <w:i/>
          <w:iCs/>
        </w:rPr>
        <w:t xml:space="preserve"> violation</w:t>
      </w:r>
      <w:r w:rsidR="007660B0" w:rsidRPr="00C87D29">
        <w:rPr>
          <w:i/>
          <w:iCs/>
        </w:rPr>
        <w:t>.</w:t>
      </w:r>
    </w:p>
    <w:p w14:paraId="423F2817" w14:textId="77777777" w:rsidR="00190481" w:rsidRPr="00D7223F" w:rsidRDefault="00190481" w:rsidP="00566CB5">
      <w:pPr>
        <w:ind w:left="567"/>
      </w:pPr>
    </w:p>
    <w:p w14:paraId="1451CCEE" w14:textId="77777777" w:rsidR="00572F60" w:rsidRPr="00D7223F" w:rsidRDefault="00572F60" w:rsidP="00572F60">
      <w:pPr>
        <w:spacing w:line="360" w:lineRule="auto"/>
        <w:jc w:val="center"/>
        <w:rPr>
          <w:b/>
          <w:bCs/>
        </w:rPr>
      </w:pPr>
      <w:r w:rsidRPr="005374FD">
        <w:rPr>
          <w:b/>
          <w:bCs/>
        </w:rPr>
        <w:t>DATA AND METHODS</w:t>
      </w:r>
    </w:p>
    <w:p w14:paraId="212F8973" w14:textId="77777777" w:rsidR="00572F60" w:rsidRDefault="00572F60" w:rsidP="00572F60">
      <w:pPr>
        <w:spacing w:line="360" w:lineRule="auto"/>
        <w:rPr>
          <w:b/>
          <w:bCs/>
        </w:rPr>
      </w:pPr>
      <w:r w:rsidRPr="00C802A6">
        <w:rPr>
          <w:b/>
          <w:bCs/>
        </w:rPr>
        <w:t>Sample</w:t>
      </w:r>
    </w:p>
    <w:p w14:paraId="3213EC5A" w14:textId="24F82973" w:rsidR="00685B7B" w:rsidRPr="00EA0EC4" w:rsidRDefault="00685B7B" w:rsidP="00EA0EC4">
      <w:pPr>
        <w:spacing w:line="480" w:lineRule="auto"/>
        <w:ind w:firstLine="720"/>
      </w:pPr>
      <w:r w:rsidRPr="00677BEE">
        <w:t>Our sample comprises Standard &amp; Poor’s (S&amp;P) 500 firms from 2013 to 2019. The sample was restricted to firms with fiscal years ending on December 31</w:t>
      </w:r>
      <w:r w:rsidRPr="0047673E">
        <w:rPr>
          <w:vertAlign w:val="superscript"/>
        </w:rPr>
        <w:t>st</w:t>
      </w:r>
      <w:r w:rsidRPr="00677BEE">
        <w:t xml:space="preserve"> to avoid issues arising from different fiscal year-ends (Wade</w:t>
      </w:r>
      <w:r w:rsidR="00F02F56">
        <w:t xml:space="preserve"> et al.</w:t>
      </w:r>
      <w:r w:rsidRPr="00677BEE">
        <w:t xml:space="preserve">, 2006). To construct our sample, we </w:t>
      </w:r>
      <w:r>
        <w:t>first</w:t>
      </w:r>
      <w:r w:rsidRPr="00677BEE">
        <w:t xml:space="preserve"> collected data on earnings surprises. Utilizing our sample frame, we downloaded data on analysts’ quarterly earnings per share estimates at the individual analyst level</w:t>
      </w:r>
      <w:r>
        <w:t>,</w:t>
      </w:r>
      <w:r w:rsidRPr="00677BEE">
        <w:t xml:space="preserve"> from the I/B/E/S detailed earnings estimate history file. To mitigate biases from analysts revising estimates due to information leakage prior to announcements, we excluded forecasts made within </w:t>
      </w:r>
      <w:r w:rsidRPr="00713C58">
        <w:t>five days</w:t>
      </w:r>
      <w:r w:rsidRPr="00677BEE">
        <w:t xml:space="preserve"> of the quarterly earnings report (Cooper, Day, &amp; Lewis, 2001). We </w:t>
      </w:r>
      <w:r>
        <w:t xml:space="preserve">then </w:t>
      </w:r>
      <w:r w:rsidRPr="00677BEE">
        <w:t xml:space="preserve">retained the estimate closest to </w:t>
      </w:r>
      <w:r w:rsidRPr="00677BEE">
        <w:lastRenderedPageBreak/>
        <w:t xml:space="preserve">the actual earnings announcement for each analyst and omitted firm-quarters with fewer than five analyst estimates to ensure meaningful measures for earnings surprises and controls such as estimate dispersion. The earnings estimates were winsorized at the 1% and 99% levels to limit the impact of extreme values and were aggregated </w:t>
      </w:r>
      <w:r>
        <w:t>at</w:t>
      </w:r>
      <w:r w:rsidRPr="00677BEE">
        <w:t xml:space="preserve"> the firm level. </w:t>
      </w:r>
      <w:r w:rsidR="0073444B">
        <w:t>We then merged</w:t>
      </w:r>
      <w:r w:rsidR="0073444B" w:rsidRPr="00677BEE">
        <w:t xml:space="preserve"> </w:t>
      </w:r>
      <w:r>
        <w:t xml:space="preserve">earnings </w:t>
      </w:r>
      <w:r w:rsidRPr="00677BEE">
        <w:t xml:space="preserve">estimate data with cumulative abnormal adjusted returns collected from the EVENTUS program provided by Compustat, as well as firm features from CRSP, I/B/E/S, Compustat, </w:t>
      </w:r>
      <w:r w:rsidRPr="00C77379">
        <w:t>Audit Analytics</w:t>
      </w:r>
      <w:r>
        <w:t xml:space="preserve">, and </w:t>
      </w:r>
      <w:r w:rsidRPr="00FC78F1">
        <w:t>Thomson Reuters Institutional (13F) Holdings</w:t>
      </w:r>
      <w:r w:rsidR="0073444B">
        <w:t>,</w:t>
      </w:r>
      <w:r>
        <w:t xml:space="preserve"> </w:t>
      </w:r>
      <w:r w:rsidRPr="00677BEE">
        <w:t xml:space="preserve">to create the final sample. </w:t>
      </w:r>
      <w:r w:rsidR="006321EA" w:rsidRPr="00677BEE">
        <w:t xml:space="preserve">After excluding observations with missing values, </w:t>
      </w:r>
      <w:r w:rsidR="006321EA">
        <w:t xml:space="preserve">our final sample comprises </w:t>
      </w:r>
      <w:r w:rsidR="005374FD">
        <w:t>4,752</w:t>
      </w:r>
      <w:r w:rsidR="006321EA" w:rsidRPr="00677BEE">
        <w:t xml:space="preserve"> firm-quarters. </w:t>
      </w:r>
    </w:p>
    <w:p w14:paraId="415F1070" w14:textId="77777777" w:rsidR="00685B7B" w:rsidRPr="00BC2531" w:rsidRDefault="00685B7B" w:rsidP="00685B7B">
      <w:pPr>
        <w:spacing w:line="360" w:lineRule="auto"/>
        <w:rPr>
          <w:b/>
          <w:bCs/>
        </w:rPr>
      </w:pPr>
      <w:r w:rsidRPr="00BC2531">
        <w:rPr>
          <w:b/>
          <w:bCs/>
        </w:rPr>
        <w:t>Dependent Variable</w:t>
      </w:r>
    </w:p>
    <w:p w14:paraId="7C8B22A0" w14:textId="5367D64C" w:rsidR="00E9009E" w:rsidRDefault="00685B7B" w:rsidP="003E2B1F">
      <w:pPr>
        <w:spacing w:line="480" w:lineRule="auto"/>
        <w:ind w:firstLine="720"/>
      </w:pPr>
      <w:r w:rsidRPr="0057255A">
        <w:t xml:space="preserve">We used the cumulative abnormal return (CAR) over the </w:t>
      </w:r>
      <w:r w:rsidRPr="00713C58">
        <w:t>three-day</w:t>
      </w:r>
      <w:r w:rsidRPr="0057255A">
        <w:t xml:space="preserve"> (-1, +1) period surrounding the earnings announcement to capture </w:t>
      </w:r>
      <w:r w:rsidRPr="00576A93">
        <w:rPr>
          <w:i/>
          <w:iCs/>
        </w:rPr>
        <w:t>investor reactions</w:t>
      </w:r>
      <w:r w:rsidRPr="0057255A">
        <w:t xml:space="preserve"> to earnings </w:t>
      </w:r>
      <w:r w:rsidR="004754B4" w:rsidRPr="0057255A">
        <w:t>surprises</w:t>
      </w:r>
      <w:r w:rsidRPr="0057255A">
        <w:t xml:space="preserve">. This </w:t>
      </w:r>
      <w:r w:rsidRPr="00713C58">
        <w:t>three-day</w:t>
      </w:r>
      <w:r w:rsidRPr="0057255A">
        <w:t xml:space="preserve"> window has been adopted by previous research and validated as appropriate for capturing effects of information leakage and slow responses (Pfarrer et al., 2010; Zhang &amp; Wiersema, 2009). We calculated the excess returns using the </w:t>
      </w:r>
      <w:r w:rsidR="00B61F87" w:rsidRPr="0057255A">
        <w:t xml:space="preserve">Fama-French </w:t>
      </w:r>
      <w:r w:rsidR="00045D3D" w:rsidRPr="0057255A">
        <w:rPr>
          <w:rFonts w:hint="eastAsia"/>
        </w:rPr>
        <w:t>p</w:t>
      </w:r>
      <w:r w:rsidR="00B61F87" w:rsidRPr="0057255A">
        <w:t xml:space="preserve">lus </w:t>
      </w:r>
      <w:r w:rsidR="00045D3D" w:rsidRPr="0057255A">
        <w:rPr>
          <w:rFonts w:hint="eastAsia"/>
        </w:rPr>
        <w:t>m</w:t>
      </w:r>
      <w:r w:rsidR="00B61F87" w:rsidRPr="0057255A">
        <w:t xml:space="preserve">omentum model </w:t>
      </w:r>
      <w:r w:rsidRPr="0057255A">
        <w:t xml:space="preserve">provided by the EVENTUS program, accessible through Wharton Research Data Services. The estimation window spanned from 255 days to 46 days prior to the event (i.e., the earnings announcement) (Pfarrer et al., 2010; Wade et al., 2006). </w:t>
      </w:r>
      <w:r w:rsidR="003E2B1F" w:rsidRPr="0057255A">
        <w:t>Compare</w:t>
      </w:r>
      <w:r w:rsidR="00546E62" w:rsidRPr="0057255A">
        <w:t>d</w:t>
      </w:r>
      <w:r w:rsidR="003E2B1F" w:rsidRPr="0057255A">
        <w:t xml:space="preserve"> with other risk models such as the market-adjusted model, the </w:t>
      </w:r>
      <w:r w:rsidR="007D7CB8" w:rsidRPr="0057255A">
        <w:t xml:space="preserve">Fama-French </w:t>
      </w:r>
      <w:r w:rsidR="00367B8E" w:rsidRPr="0057255A">
        <w:t>p</w:t>
      </w:r>
      <w:r w:rsidR="007D7CB8" w:rsidRPr="0057255A">
        <w:t xml:space="preserve">lus </w:t>
      </w:r>
      <w:r w:rsidR="00367B8E" w:rsidRPr="0057255A">
        <w:t>m</w:t>
      </w:r>
      <w:r w:rsidR="007D7CB8" w:rsidRPr="0057255A">
        <w:t>omentum model</w:t>
      </w:r>
      <w:r w:rsidR="003E2B1F" w:rsidRPr="0057255A">
        <w:t xml:space="preserve"> explicitly accounts for multiple sources of risk and return, and thus offers a more nuanced measure of abnormal return</w:t>
      </w:r>
      <w:r w:rsidR="00546E62" w:rsidRPr="0057255A">
        <w:t>s</w:t>
      </w:r>
      <w:r w:rsidR="003E2B1F" w:rsidRPr="0057255A">
        <w:t xml:space="preserve">. In EVENTUS, the Fama-French </w:t>
      </w:r>
      <w:r w:rsidR="00367B8E" w:rsidRPr="0057255A">
        <w:t>p</w:t>
      </w:r>
      <w:r w:rsidR="003E2B1F" w:rsidRPr="0057255A">
        <w:t xml:space="preserve">lus </w:t>
      </w:r>
      <w:r w:rsidR="00367B8E" w:rsidRPr="0057255A">
        <w:t>m</w:t>
      </w:r>
      <w:r w:rsidR="003E2B1F" w:rsidRPr="0057255A">
        <w:t xml:space="preserve">omentum model calculates </w:t>
      </w:r>
      <w:r w:rsidR="007D7CB8" w:rsidRPr="0057255A">
        <w:t>abnormal returns relative to the Carhart four-factor framework. This approach builds on the original Fama-French three-factor model</w:t>
      </w:r>
      <w:r w:rsidR="003E2B1F" w:rsidRPr="0057255A">
        <w:t xml:space="preserve"> </w:t>
      </w:r>
      <w:r w:rsidR="00D32B3B" w:rsidRPr="0057255A">
        <w:t xml:space="preserve">that </w:t>
      </w:r>
      <w:r w:rsidR="007D7CB8" w:rsidRPr="0057255A">
        <w:t>includes market risk, size, and value as sources of risk that</w:t>
      </w:r>
      <w:r w:rsidR="007D7CB8" w:rsidRPr="007D7CB8">
        <w:t xml:space="preserve"> determine expected returns</w:t>
      </w:r>
      <w:r w:rsidR="003E2B1F">
        <w:t xml:space="preserve"> (Fama &amp; French, 1993), </w:t>
      </w:r>
      <w:r w:rsidR="007D7CB8" w:rsidRPr="007D7CB8">
        <w:t xml:space="preserve">by adding a momentum factor (Carhart, 1997). Specifically, the momentum factor is derived by subtracting the equal-weighted average </w:t>
      </w:r>
      <w:r w:rsidR="007D7CB8" w:rsidRPr="007D7CB8">
        <w:lastRenderedPageBreak/>
        <w:t>return of the highest-performing firms from that of the lowest-performing firms, lagged by one month. Incorporating this factor captures the tendency of a stock to continue moving in the same direction as its previous performance.</w:t>
      </w:r>
      <w:r w:rsidRPr="008A452C">
        <w:t xml:space="preserve"> </w:t>
      </w:r>
      <w:r w:rsidR="003E2B1F">
        <w:t xml:space="preserve">The abnormal return is then aggregated </w:t>
      </w:r>
      <w:r w:rsidR="003D695A">
        <w:t>over the event window</w:t>
      </w:r>
      <w:r w:rsidR="00C335E1">
        <w:t xml:space="preserve"> to arrive at CAR</w:t>
      </w:r>
      <w:r w:rsidRPr="008A452C">
        <w:t>.</w:t>
      </w:r>
    </w:p>
    <w:p w14:paraId="4F1F22CC" w14:textId="77777777" w:rsidR="00685B7B" w:rsidRDefault="00685B7B" w:rsidP="00A6216C">
      <w:pPr>
        <w:spacing w:line="360" w:lineRule="auto"/>
        <w:rPr>
          <w:b/>
          <w:bCs/>
        </w:rPr>
      </w:pPr>
      <w:r w:rsidRPr="00BC2531">
        <w:rPr>
          <w:b/>
          <w:bCs/>
        </w:rPr>
        <w:t>Independent Variables</w:t>
      </w:r>
    </w:p>
    <w:p w14:paraId="7886D707" w14:textId="1840A553" w:rsidR="00685B7B" w:rsidRPr="003E2B1F" w:rsidRDefault="005F1CBD" w:rsidP="00A6216C">
      <w:pPr>
        <w:spacing w:line="480" w:lineRule="auto"/>
        <w:ind w:firstLine="720"/>
      </w:pPr>
      <w:r>
        <w:rPr>
          <w:rFonts w:hint="eastAsia"/>
        </w:rPr>
        <w:t xml:space="preserve">Following our theorizing, our independent </w:t>
      </w:r>
      <w:r>
        <w:t>variables</w:t>
      </w:r>
      <w:r>
        <w:rPr>
          <w:rFonts w:hint="eastAsia"/>
        </w:rPr>
        <w:t xml:space="preserve"> are violations of </w:t>
      </w:r>
      <w:r w:rsidR="004118A8">
        <w:t>the various</w:t>
      </w:r>
      <w:r w:rsidR="004118A8">
        <w:rPr>
          <w:rFonts w:hint="eastAsia"/>
        </w:rPr>
        <w:t xml:space="preserve"> </w:t>
      </w:r>
      <w:r>
        <w:rPr>
          <w:rFonts w:hint="eastAsia"/>
        </w:rPr>
        <w:t xml:space="preserve">expectations measured using earnings surprises. </w:t>
      </w:r>
      <w:r w:rsidR="00685B7B">
        <w:t>In line with prior research, we calculate</w:t>
      </w:r>
      <w:r w:rsidR="00E474E5">
        <w:rPr>
          <w:rFonts w:hint="eastAsia"/>
        </w:rPr>
        <w:t>d</w:t>
      </w:r>
      <w:r w:rsidR="00685B7B">
        <w:t xml:space="preserve"> earnings surprises as the percentage difference between a firm</w:t>
      </w:r>
      <w:r w:rsidR="00D5294C">
        <w:t>’</w:t>
      </w:r>
      <w:r w:rsidR="00685B7B">
        <w:t>s actual quarterly earnings and the mean analyst estimates for that quarter</w:t>
      </w:r>
      <w:r w:rsidR="00685B7B" w:rsidRPr="001B59B3">
        <w:rPr>
          <w:rFonts w:eastAsia="TimesNewRomanPSMT"/>
          <w:color w:val="000000"/>
        </w:rPr>
        <w:t xml:space="preserve"> (Kinney et al., 2002; Matsunaga &amp; Park, 2001</w:t>
      </w:r>
      <w:r w:rsidR="00685B7B">
        <w:rPr>
          <w:rFonts w:eastAsia="TimesNewRomanPSMT"/>
          <w:color w:val="000000"/>
        </w:rPr>
        <w:t>;</w:t>
      </w:r>
      <w:r w:rsidR="00685B7B" w:rsidRPr="00791034">
        <w:rPr>
          <w:rFonts w:eastAsia="TimesNewRomanPSMT"/>
          <w:color w:val="000000"/>
        </w:rPr>
        <w:t xml:space="preserve"> </w:t>
      </w:r>
      <w:r w:rsidR="00685B7B" w:rsidRPr="001B59B3">
        <w:rPr>
          <w:rFonts w:eastAsia="TimesNewRomanPSMT"/>
          <w:color w:val="000000"/>
        </w:rPr>
        <w:t>Pfarrer et al., 2010)</w:t>
      </w:r>
      <w:r w:rsidR="00685B7B">
        <w:t xml:space="preserve">, subject to the constraints and adjustments </w:t>
      </w:r>
      <w:r w:rsidR="003B547A">
        <w:t xml:space="preserve">previously </w:t>
      </w:r>
      <w:r w:rsidR="00685B7B">
        <w:t>mentioned about how we collected the sample</w:t>
      </w:r>
      <w:r w:rsidR="00685B7B" w:rsidRPr="008A452C">
        <w:t xml:space="preserve">. </w:t>
      </w:r>
      <w:r w:rsidR="00685B7B" w:rsidRPr="00171151">
        <w:t>We rounded actual earnings and average forecast</w:t>
      </w:r>
      <w:r w:rsidR="00685B7B">
        <w:t>s</w:t>
      </w:r>
      <w:r w:rsidR="00685B7B" w:rsidRPr="00171151">
        <w:t xml:space="preserve"> to </w:t>
      </w:r>
      <w:r w:rsidR="00685B7B">
        <w:t>two</w:t>
      </w:r>
      <w:r w:rsidR="00685B7B" w:rsidRPr="00171151">
        <w:t xml:space="preserve"> decimal places to recognize difference above 1 cent</w:t>
      </w:r>
      <w:r w:rsidR="00685B7B">
        <w:rPr>
          <w:rFonts w:hint="eastAsia"/>
        </w:rPr>
        <w:t xml:space="preserve"> only</w:t>
      </w:r>
      <w:r w:rsidR="00685B7B">
        <w:t xml:space="preserve">. </w:t>
      </w:r>
      <w:r w:rsidR="00685B7B" w:rsidRPr="000A78CB">
        <w:t>The earnings surprises were then computed using the formula below,</w:t>
      </w:r>
      <w:r w:rsidR="00685B7B">
        <w:t xml:space="preserve"> where</w:t>
      </w:r>
      <w:r w:rsidR="00685B7B" w:rsidRPr="00BC2531">
        <w:rPr>
          <w:i/>
          <w:iCs/>
        </w:rPr>
        <w:t xml:space="preserve"> i</w:t>
      </w:r>
      <w:r w:rsidR="00685B7B" w:rsidRPr="00BC2531">
        <w:t xml:space="preserve"> denotes the specific firm and</w:t>
      </w:r>
      <w:r w:rsidR="00685B7B" w:rsidRPr="00BC2531">
        <w:rPr>
          <w:i/>
          <w:iCs/>
        </w:rPr>
        <w:t xml:space="preserve"> t</w:t>
      </w:r>
      <w:r w:rsidR="00685B7B" w:rsidRPr="00BC2531">
        <w:t xml:space="preserve"> denotes the financial quarter: </w:t>
      </w:r>
    </w:p>
    <w:p w14:paraId="2DB2AB1C" w14:textId="6C7CF845" w:rsidR="00B82BCB" w:rsidRDefault="00B82BCB" w:rsidP="00D32B3B">
      <w:pPr>
        <w:spacing w:line="480" w:lineRule="auto"/>
        <w:ind w:firstLine="720"/>
        <w:jc w:val="center"/>
        <w:rPr>
          <w:b/>
          <w:bCs/>
          <w:i/>
          <w:iCs/>
        </w:rPr>
      </w:pPr>
      <w:r>
        <w:t>Earnings surprises</w:t>
      </w:r>
      <w:r w:rsidRPr="00BC2531">
        <w:rPr>
          <w:vertAlign w:val="subscript"/>
        </w:rPr>
        <w:t xml:space="preserve">it </w:t>
      </w:r>
      <w:r w:rsidRPr="00BC2531">
        <w:t>=</w:t>
      </w:r>
      <w:r>
        <w:t xml:space="preserve"> (Actual earnings</w:t>
      </w:r>
      <w:r w:rsidRPr="00BC2531">
        <w:rPr>
          <w:vertAlign w:val="subscript"/>
        </w:rPr>
        <w:t>it</w:t>
      </w:r>
      <w:r>
        <w:t xml:space="preserve"> – Average earnings estimates</w:t>
      </w:r>
      <w:r w:rsidRPr="00BC2531">
        <w:rPr>
          <w:vertAlign w:val="subscript"/>
        </w:rPr>
        <w:t>it</w:t>
      </w:r>
      <w:r>
        <w:t>)/Average earnings estimates</w:t>
      </w:r>
      <w:r w:rsidRPr="00BC2531">
        <w:rPr>
          <w:vertAlign w:val="subscript"/>
        </w:rPr>
        <w:t>it</w:t>
      </w:r>
    </w:p>
    <w:p w14:paraId="30E1F8B5" w14:textId="12898259" w:rsidR="00290983" w:rsidRDefault="00290983" w:rsidP="00FC4E0A">
      <w:pPr>
        <w:spacing w:line="480" w:lineRule="auto"/>
        <w:ind w:firstLine="720"/>
      </w:pPr>
      <w:r w:rsidRPr="00C0389E">
        <w:rPr>
          <w:b/>
          <w:bCs/>
          <w:i/>
          <w:iCs/>
        </w:rPr>
        <w:t>Pr</w:t>
      </w:r>
      <w:r w:rsidR="005E4ACB" w:rsidRPr="00C0389E">
        <w:rPr>
          <w:b/>
          <w:bCs/>
          <w:i/>
          <w:iCs/>
        </w:rPr>
        <w:t>edictive</w:t>
      </w:r>
      <w:r w:rsidRPr="00C0389E">
        <w:rPr>
          <w:b/>
          <w:bCs/>
          <w:i/>
          <w:iCs/>
        </w:rPr>
        <w:t xml:space="preserve"> expecta</w:t>
      </w:r>
      <w:r w:rsidR="00B96EC6" w:rsidRPr="00C0389E">
        <w:rPr>
          <w:b/>
          <w:bCs/>
          <w:i/>
          <w:iCs/>
        </w:rPr>
        <w:t>ncy</w:t>
      </w:r>
      <w:r w:rsidRPr="00C0389E">
        <w:rPr>
          <w:b/>
          <w:bCs/>
          <w:i/>
          <w:iCs/>
        </w:rPr>
        <w:t xml:space="preserve"> violation</w:t>
      </w:r>
      <w:r w:rsidRPr="00C0389E">
        <w:rPr>
          <w:b/>
          <w:bCs/>
        </w:rPr>
        <w:t>.</w:t>
      </w:r>
      <w:r>
        <w:t xml:space="preserve"> Earnings surprises vary in magnitudes</w:t>
      </w:r>
      <w:r w:rsidR="005E4ACB">
        <w:t xml:space="preserve">. </w:t>
      </w:r>
      <w:r w:rsidR="005E4ACB" w:rsidRPr="005E4ACB">
        <w:t xml:space="preserve">While minor deviations from consensus estimates may not </w:t>
      </w:r>
      <w:r w:rsidR="005E4ACB">
        <w:t>be considered</w:t>
      </w:r>
      <w:r w:rsidR="005E4ACB" w:rsidRPr="005E4ACB">
        <w:t xml:space="preserve"> as true “surprises” because they nearly align with expectations, material surprises—those that substantially deviate from consensus—tend to have a stronger impact on investors due to their salience and rarity (Barron</w:t>
      </w:r>
      <w:r w:rsidR="00F02F56">
        <w:t xml:space="preserve"> et al.</w:t>
      </w:r>
      <w:r w:rsidR="005E4ACB" w:rsidRPr="005E4ACB">
        <w:t xml:space="preserve">, 2008; Jin, 2006). </w:t>
      </w:r>
      <w:bookmarkStart w:id="18" w:name="OLE_LINK52"/>
      <w:r w:rsidR="005E4ACB" w:rsidRPr="005E4ACB">
        <w:t>Since our interest lies in violations of stakeholders’ expectations, we use</w:t>
      </w:r>
      <w:r w:rsidR="00161F9E">
        <w:rPr>
          <w:rFonts w:hint="eastAsia"/>
        </w:rPr>
        <w:t>d</w:t>
      </w:r>
      <w:r w:rsidR="005E4ACB" w:rsidRPr="005E4ACB">
        <w:rPr>
          <w:rFonts w:hint="eastAsia"/>
        </w:rPr>
        <w:t xml:space="preserve"> </w:t>
      </w:r>
      <w:r w:rsidR="005E4ACB" w:rsidRPr="005E4ACB">
        <w:t>these material earnings surprises as our measure of predictive expecta</w:t>
      </w:r>
      <w:r w:rsidR="00B96EC6">
        <w:t>ncy</w:t>
      </w:r>
      <w:r w:rsidR="005E4ACB" w:rsidRPr="005E4ACB">
        <w:t xml:space="preserve"> violations.</w:t>
      </w:r>
      <w:r w:rsidR="005E4ACB">
        <w:t xml:space="preserve"> </w:t>
      </w:r>
      <w:r w:rsidR="00FC4E0A" w:rsidRPr="00FC4E0A">
        <w:t xml:space="preserve">Building on prior research showing that investors tend to respond more strongly to positive than to negative surprises </w:t>
      </w:r>
      <w:r w:rsidR="00FC4E0A">
        <w:t>(</w:t>
      </w:r>
      <w:r w:rsidR="00FC4E0A" w:rsidRPr="001C048A">
        <w:t xml:space="preserve">e.g., </w:t>
      </w:r>
      <w:bookmarkStart w:id="19" w:name="OLE_LINK53"/>
      <w:r w:rsidR="00FC4E0A" w:rsidRPr="001C048A">
        <w:t>Easterwood &amp; Nutt, 1999</w:t>
      </w:r>
      <w:bookmarkEnd w:id="19"/>
      <w:r w:rsidR="00FC4E0A" w:rsidRPr="001C048A">
        <w:t>; Pinello, 2008</w:t>
      </w:r>
      <w:r w:rsidR="00FC4E0A">
        <w:t>)</w:t>
      </w:r>
      <w:r w:rsidRPr="00284664">
        <w:t>, we</w:t>
      </w:r>
      <w:r>
        <w:t xml:space="preserve"> differentiate</w:t>
      </w:r>
      <w:r>
        <w:rPr>
          <w:rFonts w:hint="eastAsia"/>
        </w:rPr>
        <w:t>d</w:t>
      </w:r>
      <w:r>
        <w:t xml:space="preserve"> material positive surprises from material negative surprises by constructing two separate variables.</w:t>
      </w:r>
      <w:r w:rsidR="00FC4E0A">
        <w:t xml:space="preserve"> </w:t>
      </w:r>
      <w:bookmarkEnd w:id="18"/>
      <w:r>
        <w:rPr>
          <w:rFonts w:hint="eastAsia"/>
        </w:rPr>
        <w:t xml:space="preserve">Consistent </w:t>
      </w:r>
      <w:r>
        <w:rPr>
          <w:rFonts w:hint="eastAsia"/>
        </w:rPr>
        <w:lastRenderedPageBreak/>
        <w:t>with</w:t>
      </w:r>
      <w:r w:rsidRPr="00284664">
        <w:t xml:space="preserve"> prior research, we </w:t>
      </w:r>
      <w:r>
        <w:rPr>
          <w:rFonts w:hint="eastAsia"/>
        </w:rPr>
        <w:t xml:space="preserve">defined </w:t>
      </w:r>
      <w:r w:rsidRPr="00284664">
        <w:t xml:space="preserve">material surprises as the top quartiles of positive and negative surprises within a given industry-year-quarter (e.g., Jin, 2006; Pfarrer et al., 2010). </w:t>
      </w:r>
      <w:r w:rsidR="00006C01">
        <w:t>In line with</w:t>
      </w:r>
      <w:r w:rsidR="00006C01">
        <w:rPr>
          <w:rFonts w:eastAsiaTheme="minorEastAsia"/>
        </w:rPr>
        <w:t xml:space="preserve"> </w:t>
      </w:r>
      <w:r w:rsidR="007E5ABC">
        <w:rPr>
          <w:rFonts w:eastAsiaTheme="minorEastAsia"/>
        </w:rPr>
        <w:t xml:space="preserve">the </w:t>
      </w:r>
      <w:r w:rsidR="00006C01">
        <w:rPr>
          <w:rFonts w:eastAsiaTheme="minorEastAsia"/>
        </w:rPr>
        <w:t>commonly adopted approach of specifying industries in management research, w</w:t>
      </w:r>
      <w:r w:rsidR="00006C01" w:rsidRPr="00186570">
        <w:rPr>
          <w:rFonts w:eastAsiaTheme="minorEastAsia"/>
        </w:rPr>
        <w:t xml:space="preserve">e </w:t>
      </w:r>
      <w:r w:rsidR="00006C01">
        <w:rPr>
          <w:rFonts w:eastAsiaTheme="minorEastAsia"/>
        </w:rPr>
        <w:t>categorize</w:t>
      </w:r>
      <w:r w:rsidR="00006C01">
        <w:rPr>
          <w:rFonts w:eastAsiaTheme="minorEastAsia" w:hint="eastAsia"/>
        </w:rPr>
        <w:t>d</w:t>
      </w:r>
      <w:r w:rsidR="00006C01" w:rsidRPr="00186570">
        <w:rPr>
          <w:rFonts w:eastAsiaTheme="minorEastAsia"/>
        </w:rPr>
        <w:t xml:space="preserve"> </w:t>
      </w:r>
      <w:r w:rsidR="007E5ABC">
        <w:rPr>
          <w:rFonts w:eastAsiaTheme="minorEastAsia"/>
        </w:rPr>
        <w:t xml:space="preserve">the </w:t>
      </w:r>
      <w:r w:rsidR="00006C01" w:rsidRPr="00186570">
        <w:rPr>
          <w:rFonts w:eastAsiaTheme="minorEastAsia"/>
        </w:rPr>
        <w:t xml:space="preserve">industry using the first two digits of the SIC codes </w:t>
      </w:r>
      <w:r w:rsidR="00006C01">
        <w:rPr>
          <w:rFonts w:eastAsiaTheme="minorEastAsia"/>
        </w:rPr>
        <w:t>collected</w:t>
      </w:r>
      <w:r w:rsidR="00006C01" w:rsidRPr="00186570">
        <w:rPr>
          <w:rFonts w:eastAsiaTheme="minorEastAsia"/>
        </w:rPr>
        <w:t xml:space="preserve"> from Compustat</w:t>
      </w:r>
      <w:r w:rsidR="00006C01">
        <w:rPr>
          <w:rFonts w:eastAsiaTheme="minorEastAsia" w:hint="eastAsia"/>
        </w:rPr>
        <w:t xml:space="preserve"> (</w:t>
      </w:r>
      <w:r w:rsidR="00006C01">
        <w:rPr>
          <w:rFonts w:hint="eastAsia"/>
        </w:rPr>
        <w:t>Mishina et al., 2010</w:t>
      </w:r>
      <w:r w:rsidR="00006C01">
        <w:t xml:space="preserve">; </w:t>
      </w:r>
      <w:r w:rsidR="00006C01" w:rsidRPr="008A452C">
        <w:t>Wade et al., 2006</w:t>
      </w:r>
      <w:r w:rsidR="00DC5667">
        <w:rPr>
          <w:rFonts w:hint="eastAsia"/>
        </w:rPr>
        <w:t>; Wei &amp; Zhang, 2023</w:t>
      </w:r>
      <w:r w:rsidR="00006C01">
        <w:rPr>
          <w:rFonts w:eastAsiaTheme="minorEastAsia" w:hint="eastAsia"/>
        </w:rPr>
        <w:t>)</w:t>
      </w:r>
      <w:r w:rsidR="00006C01" w:rsidRPr="00186570">
        <w:rPr>
          <w:rFonts w:eastAsiaTheme="minorEastAsia"/>
        </w:rPr>
        <w:t>.</w:t>
      </w:r>
      <w:r w:rsidR="00006C01">
        <w:rPr>
          <w:rFonts w:eastAsiaTheme="minorEastAsia"/>
        </w:rPr>
        <w:t xml:space="preserve"> </w:t>
      </w:r>
      <w:r w:rsidR="005E4ACB">
        <w:t>W</w:t>
      </w:r>
      <w:r w:rsidRPr="00284664">
        <w:t xml:space="preserve">e employed spline specifications: the </w:t>
      </w:r>
      <w:r w:rsidRPr="00BB4D7B">
        <w:rPr>
          <w:i/>
          <w:iCs/>
        </w:rPr>
        <w:t>material positive (negative) surprise</w:t>
      </w:r>
      <w:r w:rsidRPr="00284664">
        <w:t xml:space="preserve"> variable equals the magnitude of the surprise when a firm experiences a material positive (negative) surprise, and </w:t>
      </w:r>
      <w:r w:rsidRPr="00713C58">
        <w:t>zero</w:t>
      </w:r>
      <w:r w:rsidRPr="00284664">
        <w:t xml:space="preserve"> otherwise</w:t>
      </w:r>
      <w:r>
        <w:t xml:space="preserve">. Hence non-material surprises were treated as meeting predictive expectations and </w:t>
      </w:r>
      <w:r w:rsidRPr="00713C58">
        <w:t xml:space="preserve">thus set to </w:t>
      </w:r>
      <w:r w:rsidR="005A3119" w:rsidRPr="00713C58">
        <w:t>0</w:t>
      </w:r>
      <w:r>
        <w:t>.</w:t>
      </w:r>
    </w:p>
    <w:p w14:paraId="560C3710" w14:textId="62187359" w:rsidR="00006C01" w:rsidRPr="00006C01" w:rsidRDefault="00A434A4" w:rsidP="00D75B7C">
      <w:pPr>
        <w:spacing w:line="480" w:lineRule="auto"/>
        <w:ind w:firstLine="720"/>
        <w:rPr>
          <w:rFonts w:eastAsiaTheme="minorEastAsia"/>
        </w:rPr>
      </w:pPr>
      <w:r w:rsidRPr="00CE3647">
        <w:rPr>
          <w:b/>
          <w:bCs/>
          <w:i/>
          <w:iCs/>
        </w:rPr>
        <w:t>P</w:t>
      </w:r>
      <w:r w:rsidR="00B07FA8" w:rsidRPr="00CE3647">
        <w:rPr>
          <w:b/>
          <w:bCs/>
          <w:i/>
          <w:iCs/>
        </w:rPr>
        <w:t>rescriptive expecta</w:t>
      </w:r>
      <w:r w:rsidR="00B96EC6" w:rsidRPr="00CE3647">
        <w:rPr>
          <w:b/>
          <w:bCs/>
          <w:i/>
          <w:iCs/>
        </w:rPr>
        <w:t>ncy</w:t>
      </w:r>
      <w:r w:rsidR="00B07FA8" w:rsidRPr="00CE3647">
        <w:rPr>
          <w:b/>
          <w:bCs/>
          <w:i/>
          <w:iCs/>
        </w:rPr>
        <w:t xml:space="preserve"> </w:t>
      </w:r>
      <w:r w:rsidRPr="00CE3647">
        <w:rPr>
          <w:b/>
          <w:bCs/>
          <w:i/>
          <w:iCs/>
        </w:rPr>
        <w:t xml:space="preserve">violation </w:t>
      </w:r>
      <w:r w:rsidR="00B07FA8" w:rsidRPr="00CE3647">
        <w:rPr>
          <w:b/>
          <w:bCs/>
          <w:i/>
          <w:iCs/>
        </w:rPr>
        <w:t>(</w:t>
      </w:r>
      <w:r w:rsidR="00290983" w:rsidRPr="00CE3647">
        <w:rPr>
          <w:b/>
          <w:bCs/>
          <w:i/>
          <w:iCs/>
        </w:rPr>
        <w:t>past performance</w:t>
      </w:r>
      <w:r w:rsidR="00B07FA8" w:rsidRPr="00CE3647">
        <w:rPr>
          <w:b/>
          <w:bCs/>
          <w:i/>
          <w:iCs/>
        </w:rPr>
        <w:t>).</w:t>
      </w:r>
      <w:r w:rsidR="00B07FA8">
        <w:rPr>
          <w:rFonts w:hint="eastAsia"/>
          <w:b/>
          <w:bCs/>
          <w:i/>
          <w:iCs/>
        </w:rPr>
        <w:t xml:space="preserve"> </w:t>
      </w:r>
      <w:r w:rsidR="009A315B" w:rsidRPr="00B07FA8">
        <w:rPr>
          <w:rFonts w:hint="eastAsia"/>
        </w:rPr>
        <w:t xml:space="preserve">In </w:t>
      </w:r>
      <w:r w:rsidR="003A77AA">
        <w:rPr>
          <w:rFonts w:hint="eastAsia"/>
        </w:rPr>
        <w:t>Hypothesis 1</w:t>
      </w:r>
      <w:r w:rsidR="009A315B" w:rsidRPr="00B07FA8">
        <w:rPr>
          <w:rFonts w:hint="eastAsia"/>
        </w:rPr>
        <w:t>, we argued that</w:t>
      </w:r>
      <w:r w:rsidR="009A315B">
        <w:rPr>
          <w:rFonts w:hint="eastAsia"/>
          <w:b/>
          <w:bCs/>
        </w:rPr>
        <w:t xml:space="preserve"> </w:t>
      </w:r>
      <w:r w:rsidR="009A315B">
        <w:rPr>
          <w:rFonts w:hint="eastAsia"/>
        </w:rPr>
        <w:t>prescriptive</w:t>
      </w:r>
      <w:r w:rsidR="009A315B" w:rsidRPr="009A315B">
        <w:rPr>
          <w:rFonts w:hint="eastAsia"/>
        </w:rPr>
        <w:t xml:space="preserve"> expectations can </w:t>
      </w:r>
      <w:r w:rsidR="009A315B">
        <w:rPr>
          <w:rFonts w:hint="eastAsia"/>
        </w:rPr>
        <w:t>stem from</w:t>
      </w:r>
      <w:r w:rsidR="009A315B">
        <w:rPr>
          <w:rFonts w:eastAsiaTheme="minorEastAsia" w:hint="eastAsia"/>
        </w:rPr>
        <w:t xml:space="preserve"> </w:t>
      </w:r>
      <w:r w:rsidR="002B4E61">
        <w:rPr>
          <w:rFonts w:eastAsiaTheme="minorEastAsia"/>
        </w:rPr>
        <w:t xml:space="preserve">a </w:t>
      </w:r>
      <w:r w:rsidR="00290983">
        <w:rPr>
          <w:rFonts w:eastAsiaTheme="minorEastAsia"/>
        </w:rPr>
        <w:t>firm’s past performance</w:t>
      </w:r>
      <w:r w:rsidR="009A315B">
        <w:rPr>
          <w:rFonts w:eastAsiaTheme="minorEastAsia" w:hint="eastAsia"/>
        </w:rPr>
        <w:t xml:space="preserve">. </w:t>
      </w:r>
      <w:r w:rsidR="00D75B7C">
        <w:rPr>
          <w:rFonts w:eastAsiaTheme="minorEastAsia" w:hint="eastAsia"/>
        </w:rPr>
        <w:t xml:space="preserve">Hence, </w:t>
      </w:r>
      <w:r w:rsidR="00D75B7C" w:rsidRPr="007604A7">
        <w:t xml:space="preserve">for each firm-year-quarter, we </w:t>
      </w:r>
      <w:r w:rsidR="00D75B7C">
        <w:rPr>
          <w:rFonts w:hint="eastAsia"/>
        </w:rPr>
        <w:t>obtained</w:t>
      </w:r>
      <w:r w:rsidR="00D75B7C" w:rsidRPr="007604A7">
        <w:t xml:space="preserve"> the firm</w:t>
      </w:r>
      <w:r w:rsidR="00D75B7C">
        <w:t>’</w:t>
      </w:r>
      <w:r w:rsidR="00D75B7C" w:rsidRPr="007604A7">
        <w:t xml:space="preserve">s earnings surprise from the previous </w:t>
      </w:r>
      <w:r w:rsidR="00D75B7C">
        <w:t>quarter.</w:t>
      </w:r>
      <w:r w:rsidR="00D75B7C">
        <w:rPr>
          <w:rFonts w:hint="eastAsia"/>
        </w:rPr>
        <w:t xml:space="preserve"> </w:t>
      </w:r>
      <w:r w:rsidR="009F39CD">
        <w:rPr>
          <w:rFonts w:hint="eastAsia"/>
        </w:rPr>
        <w:t>Based on our argument that i</w:t>
      </w:r>
      <w:r w:rsidR="009F39CD">
        <w:t>nvestors often rely on heuristics—simple decision rules—for evaluating performance</w:t>
      </w:r>
      <w:r w:rsidR="00597080">
        <w:t>,</w:t>
      </w:r>
      <w:r w:rsidR="007604A7" w:rsidRPr="007604A7">
        <w:t xml:space="preserve"> </w:t>
      </w:r>
      <w:r w:rsidR="00006C01" w:rsidRPr="00006C01">
        <w:t>we coded the prescriptive expecta</w:t>
      </w:r>
      <w:r w:rsidR="00B96EC6">
        <w:t>ncy</w:t>
      </w:r>
      <w:r w:rsidR="00006C01" w:rsidRPr="00006C01">
        <w:t xml:space="preserve"> violation (past performance) measure as 1 if the current quarter</w:t>
      </w:r>
      <w:r w:rsidR="00854FD2">
        <w:t>’</w:t>
      </w:r>
      <w:r w:rsidR="00006C01" w:rsidRPr="00006C01">
        <w:t>s earnings surprise was lower than the previous quarter’s</w:t>
      </w:r>
      <w:r w:rsidR="00387283">
        <w:t xml:space="preserve"> earnings surprise</w:t>
      </w:r>
      <w:r w:rsidR="00006C01" w:rsidRPr="00006C01">
        <w:t xml:space="preserve">, and </w:t>
      </w:r>
      <w:r w:rsidR="00006C01" w:rsidRPr="00713C58">
        <w:t>0</w:t>
      </w:r>
      <w:r w:rsidR="00006C01" w:rsidRPr="00006C01">
        <w:t xml:space="preserve"> otherwise</w:t>
      </w:r>
      <w:r w:rsidR="00006C01" w:rsidRPr="00006C01">
        <w:rPr>
          <w:rFonts w:eastAsiaTheme="minorEastAsia"/>
        </w:rPr>
        <w:t xml:space="preserve">. </w:t>
      </w:r>
      <w:r w:rsidR="00ED3088" w:rsidRPr="00ED3088">
        <w:rPr>
          <w:rFonts w:eastAsiaTheme="minorEastAsia"/>
        </w:rPr>
        <w:t xml:space="preserve">In the robustness checks, we elaborate on the rationale for </w:t>
      </w:r>
      <w:r w:rsidR="00ED3088">
        <w:rPr>
          <w:rFonts w:eastAsiaTheme="minorEastAsia"/>
        </w:rPr>
        <w:t>our measure</w:t>
      </w:r>
      <w:r w:rsidR="00ED3088" w:rsidRPr="00ED3088">
        <w:rPr>
          <w:rFonts w:eastAsiaTheme="minorEastAsia"/>
        </w:rPr>
        <w:t xml:space="preserve"> and present additional analyses using continuous measures</w:t>
      </w:r>
      <w:r w:rsidR="00ED3088">
        <w:rPr>
          <w:rFonts w:eastAsiaTheme="minorEastAsia"/>
        </w:rPr>
        <w:t xml:space="preserve">. </w:t>
      </w:r>
    </w:p>
    <w:p w14:paraId="7FBDD272" w14:textId="0AB66CB5" w:rsidR="00B416BB" w:rsidRDefault="00A434A4" w:rsidP="00B416BB">
      <w:pPr>
        <w:spacing w:line="480" w:lineRule="auto"/>
        <w:ind w:firstLine="720"/>
        <w:rPr>
          <w:rFonts w:eastAsiaTheme="minorEastAsia"/>
        </w:rPr>
      </w:pPr>
      <w:r w:rsidRPr="00CE3647">
        <w:rPr>
          <w:b/>
          <w:bCs/>
          <w:i/>
          <w:iCs/>
        </w:rPr>
        <w:t>P</w:t>
      </w:r>
      <w:r w:rsidR="00B416BB" w:rsidRPr="00CE3647">
        <w:rPr>
          <w:b/>
          <w:bCs/>
          <w:i/>
          <w:iCs/>
        </w:rPr>
        <w:t>rescriptive expecta</w:t>
      </w:r>
      <w:r w:rsidR="00B96EC6" w:rsidRPr="00CE3647">
        <w:rPr>
          <w:b/>
          <w:bCs/>
          <w:i/>
          <w:iCs/>
        </w:rPr>
        <w:t>ncy</w:t>
      </w:r>
      <w:r w:rsidR="00B416BB" w:rsidRPr="00CE3647">
        <w:rPr>
          <w:b/>
          <w:bCs/>
          <w:i/>
          <w:iCs/>
        </w:rPr>
        <w:t xml:space="preserve"> </w:t>
      </w:r>
      <w:r w:rsidRPr="00CE3647">
        <w:rPr>
          <w:b/>
          <w:bCs/>
          <w:i/>
          <w:iCs/>
        </w:rPr>
        <w:t xml:space="preserve">violation </w:t>
      </w:r>
      <w:r w:rsidR="00B416BB" w:rsidRPr="00CE3647">
        <w:rPr>
          <w:b/>
          <w:bCs/>
          <w:i/>
          <w:iCs/>
        </w:rPr>
        <w:t xml:space="preserve">(peer </w:t>
      </w:r>
      <w:r w:rsidR="005718D2" w:rsidRPr="00CE3647">
        <w:rPr>
          <w:b/>
          <w:bCs/>
          <w:i/>
          <w:iCs/>
        </w:rPr>
        <w:t>comparison</w:t>
      </w:r>
      <w:r w:rsidR="00B416BB" w:rsidRPr="00CE3647">
        <w:rPr>
          <w:b/>
          <w:bCs/>
          <w:i/>
          <w:iCs/>
        </w:rPr>
        <w:t>)</w:t>
      </w:r>
      <w:r w:rsidR="00B416BB" w:rsidRPr="00CE3647">
        <w:rPr>
          <w:rFonts w:eastAsiaTheme="minorEastAsia"/>
          <w:b/>
          <w:bCs/>
        </w:rPr>
        <w:t>.</w:t>
      </w:r>
      <w:r w:rsidR="00B416BB" w:rsidRPr="00AF2389">
        <w:rPr>
          <w:rFonts w:eastAsiaTheme="minorEastAsia"/>
        </w:rPr>
        <w:t xml:space="preserve"> </w:t>
      </w:r>
      <w:bookmarkStart w:id="20" w:name="OLE_LINK20"/>
      <w:r w:rsidR="00B416BB" w:rsidRPr="00AF2389">
        <w:rPr>
          <w:rFonts w:eastAsiaTheme="minorEastAsia"/>
        </w:rPr>
        <w:t xml:space="preserve">To test </w:t>
      </w:r>
      <w:r w:rsidR="003A77AA">
        <w:rPr>
          <w:rFonts w:eastAsiaTheme="minorEastAsia" w:hint="eastAsia"/>
        </w:rPr>
        <w:t>Hypothesis 2</w:t>
      </w:r>
      <w:r w:rsidR="00B416BB" w:rsidRPr="00AF2389">
        <w:rPr>
          <w:rFonts w:eastAsiaTheme="minorEastAsia"/>
        </w:rPr>
        <w:t xml:space="preserve">, we </w:t>
      </w:r>
      <w:r>
        <w:rPr>
          <w:rFonts w:eastAsiaTheme="minorEastAsia"/>
        </w:rPr>
        <w:t>measure</w:t>
      </w:r>
      <w:r w:rsidR="00161F9E">
        <w:rPr>
          <w:rFonts w:eastAsiaTheme="minorEastAsia" w:hint="eastAsia"/>
        </w:rPr>
        <w:t>d</w:t>
      </w:r>
      <w:r>
        <w:rPr>
          <w:rFonts w:eastAsiaTheme="minorEastAsia"/>
        </w:rPr>
        <w:t xml:space="preserve"> </w:t>
      </w:r>
      <w:r w:rsidRPr="00A434A4">
        <w:rPr>
          <w:rFonts w:eastAsiaTheme="minorEastAsia"/>
          <w:i/>
          <w:iCs/>
        </w:rPr>
        <w:t>prescriptive expecta</w:t>
      </w:r>
      <w:r w:rsidR="00B96EC6">
        <w:rPr>
          <w:rFonts w:eastAsiaTheme="minorEastAsia"/>
          <w:i/>
          <w:iCs/>
        </w:rPr>
        <w:t>ncy</w:t>
      </w:r>
      <w:r w:rsidRPr="00A434A4">
        <w:rPr>
          <w:rFonts w:eastAsiaTheme="minorEastAsia"/>
          <w:i/>
          <w:iCs/>
        </w:rPr>
        <w:t xml:space="preserve"> violation (peer </w:t>
      </w:r>
      <w:r w:rsidR="005718D2">
        <w:rPr>
          <w:rFonts w:eastAsiaTheme="minorEastAsia"/>
          <w:i/>
          <w:iCs/>
        </w:rPr>
        <w:t>comparison</w:t>
      </w:r>
      <w:r w:rsidRPr="00A434A4">
        <w:rPr>
          <w:rFonts w:eastAsiaTheme="minorEastAsia"/>
          <w:i/>
          <w:iCs/>
        </w:rPr>
        <w:t>)</w:t>
      </w:r>
      <w:r w:rsidR="00B416BB" w:rsidRPr="00AF2389">
        <w:rPr>
          <w:rFonts w:eastAsiaTheme="minorEastAsia"/>
        </w:rPr>
        <w:t xml:space="preserve"> </w:t>
      </w:r>
      <w:r>
        <w:rPr>
          <w:rFonts w:eastAsiaTheme="minorEastAsia"/>
        </w:rPr>
        <w:t xml:space="preserve">using an </w:t>
      </w:r>
      <w:r w:rsidR="00B416BB" w:rsidRPr="00AF2389">
        <w:rPr>
          <w:rFonts w:eastAsiaTheme="minorEastAsia"/>
        </w:rPr>
        <w:t xml:space="preserve">indicator variable that equals 1 </w:t>
      </w:r>
      <w:r w:rsidR="00B416BB" w:rsidRPr="00186570">
        <w:rPr>
          <w:rFonts w:eastAsiaTheme="minorEastAsia"/>
        </w:rPr>
        <w:t xml:space="preserve">when a firm’s </w:t>
      </w:r>
      <w:r w:rsidR="00B416BB">
        <w:rPr>
          <w:rFonts w:eastAsiaTheme="minorEastAsia"/>
        </w:rPr>
        <w:t>earnings surprise</w:t>
      </w:r>
      <w:r w:rsidR="00B416BB" w:rsidRPr="00186570">
        <w:rPr>
          <w:rFonts w:eastAsiaTheme="minorEastAsia"/>
        </w:rPr>
        <w:t xml:space="preserve"> fall</w:t>
      </w:r>
      <w:r w:rsidR="005718D2">
        <w:rPr>
          <w:rFonts w:eastAsiaTheme="minorEastAsia"/>
        </w:rPr>
        <w:t>s</w:t>
      </w:r>
      <w:r w:rsidR="00B416BB" w:rsidRPr="00186570">
        <w:rPr>
          <w:rFonts w:eastAsiaTheme="minorEastAsia"/>
        </w:rPr>
        <w:t xml:space="preserve"> below the </w:t>
      </w:r>
      <w:r w:rsidR="00B416BB">
        <w:rPr>
          <w:rFonts w:eastAsiaTheme="minorEastAsia"/>
        </w:rPr>
        <w:t xml:space="preserve">current </w:t>
      </w:r>
      <w:r w:rsidR="00B416BB" w:rsidRPr="00186570">
        <w:rPr>
          <w:rFonts w:eastAsiaTheme="minorEastAsia"/>
        </w:rPr>
        <w:t>industry average</w:t>
      </w:r>
      <w:r w:rsidR="00852DB6">
        <w:rPr>
          <w:rFonts w:eastAsiaTheme="minorEastAsia"/>
        </w:rPr>
        <w:t xml:space="preserve"> earnings surprise</w:t>
      </w:r>
      <w:r w:rsidR="00B416BB" w:rsidRPr="00186570">
        <w:rPr>
          <w:rFonts w:eastAsiaTheme="minorEastAsia"/>
        </w:rPr>
        <w:t xml:space="preserve">, excluding the focal firm. </w:t>
      </w:r>
      <w:r w:rsidR="00B416BB">
        <w:rPr>
          <w:rFonts w:eastAsiaTheme="minorEastAsia"/>
        </w:rPr>
        <w:t xml:space="preserve">This variable captures </w:t>
      </w:r>
      <w:r w:rsidR="00B416BB" w:rsidRPr="007225CA">
        <w:rPr>
          <w:rFonts w:eastAsiaTheme="minorEastAsia"/>
        </w:rPr>
        <w:t>the firm</w:t>
      </w:r>
      <w:r w:rsidR="00700584">
        <w:t>’</w:t>
      </w:r>
      <w:r w:rsidR="00B416BB" w:rsidRPr="007225CA">
        <w:rPr>
          <w:rFonts w:eastAsiaTheme="minorEastAsia"/>
        </w:rPr>
        <w:t xml:space="preserve">s performance relative to </w:t>
      </w:r>
      <w:r w:rsidR="00B416BB">
        <w:rPr>
          <w:rFonts w:eastAsiaTheme="minorEastAsia"/>
        </w:rPr>
        <w:t xml:space="preserve">a </w:t>
      </w:r>
      <w:r w:rsidR="00B416BB" w:rsidRPr="007225CA">
        <w:rPr>
          <w:rFonts w:eastAsiaTheme="minorEastAsia"/>
        </w:rPr>
        <w:t>prescriptive expectation</w:t>
      </w:r>
      <w:r w:rsidR="00B416BB">
        <w:rPr>
          <w:rFonts w:eastAsiaTheme="minorEastAsia"/>
        </w:rPr>
        <w:t xml:space="preserve"> of industry peer </w:t>
      </w:r>
      <w:r w:rsidR="005718D2">
        <w:rPr>
          <w:rFonts w:eastAsiaTheme="minorEastAsia"/>
        </w:rPr>
        <w:t>comparison</w:t>
      </w:r>
      <w:r w:rsidR="009F39CD">
        <w:rPr>
          <w:rFonts w:eastAsiaTheme="minorEastAsia" w:hint="eastAsia"/>
        </w:rPr>
        <w:t xml:space="preserve"> and reflect investors</w:t>
      </w:r>
      <w:r w:rsidR="009F39CD">
        <w:rPr>
          <w:rFonts w:eastAsiaTheme="minorEastAsia"/>
        </w:rPr>
        <w:t>’</w:t>
      </w:r>
      <w:r w:rsidR="009F39CD">
        <w:rPr>
          <w:rFonts w:eastAsiaTheme="minorEastAsia" w:hint="eastAsia"/>
        </w:rPr>
        <w:t xml:space="preserve"> reliance on heuristics in their judgments</w:t>
      </w:r>
      <w:r w:rsidR="00B416BB">
        <w:rPr>
          <w:rFonts w:eastAsiaTheme="minorEastAsia"/>
        </w:rPr>
        <w:t xml:space="preserve">. </w:t>
      </w:r>
      <w:bookmarkEnd w:id="20"/>
      <w:r w:rsidR="00ED3088">
        <w:rPr>
          <w:rFonts w:eastAsiaTheme="minorEastAsia"/>
        </w:rPr>
        <w:t>As with the prescriptive expecta</w:t>
      </w:r>
      <w:r w:rsidR="00B96EC6">
        <w:rPr>
          <w:rFonts w:eastAsiaTheme="minorEastAsia"/>
        </w:rPr>
        <w:t>ncy</w:t>
      </w:r>
      <w:r w:rsidR="00ED3088">
        <w:rPr>
          <w:rFonts w:eastAsiaTheme="minorEastAsia"/>
        </w:rPr>
        <w:t xml:space="preserve"> violation (past performance) measure, </w:t>
      </w:r>
      <w:r w:rsidR="00ED3088" w:rsidRPr="00ED3088">
        <w:rPr>
          <w:rFonts w:eastAsiaTheme="minorEastAsia"/>
        </w:rPr>
        <w:t>we present results using a continuous specification in the robustness checks.</w:t>
      </w:r>
    </w:p>
    <w:p w14:paraId="094F81DB" w14:textId="50D16F29" w:rsidR="002C5338" w:rsidRDefault="00AF7F01" w:rsidP="002C5338">
      <w:pPr>
        <w:spacing w:line="480" w:lineRule="auto"/>
        <w:ind w:firstLine="720"/>
      </w:pPr>
      <w:bookmarkStart w:id="21" w:name="OLE_LINK24"/>
      <w:r w:rsidRPr="00CE3647">
        <w:rPr>
          <w:b/>
          <w:bCs/>
          <w:i/>
          <w:iCs/>
        </w:rPr>
        <w:lastRenderedPageBreak/>
        <w:t>Prospective expecta</w:t>
      </w:r>
      <w:r w:rsidR="00B96EC6" w:rsidRPr="00CE3647">
        <w:rPr>
          <w:b/>
          <w:bCs/>
          <w:i/>
          <w:iCs/>
        </w:rPr>
        <w:t>ncy</w:t>
      </w:r>
      <w:r w:rsidRPr="00CE3647">
        <w:rPr>
          <w:b/>
          <w:bCs/>
          <w:i/>
          <w:iCs/>
        </w:rPr>
        <w:t xml:space="preserve"> violation</w:t>
      </w:r>
      <w:r w:rsidR="00546E62" w:rsidRPr="00CE3647">
        <w:rPr>
          <w:b/>
          <w:bCs/>
          <w:i/>
          <w:iCs/>
        </w:rPr>
        <w:t>s</w:t>
      </w:r>
      <w:r w:rsidRPr="00CE3647">
        <w:rPr>
          <w:b/>
          <w:bCs/>
          <w:i/>
          <w:iCs/>
        </w:rPr>
        <w:t>.</w:t>
      </w:r>
      <w:bookmarkEnd w:id="21"/>
      <w:r w:rsidRPr="00700584">
        <w:rPr>
          <w:b/>
          <w:bCs/>
          <w:i/>
          <w:iCs/>
        </w:rPr>
        <w:t xml:space="preserve"> </w:t>
      </w:r>
      <w:r w:rsidR="004754B4" w:rsidRPr="00700584">
        <w:t>P</w:t>
      </w:r>
      <w:r w:rsidR="00183169" w:rsidRPr="00700584">
        <w:t>rospective expectation</w:t>
      </w:r>
      <w:r w:rsidR="004754B4" w:rsidRPr="00700584">
        <w:t>s</w:t>
      </w:r>
      <w:r w:rsidR="00183169" w:rsidRPr="00700584">
        <w:t xml:space="preserve"> </w:t>
      </w:r>
      <w:r w:rsidR="007C68A2" w:rsidRPr="00700584">
        <w:t>concern</w:t>
      </w:r>
      <w:r w:rsidR="00C549D8" w:rsidRPr="00700584">
        <w:t xml:space="preserve"> </w:t>
      </w:r>
      <w:r w:rsidR="00183169" w:rsidRPr="00700584">
        <w:t xml:space="preserve">evaluators’ beliefs </w:t>
      </w:r>
      <w:r w:rsidR="00C549D8" w:rsidRPr="00700584">
        <w:t>regarding</w:t>
      </w:r>
      <w:r w:rsidR="00183169" w:rsidRPr="00700584">
        <w:t xml:space="preserve"> the nature of their future interactions with the focal firm</w:t>
      </w:r>
      <w:r w:rsidRPr="00700584">
        <w:t xml:space="preserve">. </w:t>
      </w:r>
      <w:r w:rsidR="004754B4" w:rsidRPr="00700584">
        <w:t>Given that this is a new concept we are introducing into the literature, there is no agreed</w:t>
      </w:r>
      <w:r w:rsidR="007C68A2" w:rsidRPr="00700584">
        <w:t>-</w:t>
      </w:r>
      <w:r w:rsidR="004754B4" w:rsidRPr="00700584">
        <w:t xml:space="preserve">upon measure. However, </w:t>
      </w:r>
      <w:r w:rsidR="003E2F39" w:rsidRPr="00700584">
        <w:t>prior research identifies Tobin’s Q as a widely used proxy for investor sentiment regarding a firm</w:t>
      </w:r>
      <w:r w:rsidR="007C68A2" w:rsidRPr="00700584">
        <w:t>’</w:t>
      </w:r>
      <w:r w:rsidR="003E2F39" w:rsidRPr="00700584">
        <w:t xml:space="preserve">s future performance. Compared to other performance metrics, Tobin’s Q is inherently forward-looking, capturing market-based expectations about growth and long-term prospects (Chung &amp; Pruitt, 1994; Lang, Stulz, &amp; Walkling, 1989; Jayachandran, Kalaignanam, &amp; Eilert, 2013; Wulf, 2009). A </w:t>
      </w:r>
      <w:r w:rsidR="000A26BA" w:rsidRPr="00700584">
        <w:t>Tobin’s Q</w:t>
      </w:r>
      <w:r w:rsidR="003E2F39" w:rsidRPr="00700584">
        <w:t xml:space="preserve"> value greater than 1 suggests strong growth expectations, as the market values the firm’s assets above their replacement cost. Conversely, a Q below 1 indicates weaker </w:t>
      </w:r>
      <w:proofErr w:type="gramStart"/>
      <w:r w:rsidR="003E2F39" w:rsidRPr="00700584">
        <w:t>future prospects</w:t>
      </w:r>
      <w:proofErr w:type="gramEnd"/>
      <w:r w:rsidR="003E2F39" w:rsidRPr="00700584">
        <w:t xml:space="preserve"> (Tobin, 1969)</w:t>
      </w:r>
      <w:r w:rsidR="007C5F89" w:rsidRPr="00700584">
        <w:t>. Following prior research</w:t>
      </w:r>
      <w:r w:rsidR="003E2F39" w:rsidRPr="00700584">
        <w:t xml:space="preserve"> (Chung &amp; Pruitt, 1994; Jayac</w:t>
      </w:r>
      <w:r w:rsidR="00BB26E9">
        <w:t>h</w:t>
      </w:r>
      <w:r w:rsidR="003E2F39" w:rsidRPr="00700584">
        <w:t>andran et al., 2013; Kim &amp; Bettis, 2014)</w:t>
      </w:r>
      <w:r w:rsidR="007C5F89" w:rsidRPr="00700584">
        <w:t>, w</w:t>
      </w:r>
      <w:r w:rsidR="0080368C" w:rsidRPr="00700584">
        <w:t xml:space="preserve">e </w:t>
      </w:r>
      <w:r w:rsidR="007C5F89" w:rsidRPr="00700584">
        <w:t xml:space="preserve">estimated </w:t>
      </w:r>
      <w:r w:rsidR="00946D2C" w:rsidRPr="00700584">
        <w:t>Tobin’s Q using</w:t>
      </w:r>
      <w:r w:rsidR="007C5F89" w:rsidRPr="00700584">
        <w:t xml:space="preserve"> the market value of the firm divided by its total assets</w:t>
      </w:r>
      <w:r w:rsidR="00946D2C" w:rsidRPr="00700584">
        <w:t xml:space="preserve">, </w:t>
      </w:r>
      <w:r w:rsidR="00C549D8" w:rsidRPr="00700584">
        <w:t>with</w:t>
      </w:r>
      <w:r w:rsidR="00946D2C" w:rsidRPr="00700584">
        <w:t xml:space="preserve"> data from Compustat</w:t>
      </w:r>
      <w:r w:rsidR="007C5F89" w:rsidRPr="00700584">
        <w:t xml:space="preserve">. Specifically, market value </w:t>
      </w:r>
      <w:r w:rsidR="00946D2C" w:rsidRPr="00700584">
        <w:t>was calculated with the sum of the values of common stock, preferred stock, the long-term debt, and short-term debt with a maturity of less than one year.</w:t>
      </w:r>
      <w:r w:rsidR="00946D2C">
        <w:t xml:space="preserve"> </w:t>
      </w:r>
    </w:p>
    <w:p w14:paraId="713DD40F" w14:textId="33415E01" w:rsidR="000A26BA" w:rsidRDefault="002C5338" w:rsidP="000A26BA">
      <w:pPr>
        <w:spacing w:line="480" w:lineRule="auto"/>
        <w:ind w:firstLine="720"/>
      </w:pPr>
      <w:bookmarkStart w:id="22" w:name="OLE_LINK45"/>
      <w:r>
        <w:t>To capture</w:t>
      </w:r>
      <w:r w:rsidR="00C36701">
        <w:t xml:space="preserve"> prospective expecta</w:t>
      </w:r>
      <w:r w:rsidR="00B96EC6">
        <w:t>ncy</w:t>
      </w:r>
      <w:r w:rsidR="00C36701">
        <w:t xml:space="preserve"> violation (i.e., a change or update of prospective expectations), </w:t>
      </w:r>
      <w:r w:rsidRPr="002C5338">
        <w:t xml:space="preserve">we measured the </w:t>
      </w:r>
      <w:r>
        <w:t xml:space="preserve">percentage </w:t>
      </w:r>
      <w:r w:rsidRPr="002C5338">
        <w:t>change in Tobin’s Q in the days leading up to the earnings announcement</w:t>
      </w:r>
      <w:r>
        <w:t xml:space="preserve"> using the (-7,</w:t>
      </w:r>
      <w:r w:rsidR="000A26BA">
        <w:t xml:space="preserve"> </w:t>
      </w:r>
      <w:r>
        <w:t xml:space="preserve">-1) window. </w:t>
      </w:r>
      <w:r w:rsidR="000A26BA">
        <w:t xml:space="preserve">We chose to begin the window </w:t>
      </w:r>
      <w:r w:rsidR="00B43818">
        <w:t xml:space="preserve">seven </w:t>
      </w:r>
      <w:r w:rsidR="000A26BA">
        <w:t>days before the announcement to establish a relevant baseline, while avoiding a longer period that might capture unrelated corporate events influencing investor sentiment</w:t>
      </w:r>
      <w:r>
        <w:t xml:space="preserve">. </w:t>
      </w:r>
      <w:r w:rsidR="000A26BA">
        <w:t>W</w:t>
      </w:r>
      <w:r>
        <w:t>e conclude</w:t>
      </w:r>
      <w:r w:rsidR="000A26BA">
        <w:t>d</w:t>
      </w:r>
      <w:r>
        <w:t xml:space="preserve"> the window </w:t>
      </w:r>
      <w:r w:rsidR="00B43818" w:rsidRPr="005E143E">
        <w:t>one</w:t>
      </w:r>
      <w:r w:rsidR="00B43818" w:rsidRPr="00B43818">
        <w:t xml:space="preserve"> </w:t>
      </w:r>
      <w:r w:rsidR="000A26BA" w:rsidRPr="00B43818">
        <w:t>day</w:t>
      </w:r>
      <w:r w:rsidR="000A26BA">
        <w:t xml:space="preserve"> before the announcement</w:t>
      </w:r>
      <w:r w:rsidR="004118A8">
        <w:t xml:space="preserve">. </w:t>
      </w:r>
      <w:r w:rsidR="004754B4">
        <w:t xml:space="preserve">Specifying the </w:t>
      </w:r>
      <w:r w:rsidR="004118A8">
        <w:t xml:space="preserve">window </w:t>
      </w:r>
      <w:r w:rsidR="004754B4">
        <w:t xml:space="preserve">this way </w:t>
      </w:r>
      <w:r w:rsidR="004118A8">
        <w:t xml:space="preserve">allows us to capture changes in investor sentiment </w:t>
      </w:r>
      <w:r w:rsidR="00F24DBE">
        <w:t xml:space="preserve">close to the earnings announcement, potentially including any anticipatory reactions </w:t>
      </w:r>
      <w:r w:rsidR="004118A8">
        <w:t xml:space="preserve">that could be attributed to </w:t>
      </w:r>
      <w:r w:rsidR="00192F99">
        <w:t xml:space="preserve">information </w:t>
      </w:r>
      <w:r w:rsidR="004118A8">
        <w:t xml:space="preserve">leakage </w:t>
      </w:r>
      <w:r w:rsidR="00192F99">
        <w:t>about the upcoming earnings</w:t>
      </w:r>
      <w:r w:rsidR="00F24DBE">
        <w:t xml:space="preserve">, while still isolating </w:t>
      </w:r>
      <w:r w:rsidR="00C549D8">
        <w:t>updates</w:t>
      </w:r>
      <w:r w:rsidR="000A26BA">
        <w:t xml:space="preserve"> in </w:t>
      </w:r>
      <w:r w:rsidR="00192F99">
        <w:t xml:space="preserve">prospective </w:t>
      </w:r>
      <w:r w:rsidR="000A26BA">
        <w:t xml:space="preserve">expectations </w:t>
      </w:r>
      <w:r w:rsidR="002D10A8">
        <w:t xml:space="preserve">before the </w:t>
      </w:r>
      <w:r w:rsidR="00F24DBE">
        <w:t xml:space="preserve">official </w:t>
      </w:r>
      <w:r w:rsidR="004754B4">
        <w:lastRenderedPageBreak/>
        <w:t xml:space="preserve">announcement </w:t>
      </w:r>
      <w:r w:rsidR="000A26BA">
        <w:t xml:space="preserve">rather than </w:t>
      </w:r>
      <w:r w:rsidR="000A26BA" w:rsidRPr="00185755">
        <w:rPr>
          <w:i/>
          <w:iCs/>
        </w:rPr>
        <w:t>reactions</w:t>
      </w:r>
      <w:r w:rsidR="000A26BA">
        <w:t xml:space="preserve"> to the </w:t>
      </w:r>
      <w:r w:rsidR="00192F99">
        <w:t xml:space="preserve">official </w:t>
      </w:r>
      <w:r w:rsidR="000A26BA">
        <w:t xml:space="preserve">earnings </w:t>
      </w:r>
      <w:r w:rsidR="004754B4">
        <w:t xml:space="preserve">announcement </w:t>
      </w:r>
      <w:r w:rsidR="000A26BA">
        <w:t>itself</w:t>
      </w:r>
      <w:r>
        <w:t>.</w:t>
      </w:r>
      <w:r w:rsidR="000A26BA">
        <w:t xml:space="preserve"> </w:t>
      </w:r>
      <w:bookmarkStart w:id="23" w:name="OLE_LINK46"/>
      <w:r w:rsidR="000A26BA">
        <w:t>The</w:t>
      </w:r>
      <w:r w:rsidR="000A26BA" w:rsidRPr="000A26BA">
        <w:t xml:space="preserve"> percentage change </w:t>
      </w:r>
      <w:r w:rsidR="000A26BA">
        <w:t xml:space="preserve">was </w:t>
      </w:r>
      <w:r w:rsidR="000A26BA" w:rsidRPr="000A26BA">
        <w:t>calculated as the difference between the Tobin’s Q at the end and the beginning of the window, divided by the Q value at the beginning</w:t>
      </w:r>
      <w:bookmarkEnd w:id="23"/>
      <w:r w:rsidR="000A26BA" w:rsidRPr="000A26BA">
        <w:t>.</w:t>
      </w:r>
      <w:r w:rsidR="000A26BA">
        <w:t xml:space="preserve"> </w:t>
      </w:r>
      <w:bookmarkEnd w:id="22"/>
    </w:p>
    <w:p w14:paraId="7983B28E" w14:textId="00BC3319" w:rsidR="00E95831" w:rsidRPr="00606CC8" w:rsidRDefault="00685B7B" w:rsidP="003227B6">
      <w:pPr>
        <w:spacing w:line="360" w:lineRule="auto"/>
      </w:pPr>
      <w:r w:rsidRPr="00606CC8">
        <w:rPr>
          <w:b/>
          <w:bCs/>
        </w:rPr>
        <w:t>Control Variables</w:t>
      </w:r>
    </w:p>
    <w:p w14:paraId="595B4DE3" w14:textId="79C0EB7D" w:rsidR="000D11CC" w:rsidRDefault="000D11CC" w:rsidP="000D11CC">
      <w:pPr>
        <w:spacing w:line="480" w:lineRule="auto"/>
        <w:ind w:firstLine="720"/>
      </w:pPr>
      <w:r w:rsidRPr="00CE3647">
        <w:rPr>
          <w:b/>
          <w:bCs/>
          <w:i/>
          <w:iCs/>
        </w:rPr>
        <w:t>Firm performance</w:t>
      </w:r>
      <w:r w:rsidRPr="00CE3647">
        <w:rPr>
          <w:b/>
          <w:bCs/>
        </w:rPr>
        <w:t>.</w:t>
      </w:r>
      <w:r w:rsidRPr="00606CC8">
        <w:t xml:space="preserve"> </w:t>
      </w:r>
      <w:bookmarkStart w:id="24" w:name="OLE_LINK40"/>
      <w:r w:rsidRPr="00606CC8">
        <w:t>We controlled for firm performance with return on assets</w:t>
      </w:r>
      <w:r w:rsidR="00867155" w:rsidRPr="00606CC8">
        <w:rPr>
          <w:rFonts w:hint="eastAsia"/>
        </w:rPr>
        <w:t xml:space="preserve"> </w:t>
      </w:r>
      <w:r w:rsidR="00BB4D7B" w:rsidRPr="00606CC8">
        <w:t>using the values</w:t>
      </w:r>
      <w:r w:rsidRPr="00606CC8">
        <w:t xml:space="preserve"> from the previous quarter</w:t>
      </w:r>
      <w:r w:rsidR="00D60204" w:rsidRPr="00606CC8">
        <w:rPr>
          <w:rFonts w:hint="eastAsia"/>
        </w:rPr>
        <w:t xml:space="preserve">, </w:t>
      </w:r>
      <w:r w:rsidR="00D60204" w:rsidRPr="00606CC8">
        <w:t xml:space="preserve">which reflects the efficiency with which </w:t>
      </w:r>
      <w:r w:rsidR="00612C99" w:rsidRPr="00606CC8">
        <w:t xml:space="preserve">firms’ resources are </w:t>
      </w:r>
      <w:r w:rsidR="00D60204" w:rsidRPr="00606CC8">
        <w:t>managed</w:t>
      </w:r>
      <w:r w:rsidR="00D60204" w:rsidRPr="00606CC8">
        <w:rPr>
          <w:rFonts w:hint="eastAsia"/>
        </w:rPr>
        <w:t xml:space="preserve"> </w:t>
      </w:r>
      <w:bookmarkEnd w:id="24"/>
      <w:r w:rsidR="0065634B" w:rsidRPr="00606CC8">
        <w:rPr>
          <w:rFonts w:hint="eastAsia"/>
        </w:rPr>
        <w:t>(</w:t>
      </w:r>
      <w:r w:rsidR="00F743DA" w:rsidRPr="00606CC8">
        <w:rPr>
          <w:rFonts w:hint="eastAsia"/>
        </w:rPr>
        <w:t>Rhee &amp; Fiss, 2014</w:t>
      </w:r>
      <w:r w:rsidR="001D71AC" w:rsidRPr="00606CC8">
        <w:rPr>
          <w:rFonts w:hint="eastAsia"/>
        </w:rPr>
        <w:t>; Karolyi, Ruchti, &amp; Truong, 2024</w:t>
      </w:r>
      <w:r w:rsidR="0065634B" w:rsidRPr="00606CC8">
        <w:rPr>
          <w:rFonts w:hint="eastAsia"/>
        </w:rPr>
        <w:t>)</w:t>
      </w:r>
      <w:r w:rsidRPr="00606CC8">
        <w:t>.</w:t>
      </w:r>
    </w:p>
    <w:p w14:paraId="1EC7D189" w14:textId="755112E8" w:rsidR="000D11CC" w:rsidRDefault="000D11CC" w:rsidP="000D11CC">
      <w:pPr>
        <w:spacing w:line="480" w:lineRule="auto"/>
        <w:ind w:firstLine="720"/>
      </w:pPr>
      <w:r w:rsidRPr="00CE3647">
        <w:rPr>
          <w:b/>
          <w:bCs/>
          <w:i/>
          <w:iCs/>
        </w:rPr>
        <w:t>High reputation.</w:t>
      </w:r>
      <w:r>
        <w:rPr>
          <w:b/>
          <w:bCs/>
        </w:rPr>
        <w:t xml:space="preserve"> </w:t>
      </w:r>
      <w:r w:rsidRPr="000B3A98">
        <w:t xml:space="preserve">Prior research suggests that firm reputation can influence investors’ reactions to earnings surprises (e.g., Pfarrer et al., 2010). To account for this, we controlled for high firm reputation. </w:t>
      </w:r>
      <w:bookmarkStart w:id="25" w:name="OLE_LINK42"/>
      <w:r w:rsidRPr="000B3A98">
        <w:t xml:space="preserve">We constructed the high reputation measure by </w:t>
      </w:r>
      <w:r w:rsidR="0006266B">
        <w:rPr>
          <w:rFonts w:hint="eastAsia"/>
        </w:rPr>
        <w:t xml:space="preserve">first </w:t>
      </w:r>
      <w:r w:rsidRPr="000B3A98">
        <w:t xml:space="preserve">assigning a value of 1 to firms that appeared in the top 25 of Fortune’s “Most Admired Companies” list </w:t>
      </w:r>
      <w:r>
        <w:rPr>
          <w:rFonts w:hint="eastAsia"/>
        </w:rPr>
        <w:t xml:space="preserve">in the last </w:t>
      </w:r>
      <w:r w:rsidR="00B43818" w:rsidRPr="005E143E">
        <w:t>three</w:t>
      </w:r>
      <w:r w:rsidRPr="00B43818">
        <w:t xml:space="preserve"> years</w:t>
      </w:r>
      <w:r w:rsidRPr="0017778C">
        <w:t xml:space="preserve">. Following </w:t>
      </w:r>
      <w:r>
        <w:rPr>
          <w:rFonts w:hint="eastAsia"/>
        </w:rPr>
        <w:t>prior firm reputation literature (</w:t>
      </w:r>
      <w:r w:rsidRPr="000B3A98">
        <w:t>Haleblian, Pfarrer, &amp; Kiley, 2017</w:t>
      </w:r>
      <w:r>
        <w:rPr>
          <w:rFonts w:hint="eastAsia"/>
        </w:rPr>
        <w:t>),</w:t>
      </w:r>
      <w:r w:rsidRPr="0017778C">
        <w:t xml:space="preserve"> </w:t>
      </w:r>
      <w:r>
        <w:rPr>
          <w:rFonts w:hint="eastAsia"/>
        </w:rPr>
        <w:t>w</w:t>
      </w:r>
      <w:r w:rsidRPr="0017778C">
        <w:t xml:space="preserve">e </w:t>
      </w:r>
      <w:r w:rsidR="0006266B">
        <w:rPr>
          <w:rFonts w:hint="eastAsia"/>
        </w:rPr>
        <w:t xml:space="preserve">then </w:t>
      </w:r>
      <w:r w:rsidRPr="00810DBE">
        <w:t xml:space="preserve">applied </w:t>
      </w:r>
      <w:r w:rsidRPr="00FA6B61">
        <w:t>a decay rate of 1/n</w:t>
      </w:r>
      <w:r w:rsidR="0006266B">
        <w:rPr>
          <w:rFonts w:hint="eastAsia"/>
        </w:rPr>
        <w:t xml:space="preserve"> to the indicators</w:t>
      </w:r>
      <w:r w:rsidRPr="00FA6B61">
        <w:t>, where n is the number of years since the firm received the high-reputation rankings, and did not begin the decay until the firm was no longer classified as high reputation</w:t>
      </w:r>
      <w:r w:rsidRPr="00810DBE">
        <w:t>.</w:t>
      </w:r>
      <w:bookmarkEnd w:id="25"/>
      <w:r w:rsidR="00311BB6">
        <w:t xml:space="preserve"> </w:t>
      </w:r>
      <w:r w:rsidRPr="001523E9">
        <w:t xml:space="preserve">For example, if a firm was classified as high reputation in </w:t>
      </w:r>
      <w:r w:rsidR="00F2236A">
        <w:t>either list</w:t>
      </w:r>
      <w:r w:rsidR="0086446E">
        <w:t xml:space="preserve"> in </w:t>
      </w:r>
      <w:r w:rsidRPr="001523E9">
        <w:t>the last year, it receives a score of 1</w:t>
      </w:r>
      <w:r>
        <w:rPr>
          <w:rFonts w:hint="eastAsia"/>
        </w:rPr>
        <w:t xml:space="preserve"> for the year</w:t>
      </w:r>
      <w:r w:rsidRPr="001523E9">
        <w:t xml:space="preserve">; if it was classified as high reputation </w:t>
      </w:r>
      <w:r w:rsidRPr="00B43818">
        <w:t>two years</w:t>
      </w:r>
      <w:r w:rsidRPr="001523E9">
        <w:t xml:space="preserve"> ago, it receives a score of </w:t>
      </w:r>
      <w:r>
        <w:rPr>
          <w:rFonts w:hint="eastAsia"/>
        </w:rPr>
        <w:t>1/2 for the year</w:t>
      </w:r>
      <w:r w:rsidRPr="001523E9">
        <w:t xml:space="preserve">. However, if the firm was among the top 25 in either ranking for the last </w:t>
      </w:r>
      <w:r w:rsidRPr="00B43818">
        <w:t>two consecutive years</w:t>
      </w:r>
      <w:r w:rsidRPr="001523E9">
        <w:t>, it receives a score of 2, as the decay does not apply</w:t>
      </w:r>
      <w:r>
        <w:rPr>
          <w:rFonts w:hint="eastAsia"/>
        </w:rPr>
        <w:t xml:space="preserve">. </w:t>
      </w:r>
      <w:r w:rsidRPr="000B3A98">
        <w:t xml:space="preserve">We </w:t>
      </w:r>
      <w:r>
        <w:t>then used</w:t>
      </w:r>
      <w:r w:rsidRPr="000B3A98">
        <w:t xml:space="preserve"> the sum of scores over </w:t>
      </w:r>
      <w:r>
        <w:t xml:space="preserve">the last </w:t>
      </w:r>
      <w:r w:rsidRPr="00B43818">
        <w:t>three years</w:t>
      </w:r>
      <w:r w:rsidRPr="000B3A98">
        <w:t xml:space="preserve"> </w:t>
      </w:r>
      <w:r>
        <w:t>as the measure for high reputation</w:t>
      </w:r>
      <w:r w:rsidRPr="000B3A98">
        <w:t>.</w:t>
      </w:r>
      <w:r>
        <w:t xml:space="preserve"> </w:t>
      </w:r>
    </w:p>
    <w:p w14:paraId="32827331" w14:textId="15BD6AF7" w:rsidR="00774974" w:rsidRDefault="000D11CC" w:rsidP="00685B7B">
      <w:pPr>
        <w:spacing w:line="480" w:lineRule="auto"/>
        <w:ind w:firstLine="720"/>
      </w:pPr>
      <w:r w:rsidRPr="00CE3647">
        <w:rPr>
          <w:b/>
          <w:bCs/>
          <w:i/>
          <w:iCs/>
        </w:rPr>
        <w:t>Institutional investor ownership</w:t>
      </w:r>
      <w:r w:rsidR="00B72EAE" w:rsidRPr="00CE3647">
        <w:rPr>
          <w:b/>
          <w:bCs/>
          <w:i/>
          <w:iCs/>
        </w:rPr>
        <w:t>.</w:t>
      </w:r>
      <w:r w:rsidR="003227B6" w:rsidRPr="00486518">
        <w:t xml:space="preserve"> Recognizing that investors may adopt different approaches in forming their expectations, we distinguished between sophisticated and unsophisticated investors.</w:t>
      </w:r>
      <w:r w:rsidR="003227B6">
        <w:t xml:space="preserve"> </w:t>
      </w:r>
      <w:r w:rsidR="003227B6">
        <w:rPr>
          <w:rFonts w:hint="eastAsia"/>
        </w:rPr>
        <w:t xml:space="preserve">We </w:t>
      </w:r>
      <w:r w:rsidRPr="00721767">
        <w:t xml:space="preserve">controlled for </w:t>
      </w:r>
      <w:r w:rsidR="00852DB6">
        <w:t>firms’ institutional investor ownership</w:t>
      </w:r>
      <w:r w:rsidRPr="00721767">
        <w:t xml:space="preserve"> </w:t>
      </w:r>
      <w:r>
        <w:t>using</w:t>
      </w:r>
      <w:r w:rsidRPr="00721767">
        <w:t xml:space="preserve"> the percentage of shares held by institutional investors</w:t>
      </w:r>
      <w:r w:rsidR="00B72EAE">
        <w:t>,</w:t>
      </w:r>
      <w:r>
        <w:t xml:space="preserve"> </w:t>
      </w:r>
      <w:r w:rsidR="006321EA">
        <w:t xml:space="preserve">collected from </w:t>
      </w:r>
      <w:r w:rsidR="006321EA" w:rsidRPr="00FC78F1">
        <w:t xml:space="preserve">Thomson Reuters Institutional </w:t>
      </w:r>
      <w:r w:rsidR="006321EA" w:rsidRPr="00FC78F1">
        <w:lastRenderedPageBreak/>
        <w:t>(13F) Holdings</w:t>
      </w:r>
      <w:r w:rsidR="006321EA">
        <w:t xml:space="preserve"> </w:t>
      </w:r>
      <w:r>
        <w:t>(Hotchkiss &amp; Strickland, 2003).</w:t>
      </w:r>
      <w:r w:rsidR="00774974">
        <w:rPr>
          <w:rFonts w:hint="eastAsia"/>
        </w:rPr>
        <w:t xml:space="preserve"> This measure was</w:t>
      </w:r>
      <w:r w:rsidR="00774974" w:rsidRPr="00677BEE">
        <w:t xml:space="preserve"> winsorized at the 1% and 99% levels to limit the impact of extreme values</w:t>
      </w:r>
      <w:r w:rsidR="00774974">
        <w:rPr>
          <w:rFonts w:hint="eastAsia"/>
        </w:rPr>
        <w:t>.</w:t>
      </w:r>
      <w:r w:rsidR="00774974" w:rsidRPr="00677BEE">
        <w:t xml:space="preserve"> </w:t>
      </w:r>
    </w:p>
    <w:p w14:paraId="0B8ED011" w14:textId="6B5A6DC7" w:rsidR="00685B7B" w:rsidRPr="00BF3B7A" w:rsidRDefault="00685B7B" w:rsidP="003227B6">
      <w:pPr>
        <w:spacing w:line="480" w:lineRule="auto"/>
        <w:ind w:firstLine="720"/>
      </w:pPr>
      <w:r w:rsidRPr="00CE3647">
        <w:rPr>
          <w:b/>
          <w:bCs/>
          <w:i/>
          <w:iCs/>
        </w:rPr>
        <w:t>Managerial guidance</w:t>
      </w:r>
      <w:r w:rsidR="008B08E2" w:rsidRPr="00CE3647">
        <w:rPr>
          <w:b/>
          <w:bCs/>
          <w:i/>
          <w:iCs/>
        </w:rPr>
        <w:t>.</w:t>
      </w:r>
      <w:r w:rsidR="008B08E2">
        <w:rPr>
          <w:rFonts w:hint="eastAsia"/>
          <w:b/>
          <w:bCs/>
          <w:i/>
          <w:iCs/>
        </w:rPr>
        <w:t xml:space="preserve"> </w:t>
      </w:r>
      <w:r w:rsidR="008B08E2" w:rsidRPr="008B08E2">
        <w:t>We accounted for whether firms provided managerial guidance on earnings per share for the focal quarter, as such guidance can influence both analysts</w:t>
      </w:r>
      <w:r w:rsidR="00AB28B8">
        <w:t>’</w:t>
      </w:r>
      <w:r w:rsidR="008B08E2" w:rsidRPr="008B08E2">
        <w:t xml:space="preserve"> estimates and investor responses (e.g., Veenman &amp; Verwijmeren, 2022). To capture this, we created a dichotomous variable, coded as 1 if the firm issued managerial guidance and </w:t>
      </w:r>
      <w:r w:rsidR="008B08E2" w:rsidRPr="00B43818">
        <w:t>0</w:t>
      </w:r>
      <w:r w:rsidR="008B08E2" w:rsidRPr="008B08E2">
        <w:t xml:space="preserve"> otherwise. Data for this variable were obtained from</w:t>
      </w:r>
      <w:r w:rsidR="008B08E2">
        <w:rPr>
          <w:rFonts w:hint="eastAsia"/>
          <w:b/>
          <w:bCs/>
          <w:i/>
          <w:iCs/>
        </w:rPr>
        <w:t xml:space="preserve"> </w:t>
      </w:r>
      <w:r w:rsidRPr="002C206A">
        <w:t>I/B/E/S</w:t>
      </w:r>
      <w:r w:rsidR="009B08DF">
        <w:t>.</w:t>
      </w:r>
    </w:p>
    <w:p w14:paraId="00D0D3B4" w14:textId="54897FB3" w:rsidR="00685B7B" w:rsidRPr="00BC2531" w:rsidRDefault="009F7870" w:rsidP="00685B7B">
      <w:pPr>
        <w:spacing w:line="480" w:lineRule="auto"/>
        <w:ind w:firstLine="720"/>
      </w:pPr>
      <w:r w:rsidRPr="00CE3647">
        <w:rPr>
          <w:b/>
          <w:bCs/>
          <w:i/>
          <w:iCs/>
        </w:rPr>
        <w:t>Analyst coverage</w:t>
      </w:r>
      <w:r w:rsidR="00685B7B" w:rsidRPr="00CE3647">
        <w:rPr>
          <w:b/>
          <w:bCs/>
        </w:rPr>
        <w:t>.</w:t>
      </w:r>
      <w:r w:rsidR="00685B7B" w:rsidRPr="00AF473B">
        <w:t xml:space="preserve"> We controlled for the effect of the number of analysts covering each firm each quarter, given its potential impact on the firm’s decision to announce earnings surprises, on the precision of mean forecasts, and on investors’ reactions (e.g., Abarbanell,</w:t>
      </w:r>
      <w:r w:rsidR="00685B7B" w:rsidRPr="00AF473B">
        <w:rPr>
          <w:rFonts w:hint="eastAsia"/>
        </w:rPr>
        <w:t xml:space="preserve"> </w:t>
      </w:r>
      <w:r w:rsidR="00685B7B" w:rsidRPr="00AF473B">
        <w:t xml:space="preserve">Lanen, &amp; Verrecchia, 1995). </w:t>
      </w:r>
      <w:r w:rsidR="008072B4" w:rsidRPr="00AF473B">
        <w:rPr>
          <w:rFonts w:hint="eastAsia"/>
        </w:rPr>
        <w:t>This variable is log-transformed due to skewness</w:t>
      </w:r>
      <w:r w:rsidR="00023DD0" w:rsidRPr="00AF473B">
        <w:t>.</w:t>
      </w:r>
    </w:p>
    <w:p w14:paraId="740BEE3A" w14:textId="15529EFE" w:rsidR="00E95831" w:rsidRDefault="00685B7B" w:rsidP="00685B7B">
      <w:pPr>
        <w:spacing w:line="480" w:lineRule="auto"/>
        <w:ind w:firstLine="720"/>
      </w:pPr>
      <w:r w:rsidRPr="00CE3647">
        <w:rPr>
          <w:b/>
          <w:bCs/>
          <w:i/>
          <w:iCs/>
        </w:rPr>
        <w:t>Estimate dispersion.</w:t>
      </w:r>
      <w:r>
        <w:rPr>
          <w:b/>
          <w:bCs/>
          <w:i/>
          <w:iCs/>
        </w:rPr>
        <w:t xml:space="preserve"> </w:t>
      </w:r>
      <w:r w:rsidRPr="00CF7028">
        <w:t xml:space="preserve">We </w:t>
      </w:r>
      <w:r w:rsidR="00E95831">
        <w:t xml:space="preserve">accounted for uncertainty about firm information by controlling for earnings estimate dispersion, </w:t>
      </w:r>
      <w:r w:rsidRPr="00CF7028">
        <w:t xml:space="preserve">measured by the standard deviation of security analysts’ estimates on earnings per share </w:t>
      </w:r>
      <w:r>
        <w:t xml:space="preserve">(e.g., </w:t>
      </w:r>
      <w:r w:rsidRPr="006D36E7">
        <w:t xml:space="preserve">Barron </w:t>
      </w:r>
      <w:r>
        <w:t>&amp;</w:t>
      </w:r>
      <w:r w:rsidRPr="006D36E7">
        <w:t xml:space="preserve"> Stuerk</w:t>
      </w:r>
      <w:r>
        <w:t>e,</w:t>
      </w:r>
      <w:r w:rsidRPr="006D36E7">
        <w:t>1998</w:t>
      </w:r>
      <w:r>
        <w:t xml:space="preserve">; </w:t>
      </w:r>
      <w:r w:rsidRPr="006D36E7">
        <w:t>Busenbark,</w:t>
      </w:r>
      <w:r>
        <w:rPr>
          <w:rFonts w:hint="eastAsia"/>
        </w:rPr>
        <w:t xml:space="preserve"> Lange, &amp; Certo, </w:t>
      </w:r>
      <w:r w:rsidRPr="006D36E7">
        <w:t>2017</w:t>
      </w:r>
      <w:r>
        <w:t>)</w:t>
      </w:r>
      <w:r w:rsidRPr="006D36E7">
        <w:t>.</w:t>
      </w:r>
      <w:r>
        <w:rPr>
          <w:b/>
          <w:bCs/>
        </w:rPr>
        <w:t xml:space="preserve"> </w:t>
      </w:r>
      <w:r w:rsidR="00E95831">
        <w:t>To address the skewness of this measure and limit the influence of extreme values, we applied a log transformation and</w:t>
      </w:r>
      <w:r w:rsidR="00E95831">
        <w:rPr>
          <w:rFonts w:hint="eastAsia"/>
        </w:rPr>
        <w:t xml:space="preserve"> </w:t>
      </w:r>
      <w:r w:rsidR="0006266B" w:rsidRPr="0006266B">
        <w:t xml:space="preserve">winsorized </w:t>
      </w:r>
      <w:r w:rsidR="0006266B">
        <w:rPr>
          <w:rFonts w:hint="eastAsia"/>
        </w:rPr>
        <w:t xml:space="preserve">the data </w:t>
      </w:r>
      <w:r w:rsidR="0006266B" w:rsidRPr="0006266B">
        <w:t>at the 1% and 99%</w:t>
      </w:r>
      <w:r w:rsidR="00102CEA">
        <w:t xml:space="preserve"> levels</w:t>
      </w:r>
      <w:r w:rsidR="0006266B">
        <w:rPr>
          <w:rFonts w:hint="eastAsia"/>
        </w:rPr>
        <w:t>.</w:t>
      </w:r>
    </w:p>
    <w:p w14:paraId="265F412E" w14:textId="3FF49EBB" w:rsidR="00685B7B" w:rsidRDefault="00685B7B" w:rsidP="00685B7B">
      <w:pPr>
        <w:spacing w:line="480" w:lineRule="auto"/>
        <w:ind w:firstLine="720"/>
      </w:pPr>
      <w:r w:rsidRPr="00CE3647">
        <w:rPr>
          <w:b/>
          <w:bCs/>
          <w:i/>
          <w:iCs/>
        </w:rPr>
        <w:t>Financial restatements.</w:t>
      </w:r>
      <w:r>
        <w:rPr>
          <w:b/>
          <w:bCs/>
        </w:rPr>
        <w:t xml:space="preserve"> </w:t>
      </w:r>
      <w:r w:rsidRPr="003458B4">
        <w:t>We also controlled for the number of financial restatements—both positive and negative—th</w:t>
      </w:r>
      <w:r w:rsidR="00D071FA">
        <w:t>e</w:t>
      </w:r>
      <w:r w:rsidRPr="003458B4">
        <w:t xml:space="preserve"> </w:t>
      </w:r>
      <w:r>
        <w:rPr>
          <w:rFonts w:hint="eastAsia"/>
        </w:rPr>
        <w:t>focal firm</w:t>
      </w:r>
      <w:r w:rsidRPr="003458B4">
        <w:t xml:space="preserve"> </w:t>
      </w:r>
      <w:r>
        <w:t xml:space="preserve">has </w:t>
      </w:r>
      <w:r w:rsidR="004260ED">
        <w:t>had</w:t>
      </w:r>
      <w:r w:rsidR="004260ED" w:rsidRPr="003458B4">
        <w:t xml:space="preserve"> </w:t>
      </w:r>
      <w:r w:rsidRPr="003458B4">
        <w:t xml:space="preserve">over the last </w:t>
      </w:r>
      <w:r w:rsidRPr="00B43818">
        <w:t>three years</w:t>
      </w:r>
      <w:r w:rsidRPr="003458B4">
        <w:t xml:space="preserve">, using data from </w:t>
      </w:r>
      <w:r w:rsidRPr="00B67BD2">
        <w:t>Audit Analytics</w:t>
      </w:r>
      <w:r>
        <w:t xml:space="preserve"> (e.g., Lobo &amp; Zhao, 2013)</w:t>
      </w:r>
      <w:r w:rsidRPr="00AC4E38">
        <w:t>.</w:t>
      </w:r>
    </w:p>
    <w:p w14:paraId="7357BA38" w14:textId="77777777" w:rsidR="00685B7B" w:rsidRPr="00BC2531" w:rsidRDefault="00685B7B" w:rsidP="00685B7B">
      <w:pPr>
        <w:spacing w:line="360" w:lineRule="auto"/>
      </w:pPr>
      <w:r w:rsidRPr="00BC2531">
        <w:rPr>
          <w:b/>
        </w:rPr>
        <w:t>Estimation Model</w:t>
      </w:r>
    </w:p>
    <w:p w14:paraId="33733EFA" w14:textId="5434038A" w:rsidR="008B08E2" w:rsidRDefault="00685B7B" w:rsidP="00146376">
      <w:pPr>
        <w:spacing w:line="480" w:lineRule="auto"/>
        <w:ind w:firstLine="720"/>
      </w:pPr>
      <w:r>
        <w:t>As our theorizing examining how multiple expectations impact investor responses applies to both between-firm and within-firm comparisons, we chose random effects models in our analys</w:t>
      </w:r>
      <w:r w:rsidR="00FB45EB">
        <w:t>e</w:t>
      </w:r>
      <w:r>
        <w:t xml:space="preserve">s (Certo, Withers, &amp; Semadeni, 2017). In all models, we specified robust standard errors </w:t>
      </w:r>
      <w:r w:rsidRPr="00D34883">
        <w:lastRenderedPageBreak/>
        <w:t>to mitigate potential concerns associated with heteroskedasticity (White, 1980)</w:t>
      </w:r>
      <w:r>
        <w:t xml:space="preserve">. In </w:t>
      </w:r>
      <w:r w:rsidRPr="00BC2531">
        <w:t xml:space="preserve">Stata </w:t>
      </w:r>
      <w:r w:rsidR="00B90592">
        <w:t>SE</w:t>
      </w:r>
      <w:r w:rsidRPr="00BC2531">
        <w:t xml:space="preserve"> 1</w:t>
      </w:r>
      <w:r w:rsidR="00B90592">
        <w:t>9</w:t>
      </w:r>
      <w:r>
        <w:t>.</w:t>
      </w:r>
      <w:r w:rsidR="00B90592">
        <w:t>5</w:t>
      </w:r>
      <w:r w:rsidRPr="00BC2531">
        <w:t>, we used the “</w:t>
      </w:r>
      <w:r>
        <w:rPr>
          <w:rFonts w:hint="eastAsia"/>
        </w:rPr>
        <w:t>xt</w:t>
      </w:r>
      <w:r w:rsidR="00216E86">
        <w:rPr>
          <w:rFonts w:hint="eastAsia"/>
        </w:rPr>
        <w:t>reg</w:t>
      </w:r>
      <w:r>
        <w:rPr>
          <w:rFonts w:hint="eastAsia"/>
        </w:rPr>
        <w:t>, re vce(robust)</w:t>
      </w:r>
      <w:r w:rsidRPr="00BC2531">
        <w:t xml:space="preserve">” command to run the models. </w:t>
      </w:r>
    </w:p>
    <w:p w14:paraId="5BBD6791" w14:textId="77777777" w:rsidR="00CD04C3" w:rsidRPr="00BC2531" w:rsidRDefault="00CD04C3" w:rsidP="00CD04C3">
      <w:pPr>
        <w:spacing w:line="360" w:lineRule="auto"/>
        <w:jc w:val="center"/>
        <w:rPr>
          <w:b/>
          <w:bCs/>
        </w:rPr>
      </w:pPr>
      <w:r w:rsidRPr="00BC2531">
        <w:rPr>
          <w:b/>
          <w:bCs/>
        </w:rPr>
        <w:t>RESULTS</w:t>
      </w:r>
    </w:p>
    <w:p w14:paraId="6C0A8B6E" w14:textId="458F6E16" w:rsidR="00D071FA" w:rsidRDefault="00CD04C3" w:rsidP="00265216">
      <w:pPr>
        <w:spacing w:line="480" w:lineRule="auto"/>
        <w:ind w:firstLine="720"/>
      </w:pPr>
      <w:r>
        <w:rPr>
          <w:rFonts w:hint="eastAsia"/>
        </w:rPr>
        <w:t xml:space="preserve">Table 1 </w:t>
      </w:r>
      <w:r>
        <w:t>presents the descriptive statistics and correlations for all variables.</w:t>
      </w:r>
      <w:r w:rsidRPr="00503B22">
        <w:t xml:space="preserve"> </w:t>
      </w:r>
      <w:r w:rsidR="00216E86">
        <w:rPr>
          <w:rFonts w:hint="eastAsia"/>
        </w:rPr>
        <w:t>The</w:t>
      </w:r>
      <w:r w:rsidRPr="00503B22">
        <w:t xml:space="preserve"> correlations among</w:t>
      </w:r>
      <w:r>
        <w:t xml:space="preserve">st the </w:t>
      </w:r>
      <w:r w:rsidRPr="00503B22">
        <w:t>variables are moderate. The maximum value for condition numbers is below 30</w:t>
      </w:r>
      <w:r w:rsidR="00146376" w:rsidRPr="00146376">
        <w:t xml:space="preserve"> </w:t>
      </w:r>
      <w:r w:rsidR="00146376" w:rsidRPr="00503B22">
        <w:t>across models</w:t>
      </w:r>
      <w:r w:rsidRPr="00503B22">
        <w:t xml:space="preserve">—the widely accepted threshold for indicating multicollinearity issues (Belsley, 1991). </w:t>
      </w:r>
      <w:r w:rsidR="00685B7B" w:rsidRPr="003B0A1F">
        <w:t xml:space="preserve">Table </w:t>
      </w:r>
      <w:r w:rsidR="00216E86">
        <w:rPr>
          <w:rFonts w:hint="eastAsia"/>
        </w:rPr>
        <w:t>2</w:t>
      </w:r>
      <w:r w:rsidR="00685B7B" w:rsidRPr="003B0A1F">
        <w:t xml:space="preserve"> present</w:t>
      </w:r>
      <w:r w:rsidR="00D071FA">
        <w:t>s</w:t>
      </w:r>
      <w:r w:rsidR="00685B7B" w:rsidRPr="003B0A1F">
        <w:t xml:space="preserve"> the results of </w:t>
      </w:r>
      <w:r w:rsidR="00216E86">
        <w:rPr>
          <w:rFonts w:hint="eastAsia"/>
        </w:rPr>
        <w:t>random effect models.</w:t>
      </w:r>
      <w:r w:rsidR="00685B7B" w:rsidRPr="003B0A1F">
        <w:t xml:space="preserve"> </w:t>
      </w:r>
      <w:r w:rsidR="00BA79E0" w:rsidRPr="00BC2531">
        <w:t>Model 1 is the baseline model</w:t>
      </w:r>
      <w:r w:rsidR="00294594">
        <w:t xml:space="preserve">, including </w:t>
      </w:r>
      <w:r w:rsidR="00BA79E0" w:rsidRPr="00BC2531">
        <w:t xml:space="preserve">only control variables. </w:t>
      </w:r>
      <w:r w:rsidR="00294594">
        <w:t xml:space="preserve">Models 2 through </w:t>
      </w:r>
      <w:r w:rsidR="00000D13">
        <w:t>5</w:t>
      </w:r>
      <w:r w:rsidR="00294594">
        <w:t xml:space="preserve"> sequentially introduce the main variables of interest in a stepwise manner. </w:t>
      </w:r>
      <w:r w:rsidR="00BA79E0" w:rsidRPr="00BC2531">
        <w:t xml:space="preserve">Model </w:t>
      </w:r>
      <w:r w:rsidR="00000D13">
        <w:t>6</w:t>
      </w:r>
      <w:r w:rsidR="00BA79E0" w:rsidRPr="00BC2531">
        <w:t xml:space="preserve"> is the </w:t>
      </w:r>
      <w:r w:rsidR="00BA79E0">
        <w:rPr>
          <w:rFonts w:hint="eastAsia"/>
        </w:rPr>
        <w:t>saturated</w:t>
      </w:r>
      <w:r w:rsidR="00BA79E0" w:rsidRPr="00BC2531">
        <w:t xml:space="preserve"> model including all variables</w:t>
      </w:r>
      <w:r w:rsidR="00BA79E0">
        <w:rPr>
          <w:rFonts w:hint="eastAsia"/>
        </w:rPr>
        <w:t xml:space="preserve">. </w:t>
      </w:r>
      <w:r w:rsidR="004E734E">
        <w:t xml:space="preserve">We </w:t>
      </w:r>
      <w:r w:rsidR="004E734E" w:rsidRPr="004E734E">
        <w:t xml:space="preserve">interpret </w:t>
      </w:r>
      <w:r w:rsidR="004E734E" w:rsidRPr="004E734E">
        <w:rPr>
          <w:rStyle w:val="Strong"/>
          <w:rFonts w:eastAsiaTheme="majorEastAsia"/>
          <w:b w:val="0"/>
          <w:bCs w:val="0"/>
        </w:rPr>
        <w:t>effect size</w:t>
      </w:r>
      <w:r w:rsidR="004E734E" w:rsidRPr="004E734E">
        <w:t xml:space="preserve"> based on the </w:t>
      </w:r>
      <w:r w:rsidR="004E734E">
        <w:rPr>
          <w:rFonts w:hint="eastAsia"/>
        </w:rPr>
        <w:t xml:space="preserve">statistically </w:t>
      </w:r>
      <w:r w:rsidR="004E734E" w:rsidRPr="004E734E">
        <w:rPr>
          <w:rStyle w:val="Strong"/>
          <w:rFonts w:eastAsiaTheme="majorEastAsia"/>
          <w:b w:val="0"/>
          <w:bCs w:val="0"/>
        </w:rPr>
        <w:t>significant results</w:t>
      </w:r>
      <w:r w:rsidR="004E734E">
        <w:t xml:space="preserve"> from our models.</w:t>
      </w:r>
    </w:p>
    <w:p w14:paraId="574A438A" w14:textId="77777777" w:rsidR="00E37101" w:rsidRPr="00BC2531" w:rsidRDefault="00E37101" w:rsidP="00E37101">
      <w:pPr>
        <w:jc w:val="center"/>
        <w:rPr>
          <w:bCs/>
        </w:rPr>
      </w:pPr>
      <w:r w:rsidRPr="00BC2531">
        <w:rPr>
          <w:bCs/>
        </w:rPr>
        <w:t>--------------------------------------------------------</w:t>
      </w:r>
    </w:p>
    <w:p w14:paraId="570DE81D" w14:textId="77777777" w:rsidR="00E37101" w:rsidRPr="00BC2531" w:rsidRDefault="00E37101" w:rsidP="00E37101">
      <w:pPr>
        <w:jc w:val="center"/>
        <w:rPr>
          <w:bCs/>
        </w:rPr>
      </w:pPr>
      <w:r w:rsidRPr="00D071FA">
        <w:t>Insert Table</w:t>
      </w:r>
      <w:r w:rsidRPr="00D071FA">
        <w:rPr>
          <w:rFonts w:hint="eastAsia"/>
        </w:rPr>
        <w:t>s</w:t>
      </w:r>
      <w:r w:rsidRPr="00D071FA">
        <w:t xml:space="preserve"> </w:t>
      </w:r>
      <w:r w:rsidRPr="00D071FA">
        <w:rPr>
          <w:rFonts w:hint="eastAsia"/>
        </w:rPr>
        <w:t xml:space="preserve">1 </w:t>
      </w:r>
      <w:r>
        <w:rPr>
          <w:rFonts w:hint="eastAsia"/>
        </w:rPr>
        <w:t xml:space="preserve">and 2 </w:t>
      </w:r>
      <w:r w:rsidRPr="00D071FA">
        <w:t>about here</w:t>
      </w:r>
    </w:p>
    <w:p w14:paraId="681D1A7F" w14:textId="4CC6A19E" w:rsidR="00E37101" w:rsidRDefault="00E37101" w:rsidP="00E37101">
      <w:pPr>
        <w:jc w:val="center"/>
        <w:rPr>
          <w:bCs/>
        </w:rPr>
      </w:pPr>
      <w:r w:rsidRPr="00BC2531">
        <w:rPr>
          <w:bCs/>
        </w:rPr>
        <w:t>--------------------------------------------------------</w:t>
      </w:r>
    </w:p>
    <w:p w14:paraId="0F56B53D" w14:textId="77777777" w:rsidR="00E37101" w:rsidRPr="00E37101" w:rsidRDefault="00E37101" w:rsidP="00265216">
      <w:pPr>
        <w:jc w:val="center"/>
        <w:rPr>
          <w:bCs/>
        </w:rPr>
      </w:pPr>
    </w:p>
    <w:p w14:paraId="384FF6E9" w14:textId="26E48221" w:rsidR="00294594" w:rsidRDefault="00BA79E0" w:rsidP="00294594">
      <w:pPr>
        <w:spacing w:line="480" w:lineRule="auto"/>
        <w:ind w:firstLine="720"/>
      </w:pPr>
      <w:r w:rsidRPr="00BC2531">
        <w:t xml:space="preserve">In Model 1, </w:t>
      </w:r>
      <w:r w:rsidR="00294594">
        <w:t xml:space="preserve">the control variables do not exhibit a statistically significant influence on investor reactions. This may be because we used the Fama-French </w:t>
      </w:r>
      <w:r w:rsidR="00367B8E">
        <w:t>p</w:t>
      </w:r>
      <w:r w:rsidR="00294594">
        <w:t xml:space="preserve">lus </w:t>
      </w:r>
      <w:r w:rsidR="00367B8E">
        <w:t>m</w:t>
      </w:r>
      <w:r w:rsidR="00294594">
        <w:t xml:space="preserve">omentum model to calculate cumulative abnormal returns, which defines returns as abnormal only after accounting for multiple risk factors and the momentum factor. We now turn to Models 2 through </w:t>
      </w:r>
      <w:r w:rsidR="00000D13">
        <w:t>6</w:t>
      </w:r>
      <w:r w:rsidR="00294594">
        <w:t xml:space="preserve"> to discuss our hypothesis testing results. </w:t>
      </w:r>
      <w:r w:rsidRPr="00BC2531">
        <w:t>First,</w:t>
      </w:r>
      <w:r>
        <w:rPr>
          <w:rFonts w:hint="eastAsia"/>
        </w:rPr>
        <w:t xml:space="preserve"> consistent with EVT</w:t>
      </w:r>
      <w:r w:rsidR="003A77AA">
        <w:rPr>
          <w:rFonts w:hint="eastAsia"/>
        </w:rPr>
        <w:t xml:space="preserve"> predictions</w:t>
      </w:r>
      <w:r>
        <w:rPr>
          <w:rFonts w:hint="eastAsia"/>
        </w:rPr>
        <w:t xml:space="preserve">, we found </w:t>
      </w:r>
      <w:r w:rsidR="00294594">
        <w:t xml:space="preserve">supportive evidence for our baseline hypothesis. The </w:t>
      </w:r>
      <w:r w:rsidR="00294594">
        <w:rPr>
          <w:rFonts w:hint="eastAsia"/>
        </w:rPr>
        <w:t>positive violation of predictive expectations (measured by positive material earnings surprises) leads to more favorable investor reactions (</w:t>
      </w:r>
      <w:r w:rsidR="00294594" w:rsidRPr="00BC2531">
        <w:rPr>
          <w:i/>
          <w:iCs/>
        </w:rPr>
        <w:sym w:font="Symbol" w:char="F062"/>
      </w:r>
      <w:r w:rsidR="00294594">
        <w:rPr>
          <w:rFonts w:hint="eastAsia"/>
          <w:i/>
          <w:iCs/>
        </w:rPr>
        <w:t xml:space="preserve"> </w:t>
      </w:r>
      <w:r w:rsidR="00294594" w:rsidRPr="00BC2531">
        <w:rPr>
          <w:i/>
          <w:iCs/>
        </w:rPr>
        <w:t>=</w:t>
      </w:r>
      <w:r w:rsidR="00294594">
        <w:rPr>
          <w:rFonts w:hint="eastAsia"/>
          <w:i/>
          <w:iCs/>
        </w:rPr>
        <w:t xml:space="preserve"> 0.00</w:t>
      </w:r>
      <w:r w:rsidR="00294594" w:rsidRPr="00BC2531">
        <w:rPr>
          <w:i/>
          <w:iCs/>
        </w:rPr>
        <w:t>, p</w:t>
      </w:r>
      <w:r w:rsidR="00294594">
        <w:rPr>
          <w:rFonts w:hint="eastAsia"/>
          <w:i/>
          <w:iCs/>
        </w:rPr>
        <w:t xml:space="preserve"> </w:t>
      </w:r>
      <w:r w:rsidR="00294594" w:rsidRPr="00BC2531">
        <w:rPr>
          <w:i/>
          <w:iCs/>
        </w:rPr>
        <w:t>&lt;</w:t>
      </w:r>
      <w:r w:rsidR="00294594">
        <w:rPr>
          <w:rFonts w:hint="eastAsia"/>
          <w:i/>
          <w:iCs/>
        </w:rPr>
        <w:t xml:space="preserve"> </w:t>
      </w:r>
      <w:r w:rsidR="00294594" w:rsidRPr="00BC2531">
        <w:rPr>
          <w:i/>
          <w:iCs/>
        </w:rPr>
        <w:t>0.0</w:t>
      </w:r>
      <w:r w:rsidR="00000D13">
        <w:rPr>
          <w:i/>
          <w:iCs/>
        </w:rPr>
        <w:t>1</w:t>
      </w:r>
      <w:r w:rsidR="00090BA3">
        <w:rPr>
          <w:rFonts w:hint="eastAsia"/>
        </w:rPr>
        <w:t xml:space="preserve"> in Model 2</w:t>
      </w:r>
      <w:r w:rsidR="00000D13">
        <w:t xml:space="preserve">; </w:t>
      </w:r>
      <w:r w:rsidR="00000D13" w:rsidRPr="00BC2531">
        <w:rPr>
          <w:i/>
          <w:iCs/>
        </w:rPr>
        <w:sym w:font="Symbol" w:char="F062"/>
      </w:r>
      <w:r w:rsidR="00000D13">
        <w:rPr>
          <w:rFonts w:hint="eastAsia"/>
          <w:i/>
          <w:iCs/>
        </w:rPr>
        <w:t xml:space="preserve"> </w:t>
      </w:r>
      <w:r w:rsidR="00000D13" w:rsidRPr="00BC2531">
        <w:rPr>
          <w:i/>
          <w:iCs/>
        </w:rPr>
        <w:t>=</w:t>
      </w:r>
      <w:r w:rsidR="00000D13">
        <w:rPr>
          <w:rFonts w:hint="eastAsia"/>
          <w:i/>
          <w:iCs/>
        </w:rPr>
        <w:t xml:space="preserve"> 0.00</w:t>
      </w:r>
      <w:r w:rsidR="00000D13" w:rsidRPr="00BC2531">
        <w:rPr>
          <w:i/>
          <w:iCs/>
        </w:rPr>
        <w:t>, p</w:t>
      </w:r>
      <w:r w:rsidR="00000D13">
        <w:rPr>
          <w:rFonts w:hint="eastAsia"/>
          <w:i/>
          <w:iCs/>
        </w:rPr>
        <w:t xml:space="preserve"> </w:t>
      </w:r>
      <w:r w:rsidR="00000D13" w:rsidRPr="00BC2531">
        <w:rPr>
          <w:i/>
          <w:iCs/>
        </w:rPr>
        <w:t>&lt;</w:t>
      </w:r>
      <w:r w:rsidR="00000D13">
        <w:rPr>
          <w:rFonts w:hint="eastAsia"/>
          <w:i/>
          <w:iCs/>
        </w:rPr>
        <w:t xml:space="preserve"> </w:t>
      </w:r>
      <w:r w:rsidR="00000D13" w:rsidRPr="00BC2531">
        <w:rPr>
          <w:i/>
          <w:iCs/>
        </w:rPr>
        <w:t>0.0</w:t>
      </w:r>
      <w:r w:rsidR="00000D13">
        <w:rPr>
          <w:i/>
          <w:iCs/>
        </w:rPr>
        <w:t>5</w:t>
      </w:r>
      <w:r w:rsidR="00000D13">
        <w:rPr>
          <w:rFonts w:hint="eastAsia"/>
        </w:rPr>
        <w:t xml:space="preserve"> in Model </w:t>
      </w:r>
      <w:r w:rsidR="00000D13">
        <w:t>6</w:t>
      </w:r>
      <w:r w:rsidR="00294594">
        <w:rPr>
          <w:rFonts w:hint="eastAsia"/>
        </w:rPr>
        <w:t>).</w:t>
      </w:r>
      <w:r w:rsidR="00AD7E80">
        <w:t xml:space="preserve"> </w:t>
      </w:r>
      <w:r w:rsidR="00AD7E80" w:rsidRPr="00AD7E80">
        <w:t xml:space="preserve">When a firm experiences a material positive surprise </w:t>
      </w:r>
      <w:proofErr w:type="gramStart"/>
      <w:r w:rsidR="00AD7E80" w:rsidRPr="00AD7E80">
        <w:t>in a given</w:t>
      </w:r>
      <w:proofErr w:type="gramEnd"/>
      <w:r w:rsidR="00AD7E80" w:rsidRPr="00AD7E80">
        <w:t xml:space="preserve"> quarter, a </w:t>
      </w:r>
      <w:r w:rsidR="00AD7E80" w:rsidRPr="00B43818">
        <w:t>one standard deviation increase</w:t>
      </w:r>
      <w:r w:rsidR="00AD7E80" w:rsidRPr="00AD7E80">
        <w:t xml:space="preserve"> in the magnitude of the surprise is associated with an approximate 0.</w:t>
      </w:r>
      <w:r w:rsidR="004E734E">
        <w:rPr>
          <w:rFonts w:hint="eastAsia"/>
        </w:rPr>
        <w:t>4</w:t>
      </w:r>
      <w:r w:rsidR="00000D13">
        <w:t>7</w:t>
      </w:r>
      <w:r w:rsidR="00AD7E80" w:rsidRPr="00AD7E80">
        <w:t xml:space="preserve"> percentage point increase in</w:t>
      </w:r>
      <w:r w:rsidR="00AD7E80">
        <w:t xml:space="preserve"> CAR on average</w:t>
      </w:r>
      <w:r w:rsidR="005211CE">
        <w:rPr>
          <w:rFonts w:hint="eastAsia"/>
        </w:rPr>
        <w:t>,</w:t>
      </w:r>
      <w:r w:rsidR="004E734E">
        <w:rPr>
          <w:rFonts w:hint="eastAsia"/>
        </w:rPr>
        <w:t xml:space="preserve"> </w:t>
      </w:r>
      <w:r w:rsidR="004E734E">
        <w:rPr>
          <w:rFonts w:hint="eastAsia"/>
        </w:rPr>
        <w:lastRenderedPageBreak/>
        <w:t>based on Model 2 results</w:t>
      </w:r>
      <w:r w:rsidR="001D23FD">
        <w:rPr>
          <w:rFonts w:hint="eastAsia"/>
        </w:rPr>
        <w:t>,</w:t>
      </w:r>
      <w:r w:rsidR="002869BC">
        <w:rPr>
          <w:rFonts w:hint="eastAsia"/>
        </w:rPr>
        <w:t xml:space="preserve"> </w:t>
      </w:r>
      <w:r w:rsidR="004E734E">
        <w:rPr>
          <w:rFonts w:hint="eastAsia"/>
        </w:rPr>
        <w:t xml:space="preserve">and a 0.28 percentage point increase </w:t>
      </w:r>
      <w:r w:rsidR="005211CE">
        <w:rPr>
          <w:rFonts w:hint="eastAsia"/>
        </w:rPr>
        <w:t>in</w:t>
      </w:r>
      <w:r w:rsidR="001D23FD">
        <w:rPr>
          <w:rFonts w:hint="eastAsia"/>
        </w:rPr>
        <w:t xml:space="preserve"> the fully saturated model</w:t>
      </w:r>
      <w:r w:rsidR="00E9009E">
        <w:rPr>
          <w:rStyle w:val="FootnoteReference"/>
        </w:rPr>
        <w:footnoteReference w:id="5"/>
      </w:r>
      <w:r w:rsidR="00AD7E80">
        <w:t>.</w:t>
      </w:r>
      <w:r w:rsidR="00294594">
        <w:rPr>
          <w:rFonts w:hint="eastAsia"/>
        </w:rPr>
        <w:t xml:space="preserve"> </w:t>
      </w:r>
      <w:r w:rsidR="001E313B">
        <w:t>In a similar vein</w:t>
      </w:r>
      <w:r w:rsidR="00294594">
        <w:rPr>
          <w:rFonts w:hint="eastAsia"/>
        </w:rPr>
        <w:t xml:space="preserve">, negative violation of predictive expectations (measured by negative material earnings surprises) leads to more negative investor reactions </w:t>
      </w:r>
      <w:bookmarkStart w:id="26" w:name="OLE_LINK21"/>
      <w:r w:rsidR="00294594">
        <w:rPr>
          <w:rFonts w:hint="eastAsia"/>
        </w:rPr>
        <w:t>(</w:t>
      </w:r>
      <w:r w:rsidR="00294594" w:rsidRPr="00BC2531">
        <w:rPr>
          <w:i/>
          <w:iCs/>
        </w:rPr>
        <w:sym w:font="Symbol" w:char="F062"/>
      </w:r>
      <w:r w:rsidR="00294594">
        <w:rPr>
          <w:rFonts w:hint="eastAsia"/>
          <w:i/>
          <w:iCs/>
        </w:rPr>
        <w:t xml:space="preserve"> </w:t>
      </w:r>
      <w:r w:rsidR="00294594" w:rsidRPr="00BC2531">
        <w:rPr>
          <w:i/>
          <w:iCs/>
        </w:rPr>
        <w:t>=</w:t>
      </w:r>
      <w:r w:rsidR="00294594">
        <w:rPr>
          <w:rFonts w:hint="eastAsia"/>
          <w:i/>
          <w:iCs/>
        </w:rPr>
        <w:t xml:space="preserve"> - 0.00</w:t>
      </w:r>
      <w:r w:rsidR="00294594" w:rsidRPr="00BC2531">
        <w:rPr>
          <w:i/>
          <w:iCs/>
        </w:rPr>
        <w:t>, p</w:t>
      </w:r>
      <w:r w:rsidR="00294594">
        <w:rPr>
          <w:rFonts w:hint="eastAsia"/>
          <w:i/>
          <w:iCs/>
        </w:rPr>
        <w:t xml:space="preserve"> </w:t>
      </w:r>
      <w:r w:rsidR="00294594" w:rsidRPr="00BC2531">
        <w:rPr>
          <w:i/>
          <w:iCs/>
        </w:rPr>
        <w:t>&lt;</w:t>
      </w:r>
      <w:r w:rsidR="00294594">
        <w:rPr>
          <w:rFonts w:hint="eastAsia"/>
          <w:i/>
          <w:iCs/>
        </w:rPr>
        <w:t xml:space="preserve"> </w:t>
      </w:r>
      <w:r w:rsidR="00294594" w:rsidRPr="00BC2531">
        <w:rPr>
          <w:i/>
          <w:iCs/>
        </w:rPr>
        <w:t>0.0</w:t>
      </w:r>
      <w:r w:rsidR="003807FF">
        <w:rPr>
          <w:rFonts w:hint="eastAsia"/>
          <w:i/>
          <w:iCs/>
        </w:rPr>
        <w:t>5</w:t>
      </w:r>
      <w:r w:rsidR="00090BA3">
        <w:rPr>
          <w:rFonts w:hint="eastAsia"/>
          <w:i/>
          <w:iCs/>
        </w:rPr>
        <w:t xml:space="preserve"> </w:t>
      </w:r>
      <w:r w:rsidR="00090BA3">
        <w:rPr>
          <w:rFonts w:hint="eastAsia"/>
        </w:rPr>
        <w:t>in Model 2</w:t>
      </w:r>
      <w:r w:rsidR="00294594">
        <w:rPr>
          <w:rFonts w:hint="eastAsia"/>
        </w:rPr>
        <w:t>)</w:t>
      </w:r>
      <w:bookmarkEnd w:id="26"/>
      <w:r w:rsidR="00294594">
        <w:rPr>
          <w:rFonts w:hint="eastAsia"/>
        </w:rPr>
        <w:t>.</w:t>
      </w:r>
      <w:r w:rsidR="00294594">
        <w:t xml:space="preserve"> </w:t>
      </w:r>
      <w:r w:rsidR="00AD7E80" w:rsidRPr="00AD7E80">
        <w:t xml:space="preserve">When a firm experiences a material </w:t>
      </w:r>
      <w:r w:rsidR="00AD7E80">
        <w:t>negative</w:t>
      </w:r>
      <w:r w:rsidR="00AD7E80" w:rsidRPr="00AD7E80">
        <w:t xml:space="preserve"> surprise </w:t>
      </w:r>
      <w:proofErr w:type="gramStart"/>
      <w:r w:rsidR="00AD7E80" w:rsidRPr="00AD7E80">
        <w:t>in a given</w:t>
      </w:r>
      <w:proofErr w:type="gramEnd"/>
      <w:r w:rsidR="00AD7E80" w:rsidRPr="00AD7E80">
        <w:t xml:space="preserve"> quarter, a </w:t>
      </w:r>
      <w:r w:rsidR="00AD7E80" w:rsidRPr="00B43818">
        <w:t>one standard deviation</w:t>
      </w:r>
      <w:r w:rsidR="00AD7E80" w:rsidRPr="00AD7E80">
        <w:t xml:space="preserve"> increase in the magnitude of the surprise </w:t>
      </w:r>
      <w:r w:rsidR="003337EF" w:rsidRPr="003337EF">
        <w:t>is associated with an average 0.</w:t>
      </w:r>
      <w:r w:rsidR="00674088">
        <w:t>2</w:t>
      </w:r>
      <w:r w:rsidR="00000D13">
        <w:t>6</w:t>
      </w:r>
      <w:r w:rsidR="003337EF" w:rsidRPr="003337EF">
        <w:t xml:space="preserve"> percentage point decrease in CAR</w:t>
      </w:r>
      <w:r w:rsidR="005211CE">
        <w:rPr>
          <w:rFonts w:hint="eastAsia"/>
        </w:rPr>
        <w:t xml:space="preserve"> based on Model 2 results</w:t>
      </w:r>
      <w:r w:rsidR="00AD7E80">
        <w:t>.</w:t>
      </w:r>
      <w:r w:rsidR="00902B07">
        <w:t xml:space="preserve"> These findings align with prior research indicating that investors typically react more strongly to positive surprises than to negative ones</w:t>
      </w:r>
      <w:r w:rsidR="00902B07" w:rsidRPr="00FC4E0A">
        <w:t xml:space="preserve"> </w:t>
      </w:r>
      <w:r w:rsidR="00902B07">
        <w:t>(</w:t>
      </w:r>
      <w:r w:rsidR="00902B07" w:rsidRPr="001C048A">
        <w:t>e.g., Easterwood &amp; Nutt, 1999; Pinello, 2008</w:t>
      </w:r>
      <w:r w:rsidR="00902B07">
        <w:t>).</w:t>
      </w:r>
    </w:p>
    <w:p w14:paraId="0779A4A4" w14:textId="5A498E52" w:rsidR="00B80C35" w:rsidRDefault="005C40DD" w:rsidP="00D837CE">
      <w:pPr>
        <w:spacing w:line="480" w:lineRule="auto"/>
        <w:ind w:firstLine="720"/>
      </w:pPr>
      <w:r w:rsidRPr="00252F57">
        <w:t>For Hypothesis 1, we predicted that if the current earnings surprise falls short of the</w:t>
      </w:r>
      <w:r>
        <w:t xml:space="preserve"> prescriptive expectation based on </w:t>
      </w:r>
      <w:r w:rsidR="00D837CE">
        <w:t>the firm’s past performance</w:t>
      </w:r>
      <w:r>
        <w:t>, investors would react more negatively</w:t>
      </w:r>
      <w:r w:rsidR="00502D3E">
        <w:t xml:space="preserve"> to the earnings announcement</w:t>
      </w:r>
      <w:r>
        <w:t xml:space="preserve">. In both the stepwise and full models, </w:t>
      </w:r>
      <w:r w:rsidR="00462E61">
        <w:rPr>
          <w:rFonts w:hint="eastAsia"/>
        </w:rPr>
        <w:t>we found supportive evidence for this hypothesis. O</w:t>
      </w:r>
      <w:r>
        <w:t xml:space="preserve">ur measure capturing negative violations of prescriptive expectation based on </w:t>
      </w:r>
      <w:r w:rsidR="00D837CE">
        <w:t>past performance</w:t>
      </w:r>
      <w:r w:rsidR="001F5DF2">
        <w:t xml:space="preserve"> </w:t>
      </w:r>
      <w:r>
        <w:t>exhibit</w:t>
      </w:r>
      <w:r w:rsidR="00852DB6">
        <w:t>ed</w:t>
      </w:r>
      <w:r>
        <w:t xml:space="preserve"> a negative and statistically significant effect on </w:t>
      </w:r>
      <w:r w:rsidR="00D837CE">
        <w:t>investor reactions</w:t>
      </w:r>
      <w:r>
        <w:rPr>
          <w:rFonts w:hint="eastAsia"/>
        </w:rPr>
        <w:t xml:space="preserve"> (</w:t>
      </w:r>
      <w:r w:rsidRPr="00BC2531">
        <w:rPr>
          <w:i/>
          <w:iCs/>
        </w:rPr>
        <w:sym w:font="Symbol" w:char="F062"/>
      </w:r>
      <w:r>
        <w:rPr>
          <w:rFonts w:hint="eastAsia"/>
          <w:i/>
          <w:iCs/>
        </w:rPr>
        <w:t xml:space="preserve"> </w:t>
      </w:r>
      <w:r w:rsidRPr="00BC2531">
        <w:rPr>
          <w:i/>
          <w:iCs/>
        </w:rPr>
        <w:t>=</w:t>
      </w:r>
      <w:r>
        <w:rPr>
          <w:rFonts w:hint="eastAsia"/>
          <w:i/>
          <w:iCs/>
        </w:rPr>
        <w:t xml:space="preserve"> - 0.02</w:t>
      </w:r>
      <w:r w:rsidRPr="00BC2531">
        <w:rPr>
          <w:i/>
          <w:iCs/>
        </w:rPr>
        <w:t>, p</w:t>
      </w:r>
      <w:r>
        <w:rPr>
          <w:rFonts w:hint="eastAsia"/>
          <w:i/>
          <w:iCs/>
        </w:rPr>
        <w:t xml:space="preserve"> </w:t>
      </w:r>
      <w:r w:rsidRPr="00BC2531">
        <w:rPr>
          <w:i/>
          <w:iCs/>
        </w:rPr>
        <w:t>&lt;</w:t>
      </w:r>
      <w:r>
        <w:rPr>
          <w:rFonts w:hint="eastAsia"/>
          <w:i/>
          <w:iCs/>
        </w:rPr>
        <w:t xml:space="preserve"> </w:t>
      </w:r>
      <w:r w:rsidRPr="00BC2531">
        <w:rPr>
          <w:i/>
          <w:iCs/>
        </w:rPr>
        <w:t>0.</w:t>
      </w:r>
      <w:r>
        <w:rPr>
          <w:rFonts w:hint="eastAsia"/>
          <w:i/>
          <w:iCs/>
        </w:rPr>
        <w:t>0</w:t>
      </w:r>
      <w:r w:rsidR="00D837CE">
        <w:rPr>
          <w:i/>
          <w:iCs/>
        </w:rPr>
        <w:t>0</w:t>
      </w:r>
      <w:r w:rsidR="00000D13">
        <w:rPr>
          <w:i/>
          <w:iCs/>
        </w:rPr>
        <w:t>1</w:t>
      </w:r>
      <w:r>
        <w:rPr>
          <w:rFonts w:hint="eastAsia"/>
          <w:i/>
          <w:iCs/>
        </w:rPr>
        <w:t xml:space="preserve"> </w:t>
      </w:r>
      <w:r>
        <w:rPr>
          <w:rFonts w:hint="eastAsia"/>
        </w:rPr>
        <w:t xml:space="preserve">in Model </w:t>
      </w:r>
      <w:r w:rsidR="00D837CE">
        <w:t>3</w:t>
      </w:r>
      <w:r>
        <w:rPr>
          <w:rFonts w:hint="eastAsia"/>
        </w:rPr>
        <w:t xml:space="preserve">; </w:t>
      </w:r>
      <w:r w:rsidRPr="00BC2531">
        <w:rPr>
          <w:i/>
          <w:iCs/>
        </w:rPr>
        <w:sym w:font="Symbol" w:char="F062"/>
      </w:r>
      <w:r>
        <w:rPr>
          <w:rFonts w:hint="eastAsia"/>
          <w:i/>
          <w:iCs/>
        </w:rPr>
        <w:t xml:space="preserve"> </w:t>
      </w:r>
      <w:r w:rsidRPr="00BC2531">
        <w:rPr>
          <w:i/>
          <w:iCs/>
        </w:rPr>
        <w:t>=</w:t>
      </w:r>
      <w:r>
        <w:rPr>
          <w:rFonts w:hint="eastAsia"/>
          <w:i/>
          <w:iCs/>
        </w:rPr>
        <w:t xml:space="preserve"> - 0.02</w:t>
      </w:r>
      <w:r w:rsidRPr="00BC2531">
        <w:rPr>
          <w:i/>
          <w:iCs/>
        </w:rPr>
        <w:t>, p</w:t>
      </w:r>
      <w:r>
        <w:rPr>
          <w:rFonts w:hint="eastAsia"/>
          <w:i/>
          <w:iCs/>
        </w:rPr>
        <w:t xml:space="preserve"> </w:t>
      </w:r>
      <w:r w:rsidRPr="00BC2531">
        <w:rPr>
          <w:i/>
          <w:iCs/>
        </w:rPr>
        <w:t>&lt;</w:t>
      </w:r>
      <w:r>
        <w:rPr>
          <w:rFonts w:hint="eastAsia"/>
          <w:i/>
          <w:iCs/>
        </w:rPr>
        <w:t xml:space="preserve"> </w:t>
      </w:r>
      <w:r w:rsidRPr="00BC2531">
        <w:rPr>
          <w:i/>
          <w:iCs/>
        </w:rPr>
        <w:t>0.</w:t>
      </w:r>
      <w:r>
        <w:rPr>
          <w:rFonts w:hint="eastAsia"/>
          <w:i/>
          <w:iCs/>
        </w:rPr>
        <w:t>0</w:t>
      </w:r>
      <w:r w:rsidR="00D837CE">
        <w:rPr>
          <w:i/>
          <w:iCs/>
        </w:rPr>
        <w:t>0</w:t>
      </w:r>
      <w:r w:rsidR="00000D13">
        <w:rPr>
          <w:i/>
          <w:iCs/>
        </w:rPr>
        <w:t>1</w:t>
      </w:r>
      <w:r>
        <w:rPr>
          <w:rFonts w:hint="eastAsia"/>
          <w:i/>
          <w:iCs/>
        </w:rPr>
        <w:t xml:space="preserve"> </w:t>
      </w:r>
      <w:r>
        <w:rPr>
          <w:rFonts w:hint="eastAsia"/>
        </w:rPr>
        <w:t xml:space="preserve">in Model </w:t>
      </w:r>
      <w:r w:rsidR="00000D13">
        <w:t>6</w:t>
      </w:r>
      <w:r>
        <w:rPr>
          <w:rFonts w:hint="eastAsia"/>
        </w:rPr>
        <w:t xml:space="preserve">). </w:t>
      </w:r>
      <w:bookmarkStart w:id="27" w:name="OLE_LINK38"/>
      <w:r w:rsidR="00674088" w:rsidRPr="00674088">
        <w:t>Specifically, when a firm</w:t>
      </w:r>
      <w:r w:rsidR="00B80C35">
        <w:t>’</w:t>
      </w:r>
      <w:r w:rsidR="00674088" w:rsidRPr="00674088">
        <w:t xml:space="preserve">s earnings surprise falls below that of the previous quarter, compared to cases where it </w:t>
      </w:r>
      <w:r w:rsidR="00252F57">
        <w:t xml:space="preserve">meets or </w:t>
      </w:r>
      <w:r w:rsidR="00674088" w:rsidRPr="00674088">
        <w:t xml:space="preserve">exceeds the prior quarter’s surprise, it is associated with an </w:t>
      </w:r>
      <w:r w:rsidR="00674088">
        <w:t>average</w:t>
      </w:r>
      <w:r w:rsidR="003337EF" w:rsidRPr="00BC2531">
        <w:t xml:space="preserve"> </w:t>
      </w:r>
      <w:r w:rsidR="00674088">
        <w:t>2.</w:t>
      </w:r>
      <w:r w:rsidR="00000D13">
        <w:t>19</w:t>
      </w:r>
      <w:r w:rsidR="003337EF">
        <w:t xml:space="preserve"> percentage point decrease </w:t>
      </w:r>
      <w:r w:rsidR="003337EF" w:rsidRPr="00BC2531">
        <w:t>in CAR</w:t>
      </w:r>
      <w:r w:rsidR="0055558B">
        <w:rPr>
          <w:rFonts w:hint="eastAsia"/>
        </w:rPr>
        <w:t xml:space="preserve"> based on Model 3 results</w:t>
      </w:r>
      <w:r w:rsidR="005211CE">
        <w:rPr>
          <w:rFonts w:hint="eastAsia"/>
        </w:rPr>
        <w:t>, and an average 1.</w:t>
      </w:r>
      <w:r w:rsidR="00000D13">
        <w:t>77</w:t>
      </w:r>
      <w:r w:rsidR="005211CE">
        <w:rPr>
          <w:rFonts w:hint="eastAsia"/>
        </w:rPr>
        <w:t xml:space="preserve"> </w:t>
      </w:r>
      <w:r w:rsidR="005211CE">
        <w:t>percentage point decrease</w:t>
      </w:r>
      <w:r w:rsidR="005211CE">
        <w:rPr>
          <w:rFonts w:hint="eastAsia"/>
        </w:rPr>
        <w:t xml:space="preserve"> in </w:t>
      </w:r>
      <w:r w:rsidR="005211CE">
        <w:t>the</w:t>
      </w:r>
      <w:r w:rsidR="005211CE">
        <w:rPr>
          <w:rFonts w:hint="eastAsia"/>
        </w:rPr>
        <w:t xml:space="preserve"> full model</w:t>
      </w:r>
      <w:r w:rsidR="003337EF" w:rsidRPr="00BC2531">
        <w:t>.</w:t>
      </w:r>
      <w:bookmarkEnd w:id="27"/>
      <w:r w:rsidR="003337EF" w:rsidRPr="00BC2531">
        <w:t xml:space="preserve"> </w:t>
      </w:r>
    </w:p>
    <w:p w14:paraId="63C5E52E" w14:textId="4BA8E16A" w:rsidR="00D837CE" w:rsidRDefault="008968AB" w:rsidP="00D837CE">
      <w:pPr>
        <w:spacing w:line="480" w:lineRule="auto"/>
        <w:ind w:firstLine="720"/>
      </w:pPr>
      <w:r>
        <w:t xml:space="preserve">The </w:t>
      </w:r>
      <w:r w:rsidR="00502D3E">
        <w:t xml:space="preserve">results </w:t>
      </w:r>
      <w:r>
        <w:t xml:space="preserve">similarly supported </w:t>
      </w:r>
      <w:r w:rsidR="00462E61">
        <w:t xml:space="preserve">Hypothesis 2. </w:t>
      </w:r>
      <w:r w:rsidR="00502D3E">
        <w:t>O</w:t>
      </w:r>
      <w:r w:rsidR="00462E61">
        <w:t xml:space="preserve">ur measure for negative violations of prescriptive expectation based on peer </w:t>
      </w:r>
      <w:r w:rsidR="001F5DF2">
        <w:t>comparisons</w:t>
      </w:r>
      <w:r w:rsidR="00462E61">
        <w:t xml:space="preserve"> show</w:t>
      </w:r>
      <w:r w:rsidR="00852DB6">
        <w:t>ed</w:t>
      </w:r>
      <w:r w:rsidR="00462E61">
        <w:t xml:space="preserve"> a negative and statistically significant impact on </w:t>
      </w:r>
      <w:r w:rsidR="00D837CE">
        <w:t>investor reactions</w:t>
      </w:r>
      <w:r w:rsidR="005C40DD">
        <w:rPr>
          <w:rFonts w:hint="eastAsia"/>
        </w:rPr>
        <w:t xml:space="preserve"> (</w:t>
      </w:r>
      <w:r w:rsidR="005C40DD" w:rsidRPr="00BC2531">
        <w:rPr>
          <w:i/>
          <w:iCs/>
        </w:rPr>
        <w:sym w:font="Symbol" w:char="F062"/>
      </w:r>
      <w:r w:rsidR="005C40DD">
        <w:rPr>
          <w:rFonts w:hint="eastAsia"/>
          <w:i/>
          <w:iCs/>
        </w:rPr>
        <w:t xml:space="preserve"> </w:t>
      </w:r>
      <w:r w:rsidR="005C40DD" w:rsidRPr="00BC2531">
        <w:rPr>
          <w:i/>
          <w:iCs/>
        </w:rPr>
        <w:t>=</w:t>
      </w:r>
      <w:r w:rsidR="005C40DD">
        <w:rPr>
          <w:rFonts w:hint="eastAsia"/>
          <w:i/>
          <w:iCs/>
        </w:rPr>
        <w:t xml:space="preserve"> - 0.02</w:t>
      </w:r>
      <w:r w:rsidR="005C40DD" w:rsidRPr="00BC2531">
        <w:rPr>
          <w:i/>
          <w:iCs/>
        </w:rPr>
        <w:t>, p</w:t>
      </w:r>
      <w:r w:rsidR="005C40DD">
        <w:rPr>
          <w:rFonts w:hint="eastAsia"/>
          <w:i/>
          <w:iCs/>
        </w:rPr>
        <w:t xml:space="preserve"> </w:t>
      </w:r>
      <w:r w:rsidR="005C40DD" w:rsidRPr="00BC2531">
        <w:rPr>
          <w:i/>
          <w:iCs/>
        </w:rPr>
        <w:t>&lt;</w:t>
      </w:r>
      <w:r w:rsidR="005C40DD">
        <w:rPr>
          <w:rFonts w:hint="eastAsia"/>
          <w:i/>
          <w:iCs/>
        </w:rPr>
        <w:t xml:space="preserve"> </w:t>
      </w:r>
      <w:r w:rsidR="005C40DD" w:rsidRPr="00BC2531">
        <w:rPr>
          <w:i/>
          <w:iCs/>
        </w:rPr>
        <w:t>0.</w:t>
      </w:r>
      <w:r w:rsidR="005C40DD">
        <w:rPr>
          <w:rFonts w:hint="eastAsia"/>
          <w:i/>
          <w:iCs/>
        </w:rPr>
        <w:t>0</w:t>
      </w:r>
      <w:r w:rsidR="00000D13">
        <w:rPr>
          <w:i/>
          <w:iCs/>
        </w:rPr>
        <w:t>0</w:t>
      </w:r>
      <w:r w:rsidR="005C40DD">
        <w:rPr>
          <w:rFonts w:hint="eastAsia"/>
          <w:i/>
          <w:iCs/>
        </w:rPr>
        <w:t xml:space="preserve">1 </w:t>
      </w:r>
      <w:r w:rsidR="005C40DD">
        <w:rPr>
          <w:rFonts w:hint="eastAsia"/>
        </w:rPr>
        <w:t xml:space="preserve">in Model </w:t>
      </w:r>
      <w:r w:rsidR="00D837CE">
        <w:t>4</w:t>
      </w:r>
      <w:r w:rsidR="005C40DD">
        <w:rPr>
          <w:rFonts w:hint="eastAsia"/>
        </w:rPr>
        <w:t xml:space="preserve">; </w:t>
      </w:r>
      <w:r w:rsidR="005C40DD" w:rsidRPr="00BC2531">
        <w:rPr>
          <w:i/>
          <w:iCs/>
        </w:rPr>
        <w:sym w:font="Symbol" w:char="F062"/>
      </w:r>
      <w:r w:rsidR="005C40DD">
        <w:rPr>
          <w:rFonts w:hint="eastAsia"/>
          <w:i/>
          <w:iCs/>
        </w:rPr>
        <w:t xml:space="preserve"> </w:t>
      </w:r>
      <w:r w:rsidR="005C40DD" w:rsidRPr="00BC2531">
        <w:rPr>
          <w:i/>
          <w:iCs/>
        </w:rPr>
        <w:t>=</w:t>
      </w:r>
      <w:r w:rsidR="005C40DD">
        <w:rPr>
          <w:rFonts w:hint="eastAsia"/>
          <w:i/>
          <w:iCs/>
        </w:rPr>
        <w:t xml:space="preserve"> - 0.02</w:t>
      </w:r>
      <w:r w:rsidR="005C40DD" w:rsidRPr="00BC2531">
        <w:rPr>
          <w:i/>
          <w:iCs/>
        </w:rPr>
        <w:t>, p</w:t>
      </w:r>
      <w:r w:rsidR="005C40DD">
        <w:rPr>
          <w:rFonts w:hint="eastAsia"/>
          <w:i/>
          <w:iCs/>
        </w:rPr>
        <w:t xml:space="preserve"> </w:t>
      </w:r>
      <w:r w:rsidR="005C40DD" w:rsidRPr="00BC2531">
        <w:rPr>
          <w:i/>
          <w:iCs/>
        </w:rPr>
        <w:t>&lt;</w:t>
      </w:r>
      <w:r w:rsidR="005C40DD">
        <w:rPr>
          <w:rFonts w:hint="eastAsia"/>
          <w:i/>
          <w:iCs/>
        </w:rPr>
        <w:t xml:space="preserve"> </w:t>
      </w:r>
      <w:r w:rsidR="005C40DD" w:rsidRPr="00BC2531">
        <w:rPr>
          <w:i/>
          <w:iCs/>
        </w:rPr>
        <w:t>0.</w:t>
      </w:r>
      <w:r w:rsidR="005C40DD">
        <w:rPr>
          <w:rFonts w:hint="eastAsia"/>
          <w:i/>
          <w:iCs/>
        </w:rPr>
        <w:t>0</w:t>
      </w:r>
      <w:r w:rsidR="00000D13">
        <w:rPr>
          <w:i/>
          <w:iCs/>
        </w:rPr>
        <w:t>0</w:t>
      </w:r>
      <w:r w:rsidR="005C40DD">
        <w:rPr>
          <w:rFonts w:hint="eastAsia"/>
          <w:i/>
          <w:iCs/>
        </w:rPr>
        <w:t xml:space="preserve">1 </w:t>
      </w:r>
      <w:r w:rsidR="005C40DD">
        <w:rPr>
          <w:rFonts w:hint="eastAsia"/>
        </w:rPr>
        <w:lastRenderedPageBreak/>
        <w:t xml:space="preserve">in Model </w:t>
      </w:r>
      <w:r w:rsidR="00000D13">
        <w:t>6</w:t>
      </w:r>
      <w:r w:rsidR="005C40DD">
        <w:rPr>
          <w:rFonts w:hint="eastAsia"/>
        </w:rPr>
        <w:t>)</w:t>
      </w:r>
      <w:r w:rsidR="00462E61">
        <w:rPr>
          <w:rFonts w:hint="eastAsia"/>
        </w:rPr>
        <w:t>.</w:t>
      </w:r>
      <w:r w:rsidR="00674088">
        <w:t xml:space="preserve"> </w:t>
      </w:r>
      <w:r w:rsidR="00E0279D">
        <w:t>This indicates that when a firm</w:t>
      </w:r>
      <w:r w:rsidR="00B80C35">
        <w:t>’</w:t>
      </w:r>
      <w:r w:rsidR="00E0279D">
        <w:t xml:space="preserve">s earnings surprise falls below the industry average, compared to cases where it </w:t>
      </w:r>
      <w:r w:rsidR="00252F57">
        <w:t xml:space="preserve">meets or </w:t>
      </w:r>
      <w:r w:rsidR="00E0279D">
        <w:t>exceeds the industry average, it is associated with an average 2.1</w:t>
      </w:r>
      <w:r w:rsidR="007A12B8">
        <w:t>4</w:t>
      </w:r>
      <w:r w:rsidR="00E0279D">
        <w:t xml:space="preserve"> percentage point decrease </w:t>
      </w:r>
      <w:r w:rsidR="00E0279D" w:rsidRPr="00BC2531">
        <w:t>in CAR</w:t>
      </w:r>
      <w:r w:rsidR="0055558B">
        <w:rPr>
          <w:rFonts w:hint="eastAsia"/>
        </w:rPr>
        <w:t xml:space="preserve"> based on Model 4 results</w:t>
      </w:r>
      <w:r w:rsidR="005211CE">
        <w:rPr>
          <w:rFonts w:hint="eastAsia"/>
        </w:rPr>
        <w:t>, and an average 1.6</w:t>
      </w:r>
      <w:r w:rsidR="007A12B8">
        <w:t>4</w:t>
      </w:r>
      <w:r w:rsidR="005211CE">
        <w:rPr>
          <w:rFonts w:hint="eastAsia"/>
        </w:rPr>
        <w:t xml:space="preserve"> </w:t>
      </w:r>
      <w:r w:rsidR="005211CE">
        <w:t>percentage point decrease</w:t>
      </w:r>
      <w:r w:rsidR="005211CE">
        <w:rPr>
          <w:rFonts w:hint="eastAsia"/>
        </w:rPr>
        <w:t xml:space="preserve"> in </w:t>
      </w:r>
      <w:r w:rsidR="005211CE">
        <w:t>the</w:t>
      </w:r>
      <w:r w:rsidR="005211CE">
        <w:rPr>
          <w:rFonts w:hint="eastAsia"/>
        </w:rPr>
        <w:t xml:space="preserve"> full model</w:t>
      </w:r>
      <w:r w:rsidR="00E0279D">
        <w:t>.</w:t>
      </w:r>
    </w:p>
    <w:p w14:paraId="396B14D0" w14:textId="2FF206FC" w:rsidR="007A12B8" w:rsidRDefault="00B021C9" w:rsidP="00EF21FE">
      <w:pPr>
        <w:spacing w:line="480" w:lineRule="auto"/>
        <w:ind w:firstLine="720"/>
      </w:pPr>
      <w:bookmarkStart w:id="28" w:name="OLE_LINK47"/>
      <w:r w:rsidRPr="005F59DC">
        <w:t xml:space="preserve">Hypothesis 3 predicted that </w:t>
      </w:r>
      <w:r w:rsidR="007A12B8" w:rsidRPr="005F59DC">
        <w:t>negative prospective expecta</w:t>
      </w:r>
      <w:r w:rsidR="00B96EC6" w:rsidRPr="005F59DC">
        <w:t>ncy</w:t>
      </w:r>
      <w:r w:rsidR="007A12B8" w:rsidRPr="005F59DC">
        <w:t xml:space="preserve"> violation</w:t>
      </w:r>
      <w:r w:rsidR="00F753CA" w:rsidRPr="005F59DC">
        <w:t>s would elicit more negative investor reactions, and vice versa</w:t>
      </w:r>
      <w:r w:rsidR="007A12B8" w:rsidRPr="005F59DC">
        <w:t xml:space="preserve">. </w:t>
      </w:r>
      <w:r w:rsidR="00E72CBA" w:rsidRPr="005F59DC">
        <w:t>We tested this using percentage changes in Tobin’s Q as our measure, where a positive value reflects an upward update in investors’ prospective expectations as the earnings announcement approaches.</w:t>
      </w:r>
      <w:r w:rsidR="00E72CBA" w:rsidRPr="00E72CBA">
        <w:t xml:space="preserve"> The results provide</w:t>
      </w:r>
      <w:r w:rsidR="00502D3E">
        <w:t>d</w:t>
      </w:r>
      <w:r w:rsidR="00E72CBA" w:rsidRPr="00E72CBA">
        <w:t xml:space="preserve"> support for the hypothesis</w:t>
      </w:r>
      <w:r w:rsidR="006B1418">
        <w:t>. In both Model 5 and Model 6, a positive (negative) change in Tobin’s Q is significantly associated with a more positive (negative) investor response</w:t>
      </w:r>
      <w:r w:rsidR="006B1418">
        <w:rPr>
          <w:rFonts w:hint="eastAsia"/>
        </w:rPr>
        <w:t xml:space="preserve"> </w:t>
      </w:r>
      <w:r w:rsidR="00F753CA">
        <w:rPr>
          <w:rFonts w:hint="eastAsia"/>
        </w:rPr>
        <w:t>(</w:t>
      </w:r>
      <w:r w:rsidR="00F753CA" w:rsidRPr="00BC2531">
        <w:rPr>
          <w:i/>
          <w:iCs/>
        </w:rPr>
        <w:sym w:font="Symbol" w:char="F062"/>
      </w:r>
      <w:r w:rsidR="00F753CA">
        <w:rPr>
          <w:rFonts w:hint="eastAsia"/>
          <w:i/>
          <w:iCs/>
        </w:rPr>
        <w:t xml:space="preserve"> </w:t>
      </w:r>
      <w:r w:rsidR="00F753CA" w:rsidRPr="00BC2531">
        <w:rPr>
          <w:i/>
          <w:iCs/>
        </w:rPr>
        <w:t>=</w:t>
      </w:r>
      <w:r w:rsidR="00F753CA">
        <w:rPr>
          <w:rFonts w:hint="eastAsia"/>
          <w:i/>
          <w:iCs/>
        </w:rPr>
        <w:t xml:space="preserve"> </w:t>
      </w:r>
      <w:r w:rsidR="00F753CA">
        <w:rPr>
          <w:i/>
          <w:iCs/>
        </w:rPr>
        <w:t>0.21</w:t>
      </w:r>
      <w:r w:rsidR="00F753CA" w:rsidRPr="00BC2531">
        <w:rPr>
          <w:i/>
          <w:iCs/>
        </w:rPr>
        <w:t>, p</w:t>
      </w:r>
      <w:r w:rsidR="00F753CA">
        <w:rPr>
          <w:rFonts w:hint="eastAsia"/>
          <w:i/>
          <w:iCs/>
        </w:rPr>
        <w:t xml:space="preserve"> </w:t>
      </w:r>
      <w:r w:rsidR="00F753CA" w:rsidRPr="00BC2531">
        <w:rPr>
          <w:i/>
          <w:iCs/>
        </w:rPr>
        <w:t>&lt;</w:t>
      </w:r>
      <w:r w:rsidR="00F753CA">
        <w:rPr>
          <w:rFonts w:hint="eastAsia"/>
          <w:i/>
          <w:iCs/>
        </w:rPr>
        <w:t xml:space="preserve"> </w:t>
      </w:r>
      <w:r w:rsidR="00F753CA" w:rsidRPr="00BC2531">
        <w:rPr>
          <w:i/>
          <w:iCs/>
        </w:rPr>
        <w:t>0.</w:t>
      </w:r>
      <w:r w:rsidR="00F753CA">
        <w:rPr>
          <w:rFonts w:hint="eastAsia"/>
          <w:i/>
          <w:iCs/>
        </w:rPr>
        <w:t>0</w:t>
      </w:r>
      <w:r w:rsidR="00F753CA">
        <w:rPr>
          <w:i/>
          <w:iCs/>
        </w:rPr>
        <w:t>0</w:t>
      </w:r>
      <w:r w:rsidR="00F753CA">
        <w:rPr>
          <w:rFonts w:hint="eastAsia"/>
          <w:i/>
          <w:iCs/>
        </w:rPr>
        <w:t xml:space="preserve">1 </w:t>
      </w:r>
      <w:r w:rsidR="00F753CA">
        <w:rPr>
          <w:rFonts w:hint="eastAsia"/>
        </w:rPr>
        <w:t xml:space="preserve">in Model </w:t>
      </w:r>
      <w:r w:rsidR="00F753CA">
        <w:t>5</w:t>
      </w:r>
      <w:r w:rsidR="00F753CA">
        <w:rPr>
          <w:rFonts w:hint="eastAsia"/>
        </w:rPr>
        <w:t xml:space="preserve">; </w:t>
      </w:r>
      <w:r w:rsidR="00F753CA" w:rsidRPr="00BC2531">
        <w:rPr>
          <w:i/>
          <w:iCs/>
        </w:rPr>
        <w:sym w:font="Symbol" w:char="F062"/>
      </w:r>
      <w:r w:rsidR="00F753CA">
        <w:rPr>
          <w:rFonts w:hint="eastAsia"/>
          <w:i/>
          <w:iCs/>
        </w:rPr>
        <w:t xml:space="preserve"> </w:t>
      </w:r>
      <w:r w:rsidR="00F753CA" w:rsidRPr="00BC2531">
        <w:rPr>
          <w:i/>
          <w:iCs/>
        </w:rPr>
        <w:t>=</w:t>
      </w:r>
      <w:r w:rsidR="00F753CA">
        <w:rPr>
          <w:rFonts w:hint="eastAsia"/>
          <w:i/>
          <w:iCs/>
        </w:rPr>
        <w:t xml:space="preserve"> </w:t>
      </w:r>
      <w:r w:rsidR="00F753CA">
        <w:rPr>
          <w:i/>
          <w:iCs/>
        </w:rPr>
        <w:t>0.20</w:t>
      </w:r>
      <w:r w:rsidR="00F753CA" w:rsidRPr="00BC2531">
        <w:rPr>
          <w:i/>
          <w:iCs/>
        </w:rPr>
        <w:t>, p</w:t>
      </w:r>
      <w:r w:rsidR="00F753CA">
        <w:rPr>
          <w:rFonts w:hint="eastAsia"/>
          <w:i/>
          <w:iCs/>
        </w:rPr>
        <w:t xml:space="preserve"> </w:t>
      </w:r>
      <w:r w:rsidR="00F753CA" w:rsidRPr="00BC2531">
        <w:rPr>
          <w:i/>
          <w:iCs/>
        </w:rPr>
        <w:t>&lt;</w:t>
      </w:r>
      <w:r w:rsidR="00F753CA">
        <w:rPr>
          <w:rFonts w:hint="eastAsia"/>
          <w:i/>
          <w:iCs/>
        </w:rPr>
        <w:t xml:space="preserve"> </w:t>
      </w:r>
      <w:r w:rsidR="00F753CA" w:rsidRPr="00BC2531">
        <w:rPr>
          <w:i/>
          <w:iCs/>
        </w:rPr>
        <w:t>0.</w:t>
      </w:r>
      <w:r w:rsidR="00F753CA">
        <w:rPr>
          <w:rFonts w:hint="eastAsia"/>
          <w:i/>
          <w:iCs/>
        </w:rPr>
        <w:t>0</w:t>
      </w:r>
      <w:r w:rsidR="00F753CA">
        <w:rPr>
          <w:i/>
          <w:iCs/>
        </w:rPr>
        <w:t>0</w:t>
      </w:r>
      <w:r w:rsidR="00F753CA">
        <w:rPr>
          <w:rFonts w:hint="eastAsia"/>
          <w:i/>
          <w:iCs/>
        </w:rPr>
        <w:t xml:space="preserve">1 </w:t>
      </w:r>
      <w:r w:rsidR="00F753CA">
        <w:rPr>
          <w:rFonts w:hint="eastAsia"/>
        </w:rPr>
        <w:t xml:space="preserve">in Model </w:t>
      </w:r>
      <w:r w:rsidR="00F753CA">
        <w:t>6</w:t>
      </w:r>
      <w:r w:rsidR="00F753CA">
        <w:rPr>
          <w:rFonts w:hint="eastAsia"/>
        </w:rPr>
        <w:t>)</w:t>
      </w:r>
      <w:r w:rsidR="00F753CA">
        <w:t xml:space="preserve">. </w:t>
      </w:r>
      <w:r w:rsidR="006B1418">
        <w:t xml:space="preserve">These results indicate that a </w:t>
      </w:r>
      <w:r w:rsidR="006B1418" w:rsidRPr="00B43818">
        <w:t>one standard deviation</w:t>
      </w:r>
      <w:r w:rsidR="006B1418">
        <w:t xml:space="preserve"> increase in Tobin’s Q </w:t>
      </w:r>
      <w:r w:rsidR="00E72CBA">
        <w:t xml:space="preserve">change </w:t>
      </w:r>
      <w:r w:rsidR="00F753CA" w:rsidRPr="001335CD">
        <w:t>is associated with an average</w:t>
      </w:r>
      <w:r w:rsidR="00F753CA">
        <w:t xml:space="preserve"> </w:t>
      </w:r>
      <w:r w:rsidR="006B1418">
        <w:t xml:space="preserve">increase of </w:t>
      </w:r>
      <w:r w:rsidR="00F753CA">
        <w:t>0.54 percentage point in CAR based on Model 5 results, and 0.51 percentage point</w:t>
      </w:r>
      <w:r w:rsidR="006B1418">
        <w:t xml:space="preserve"> in the fully specified model.</w:t>
      </w:r>
      <w:r w:rsidR="00192F99">
        <w:t xml:space="preserve"> </w:t>
      </w:r>
      <w:bookmarkEnd w:id="28"/>
      <w:r w:rsidR="006B1418">
        <w:t>In summary, our main analysis provide</w:t>
      </w:r>
      <w:r w:rsidR="00502D3E">
        <w:t>d</w:t>
      </w:r>
      <w:r w:rsidR="006B1418">
        <w:t xml:space="preserve"> support for all hypotheses. </w:t>
      </w:r>
      <w:r w:rsidR="006B1418" w:rsidRPr="006B1418">
        <w:t xml:space="preserve">We </w:t>
      </w:r>
      <w:r w:rsidR="006B1418">
        <w:t>next</w:t>
      </w:r>
      <w:r w:rsidR="006B1418" w:rsidRPr="006B1418">
        <w:t xml:space="preserve"> turn to a series of </w:t>
      </w:r>
      <w:r w:rsidR="00502D3E">
        <w:t>additional tests</w:t>
      </w:r>
      <w:r w:rsidR="006B1418" w:rsidRPr="006B1418">
        <w:t xml:space="preserve"> to </w:t>
      </w:r>
      <w:r w:rsidR="006B1418">
        <w:t xml:space="preserve">examine the robustness of our results. </w:t>
      </w:r>
    </w:p>
    <w:p w14:paraId="6CCB07DB" w14:textId="77777777" w:rsidR="00462E61" w:rsidRPr="00BC2531" w:rsidRDefault="00462E61" w:rsidP="00462E61">
      <w:pPr>
        <w:spacing w:line="360" w:lineRule="auto"/>
        <w:rPr>
          <w:b/>
          <w:bCs/>
        </w:rPr>
      </w:pPr>
      <w:r w:rsidRPr="00E72CBA">
        <w:rPr>
          <w:b/>
          <w:bCs/>
        </w:rPr>
        <w:t>Robustness Checks</w:t>
      </w:r>
    </w:p>
    <w:p w14:paraId="483FED13" w14:textId="71F56820" w:rsidR="003A77AA" w:rsidRDefault="006B1418" w:rsidP="007F06CF">
      <w:pPr>
        <w:spacing w:line="480" w:lineRule="auto"/>
        <w:ind w:firstLine="720"/>
        <w:rPr>
          <w:bCs/>
        </w:rPr>
      </w:pPr>
      <w:r>
        <w:rPr>
          <w:bCs/>
        </w:rPr>
        <w:t>Following our main analysis, we</w:t>
      </w:r>
      <w:r w:rsidR="00462E61" w:rsidRPr="00BC2531">
        <w:rPr>
          <w:bCs/>
        </w:rPr>
        <w:t xml:space="preserve"> condu</w:t>
      </w:r>
      <w:r w:rsidR="00462E61" w:rsidRPr="00CF3075">
        <w:rPr>
          <w:bCs/>
        </w:rPr>
        <w:t>cted several additional checks, including</w:t>
      </w:r>
      <w:r w:rsidR="001A6791" w:rsidRPr="00CF3075">
        <w:rPr>
          <w:rFonts w:hint="eastAsia"/>
          <w:bCs/>
        </w:rPr>
        <w:t xml:space="preserve"> </w:t>
      </w:r>
      <w:r w:rsidR="005614F8" w:rsidRPr="00CF3075">
        <w:rPr>
          <w:bCs/>
        </w:rPr>
        <w:t xml:space="preserve">tests </w:t>
      </w:r>
      <w:r w:rsidR="00CF3075">
        <w:rPr>
          <w:bCs/>
        </w:rPr>
        <w:t>addressing</w:t>
      </w:r>
      <w:r w:rsidR="005614F8" w:rsidRPr="00CF3075">
        <w:rPr>
          <w:bCs/>
        </w:rPr>
        <w:t xml:space="preserve"> endogeneity and </w:t>
      </w:r>
      <w:r w:rsidR="00CF3075">
        <w:rPr>
          <w:bCs/>
        </w:rPr>
        <w:t xml:space="preserve">potential </w:t>
      </w:r>
      <w:r w:rsidR="005614F8" w:rsidRPr="00CF3075">
        <w:rPr>
          <w:bCs/>
        </w:rPr>
        <w:t>confounding variables</w:t>
      </w:r>
      <w:r w:rsidR="00CF3075" w:rsidRPr="00CF3075">
        <w:rPr>
          <w:bCs/>
        </w:rPr>
        <w:t xml:space="preserve">, with </w:t>
      </w:r>
      <w:r w:rsidR="0050789E" w:rsidRPr="00CF3075">
        <w:rPr>
          <w:rFonts w:hint="eastAsia"/>
          <w:bCs/>
        </w:rPr>
        <w:t>alternative samples</w:t>
      </w:r>
      <w:r w:rsidR="001A6791" w:rsidRPr="00CF3075">
        <w:rPr>
          <w:rFonts w:hint="eastAsia"/>
          <w:bCs/>
        </w:rPr>
        <w:t xml:space="preserve"> </w:t>
      </w:r>
      <w:r w:rsidR="00793FC7" w:rsidRPr="00CF3075">
        <w:rPr>
          <w:rFonts w:hint="eastAsia"/>
          <w:bCs/>
        </w:rPr>
        <w:t>and</w:t>
      </w:r>
      <w:r w:rsidR="00930803" w:rsidRPr="00CF3075">
        <w:rPr>
          <w:bCs/>
        </w:rPr>
        <w:t xml:space="preserve"> </w:t>
      </w:r>
      <w:r w:rsidR="00CF3075" w:rsidRPr="00192F99">
        <w:rPr>
          <w:bCs/>
        </w:rPr>
        <w:t xml:space="preserve">with </w:t>
      </w:r>
      <w:r w:rsidR="001A6791" w:rsidRPr="00CF3075">
        <w:rPr>
          <w:rFonts w:hint="eastAsia"/>
          <w:bCs/>
        </w:rPr>
        <w:t>alternative variable specification</w:t>
      </w:r>
      <w:r w:rsidR="00930803" w:rsidRPr="00CF3075">
        <w:rPr>
          <w:bCs/>
        </w:rPr>
        <w:t>s</w:t>
      </w:r>
      <w:r w:rsidR="00793FC7" w:rsidRPr="00CF3075">
        <w:rPr>
          <w:rStyle w:val="FootnoteReference"/>
          <w:bCs/>
        </w:rPr>
        <w:footnoteReference w:id="6"/>
      </w:r>
      <w:r w:rsidR="001A6791" w:rsidRPr="00CF3075">
        <w:rPr>
          <w:rFonts w:hint="eastAsia"/>
          <w:bCs/>
        </w:rPr>
        <w:t xml:space="preserve">. </w:t>
      </w:r>
      <w:r w:rsidR="00925CC3" w:rsidRPr="00CF3075">
        <w:rPr>
          <w:bCs/>
        </w:rPr>
        <w:t>These checks provide largely consistent results</w:t>
      </w:r>
      <w:r w:rsidR="00925CC3" w:rsidRPr="00CF3075">
        <w:rPr>
          <w:bCs/>
          <w:iCs/>
        </w:rPr>
        <w:t>.</w:t>
      </w:r>
    </w:p>
    <w:p w14:paraId="0B79582F" w14:textId="220620DC" w:rsidR="00340CB4" w:rsidRPr="006E7D57" w:rsidRDefault="008635C5" w:rsidP="006E7D57">
      <w:pPr>
        <w:spacing w:line="480" w:lineRule="auto"/>
        <w:ind w:firstLine="720"/>
      </w:pPr>
      <w:r w:rsidRPr="00CE3647">
        <w:rPr>
          <w:b/>
          <w:i/>
          <w:iCs/>
        </w:rPr>
        <w:t>Endogeneity concerns and confounding variables</w:t>
      </w:r>
      <w:r w:rsidR="0050789E" w:rsidRPr="00CE3647">
        <w:rPr>
          <w:b/>
          <w:i/>
          <w:iCs/>
        </w:rPr>
        <w:t>.</w:t>
      </w:r>
      <w:r w:rsidR="0050789E">
        <w:rPr>
          <w:rFonts w:hint="eastAsia"/>
          <w:b/>
          <w:i/>
          <w:iCs/>
        </w:rPr>
        <w:t xml:space="preserve"> </w:t>
      </w:r>
      <w:bookmarkStart w:id="29" w:name="OLE_LINK49"/>
      <w:r w:rsidR="00295647" w:rsidRPr="00295647">
        <w:rPr>
          <w:bCs/>
        </w:rPr>
        <w:t>We assess the robustness of the causal inferences drawn from our analysis, specifically examining whether our results are biased by uncontrolled confounding variables (i.e., omitted variable bias)</w:t>
      </w:r>
      <w:r w:rsidR="00295647">
        <w:rPr>
          <w:bCs/>
        </w:rPr>
        <w:t xml:space="preserve">. </w:t>
      </w:r>
      <w:bookmarkStart w:id="30" w:name="OLE_LINK54"/>
      <w:r w:rsidR="00295647">
        <w:rPr>
          <w:bCs/>
        </w:rPr>
        <w:t>W</w:t>
      </w:r>
      <w:r w:rsidR="00122098" w:rsidRPr="00122098">
        <w:rPr>
          <w:bCs/>
        </w:rPr>
        <w:t>e used the</w:t>
      </w:r>
      <w:r w:rsidR="009E43A6">
        <w:rPr>
          <w:bCs/>
        </w:rPr>
        <w:t xml:space="preserve"> “konfound</w:t>
      </w:r>
      <w:r w:rsidR="00122098">
        <w:rPr>
          <w:bCs/>
        </w:rPr>
        <w:t>, sig</w:t>
      </w:r>
      <w:r>
        <w:rPr>
          <w:bCs/>
        </w:rPr>
        <w:t xml:space="preserve"> </w:t>
      </w:r>
      <w:r w:rsidR="00122098">
        <w:rPr>
          <w:bCs/>
        </w:rPr>
        <w:lastRenderedPageBreak/>
        <w:t>(0.10)</w:t>
      </w:r>
      <w:r w:rsidR="009E43A6">
        <w:rPr>
          <w:bCs/>
        </w:rPr>
        <w:t xml:space="preserve">” </w:t>
      </w:r>
      <w:r w:rsidR="00122098" w:rsidRPr="00122098">
        <w:rPr>
          <w:bCs/>
        </w:rPr>
        <w:t>command in Stata</w:t>
      </w:r>
      <w:r w:rsidR="006E7D57" w:rsidRPr="006E7D57">
        <w:t xml:space="preserve"> </w:t>
      </w:r>
      <w:r w:rsidR="006E7D57" w:rsidRPr="006E7D57">
        <w:rPr>
          <w:bCs/>
        </w:rPr>
        <w:t>to estimate the Impact Threshold for a Confounding Variable (ITCV), which assesses how strong an unmeasured confounder would need to be to invalidate our causal inference at the 10% significance level</w:t>
      </w:r>
      <w:r w:rsidR="006E7D57" w:rsidRPr="006E7D57" w:rsidDel="006E7D57">
        <w:rPr>
          <w:bCs/>
        </w:rPr>
        <w:t xml:space="preserve"> </w:t>
      </w:r>
      <w:bookmarkEnd w:id="30"/>
      <w:r>
        <w:rPr>
          <w:bCs/>
        </w:rPr>
        <w:t>(</w:t>
      </w:r>
      <w:r w:rsidR="00502D3E">
        <w:rPr>
          <w:bCs/>
        </w:rPr>
        <w:t xml:space="preserve">Xu, Frank, Maroulis, &amp; Rosenberg, 2019; </w:t>
      </w:r>
      <w:r>
        <w:rPr>
          <w:bCs/>
        </w:rPr>
        <w:t>Busenbark, Frank, Maroulis, Xu, &amp; Lin, 2021; Busenbark, Yoon, Gamache, &amp; Withers, 2022)</w:t>
      </w:r>
      <w:bookmarkEnd w:id="29"/>
      <w:r>
        <w:rPr>
          <w:bCs/>
        </w:rPr>
        <w:t>.</w:t>
      </w:r>
      <w:r w:rsidR="00295647">
        <w:rPr>
          <w:bCs/>
        </w:rPr>
        <w:t xml:space="preserve"> </w:t>
      </w:r>
      <w:r w:rsidR="006E7D57">
        <w:rPr>
          <w:bCs/>
        </w:rPr>
        <w:t>W</w:t>
      </w:r>
      <w:r w:rsidR="006E7D57" w:rsidRPr="006E7D57">
        <w:rPr>
          <w:bCs/>
        </w:rPr>
        <w:t>e calculated test statistics by multiplying the partial correlations between the control and both the independent and dependent variables, and compared the square root of this product to the ITCV</w:t>
      </w:r>
      <w:r w:rsidR="006E7D57">
        <w:rPr>
          <w:bCs/>
        </w:rPr>
        <w:t xml:space="preserve"> value</w:t>
      </w:r>
      <w:r w:rsidR="006E7D57" w:rsidRPr="006E7D57">
        <w:rPr>
          <w:bCs/>
        </w:rPr>
        <w:t xml:space="preserve"> </w:t>
      </w:r>
      <w:r w:rsidR="00122098">
        <w:rPr>
          <w:bCs/>
        </w:rPr>
        <w:t>(Busenbark</w:t>
      </w:r>
      <w:r w:rsidR="00B1098D">
        <w:rPr>
          <w:bCs/>
        </w:rPr>
        <w:t xml:space="preserve"> et al</w:t>
      </w:r>
      <w:r w:rsidR="00C30F98">
        <w:rPr>
          <w:bCs/>
        </w:rPr>
        <w:t xml:space="preserve">., </w:t>
      </w:r>
      <w:r w:rsidR="00122098">
        <w:rPr>
          <w:bCs/>
        </w:rPr>
        <w:t>202</w:t>
      </w:r>
      <w:r w:rsidR="00C30F98">
        <w:rPr>
          <w:bCs/>
        </w:rPr>
        <w:t>2</w:t>
      </w:r>
      <w:r w:rsidR="00122098">
        <w:rPr>
          <w:bCs/>
        </w:rPr>
        <w:t>)</w:t>
      </w:r>
      <w:r w:rsidR="00D03203">
        <w:rPr>
          <w:rStyle w:val="FootnoteReference"/>
          <w:bCs/>
        </w:rPr>
        <w:footnoteReference w:id="7"/>
      </w:r>
      <w:r w:rsidR="00340CB4" w:rsidRPr="00340CB4">
        <w:rPr>
          <w:bCs/>
        </w:rPr>
        <w:t>.</w:t>
      </w:r>
      <w:r w:rsidR="00122098">
        <w:rPr>
          <w:bCs/>
        </w:rPr>
        <w:t xml:space="preserve"> </w:t>
      </w:r>
      <w:r w:rsidR="002F59E7" w:rsidRPr="002F59E7">
        <w:rPr>
          <w:bCs/>
        </w:rPr>
        <w:t>Table A</w:t>
      </w:r>
      <w:r w:rsidR="00CF3075">
        <w:rPr>
          <w:bCs/>
        </w:rPr>
        <w:t>1</w:t>
      </w:r>
      <w:r w:rsidR="002F59E7" w:rsidRPr="002F59E7">
        <w:rPr>
          <w:bCs/>
        </w:rPr>
        <w:t xml:space="preserve"> </w:t>
      </w:r>
      <w:r w:rsidR="00175557">
        <w:rPr>
          <w:bCs/>
        </w:rPr>
        <w:t xml:space="preserve">in Appendix A </w:t>
      </w:r>
      <w:r w:rsidR="006E7D57">
        <w:rPr>
          <w:bCs/>
        </w:rPr>
        <w:t xml:space="preserve">reports </w:t>
      </w:r>
      <w:r w:rsidR="002F59E7" w:rsidRPr="002F59E7">
        <w:rPr>
          <w:bCs/>
        </w:rPr>
        <w:t xml:space="preserve">the </w:t>
      </w:r>
      <w:r w:rsidR="002F59E7">
        <w:rPr>
          <w:bCs/>
        </w:rPr>
        <w:t xml:space="preserve">control </w:t>
      </w:r>
      <w:r w:rsidR="002F59E7" w:rsidRPr="002F59E7">
        <w:rPr>
          <w:bCs/>
        </w:rPr>
        <w:t>variables with high</w:t>
      </w:r>
      <w:r w:rsidR="002F59E7">
        <w:rPr>
          <w:bCs/>
        </w:rPr>
        <w:t xml:space="preserve"> </w:t>
      </w:r>
      <w:r w:rsidR="002F59E7" w:rsidRPr="002F59E7">
        <w:rPr>
          <w:bCs/>
        </w:rPr>
        <w:t>correlations, their partial correlations, the test statistics, and the corresponding ITCV values for each hypothesis-testing model</w:t>
      </w:r>
      <w:r w:rsidR="00122098">
        <w:rPr>
          <w:bCs/>
        </w:rPr>
        <w:t xml:space="preserve">. </w:t>
      </w:r>
      <w:r w:rsidR="006E7D57">
        <w:t xml:space="preserve">In all models, test statistics fall below the ITCV thresholds, suggesting that </w:t>
      </w:r>
      <w:r w:rsidR="002F59E7">
        <w:rPr>
          <w:bCs/>
        </w:rPr>
        <w:t xml:space="preserve">the casual inferences </w:t>
      </w:r>
      <w:r w:rsidR="00726E93">
        <w:rPr>
          <w:bCs/>
        </w:rPr>
        <w:t xml:space="preserve">are </w:t>
      </w:r>
      <w:r w:rsidR="002F59E7">
        <w:rPr>
          <w:bCs/>
        </w:rPr>
        <w:t xml:space="preserve">not </w:t>
      </w:r>
      <w:r w:rsidR="00726E93">
        <w:rPr>
          <w:bCs/>
        </w:rPr>
        <w:t xml:space="preserve">likely to </w:t>
      </w:r>
      <w:r w:rsidR="00D225EA">
        <w:rPr>
          <w:bCs/>
        </w:rPr>
        <w:t xml:space="preserve">be </w:t>
      </w:r>
      <w:r w:rsidR="002F59E7">
        <w:rPr>
          <w:bCs/>
        </w:rPr>
        <w:t>biased by potential omitted variables.</w:t>
      </w:r>
    </w:p>
    <w:p w14:paraId="64A0ED9D" w14:textId="250B4AE4" w:rsidR="00BD2A22" w:rsidRPr="004A648B" w:rsidRDefault="00EB0A61" w:rsidP="00513181">
      <w:pPr>
        <w:spacing w:line="480" w:lineRule="auto"/>
        <w:ind w:firstLine="720"/>
        <w:rPr>
          <w:b/>
        </w:rPr>
      </w:pPr>
      <w:r>
        <w:rPr>
          <w:bCs/>
        </w:rPr>
        <w:t>W</w:t>
      </w:r>
      <w:r w:rsidR="008C5862">
        <w:rPr>
          <w:bCs/>
        </w:rPr>
        <w:t>e</w:t>
      </w:r>
      <w:r w:rsidR="00C30F98">
        <w:rPr>
          <w:bCs/>
        </w:rPr>
        <w:t xml:space="preserve"> </w:t>
      </w:r>
      <w:r w:rsidR="008C5862">
        <w:rPr>
          <w:bCs/>
        </w:rPr>
        <w:t>also employ</w:t>
      </w:r>
      <w:r w:rsidR="00726E93">
        <w:rPr>
          <w:bCs/>
        </w:rPr>
        <w:t>ed</w:t>
      </w:r>
      <w:r w:rsidR="00C30F98">
        <w:rPr>
          <w:bCs/>
        </w:rPr>
        <w:t xml:space="preserve"> </w:t>
      </w:r>
      <w:r w:rsidR="008C5862">
        <w:rPr>
          <w:bCs/>
        </w:rPr>
        <w:t xml:space="preserve">alternative models and </w:t>
      </w:r>
      <w:r w:rsidR="002F46F8">
        <w:rPr>
          <w:bCs/>
        </w:rPr>
        <w:t xml:space="preserve">alternative </w:t>
      </w:r>
      <w:r w:rsidR="008C5862">
        <w:rPr>
          <w:bCs/>
        </w:rPr>
        <w:t>variable lists</w:t>
      </w:r>
      <w:r w:rsidR="00244FC7" w:rsidRPr="00467AAF">
        <w:rPr>
          <w:bCs/>
        </w:rPr>
        <w:t xml:space="preserve">. Although we </w:t>
      </w:r>
      <w:r w:rsidR="00244FC7">
        <w:rPr>
          <w:rFonts w:hint="eastAsia"/>
          <w:bCs/>
        </w:rPr>
        <w:t>believe</w:t>
      </w:r>
      <w:r w:rsidR="00244FC7" w:rsidRPr="00467AAF">
        <w:rPr>
          <w:bCs/>
        </w:rPr>
        <w:t xml:space="preserve"> that the random effects model is more appropriate</w:t>
      </w:r>
      <w:r w:rsidR="00244FC7">
        <w:rPr>
          <w:bCs/>
        </w:rPr>
        <w:t xml:space="preserve"> to test our hypotheses</w:t>
      </w:r>
      <w:r w:rsidR="00244FC7" w:rsidRPr="00467AAF">
        <w:rPr>
          <w:bCs/>
        </w:rPr>
        <w:t>, as it captures between-</w:t>
      </w:r>
      <w:r w:rsidR="00570602">
        <w:rPr>
          <w:bCs/>
        </w:rPr>
        <w:t xml:space="preserve"> </w:t>
      </w:r>
      <w:r w:rsidR="00244FC7">
        <w:rPr>
          <w:bCs/>
        </w:rPr>
        <w:t>as well as within-firm variations</w:t>
      </w:r>
      <w:r w:rsidR="00244FC7" w:rsidRPr="00467AAF">
        <w:rPr>
          <w:bCs/>
        </w:rPr>
        <w:t>, we also tested fixed</w:t>
      </w:r>
      <w:r w:rsidR="005F59DC">
        <w:rPr>
          <w:bCs/>
        </w:rPr>
        <w:t>-</w:t>
      </w:r>
      <w:r w:rsidR="00244FC7" w:rsidRPr="00467AAF">
        <w:rPr>
          <w:bCs/>
        </w:rPr>
        <w:t>effects models</w:t>
      </w:r>
      <w:r>
        <w:rPr>
          <w:bCs/>
        </w:rPr>
        <w:t xml:space="preserve"> with</w:t>
      </w:r>
      <w:r w:rsidR="00244FC7" w:rsidRPr="00467AAF">
        <w:rPr>
          <w:bCs/>
        </w:rPr>
        <w:t xml:space="preserve"> both firm and year fixed effects</w:t>
      </w:r>
      <w:r w:rsidR="006E7D57">
        <w:rPr>
          <w:bCs/>
        </w:rPr>
        <w:t xml:space="preserve"> and found</w:t>
      </w:r>
      <w:r w:rsidR="009463A3" w:rsidRPr="009463A3">
        <w:rPr>
          <w:bCs/>
        </w:rPr>
        <w:t xml:space="preserve"> </w:t>
      </w:r>
      <w:r w:rsidR="006E7D57">
        <w:rPr>
          <w:bCs/>
        </w:rPr>
        <w:t xml:space="preserve">results </w:t>
      </w:r>
      <w:r w:rsidR="00B7131E" w:rsidRPr="009463A3">
        <w:rPr>
          <w:bCs/>
        </w:rPr>
        <w:t xml:space="preserve">consistent </w:t>
      </w:r>
      <w:r w:rsidR="009463A3" w:rsidRPr="009463A3">
        <w:rPr>
          <w:bCs/>
        </w:rPr>
        <w:t>with our main analysis, with similar significance levels</w:t>
      </w:r>
      <w:r w:rsidR="00244FC7">
        <w:rPr>
          <w:rFonts w:hint="eastAsia"/>
          <w:bCs/>
        </w:rPr>
        <w:t>.</w:t>
      </w:r>
      <w:r w:rsidR="00244FC7">
        <w:rPr>
          <w:rFonts w:hint="eastAsia"/>
          <w:b/>
        </w:rPr>
        <w:t xml:space="preserve"> </w:t>
      </w:r>
      <w:r w:rsidR="00BD2A22" w:rsidRPr="00BD2A22">
        <w:rPr>
          <w:bCs/>
        </w:rPr>
        <w:t>I</w:t>
      </w:r>
      <w:r w:rsidR="00BD2A22" w:rsidRPr="00BD2A22">
        <w:rPr>
          <w:rFonts w:hint="eastAsia"/>
          <w:bCs/>
        </w:rPr>
        <w:t xml:space="preserve">n our main analysis, we </w:t>
      </w:r>
      <w:r w:rsidR="00BD2A22" w:rsidRPr="00BD2A22">
        <w:rPr>
          <w:bCs/>
        </w:rPr>
        <w:t>excluded firm size as a control variable due to its high correlation with the high</w:t>
      </w:r>
      <w:r w:rsidR="00BD2A22">
        <w:rPr>
          <w:rFonts w:hint="eastAsia"/>
          <w:bCs/>
        </w:rPr>
        <w:t xml:space="preserve"> </w:t>
      </w:r>
      <w:r w:rsidR="00BD2A22" w:rsidRPr="00BD2A22">
        <w:rPr>
          <w:bCs/>
        </w:rPr>
        <w:t>reputation measure</w:t>
      </w:r>
      <w:r w:rsidR="00BD2A22">
        <w:rPr>
          <w:rFonts w:hint="eastAsia"/>
          <w:bCs/>
        </w:rPr>
        <w:t xml:space="preserve"> (</w:t>
      </w:r>
      <w:r w:rsidR="00BD2A22" w:rsidRPr="00BD2A22">
        <w:rPr>
          <w:rFonts w:hint="eastAsia"/>
          <w:bCs/>
          <w:i/>
          <w:iCs/>
        </w:rPr>
        <w:sym w:font="Symbol" w:char="F072"/>
      </w:r>
      <w:r w:rsidR="00BD2A22">
        <w:rPr>
          <w:rFonts w:hint="eastAsia"/>
          <w:bCs/>
          <w:i/>
          <w:iCs/>
        </w:rPr>
        <w:t>=0.5</w:t>
      </w:r>
      <w:r>
        <w:rPr>
          <w:bCs/>
          <w:i/>
          <w:iCs/>
        </w:rPr>
        <w:t>5</w:t>
      </w:r>
      <w:r w:rsidR="00BD2A22">
        <w:rPr>
          <w:rFonts w:hint="eastAsia"/>
          <w:bCs/>
        </w:rPr>
        <w:t xml:space="preserve">). Our results remain the same </w:t>
      </w:r>
      <w:r w:rsidR="00BD2A22">
        <w:t xml:space="preserve">when firm size </w:t>
      </w:r>
      <w:r w:rsidR="00BD2A22">
        <w:rPr>
          <w:rFonts w:hint="eastAsia"/>
        </w:rPr>
        <w:t xml:space="preserve">measured by total assets </w:t>
      </w:r>
      <w:r w:rsidR="00BD2A22">
        <w:t>is included as a control</w:t>
      </w:r>
      <w:r w:rsidR="00BD2A22">
        <w:rPr>
          <w:rFonts w:hint="eastAsia"/>
        </w:rPr>
        <w:t xml:space="preserve"> in all models</w:t>
      </w:r>
      <w:r w:rsidR="00BD2A22">
        <w:rPr>
          <w:rFonts w:hint="eastAsia"/>
          <w:bCs/>
        </w:rPr>
        <w:t>.</w:t>
      </w:r>
    </w:p>
    <w:p w14:paraId="56AB2A57" w14:textId="4945E465" w:rsidR="005614F8" w:rsidRPr="009463A3" w:rsidRDefault="005614F8" w:rsidP="005614F8">
      <w:pPr>
        <w:spacing w:line="480" w:lineRule="auto"/>
        <w:ind w:firstLine="720"/>
      </w:pPr>
      <w:r w:rsidRPr="00CE3647">
        <w:rPr>
          <w:b/>
          <w:i/>
          <w:iCs/>
        </w:rPr>
        <w:t>Alternative sample.</w:t>
      </w:r>
      <w:r>
        <w:rPr>
          <w:rFonts w:hint="eastAsia"/>
          <w:b/>
          <w:i/>
          <w:iCs/>
        </w:rPr>
        <w:t xml:space="preserve"> </w:t>
      </w:r>
      <w:r w:rsidRPr="000C7E2B">
        <w:rPr>
          <w:bCs/>
        </w:rPr>
        <w:t xml:space="preserve">In this test, we </w:t>
      </w:r>
      <w:r>
        <w:t>exclude</w:t>
      </w:r>
      <w:r w:rsidR="00CF3075">
        <w:t>d</w:t>
      </w:r>
      <w:r>
        <w:t xml:space="preserve"> observations with potential confounding events around earnings announcements</w:t>
      </w:r>
      <w:r>
        <w:rPr>
          <w:rFonts w:hint="eastAsia"/>
          <w:bCs/>
        </w:rPr>
        <w:t xml:space="preserve">. </w:t>
      </w:r>
      <w:r>
        <w:rPr>
          <w:bCs/>
        </w:rPr>
        <w:t>We</w:t>
      </w:r>
      <w:r w:rsidRPr="000C7E2B">
        <w:rPr>
          <w:bCs/>
        </w:rPr>
        <w:t xml:space="preserve"> first compiled a list of these events and then reviewed firm press releases </w:t>
      </w:r>
      <w:r>
        <w:rPr>
          <w:bCs/>
        </w:rPr>
        <w:t xml:space="preserve">available from </w:t>
      </w:r>
      <w:r w:rsidRPr="00FE6FC9">
        <w:rPr>
          <w:bCs/>
        </w:rPr>
        <w:t>PR Newswire and Business Wire</w:t>
      </w:r>
      <w:r>
        <w:rPr>
          <w:bCs/>
        </w:rPr>
        <w:t xml:space="preserve"> </w:t>
      </w:r>
      <w:r w:rsidR="00DE0A64">
        <w:rPr>
          <w:bCs/>
        </w:rPr>
        <w:t>collected from</w:t>
      </w:r>
      <w:r>
        <w:rPr>
          <w:bCs/>
        </w:rPr>
        <w:t xml:space="preserve"> Factiva </w:t>
      </w:r>
      <w:r w:rsidRPr="000C7E2B">
        <w:rPr>
          <w:bCs/>
        </w:rPr>
        <w:t>(see Table A</w:t>
      </w:r>
      <w:r w:rsidR="00CF3075">
        <w:rPr>
          <w:bCs/>
        </w:rPr>
        <w:t>2</w:t>
      </w:r>
      <w:r w:rsidRPr="000C7E2B">
        <w:rPr>
          <w:bCs/>
        </w:rPr>
        <w:t xml:space="preserve"> in Appendix </w:t>
      </w:r>
      <w:r>
        <w:rPr>
          <w:bCs/>
        </w:rPr>
        <w:t xml:space="preserve">A </w:t>
      </w:r>
      <w:r w:rsidRPr="000C7E2B">
        <w:rPr>
          <w:bCs/>
        </w:rPr>
        <w:t xml:space="preserve">for the </w:t>
      </w:r>
      <w:r>
        <w:rPr>
          <w:bCs/>
        </w:rPr>
        <w:t xml:space="preserve">specific </w:t>
      </w:r>
      <w:r w:rsidRPr="000C7E2B">
        <w:rPr>
          <w:bCs/>
        </w:rPr>
        <w:t>list of events)</w:t>
      </w:r>
      <w:r>
        <w:rPr>
          <w:bCs/>
        </w:rPr>
        <w:t xml:space="preserve"> (Graffin</w:t>
      </w:r>
      <w:r w:rsidR="00F02F56">
        <w:rPr>
          <w:bCs/>
        </w:rPr>
        <w:t xml:space="preserve"> et al.</w:t>
      </w:r>
      <w:r>
        <w:rPr>
          <w:bCs/>
        </w:rPr>
        <w:t>, 2016)</w:t>
      </w:r>
      <w:r w:rsidRPr="000C7E2B">
        <w:rPr>
          <w:bCs/>
        </w:rPr>
        <w:t xml:space="preserve">. </w:t>
      </w:r>
      <w:r w:rsidR="00DE0A64">
        <w:rPr>
          <w:bCs/>
        </w:rPr>
        <w:t>We</w:t>
      </w:r>
      <w:r w:rsidRPr="0050789E">
        <w:rPr>
          <w:bCs/>
        </w:rPr>
        <w:t xml:space="preserve"> </w:t>
      </w:r>
      <w:r w:rsidRPr="0050789E">
        <w:rPr>
          <w:bCs/>
        </w:rPr>
        <w:lastRenderedPageBreak/>
        <w:t>examined multiple time window</w:t>
      </w:r>
      <w:r>
        <w:rPr>
          <w:rFonts w:hint="eastAsia"/>
          <w:bCs/>
        </w:rPr>
        <w:t xml:space="preserve">s (i.e., </w:t>
      </w:r>
      <w:r w:rsidRPr="00B43818">
        <w:rPr>
          <w:bCs/>
        </w:rPr>
        <w:t>7, 3, and 1 day</w:t>
      </w:r>
      <w:r w:rsidRPr="0050789E">
        <w:rPr>
          <w:bCs/>
        </w:rPr>
        <w:t xml:space="preserve"> prior to the announcement</w:t>
      </w:r>
      <w:r>
        <w:rPr>
          <w:rFonts w:hint="eastAsia"/>
          <w:bCs/>
        </w:rPr>
        <w:t xml:space="preserve">) </w:t>
      </w:r>
      <w:r w:rsidRPr="0050789E">
        <w:rPr>
          <w:bCs/>
        </w:rPr>
        <w:t>to capture any lingering effects of these events</w:t>
      </w:r>
      <w:r>
        <w:rPr>
          <w:rFonts w:hint="eastAsia"/>
          <w:bCs/>
        </w:rPr>
        <w:t xml:space="preserve">. </w:t>
      </w:r>
      <w:r>
        <w:rPr>
          <w:bCs/>
        </w:rPr>
        <w:t xml:space="preserve">Because firms and managers may also use these events to </w:t>
      </w:r>
      <w:r w:rsidRPr="00A57D15">
        <w:t xml:space="preserve">explain or </w:t>
      </w:r>
      <w:r>
        <w:t>obfuscate</w:t>
      </w:r>
      <w:r w:rsidRPr="00A57D15">
        <w:t xml:space="preserve"> earnings results</w:t>
      </w:r>
      <w:r w:rsidR="00DE0A64">
        <w:t xml:space="preserve"> (e.g., Graffin et al., 2016; Jin et al., 2022)</w:t>
      </w:r>
      <w:r>
        <w:t>, we only excluded observations when the press releases did not reference earnings-related keywords</w:t>
      </w:r>
      <w:r>
        <w:rPr>
          <w:rFonts w:hint="eastAsia"/>
          <w:bCs/>
        </w:rPr>
        <w:t xml:space="preserve">. </w:t>
      </w:r>
      <w:r w:rsidR="00DE0A64" w:rsidRPr="00DE0A64">
        <w:t>Results remained robust across all windows, consistently supporting our hypotheses</w:t>
      </w:r>
      <w:r w:rsidRPr="00E72CBA">
        <w:t>.</w:t>
      </w:r>
      <w:r w:rsidRPr="009463A3">
        <w:t xml:space="preserve"> </w:t>
      </w:r>
    </w:p>
    <w:p w14:paraId="64365EE1" w14:textId="4CAF8571" w:rsidR="009463A3" w:rsidRPr="00CD71A7" w:rsidRDefault="004C3349" w:rsidP="00726E93">
      <w:pPr>
        <w:spacing w:line="480" w:lineRule="auto"/>
        <w:ind w:firstLine="720"/>
      </w:pPr>
      <w:r w:rsidRPr="00CE3647">
        <w:rPr>
          <w:b/>
          <w:i/>
          <w:iCs/>
        </w:rPr>
        <w:t>Alternative variable specification.</w:t>
      </w:r>
      <w:r>
        <w:rPr>
          <w:rFonts w:hint="eastAsia"/>
          <w:b/>
        </w:rPr>
        <w:t xml:space="preserve"> </w:t>
      </w:r>
      <w:bookmarkStart w:id="31" w:name="OLE_LINK58"/>
      <w:bookmarkStart w:id="32" w:name="OLE_LINK29"/>
      <w:r w:rsidR="009463A3" w:rsidRPr="009463A3">
        <w:rPr>
          <w:bCs/>
        </w:rPr>
        <w:t xml:space="preserve">Finally, we </w:t>
      </w:r>
      <w:r w:rsidR="00367B8E">
        <w:rPr>
          <w:bCs/>
        </w:rPr>
        <w:t>examined</w:t>
      </w:r>
      <w:r w:rsidR="009463A3" w:rsidRPr="009463A3">
        <w:rPr>
          <w:bCs/>
        </w:rPr>
        <w:t xml:space="preserve"> whether our results are impacted by how we </w:t>
      </w:r>
      <w:r w:rsidR="00045D3D">
        <w:rPr>
          <w:rFonts w:hint="eastAsia"/>
          <w:bCs/>
        </w:rPr>
        <w:t>specified main variables of interest</w:t>
      </w:r>
      <w:r w:rsidR="009463A3">
        <w:rPr>
          <w:bCs/>
        </w:rPr>
        <w:t>.</w:t>
      </w:r>
      <w:r w:rsidR="00045D3D">
        <w:rPr>
          <w:rFonts w:hint="eastAsia"/>
          <w:bCs/>
        </w:rPr>
        <w:t xml:space="preserve"> First, w</w:t>
      </w:r>
      <w:r w:rsidR="00DE0A64" w:rsidRPr="00DE0A64">
        <w:rPr>
          <w:bCs/>
        </w:rPr>
        <w:t xml:space="preserve">e </w:t>
      </w:r>
      <w:r w:rsidR="00DE0A64">
        <w:rPr>
          <w:bCs/>
        </w:rPr>
        <w:t xml:space="preserve">reran our main analyses using </w:t>
      </w:r>
      <w:r w:rsidR="00DE0A64" w:rsidRPr="00DE0A64">
        <w:rPr>
          <w:bCs/>
        </w:rPr>
        <w:t xml:space="preserve">alternative CAR measures </w:t>
      </w:r>
      <w:r w:rsidR="00291638">
        <w:rPr>
          <w:rFonts w:hint="eastAsia"/>
          <w:bCs/>
        </w:rPr>
        <w:t>based on</w:t>
      </w:r>
      <w:r w:rsidR="00291638" w:rsidRPr="00DE0A64">
        <w:rPr>
          <w:bCs/>
        </w:rPr>
        <w:t xml:space="preserve"> </w:t>
      </w:r>
      <w:r w:rsidR="00291638">
        <w:rPr>
          <w:rFonts w:hint="eastAsia"/>
          <w:bCs/>
        </w:rPr>
        <w:t>the</w:t>
      </w:r>
      <w:r w:rsidR="00DE0A64" w:rsidRPr="00DE0A64">
        <w:rPr>
          <w:bCs/>
        </w:rPr>
        <w:t xml:space="preserve"> market-adjusted model (e.g., Pfarrer et al., 2010; Wade et al., 2006) and the Fama-French three-factor model (Fama &amp; French, 1993), applying the same inputs. </w:t>
      </w:r>
      <w:bookmarkEnd w:id="31"/>
      <w:r w:rsidR="00DE0A64" w:rsidRPr="00DE0A64">
        <w:rPr>
          <w:bCs/>
        </w:rPr>
        <w:t>Results remained consistent across both specifications.</w:t>
      </w:r>
      <w:r w:rsidR="00175557">
        <w:rPr>
          <w:bCs/>
        </w:rPr>
        <w:t xml:space="preserve"> </w:t>
      </w:r>
    </w:p>
    <w:p w14:paraId="1A3E4509" w14:textId="02ED387F" w:rsidR="00776942" w:rsidRPr="00993E88" w:rsidRDefault="00BD2A22" w:rsidP="00175557">
      <w:pPr>
        <w:spacing w:line="480" w:lineRule="auto"/>
        <w:ind w:firstLine="720"/>
        <w:rPr>
          <w:bCs/>
        </w:rPr>
      </w:pPr>
      <w:bookmarkStart w:id="33" w:name="OLE_LINK55"/>
      <w:bookmarkStart w:id="34" w:name="OLE_LINK50"/>
      <w:r w:rsidRPr="00BD2A22">
        <w:rPr>
          <w:bCs/>
        </w:rPr>
        <w:t xml:space="preserve">Second, we </w:t>
      </w:r>
      <w:r w:rsidR="00175557">
        <w:rPr>
          <w:bCs/>
        </w:rPr>
        <w:t>considered</w:t>
      </w:r>
      <w:r w:rsidR="00993E88">
        <w:t xml:space="preserve"> </w:t>
      </w:r>
      <w:r w:rsidR="00993E88" w:rsidRPr="00192F99">
        <w:rPr>
          <w:rStyle w:val="Strong"/>
          <w:rFonts w:eastAsiaTheme="majorEastAsia"/>
          <w:b w:val="0"/>
          <w:bCs w:val="0"/>
        </w:rPr>
        <w:t>continuous measures</w:t>
      </w:r>
      <w:r w:rsidR="00993E88">
        <w:t xml:space="preserve"> of prescriptive expecta</w:t>
      </w:r>
      <w:r w:rsidR="00B96EC6">
        <w:t>ncy</w:t>
      </w:r>
      <w:r w:rsidR="00993E88">
        <w:t xml:space="preserve"> violations. In the main analysis, we </w:t>
      </w:r>
      <w:r w:rsidR="00175557">
        <w:t xml:space="preserve">used </w:t>
      </w:r>
      <w:r w:rsidR="00993E88" w:rsidRPr="00192F99">
        <w:rPr>
          <w:rStyle w:val="Strong"/>
          <w:rFonts w:eastAsiaTheme="majorEastAsia"/>
          <w:b w:val="0"/>
          <w:bCs w:val="0"/>
        </w:rPr>
        <w:t>binary indicators</w:t>
      </w:r>
      <w:r w:rsidR="00993E88">
        <w:t xml:space="preserve"> for falling below past and peer performance</w:t>
      </w:r>
      <w:r w:rsidR="00175557">
        <w:t xml:space="preserve"> since</w:t>
      </w:r>
      <w:r w:rsidR="00993E88">
        <w:t xml:space="preserve"> </w:t>
      </w:r>
      <w:r w:rsidR="005D4214">
        <w:rPr>
          <w:bCs/>
        </w:rPr>
        <w:t xml:space="preserve">the dichotomized measures better reflect our theorizing about </w:t>
      </w:r>
      <w:r w:rsidR="005D4214" w:rsidRPr="00231F27">
        <w:rPr>
          <w:bCs/>
        </w:rPr>
        <w:t>investor reliance on heuristic</w:t>
      </w:r>
      <w:r w:rsidR="005D4214">
        <w:rPr>
          <w:bCs/>
        </w:rPr>
        <w:t>s as a simplified way to evaluate earnings</w:t>
      </w:r>
      <w:r w:rsidR="005D4214">
        <w:t xml:space="preserve"> </w:t>
      </w:r>
      <w:r w:rsidR="005D4214">
        <w:rPr>
          <w:rFonts w:hint="eastAsia"/>
        </w:rPr>
        <w:t xml:space="preserve">and </w:t>
      </w:r>
      <w:r w:rsidR="00993E88">
        <w:t>continuous measures introduced multicollinearity</w:t>
      </w:r>
      <w:r w:rsidR="00231F27">
        <w:t>—</w:t>
      </w:r>
      <w:r w:rsidR="00993E88">
        <w:t xml:space="preserve">both absolute and percentage difference measures are highly correlated with </w:t>
      </w:r>
      <w:r w:rsidR="00175557">
        <w:t>other variables</w:t>
      </w:r>
      <w:r w:rsidR="00231F27">
        <w:t xml:space="preserve"> (see Table A3 in the Appendix A)</w:t>
      </w:r>
      <w:r w:rsidR="00175557">
        <w:rPr>
          <w:bCs/>
        </w:rPr>
        <w:t xml:space="preserve">. </w:t>
      </w:r>
      <w:bookmarkEnd w:id="33"/>
      <w:r w:rsidR="00B00E5A">
        <w:rPr>
          <w:bCs/>
        </w:rPr>
        <w:t xml:space="preserve">Given this, we </w:t>
      </w:r>
      <w:r w:rsidR="00B00E5A">
        <w:t>retain</w:t>
      </w:r>
      <w:r w:rsidR="00726E93">
        <w:t>ed</w:t>
      </w:r>
      <w:r w:rsidR="00B00E5A">
        <w:t xml:space="preserve"> the variance in </w:t>
      </w:r>
      <w:r w:rsidR="00231F27">
        <w:t>predictive expectancy violations</w:t>
      </w:r>
      <w:r w:rsidR="00B00E5A">
        <w:rPr>
          <w:bCs/>
        </w:rPr>
        <w:t xml:space="preserve">, considering </w:t>
      </w:r>
      <w:r w:rsidR="00B00E5A">
        <w:t>earnings surprises were the bas</w:t>
      </w:r>
      <w:r w:rsidR="00726E93">
        <w:t>is</w:t>
      </w:r>
      <w:r w:rsidR="00B00E5A">
        <w:t xml:space="preserve"> for </w:t>
      </w:r>
      <w:r w:rsidR="00993E88">
        <w:t xml:space="preserve">the construction of </w:t>
      </w:r>
      <w:r w:rsidR="00B00E5A">
        <w:t xml:space="preserve">other variables and </w:t>
      </w:r>
      <w:r w:rsidR="00231F27">
        <w:t>its</w:t>
      </w:r>
      <w:r w:rsidR="00B00E5A">
        <w:t xml:space="preserve"> effect </w:t>
      </w:r>
      <w:r w:rsidR="00B00E5A">
        <w:rPr>
          <w:rFonts w:hint="eastAsia"/>
        </w:rPr>
        <w:t>was</w:t>
      </w:r>
      <w:r w:rsidR="00B00E5A">
        <w:t xml:space="preserve"> a baseline hypothesis. </w:t>
      </w:r>
      <w:r w:rsidR="00993E88">
        <w:t xml:space="preserve">Nevertheless, to address concerns about </w:t>
      </w:r>
      <w:r w:rsidR="00CF3075">
        <w:t>variance</w:t>
      </w:r>
      <w:r w:rsidR="00993E88">
        <w:t xml:space="preserve"> loss from dichotomization, we reran our models using continuous </w:t>
      </w:r>
      <w:r w:rsidR="00231F27">
        <w:t xml:space="preserve">absolute and percentage differences </w:t>
      </w:r>
      <w:r w:rsidR="00993E88">
        <w:t>for each type of prescriptive expecta</w:t>
      </w:r>
      <w:r w:rsidR="00B96EC6">
        <w:t>ncy</w:t>
      </w:r>
      <w:r w:rsidR="00993E88">
        <w:t xml:space="preserve"> violation—introducing one at a time while </w:t>
      </w:r>
      <w:r w:rsidR="004115B3">
        <w:t xml:space="preserve">dichotomizing </w:t>
      </w:r>
      <w:r w:rsidR="00993E88">
        <w:t xml:space="preserve">the predictive expectation violation and the other type. </w:t>
      </w:r>
      <w:r w:rsidR="00231F27" w:rsidRPr="00231F27">
        <w:t>To reduce the influence of outliers, we winsorized at the 1% and 99% levels. Results remained consistent in significance and direction.</w:t>
      </w:r>
      <w:r w:rsidR="00231F27">
        <w:t xml:space="preserve"> </w:t>
      </w:r>
      <w:r w:rsidR="00993E88">
        <w:rPr>
          <w:bCs/>
        </w:rPr>
        <w:t>W</w:t>
      </w:r>
      <w:r w:rsidR="00993E88" w:rsidRPr="00993E88">
        <w:rPr>
          <w:bCs/>
        </w:rPr>
        <w:t>e also tested using binary indicator</w:t>
      </w:r>
      <w:r w:rsidR="00993E88">
        <w:rPr>
          <w:bCs/>
        </w:rPr>
        <w:t>s</w:t>
      </w:r>
      <w:r w:rsidR="00993E88" w:rsidRPr="00993E88">
        <w:rPr>
          <w:bCs/>
        </w:rPr>
        <w:t xml:space="preserve"> for negative </w:t>
      </w:r>
      <w:r w:rsidR="00993E88">
        <w:rPr>
          <w:bCs/>
        </w:rPr>
        <w:t>prospective expecta</w:t>
      </w:r>
      <w:r w:rsidR="00B96EC6">
        <w:rPr>
          <w:bCs/>
        </w:rPr>
        <w:t>ncy</w:t>
      </w:r>
      <w:r w:rsidR="00993E88">
        <w:rPr>
          <w:bCs/>
        </w:rPr>
        <w:t xml:space="preserve"> violations</w:t>
      </w:r>
      <w:r w:rsidR="00231F27">
        <w:t xml:space="preserve">, which </w:t>
      </w:r>
      <w:r w:rsidR="00231F27">
        <w:lastRenderedPageBreak/>
        <w:t>again supported all hypotheses</w:t>
      </w:r>
      <w:r w:rsidR="00993E88" w:rsidRPr="00993E88">
        <w:rPr>
          <w:bCs/>
        </w:rPr>
        <w:t xml:space="preserve">. Together, these results </w:t>
      </w:r>
      <w:r w:rsidR="00231F27" w:rsidRPr="00231F27">
        <w:rPr>
          <w:bCs/>
        </w:rPr>
        <w:t>confirm the robustness of our results across both continuous and binary specifications</w:t>
      </w:r>
      <w:r w:rsidR="00266A9F">
        <w:rPr>
          <w:bCs/>
        </w:rPr>
        <w:t>.</w:t>
      </w:r>
    </w:p>
    <w:bookmarkEnd w:id="34"/>
    <w:p w14:paraId="680C11FA" w14:textId="23C92A40" w:rsidR="005E4C85" w:rsidRDefault="00993E88" w:rsidP="001739FF">
      <w:pPr>
        <w:spacing w:line="480" w:lineRule="auto"/>
        <w:ind w:firstLine="720"/>
        <w:rPr>
          <w:bCs/>
        </w:rPr>
      </w:pPr>
      <w:r>
        <w:rPr>
          <w:bCs/>
        </w:rPr>
        <w:t>Third, we consider</w:t>
      </w:r>
      <w:r w:rsidR="004115B3">
        <w:rPr>
          <w:bCs/>
        </w:rPr>
        <w:t>ed</w:t>
      </w:r>
      <w:r>
        <w:rPr>
          <w:bCs/>
        </w:rPr>
        <w:t xml:space="preserve"> alternative measures to prospective expecta</w:t>
      </w:r>
      <w:r w:rsidR="00B96EC6">
        <w:rPr>
          <w:bCs/>
        </w:rPr>
        <w:t>ncy</w:t>
      </w:r>
      <w:r>
        <w:rPr>
          <w:bCs/>
        </w:rPr>
        <w:t xml:space="preserve"> violations</w:t>
      </w:r>
      <w:r w:rsidR="007B6919" w:rsidRPr="007B6919">
        <w:rPr>
          <w:bCs/>
        </w:rPr>
        <w:t xml:space="preserve">, a novel construct introduced in this study for which no validated measures currently exist. </w:t>
      </w:r>
      <w:r w:rsidR="00773390">
        <w:rPr>
          <w:bCs/>
        </w:rPr>
        <w:t>While p</w:t>
      </w:r>
      <w:r w:rsidR="007B6919" w:rsidRPr="007B6919">
        <w:rPr>
          <w:bCs/>
        </w:rPr>
        <w:t>rice-to-earnings (P</w:t>
      </w:r>
      <w:r w:rsidR="00632E90">
        <w:rPr>
          <w:rFonts w:hint="eastAsia"/>
          <w:bCs/>
        </w:rPr>
        <w:t>/</w:t>
      </w:r>
      <w:r w:rsidR="007B6919" w:rsidRPr="007B6919">
        <w:rPr>
          <w:bCs/>
        </w:rPr>
        <w:t>E) ratio has also been used as a forward-looking indicator of investor sentiment (e.g., Penman, 1996)</w:t>
      </w:r>
      <w:r w:rsidR="00773390">
        <w:rPr>
          <w:bCs/>
        </w:rPr>
        <w:t xml:space="preserve">, it introduces </w:t>
      </w:r>
      <w:r w:rsidR="007B6919">
        <w:rPr>
          <w:bCs/>
        </w:rPr>
        <w:t>more</w:t>
      </w:r>
      <w:r w:rsidR="007B6919" w:rsidRPr="007B6919">
        <w:rPr>
          <w:bCs/>
        </w:rPr>
        <w:t xml:space="preserve"> missing observations (4,266 vs. 4,752 for Tobin’s Q) and raises multicollinearity concerns</w:t>
      </w:r>
      <w:r w:rsidR="007B6919">
        <w:rPr>
          <w:rStyle w:val="FootnoteReference"/>
          <w:bCs/>
        </w:rPr>
        <w:footnoteReference w:id="8"/>
      </w:r>
      <w:r w:rsidR="007B6919" w:rsidRPr="007B6919">
        <w:rPr>
          <w:bCs/>
        </w:rPr>
        <w:t>.</w:t>
      </w:r>
      <w:r w:rsidR="00773390">
        <w:rPr>
          <w:bCs/>
        </w:rPr>
        <w:t xml:space="preserve"> </w:t>
      </w:r>
      <w:r w:rsidR="005614F8" w:rsidRPr="005614F8">
        <w:rPr>
          <w:bCs/>
        </w:rPr>
        <w:t>Nevertheless, we report results using P</w:t>
      </w:r>
      <w:r w:rsidR="00632E90">
        <w:rPr>
          <w:rFonts w:hint="eastAsia"/>
          <w:bCs/>
        </w:rPr>
        <w:t>/</w:t>
      </w:r>
      <w:r w:rsidR="005614F8" w:rsidRPr="005614F8">
        <w:rPr>
          <w:bCs/>
        </w:rPr>
        <w:t>E ratio as an alternative measure</w:t>
      </w:r>
      <w:r w:rsidR="00773390">
        <w:rPr>
          <w:bCs/>
        </w:rPr>
        <w:t xml:space="preserve"> to Tobin’s Q in our main analysis</w:t>
      </w:r>
      <w:r w:rsidR="005614F8" w:rsidRPr="005614F8">
        <w:rPr>
          <w:bCs/>
        </w:rPr>
        <w:t xml:space="preserve">, calculated as the percentage change over the (-7, -1) window. Hypothesis 3 remained supported </w:t>
      </w:r>
      <w:r w:rsidR="00B7131E">
        <w:rPr>
          <w:bCs/>
        </w:rPr>
        <w:t>w</w:t>
      </w:r>
      <w:r w:rsidR="00B7131E" w:rsidRPr="005614F8">
        <w:rPr>
          <w:bCs/>
        </w:rPr>
        <w:t xml:space="preserve">ith this specification, </w:t>
      </w:r>
      <w:r w:rsidR="005614F8">
        <w:rPr>
          <w:bCs/>
        </w:rPr>
        <w:t xml:space="preserve">although with a lower level of significance </w:t>
      </w:r>
      <w:r w:rsidR="00590E22">
        <w:rPr>
          <w:bCs/>
        </w:rPr>
        <w:t>(</w:t>
      </w:r>
      <w:r w:rsidR="00590E22" w:rsidRPr="00BC2531">
        <w:rPr>
          <w:i/>
          <w:iCs/>
        </w:rPr>
        <w:sym w:font="Symbol" w:char="F062"/>
      </w:r>
      <w:r w:rsidR="00590E22">
        <w:rPr>
          <w:rFonts w:hint="eastAsia"/>
          <w:i/>
          <w:iCs/>
        </w:rPr>
        <w:t xml:space="preserve"> </w:t>
      </w:r>
      <w:r w:rsidR="00590E22" w:rsidRPr="00BC2531">
        <w:rPr>
          <w:i/>
          <w:iCs/>
        </w:rPr>
        <w:t>=</w:t>
      </w:r>
      <w:r w:rsidR="00590E22">
        <w:rPr>
          <w:rFonts w:hint="eastAsia"/>
          <w:i/>
          <w:iCs/>
        </w:rPr>
        <w:t xml:space="preserve"> </w:t>
      </w:r>
      <w:r w:rsidR="00590E22">
        <w:rPr>
          <w:i/>
          <w:iCs/>
        </w:rPr>
        <w:t>0.05</w:t>
      </w:r>
      <w:r w:rsidR="00590E22" w:rsidRPr="00BC2531">
        <w:rPr>
          <w:i/>
          <w:iCs/>
        </w:rPr>
        <w:t>, p</w:t>
      </w:r>
      <w:r w:rsidR="00590E22">
        <w:rPr>
          <w:rFonts w:hint="eastAsia"/>
          <w:i/>
          <w:iCs/>
        </w:rPr>
        <w:t xml:space="preserve"> </w:t>
      </w:r>
      <w:r w:rsidR="00590E22" w:rsidRPr="00BC2531">
        <w:rPr>
          <w:i/>
          <w:iCs/>
        </w:rPr>
        <w:t>&lt;</w:t>
      </w:r>
      <w:r w:rsidR="00590E22">
        <w:rPr>
          <w:rFonts w:hint="eastAsia"/>
          <w:i/>
          <w:iCs/>
        </w:rPr>
        <w:t xml:space="preserve"> </w:t>
      </w:r>
      <w:r w:rsidR="00590E22" w:rsidRPr="00BC2531">
        <w:rPr>
          <w:i/>
          <w:iCs/>
        </w:rPr>
        <w:t>0.</w:t>
      </w:r>
      <w:r w:rsidR="00590E22">
        <w:rPr>
          <w:i/>
          <w:iCs/>
        </w:rPr>
        <w:t>10</w:t>
      </w:r>
      <w:r w:rsidR="00590E22">
        <w:rPr>
          <w:rFonts w:hint="eastAsia"/>
          <w:i/>
          <w:iCs/>
        </w:rPr>
        <w:t xml:space="preserve"> </w:t>
      </w:r>
      <w:r w:rsidR="00590E22">
        <w:rPr>
          <w:rFonts w:hint="eastAsia"/>
        </w:rPr>
        <w:t xml:space="preserve">in </w:t>
      </w:r>
      <w:r w:rsidR="005614F8">
        <w:t xml:space="preserve">the </w:t>
      </w:r>
      <w:r w:rsidR="00590E22">
        <w:t>stepwise model</w:t>
      </w:r>
      <w:r w:rsidR="00590E22">
        <w:rPr>
          <w:rFonts w:hint="eastAsia"/>
        </w:rPr>
        <w:t xml:space="preserve">; </w:t>
      </w:r>
      <w:r w:rsidR="00590E22" w:rsidRPr="00BC2531">
        <w:rPr>
          <w:i/>
          <w:iCs/>
        </w:rPr>
        <w:sym w:font="Symbol" w:char="F062"/>
      </w:r>
      <w:r w:rsidR="00590E22">
        <w:rPr>
          <w:rFonts w:hint="eastAsia"/>
          <w:i/>
          <w:iCs/>
        </w:rPr>
        <w:t xml:space="preserve"> </w:t>
      </w:r>
      <w:r w:rsidR="00590E22" w:rsidRPr="00BC2531">
        <w:rPr>
          <w:i/>
          <w:iCs/>
        </w:rPr>
        <w:t>=</w:t>
      </w:r>
      <w:r w:rsidR="00590E22">
        <w:rPr>
          <w:i/>
          <w:iCs/>
        </w:rPr>
        <w:t>0.05</w:t>
      </w:r>
      <w:r w:rsidR="00590E22" w:rsidRPr="00BC2531">
        <w:rPr>
          <w:i/>
          <w:iCs/>
        </w:rPr>
        <w:t>, p</w:t>
      </w:r>
      <w:r w:rsidR="00590E22">
        <w:rPr>
          <w:rFonts w:hint="eastAsia"/>
          <w:i/>
          <w:iCs/>
        </w:rPr>
        <w:t xml:space="preserve"> </w:t>
      </w:r>
      <w:r w:rsidR="00590E22" w:rsidRPr="00BC2531">
        <w:rPr>
          <w:i/>
          <w:iCs/>
        </w:rPr>
        <w:t>&lt;</w:t>
      </w:r>
      <w:r w:rsidR="00590E22">
        <w:rPr>
          <w:rFonts w:hint="eastAsia"/>
          <w:i/>
          <w:iCs/>
        </w:rPr>
        <w:t xml:space="preserve"> </w:t>
      </w:r>
      <w:r w:rsidR="00590E22" w:rsidRPr="00BC2531">
        <w:rPr>
          <w:i/>
          <w:iCs/>
        </w:rPr>
        <w:t>0.</w:t>
      </w:r>
      <w:r w:rsidR="00590E22">
        <w:rPr>
          <w:rFonts w:hint="eastAsia"/>
          <w:i/>
          <w:iCs/>
        </w:rPr>
        <w:t>0</w:t>
      </w:r>
      <w:r w:rsidR="00590E22">
        <w:rPr>
          <w:i/>
          <w:iCs/>
        </w:rPr>
        <w:t>5</w:t>
      </w:r>
      <w:r w:rsidR="00590E22">
        <w:rPr>
          <w:rFonts w:hint="eastAsia"/>
          <w:i/>
          <w:iCs/>
        </w:rPr>
        <w:t xml:space="preserve"> </w:t>
      </w:r>
      <w:r w:rsidR="00590E22">
        <w:rPr>
          <w:rFonts w:hint="eastAsia"/>
        </w:rPr>
        <w:t xml:space="preserve">in </w:t>
      </w:r>
      <w:r w:rsidR="005614F8">
        <w:t xml:space="preserve">the </w:t>
      </w:r>
      <w:r w:rsidR="00590E22">
        <w:t>full model</w:t>
      </w:r>
      <w:r w:rsidR="00590E22">
        <w:rPr>
          <w:bCs/>
        </w:rPr>
        <w:t xml:space="preserve">). </w:t>
      </w:r>
      <w:r w:rsidR="001739FF">
        <w:t>We also tested alternative windows (</w:t>
      </w:r>
      <w:r w:rsidR="00B7131E">
        <w:t>-</w:t>
      </w:r>
      <w:r w:rsidR="001739FF">
        <w:t xml:space="preserve">14, </w:t>
      </w:r>
      <w:r w:rsidR="00B7131E">
        <w:t>-</w:t>
      </w:r>
      <w:r w:rsidR="001739FF">
        <w:t>1), used absolute instead of percentage changes, and</w:t>
      </w:r>
      <w:r w:rsidR="001739FF">
        <w:rPr>
          <w:bCs/>
        </w:rPr>
        <w:t xml:space="preserve"> isolated </w:t>
      </w:r>
      <w:r w:rsidR="001739FF" w:rsidRPr="001739FF">
        <w:rPr>
          <w:bCs/>
        </w:rPr>
        <w:t xml:space="preserve">the unique variance in these two prospective expectation measures by regressing </w:t>
      </w:r>
      <w:r w:rsidR="001739FF">
        <w:rPr>
          <w:bCs/>
        </w:rPr>
        <w:t>them</w:t>
      </w:r>
      <w:r w:rsidR="001739FF" w:rsidRPr="001739FF">
        <w:rPr>
          <w:bCs/>
        </w:rPr>
        <w:t xml:space="preserve"> on all control variables and </w:t>
      </w:r>
      <w:r w:rsidR="001739FF">
        <w:rPr>
          <w:bCs/>
        </w:rPr>
        <w:t>obtaining the</w:t>
      </w:r>
      <w:r w:rsidR="001739FF" w:rsidRPr="001739FF">
        <w:rPr>
          <w:bCs/>
        </w:rPr>
        <w:t xml:space="preserve"> residuals</w:t>
      </w:r>
      <w:r w:rsidR="001739FF">
        <w:rPr>
          <w:bCs/>
        </w:rPr>
        <w:t>.</w:t>
      </w:r>
      <w:r w:rsidR="007B6919">
        <w:rPr>
          <w:bCs/>
        </w:rPr>
        <w:t xml:space="preserve"> </w:t>
      </w:r>
      <w:r w:rsidR="001739FF">
        <w:rPr>
          <w:bCs/>
        </w:rPr>
        <w:t>Across these</w:t>
      </w:r>
      <w:r w:rsidR="007B6919">
        <w:rPr>
          <w:bCs/>
        </w:rPr>
        <w:t xml:space="preserve"> alternative specifications, </w:t>
      </w:r>
      <w:r w:rsidR="00823E7F">
        <w:rPr>
          <w:bCs/>
        </w:rPr>
        <w:t xml:space="preserve">we </w:t>
      </w:r>
      <w:r w:rsidR="005614F8" w:rsidRPr="005614F8">
        <w:rPr>
          <w:bCs/>
        </w:rPr>
        <w:t xml:space="preserve">consistently </w:t>
      </w:r>
      <w:r w:rsidR="001739FF">
        <w:rPr>
          <w:bCs/>
        </w:rPr>
        <w:t>found</w:t>
      </w:r>
      <w:r w:rsidR="001739FF" w:rsidRPr="005614F8">
        <w:rPr>
          <w:bCs/>
        </w:rPr>
        <w:t xml:space="preserve"> </w:t>
      </w:r>
      <w:r w:rsidR="005614F8" w:rsidRPr="005614F8">
        <w:rPr>
          <w:bCs/>
        </w:rPr>
        <w:t>evidence supporting Hypothesis 3</w:t>
      </w:r>
      <w:r w:rsidR="007B6919">
        <w:rPr>
          <w:bCs/>
        </w:rPr>
        <w:t xml:space="preserve"> in most tests</w:t>
      </w:r>
      <w:r w:rsidR="001739FF" w:rsidRPr="001739FF">
        <w:rPr>
          <w:bCs/>
        </w:rPr>
        <w:t>, except when using the absolute change in P</w:t>
      </w:r>
      <w:r w:rsidR="00632E90">
        <w:rPr>
          <w:rFonts w:hint="eastAsia"/>
          <w:bCs/>
        </w:rPr>
        <w:t>/</w:t>
      </w:r>
      <w:r w:rsidR="001739FF" w:rsidRPr="001739FF">
        <w:rPr>
          <w:bCs/>
        </w:rPr>
        <w:t xml:space="preserve">E ratio, </w:t>
      </w:r>
      <w:r w:rsidR="00291638">
        <w:rPr>
          <w:rFonts w:hint="eastAsia"/>
          <w:bCs/>
        </w:rPr>
        <w:t xml:space="preserve">the effect of </w:t>
      </w:r>
      <w:r w:rsidR="001739FF" w:rsidRPr="001739FF">
        <w:rPr>
          <w:bCs/>
        </w:rPr>
        <w:t>which became nonsignificant</w:t>
      </w:r>
      <w:r w:rsidR="001739FF">
        <w:rPr>
          <w:bCs/>
        </w:rPr>
        <w:t xml:space="preserve">. </w:t>
      </w:r>
    </w:p>
    <w:bookmarkEnd w:id="32"/>
    <w:p w14:paraId="5EE810B6" w14:textId="56F70F15" w:rsidR="005211CE" w:rsidRDefault="005211CE" w:rsidP="00FA24C7">
      <w:pPr>
        <w:spacing w:line="360" w:lineRule="auto"/>
        <w:rPr>
          <w:b/>
          <w:bCs/>
        </w:rPr>
      </w:pPr>
      <w:r>
        <w:rPr>
          <w:rFonts w:hint="eastAsia"/>
          <w:b/>
          <w:bCs/>
        </w:rPr>
        <w:t xml:space="preserve">Post </w:t>
      </w:r>
      <w:r w:rsidR="00265216">
        <w:rPr>
          <w:b/>
          <w:bCs/>
        </w:rPr>
        <w:t>Hoc Analys</w:t>
      </w:r>
      <w:r w:rsidR="00B36EF0">
        <w:rPr>
          <w:b/>
          <w:bCs/>
        </w:rPr>
        <w:t>e</w:t>
      </w:r>
      <w:r w:rsidR="00265216">
        <w:rPr>
          <w:b/>
          <w:bCs/>
        </w:rPr>
        <w:t>s</w:t>
      </w:r>
    </w:p>
    <w:p w14:paraId="602AAF9E" w14:textId="68E98B25" w:rsidR="003865B2" w:rsidRDefault="002A76BD" w:rsidP="00FA24C7">
      <w:pPr>
        <w:spacing w:line="480" w:lineRule="auto"/>
        <w:ind w:firstLine="720"/>
      </w:pPr>
      <w:r w:rsidRPr="002A76BD">
        <w:t xml:space="preserve">Building on this </w:t>
      </w:r>
      <w:r w:rsidR="00291791">
        <w:rPr>
          <w:rFonts w:hint="eastAsia"/>
        </w:rPr>
        <w:t>argument</w:t>
      </w:r>
      <w:r w:rsidRPr="002A76BD">
        <w:t xml:space="preserve"> and our</w:t>
      </w:r>
      <w:r>
        <w:rPr>
          <w:rFonts w:hint="eastAsia"/>
        </w:rPr>
        <w:t xml:space="preserve"> </w:t>
      </w:r>
      <w:r w:rsidRPr="002A76BD">
        <w:t xml:space="preserve">hypothesis tests, we </w:t>
      </w:r>
      <w:r w:rsidR="00B36EF0">
        <w:t>conducted</w:t>
      </w:r>
      <w:r w:rsidR="00B36EF0" w:rsidRPr="002A76BD">
        <w:t xml:space="preserve"> </w:t>
      </w:r>
      <w:r w:rsidRPr="002A76BD">
        <w:t xml:space="preserve">several post-hoc analyses </w:t>
      </w:r>
      <w:r w:rsidR="003865B2">
        <w:rPr>
          <w:rFonts w:hint="eastAsia"/>
        </w:rPr>
        <w:t xml:space="preserve">to explore the conditions under which investors are more </w:t>
      </w:r>
      <w:r w:rsidR="003865B2">
        <w:t>likely</w:t>
      </w:r>
      <w:r w:rsidR="003865B2">
        <w:rPr>
          <w:rFonts w:hint="eastAsia"/>
        </w:rPr>
        <w:t xml:space="preserve"> to </w:t>
      </w:r>
      <w:r>
        <w:rPr>
          <w:rFonts w:hint="eastAsia"/>
        </w:rPr>
        <w:t>use</w:t>
      </w:r>
      <w:r w:rsidR="003865B2">
        <w:rPr>
          <w:rFonts w:hint="eastAsia"/>
        </w:rPr>
        <w:t xml:space="preserve"> </w:t>
      </w:r>
      <w:r w:rsidR="00291791">
        <w:rPr>
          <w:rFonts w:hint="eastAsia"/>
        </w:rPr>
        <w:t xml:space="preserve">the heuristics </w:t>
      </w:r>
      <w:r w:rsidR="00367B8E">
        <w:t xml:space="preserve">proposed in our hypotheses </w:t>
      </w:r>
      <w:r w:rsidR="00291791">
        <w:rPr>
          <w:rFonts w:hint="eastAsia"/>
        </w:rPr>
        <w:t>to compare earnings results relative to their multiple expectations</w:t>
      </w:r>
      <w:r w:rsidR="003865B2">
        <w:rPr>
          <w:rFonts w:hint="eastAsia"/>
        </w:rPr>
        <w:t xml:space="preserve">. </w:t>
      </w:r>
    </w:p>
    <w:p w14:paraId="00D219AF" w14:textId="76BF070B" w:rsidR="002F523B" w:rsidRDefault="005211CE" w:rsidP="002A0580">
      <w:pPr>
        <w:spacing w:line="480" w:lineRule="auto"/>
        <w:ind w:firstLine="720"/>
      </w:pPr>
      <w:r w:rsidRPr="00CE3647">
        <w:rPr>
          <w:b/>
          <w:bCs/>
          <w:i/>
          <w:iCs/>
        </w:rPr>
        <w:t>Uncertainty in predictive expectations and the use of heuristics.</w:t>
      </w:r>
      <w:r>
        <w:rPr>
          <w:rFonts w:hint="eastAsia"/>
          <w:b/>
          <w:bCs/>
          <w:i/>
          <w:iCs/>
        </w:rPr>
        <w:t xml:space="preserve"> </w:t>
      </w:r>
      <w:r w:rsidR="002F523B">
        <w:t xml:space="preserve">Analysts often do not fully agree, and their disagreement may be greater (what is referred to as estimate dispersion) when there is a lot of uncertainty or risk surrounding the firm </w:t>
      </w:r>
      <w:r w:rsidR="002F523B" w:rsidRPr="005F6DE6">
        <w:t>(e.g., Ajinkya &amp; Gift, 1985</w:t>
      </w:r>
      <w:r w:rsidR="002F523B">
        <w:t xml:space="preserve">; </w:t>
      </w:r>
      <w:r w:rsidR="002F523B" w:rsidRPr="005F6DE6">
        <w:t xml:space="preserve">Barron </w:t>
      </w:r>
      <w:r w:rsidR="002F523B" w:rsidRPr="005F6DE6">
        <w:lastRenderedPageBreak/>
        <w:t>&amp; Stuerke, 1998)</w:t>
      </w:r>
      <w:r w:rsidR="002F523B">
        <w:t xml:space="preserve">, </w:t>
      </w:r>
      <w:r w:rsidR="00B365DE">
        <w:t xml:space="preserve">when </w:t>
      </w:r>
      <w:r w:rsidR="002F523B">
        <w:t xml:space="preserve">information </w:t>
      </w:r>
      <w:r w:rsidR="001739FF">
        <w:t>is interpreted differently</w:t>
      </w:r>
      <w:r w:rsidR="00BA5A1B">
        <w:t xml:space="preserve"> </w:t>
      </w:r>
      <w:r w:rsidR="002F523B" w:rsidRPr="005F6DE6">
        <w:t>(e.g., Anderson,</w:t>
      </w:r>
      <w:r w:rsidR="002742B9">
        <w:t xml:space="preserve"> Ghysels, &amp; Juergens,</w:t>
      </w:r>
      <w:r w:rsidR="002F523B" w:rsidRPr="005F6DE6">
        <w:t xml:space="preserve"> 2005; Atmaz &amp; Basak, 2018; Diether,</w:t>
      </w:r>
      <w:r w:rsidR="002742B9">
        <w:t xml:space="preserve"> Malloy, &amp; Scherbina,</w:t>
      </w:r>
      <w:r w:rsidR="002F523B" w:rsidRPr="005F6DE6">
        <w:t xml:space="preserve"> 2002), or </w:t>
      </w:r>
      <w:r w:rsidR="00B365DE">
        <w:t xml:space="preserve">when </w:t>
      </w:r>
      <w:r w:rsidR="002F523B">
        <w:t xml:space="preserve">analysts have </w:t>
      </w:r>
      <w:r w:rsidR="002F523B" w:rsidRPr="005F6DE6">
        <w:t xml:space="preserve">differential </w:t>
      </w:r>
      <w:r w:rsidR="002F523B">
        <w:t xml:space="preserve">access to </w:t>
      </w:r>
      <w:r w:rsidR="002F523B" w:rsidRPr="005F6DE6">
        <w:t>information (Ajinkya, Atiase, &amp; Gift, 1991).</w:t>
      </w:r>
      <w:r w:rsidR="002F523B">
        <w:t xml:space="preserve"> In these instances, the consensus estimate may be less informative </w:t>
      </w:r>
      <w:r w:rsidR="005054E6">
        <w:t xml:space="preserve">as a predictive expectation </w:t>
      </w:r>
      <w:r w:rsidR="002F523B">
        <w:t xml:space="preserve">than in situations when there is much more agreement about how the firm is likely to perform. Consequently, investors may </w:t>
      </w:r>
      <w:r w:rsidR="001A5F60">
        <w:t xml:space="preserve">place greater reliance on </w:t>
      </w:r>
      <w:r w:rsidR="00831A37">
        <w:rPr>
          <w:rFonts w:hint="eastAsia"/>
        </w:rPr>
        <w:t>heuristics</w:t>
      </w:r>
      <w:r w:rsidR="002F523B">
        <w:t>.</w:t>
      </w:r>
      <w:r w:rsidR="00B36EF0">
        <w:rPr>
          <w:i/>
          <w:iCs/>
        </w:rPr>
        <w:t xml:space="preserve"> </w:t>
      </w:r>
      <w:r w:rsidR="00B36EF0">
        <w:t>W</w:t>
      </w:r>
      <w:r w:rsidR="002F523B" w:rsidRPr="00E51785">
        <w:t>e interacted earnings estimate dispersion with prescriptive expecta</w:t>
      </w:r>
      <w:r w:rsidR="00BA5A1B">
        <w:t>ncy violation measures</w:t>
      </w:r>
      <w:r w:rsidR="00B36EF0">
        <w:t xml:space="preserve"> to </w:t>
      </w:r>
      <w:r w:rsidR="00BA5A1B">
        <w:t xml:space="preserve">test </w:t>
      </w:r>
      <w:r w:rsidR="00B36EF0">
        <w:t>if this might be the case, but</w:t>
      </w:r>
      <w:r w:rsidR="002F523B" w:rsidRPr="00E51785">
        <w:t xml:space="preserve"> did not observe any significant effects, suggesting that uncertainty about predictive expectations does not meaningfully alter investors’ reliance on heuristics</w:t>
      </w:r>
      <w:r w:rsidR="00B365DE">
        <w:t xml:space="preserve"> in our case</w:t>
      </w:r>
      <w:r w:rsidR="002F523B" w:rsidRPr="00E51785">
        <w:t>.</w:t>
      </w:r>
    </w:p>
    <w:p w14:paraId="597E0AD6" w14:textId="797D62E0" w:rsidR="005C2881" w:rsidRDefault="002A76BD" w:rsidP="005C2881">
      <w:pPr>
        <w:spacing w:line="480" w:lineRule="auto"/>
        <w:ind w:firstLine="720"/>
      </w:pPr>
      <w:bookmarkStart w:id="35" w:name="OLE_LINK30"/>
      <w:r w:rsidRPr="00CE3647">
        <w:rPr>
          <w:b/>
          <w:bCs/>
          <w:i/>
          <w:iCs/>
        </w:rPr>
        <w:t xml:space="preserve">Heuristics and </w:t>
      </w:r>
      <w:r w:rsidR="00DB7CF4" w:rsidRPr="00CE3647">
        <w:rPr>
          <w:b/>
          <w:bCs/>
          <w:i/>
          <w:iCs/>
        </w:rPr>
        <w:t>u</w:t>
      </w:r>
      <w:r w:rsidRPr="00CE3647">
        <w:rPr>
          <w:b/>
          <w:bCs/>
          <w:i/>
          <w:iCs/>
        </w:rPr>
        <w:t xml:space="preserve">nsophisticated </w:t>
      </w:r>
      <w:r w:rsidR="00DB7CF4" w:rsidRPr="00CE3647">
        <w:rPr>
          <w:b/>
          <w:bCs/>
          <w:i/>
          <w:iCs/>
        </w:rPr>
        <w:t>i</w:t>
      </w:r>
      <w:r w:rsidRPr="00CE3647">
        <w:rPr>
          <w:b/>
          <w:bCs/>
          <w:i/>
          <w:iCs/>
        </w:rPr>
        <w:t>nvestors</w:t>
      </w:r>
      <w:bookmarkEnd w:id="35"/>
      <w:r w:rsidRPr="00CE3647">
        <w:rPr>
          <w:b/>
          <w:bCs/>
        </w:rPr>
        <w:t>.</w:t>
      </w:r>
      <w:r>
        <w:rPr>
          <w:rFonts w:hint="eastAsia"/>
          <w:b/>
          <w:bCs/>
        </w:rPr>
        <w:t xml:space="preserve"> </w:t>
      </w:r>
      <w:r w:rsidR="00B36EF0">
        <w:t>G</w:t>
      </w:r>
      <w:r>
        <w:t>iven that heuristics are simple decision rules (e.g., Tversky &amp; Kahneman, 1974) to deal with attention and cognitive capacity constraints (Simon, 1955), the</w:t>
      </w:r>
      <w:r w:rsidR="00797860">
        <w:t>ir</w:t>
      </w:r>
      <w:r>
        <w:t xml:space="preserve"> use may also depend on the nature of the investor pool. In particular, the literature has distinguished between sophisticated institutional investors and unsophisticated retail investors who do not have access to the same amount of information or possess the same expertise (Bartov</w:t>
      </w:r>
      <w:r w:rsidR="002742B9">
        <w:t xml:space="preserve"> et al.</w:t>
      </w:r>
      <w:r w:rsidRPr="0087558C">
        <w:t>, 2000</w:t>
      </w:r>
      <w:r>
        <w:t xml:space="preserve">). </w:t>
      </w:r>
      <w:bookmarkStart w:id="36" w:name="OLE_LINK56"/>
      <w:r w:rsidR="00BA5A1B">
        <w:t>While</w:t>
      </w:r>
      <w:r>
        <w:t xml:space="preserve"> unsophisticated investors </w:t>
      </w:r>
      <w:r w:rsidR="00BA5A1B">
        <w:t>may struggle</w:t>
      </w:r>
      <w:r>
        <w:t xml:space="preserve"> to develop fine-grained prescriptive expectations, sophisticated institutional investors </w:t>
      </w:r>
      <w:r w:rsidR="00387B0E">
        <w:rPr>
          <w:rFonts w:hint="eastAsia"/>
        </w:rPr>
        <w:t>may</w:t>
      </w:r>
      <w:r>
        <w:t xml:space="preserve"> not need to us</w:t>
      </w:r>
      <w:r w:rsidR="00B364CE">
        <w:t>e</w:t>
      </w:r>
      <w:r>
        <w:t xml:space="preserve"> earnings surprises</w:t>
      </w:r>
      <w:r w:rsidR="00B364CE">
        <w:t xml:space="preserve"> to simplify things</w:t>
      </w:r>
      <w:r w:rsidR="005C2881">
        <w:t xml:space="preserve">, even bypassing them, by relying on </w:t>
      </w:r>
      <w:r w:rsidR="00797860">
        <w:t xml:space="preserve">a </w:t>
      </w:r>
      <w:r w:rsidR="005C2881">
        <w:t xml:space="preserve">more advanced approach </w:t>
      </w:r>
      <w:r w:rsidR="00BA5A1B">
        <w:t xml:space="preserve">such as </w:t>
      </w:r>
      <w:r w:rsidRPr="004254AB">
        <w:t xml:space="preserve">the seasonal random walk model (Bartov et al., 2000; Bernard &amp; Thomas, 1990). </w:t>
      </w:r>
      <w:bookmarkEnd w:id="36"/>
      <w:r w:rsidRPr="004254AB">
        <w:t>We</w:t>
      </w:r>
      <w:r>
        <w:t xml:space="preserve"> </w:t>
      </w:r>
      <w:r w:rsidR="009B4C59">
        <w:t xml:space="preserve">would </w:t>
      </w:r>
      <w:r w:rsidR="00797860">
        <w:t xml:space="preserve">therefore </w:t>
      </w:r>
      <w:r>
        <w:t>expect that sophisticated investors would reduce the use of the above heuristics</w:t>
      </w:r>
      <w:r w:rsidR="002540D3">
        <w:t>.</w:t>
      </w:r>
      <w:r>
        <w:t xml:space="preserve"> </w:t>
      </w:r>
      <w:r w:rsidR="002540D3" w:rsidRPr="0062297F">
        <w:t>S</w:t>
      </w:r>
      <w:r w:rsidRPr="0062297F">
        <w:t xml:space="preserve">tated differently, the </w:t>
      </w:r>
      <w:r w:rsidR="00622DC4">
        <w:t xml:space="preserve">greater </w:t>
      </w:r>
      <w:r w:rsidRPr="0062297F">
        <w:t xml:space="preserve">proportion of investors </w:t>
      </w:r>
      <w:r w:rsidR="002540D3" w:rsidRPr="0062297F">
        <w:t xml:space="preserve">who are </w:t>
      </w:r>
      <w:r w:rsidR="002540D3" w:rsidRPr="0062297F">
        <w:rPr>
          <w:i/>
          <w:iCs/>
        </w:rPr>
        <w:t>un</w:t>
      </w:r>
      <w:r w:rsidR="002540D3" w:rsidRPr="0062297F">
        <w:t>sophisticated</w:t>
      </w:r>
      <w:r w:rsidR="00622DC4">
        <w:t>, the greater</w:t>
      </w:r>
      <w:r w:rsidR="006452E8">
        <w:t xml:space="preserve"> </w:t>
      </w:r>
      <w:r w:rsidRPr="0062297F">
        <w:t>the</w:t>
      </w:r>
      <w:r w:rsidR="002540D3" w:rsidRPr="0062297F">
        <w:t>ir</w:t>
      </w:r>
      <w:r w:rsidRPr="0062297F">
        <w:t xml:space="preserve"> use of the heuristics</w:t>
      </w:r>
      <w:r w:rsidR="00291791" w:rsidRPr="0062297F">
        <w:t>,</w:t>
      </w:r>
      <w:r w:rsidRPr="0062297F">
        <w:t xml:space="preserve"> </w:t>
      </w:r>
      <w:r w:rsidR="00291791" w:rsidRPr="0062297F">
        <w:t xml:space="preserve">thereby amplifying the impact of both </w:t>
      </w:r>
      <w:r w:rsidR="00831A37">
        <w:rPr>
          <w:rFonts w:hint="eastAsia"/>
        </w:rPr>
        <w:t xml:space="preserve">types of </w:t>
      </w:r>
      <w:r w:rsidR="00291791" w:rsidRPr="0062297F">
        <w:t>prescriptive expectations on investor reactions</w:t>
      </w:r>
      <w:r w:rsidR="005C2881" w:rsidRPr="0062297F">
        <w:t>.</w:t>
      </w:r>
      <w:r w:rsidR="005C2881">
        <w:t xml:space="preserve"> </w:t>
      </w:r>
      <w:bookmarkStart w:id="37" w:name="OLE_LINK32"/>
      <w:r w:rsidR="00660DBD" w:rsidRPr="00660DBD">
        <w:t xml:space="preserve">We </w:t>
      </w:r>
      <w:r w:rsidR="00B36EF0">
        <w:t>explored</w:t>
      </w:r>
      <w:r w:rsidR="00B36EF0" w:rsidRPr="00660DBD">
        <w:t xml:space="preserve"> </w:t>
      </w:r>
      <w:r w:rsidR="00660DBD" w:rsidRPr="00660DBD">
        <w:t xml:space="preserve">this </w:t>
      </w:r>
      <w:r w:rsidR="00B36EF0">
        <w:t>possibility</w:t>
      </w:r>
      <w:r w:rsidR="00660DBD" w:rsidRPr="00660DBD">
        <w:t xml:space="preserve"> by interacting institutional </w:t>
      </w:r>
      <w:r w:rsidR="00660DBD" w:rsidRPr="00660DBD">
        <w:lastRenderedPageBreak/>
        <w:t xml:space="preserve">investor ownership (as defined in our main analysis) with our measures for prescriptive </w:t>
      </w:r>
      <w:r w:rsidR="005C2881">
        <w:t>expectancy violations</w:t>
      </w:r>
      <w:r w:rsidR="00660DBD" w:rsidRPr="00660DBD">
        <w:t xml:space="preserve">. </w:t>
      </w:r>
      <w:r w:rsidR="006E5753">
        <w:t>T</w:t>
      </w:r>
      <w:r w:rsidR="00DC39DA">
        <w:t>he</w:t>
      </w:r>
      <w:r w:rsidR="00163E8A" w:rsidRPr="00163E8A">
        <w:t xml:space="preserve"> interaction terms were not statistically significant</w:t>
      </w:r>
      <w:r w:rsidR="006E5753">
        <w:t>,</w:t>
      </w:r>
      <w:r w:rsidR="006E5753" w:rsidRPr="006E5753">
        <w:t xml:space="preserve"> </w:t>
      </w:r>
      <w:r w:rsidR="006E5753">
        <w:t>however</w:t>
      </w:r>
      <w:r w:rsidR="00163E8A">
        <w:t xml:space="preserve">. </w:t>
      </w:r>
    </w:p>
    <w:p w14:paraId="40554101" w14:textId="1F611FE9" w:rsidR="00660DBD" w:rsidRDefault="00660DBD" w:rsidP="008E3E54">
      <w:pPr>
        <w:spacing w:line="480" w:lineRule="auto"/>
        <w:ind w:firstLine="720"/>
      </w:pPr>
      <w:r w:rsidRPr="00660DBD">
        <w:t xml:space="preserve">To further investigate, we examined whether the effects of prescriptive </w:t>
      </w:r>
      <w:r w:rsidR="005C2881">
        <w:t>expectancy violations</w:t>
      </w:r>
      <w:r w:rsidR="005C2881" w:rsidRPr="00660DBD">
        <w:t xml:space="preserve"> </w:t>
      </w:r>
      <w:r w:rsidRPr="00660DBD">
        <w:t>on CAR vary across different time windows.</w:t>
      </w:r>
      <w:r>
        <w:rPr>
          <w:rFonts w:hint="eastAsia"/>
        </w:rPr>
        <w:t xml:space="preserve"> </w:t>
      </w:r>
      <w:r w:rsidR="00FB1A94">
        <w:t>Building</w:t>
      </w:r>
      <w:r w:rsidRPr="00660DBD">
        <w:t xml:space="preserve"> </w:t>
      </w:r>
      <w:r w:rsidR="00FB1A94">
        <w:t>up</w:t>
      </w:r>
      <w:r w:rsidRPr="00660DBD">
        <w:t xml:space="preserve">on finance research </w:t>
      </w:r>
      <w:r w:rsidR="005C2881">
        <w:t xml:space="preserve">that suggest </w:t>
      </w:r>
      <w:r w:rsidR="005C2881" w:rsidRPr="00660DBD">
        <w:t>institutional investors</w:t>
      </w:r>
      <w:r w:rsidR="005C2881">
        <w:rPr>
          <w:rFonts w:hint="eastAsia"/>
        </w:rPr>
        <w:t xml:space="preserve">, </w:t>
      </w:r>
      <w:r w:rsidR="005C2881" w:rsidRPr="00660DBD">
        <w:t>due to their superior access to information and sophistication</w:t>
      </w:r>
      <w:r w:rsidR="005C2881">
        <w:rPr>
          <w:rFonts w:hint="eastAsia"/>
        </w:rPr>
        <w:t xml:space="preserve">, </w:t>
      </w:r>
      <w:r w:rsidR="005C2881">
        <w:t>might</w:t>
      </w:r>
      <w:r w:rsidR="005C2881" w:rsidRPr="00660DBD">
        <w:t xml:space="preserve"> react to earnings results immediately or even before the official announcements</w:t>
      </w:r>
      <w:r w:rsidRPr="00660DBD">
        <w:t xml:space="preserve">, we argue that CAR </w:t>
      </w:r>
      <w:r w:rsidR="005C2881" w:rsidRPr="00660DBD">
        <w:t xml:space="preserve">from </w:t>
      </w:r>
      <w:r w:rsidR="005C2881" w:rsidRPr="00B43818">
        <w:t>day -1 to day 0</w:t>
      </w:r>
      <w:r w:rsidR="005C2881" w:rsidRPr="00660DBD">
        <w:t xml:space="preserve"> </w:t>
      </w:r>
      <w:r w:rsidR="005C2881">
        <w:t xml:space="preserve">around earnings announcements </w:t>
      </w:r>
      <w:r w:rsidRPr="00660DBD">
        <w:t>is primarily driven by sophisticated investors</w:t>
      </w:r>
      <w:r w:rsidR="005C2881">
        <w:t xml:space="preserve"> </w:t>
      </w:r>
      <w:r w:rsidR="005C2881">
        <w:rPr>
          <w:rFonts w:hint="eastAsia"/>
        </w:rPr>
        <w:t>(Hotchkiss &amp; Strickland, 2003)</w:t>
      </w:r>
      <w:r w:rsidRPr="00660DBD">
        <w:t xml:space="preserve">. In contrast, because unsophisticated investors typically </w:t>
      </w:r>
      <w:r w:rsidR="005C2881">
        <w:t>follow</w:t>
      </w:r>
      <w:r w:rsidRPr="00660DBD">
        <w:t xml:space="preserve"> firm announcements and market trends, </w:t>
      </w:r>
      <w:r w:rsidR="005C2881" w:rsidRPr="005C2881">
        <w:t xml:space="preserve">we use the CAR window from </w:t>
      </w:r>
      <w:r w:rsidR="005C2881" w:rsidRPr="00B43818">
        <w:t>day 1 to 3</w:t>
      </w:r>
      <w:r w:rsidR="005C2881" w:rsidRPr="005C2881">
        <w:t xml:space="preserve"> post-announcement to capture their reactions</w:t>
      </w:r>
      <w:r w:rsidRPr="00660DBD">
        <w:t>.</w:t>
      </w:r>
      <w:r w:rsidR="00EA0EC4">
        <w:t xml:space="preserve"> </w:t>
      </w:r>
      <w:bookmarkStart w:id="38" w:name="OLE_LINK31"/>
      <w:r w:rsidR="00C247EB" w:rsidRPr="00C247EB">
        <w:t>The results show</w:t>
      </w:r>
      <w:r w:rsidR="00FB1A94">
        <w:t>ed</w:t>
      </w:r>
      <w:r w:rsidR="00C247EB" w:rsidRPr="00C247EB">
        <w:t xml:space="preserve"> that the heuristics continue</w:t>
      </w:r>
      <w:r w:rsidR="00FB1A94">
        <w:t>d</w:t>
      </w:r>
      <w:r w:rsidR="00C247EB" w:rsidRPr="00C247EB">
        <w:t xml:space="preserve"> to affect </w:t>
      </w:r>
      <w:r w:rsidR="00662773">
        <w:t xml:space="preserve">both sophisticated and unsophisticated </w:t>
      </w:r>
      <w:r w:rsidR="003430CF">
        <w:t>investors’ reactions</w:t>
      </w:r>
      <w:r w:rsidR="00C247EB" w:rsidRPr="00C247EB">
        <w:t xml:space="preserve">. </w:t>
      </w:r>
      <w:r w:rsidR="00662773">
        <w:t>N</w:t>
      </w:r>
      <w:r w:rsidR="00C247EB" w:rsidRPr="00C247EB">
        <w:t xml:space="preserve">egative </w:t>
      </w:r>
      <w:r w:rsidR="00A65757">
        <w:rPr>
          <w:rFonts w:hint="eastAsia"/>
        </w:rPr>
        <w:t xml:space="preserve">prescriptive expectancy </w:t>
      </w:r>
      <w:r w:rsidR="00C247EB" w:rsidRPr="00C247EB">
        <w:t>violations lead to more negative investor reactions</w:t>
      </w:r>
      <w:r w:rsidR="00662773">
        <w:t xml:space="preserve"> in both </w:t>
      </w:r>
      <w:r w:rsidR="00A65757">
        <w:rPr>
          <w:rFonts w:hint="eastAsia"/>
        </w:rPr>
        <w:t>windows</w:t>
      </w:r>
      <w:r w:rsidR="00EA0EC4">
        <w:t xml:space="preserve">. </w:t>
      </w:r>
      <w:bookmarkEnd w:id="38"/>
    </w:p>
    <w:bookmarkEnd w:id="37"/>
    <w:p w14:paraId="2C55FF6C" w14:textId="54B6C2AE" w:rsidR="00660DBD" w:rsidRDefault="00F041FF" w:rsidP="00012026">
      <w:pPr>
        <w:spacing w:line="480" w:lineRule="auto"/>
        <w:ind w:firstLine="567"/>
      </w:pPr>
      <w:r>
        <w:t>The question then arose: why do sophisticated investors, despite their expertise, also rely on these heuristics? To explore this, we conducted a follow-up analysis considering</w:t>
      </w:r>
      <w:r w:rsidR="00CA7AF6">
        <w:t xml:space="preserve"> the investment portfolios of</w:t>
      </w:r>
      <w:r>
        <w:t xml:space="preserve"> institutional investors. </w:t>
      </w:r>
      <w:r w:rsidR="00A11A25">
        <w:t xml:space="preserve">As </w:t>
      </w:r>
      <w:r w:rsidR="00CA7AF6">
        <w:t xml:space="preserve">the investment </w:t>
      </w:r>
      <w:r w:rsidR="00A11A25">
        <w:t>portfolios expand</w:t>
      </w:r>
      <w:r w:rsidR="00CA7AF6">
        <w:t xml:space="preserve"> (i.e., they are invested in more firms)</w:t>
      </w:r>
      <w:r w:rsidR="00A11A25">
        <w:t xml:space="preserve">, </w:t>
      </w:r>
      <w:r w:rsidR="00CA7AF6" w:rsidRPr="006E5753">
        <w:t>even</w:t>
      </w:r>
      <w:r w:rsidR="00CA7AF6">
        <w:t xml:space="preserve"> </w:t>
      </w:r>
      <w:r w:rsidR="00A11A25">
        <w:t xml:space="preserve">these sophisticated investors face constraints in attention and cognitive capacity. </w:t>
      </w:r>
      <w:r w:rsidR="009B6DE4">
        <w:t>First, w</w:t>
      </w:r>
      <w:r>
        <w:t xml:space="preserve">e calculated the </w:t>
      </w:r>
      <w:r w:rsidR="009B6DE4">
        <w:t xml:space="preserve">portfolio size of each institutional investor by counting the </w:t>
      </w:r>
      <w:r>
        <w:t xml:space="preserve">number of firms </w:t>
      </w:r>
      <w:r w:rsidR="008B34BA">
        <w:t>they</w:t>
      </w:r>
      <w:r>
        <w:t xml:space="preserve"> held shares </w:t>
      </w:r>
      <w:r w:rsidR="00CA7AF6">
        <w:t xml:space="preserve">in </w:t>
      </w:r>
      <w:r w:rsidR="0096789E">
        <w:t xml:space="preserve">for each </w:t>
      </w:r>
      <w:r>
        <w:t>quarter</w:t>
      </w:r>
      <w:r w:rsidR="009B6DE4">
        <w:t>. We then took these counts</w:t>
      </w:r>
      <w:r>
        <w:t xml:space="preserve"> and then averaged </w:t>
      </w:r>
      <w:r w:rsidR="009B6DE4">
        <w:t>them</w:t>
      </w:r>
      <w:r>
        <w:t xml:space="preserve"> at the firm-</w:t>
      </w:r>
      <w:r w:rsidR="00FB1A94">
        <w:t>year-</w:t>
      </w:r>
      <w:r>
        <w:t>quarter level</w:t>
      </w:r>
      <w:r w:rsidR="00321FC9">
        <w:t xml:space="preserve"> for each firm </w:t>
      </w:r>
      <w:r w:rsidR="009B6DE4">
        <w:t>to derive</w:t>
      </w:r>
      <w:r w:rsidR="008633EA">
        <w:t xml:space="preserve"> </w:t>
      </w:r>
      <w:r w:rsidR="00321FC9">
        <w:t xml:space="preserve">the </w:t>
      </w:r>
      <w:r w:rsidR="002F523B">
        <w:t xml:space="preserve">average </w:t>
      </w:r>
      <w:r>
        <w:t xml:space="preserve">portfolio size </w:t>
      </w:r>
      <w:r w:rsidR="00972CB7">
        <w:t xml:space="preserve">of </w:t>
      </w:r>
      <w:r w:rsidR="009B6DE4">
        <w:t xml:space="preserve">any given firm’s </w:t>
      </w:r>
      <w:r w:rsidR="00972CB7">
        <w:t>institutional investor</w:t>
      </w:r>
      <w:r w:rsidR="009B6DE4">
        <w:t>s</w:t>
      </w:r>
      <w:r>
        <w:t xml:space="preserve"> for each firm-</w:t>
      </w:r>
      <w:r w:rsidR="00FB1A94">
        <w:t>year-</w:t>
      </w:r>
      <w:r>
        <w:t>quarter</w:t>
      </w:r>
      <w:r w:rsidR="009B6DE4">
        <w:rPr>
          <w:rStyle w:val="FootnoteReference"/>
        </w:rPr>
        <w:footnoteReference w:id="9"/>
      </w:r>
      <w:r>
        <w:t xml:space="preserve">. </w:t>
      </w:r>
      <w:r w:rsidR="00531108" w:rsidRPr="00531108">
        <w:t xml:space="preserve">We log-transformed this variable to address its skewness and then interacted it with our measures of prescriptive </w:t>
      </w:r>
      <w:r w:rsidR="00531108" w:rsidRPr="00531108">
        <w:lastRenderedPageBreak/>
        <w:t>expect</w:t>
      </w:r>
      <w:r w:rsidR="00662773">
        <w:t>ancy violations</w:t>
      </w:r>
      <w:r w:rsidR="00531108" w:rsidRPr="00531108">
        <w:t xml:space="preserve">. </w:t>
      </w:r>
      <w:r w:rsidR="006E5753">
        <w:t>T</w:t>
      </w:r>
      <w:r w:rsidR="00935583">
        <w:t>he interaction between prescriptive expecta</w:t>
      </w:r>
      <w:r w:rsidR="00B96EC6">
        <w:t>ncy</w:t>
      </w:r>
      <w:r w:rsidR="00935583">
        <w:t xml:space="preserve"> violation based on peer comparison and </w:t>
      </w:r>
      <w:r w:rsidR="00012026">
        <w:t xml:space="preserve">average </w:t>
      </w:r>
      <w:r w:rsidR="00012026" w:rsidRPr="00531108">
        <w:t>institutional investor</w:t>
      </w:r>
      <w:r w:rsidR="00012026">
        <w:t>’</w:t>
      </w:r>
      <w:r w:rsidR="00012026" w:rsidRPr="00531108">
        <w:t xml:space="preserve">s portfolio size </w:t>
      </w:r>
      <w:r w:rsidR="00012026">
        <w:t>was</w:t>
      </w:r>
      <w:r w:rsidR="00935583">
        <w:t xml:space="preserve"> negative and significant (</w:t>
      </w:r>
      <w:r w:rsidR="00935583" w:rsidRPr="00BC2531">
        <w:rPr>
          <w:i/>
          <w:iCs/>
        </w:rPr>
        <w:sym w:font="Symbol" w:char="F062"/>
      </w:r>
      <w:r w:rsidR="00935583">
        <w:rPr>
          <w:rFonts w:hint="eastAsia"/>
          <w:i/>
          <w:iCs/>
        </w:rPr>
        <w:t xml:space="preserve"> </w:t>
      </w:r>
      <w:r w:rsidR="00935583" w:rsidRPr="00BC2531">
        <w:rPr>
          <w:i/>
          <w:iCs/>
        </w:rPr>
        <w:t>=</w:t>
      </w:r>
      <w:r w:rsidR="00935583">
        <w:rPr>
          <w:rFonts w:hint="eastAsia"/>
          <w:i/>
          <w:iCs/>
        </w:rPr>
        <w:t xml:space="preserve"> </w:t>
      </w:r>
      <w:r w:rsidR="00935583">
        <w:rPr>
          <w:i/>
          <w:iCs/>
        </w:rPr>
        <w:t xml:space="preserve">- </w:t>
      </w:r>
      <w:r w:rsidR="00935583">
        <w:rPr>
          <w:rFonts w:hint="eastAsia"/>
          <w:i/>
          <w:iCs/>
        </w:rPr>
        <w:t>0.0</w:t>
      </w:r>
      <w:r w:rsidR="00935583">
        <w:rPr>
          <w:i/>
          <w:iCs/>
        </w:rPr>
        <w:t>2</w:t>
      </w:r>
      <w:r w:rsidR="00935583" w:rsidRPr="00BC2531">
        <w:rPr>
          <w:i/>
          <w:iCs/>
        </w:rPr>
        <w:t>, p</w:t>
      </w:r>
      <w:r w:rsidR="00935583">
        <w:rPr>
          <w:rFonts w:hint="eastAsia"/>
          <w:i/>
          <w:iCs/>
        </w:rPr>
        <w:t xml:space="preserve"> </w:t>
      </w:r>
      <w:r w:rsidR="00935583" w:rsidRPr="00BC2531">
        <w:rPr>
          <w:i/>
          <w:iCs/>
        </w:rPr>
        <w:t>&lt;</w:t>
      </w:r>
      <w:r w:rsidR="00935583">
        <w:rPr>
          <w:rFonts w:hint="eastAsia"/>
          <w:i/>
          <w:iCs/>
        </w:rPr>
        <w:t xml:space="preserve"> </w:t>
      </w:r>
      <w:r w:rsidR="00935583" w:rsidRPr="00BC2531">
        <w:rPr>
          <w:i/>
          <w:iCs/>
        </w:rPr>
        <w:t>0.</w:t>
      </w:r>
      <w:r w:rsidR="00935583">
        <w:rPr>
          <w:rFonts w:hint="eastAsia"/>
          <w:i/>
          <w:iCs/>
        </w:rPr>
        <w:t>0</w:t>
      </w:r>
      <w:r w:rsidR="00935583">
        <w:rPr>
          <w:i/>
          <w:iCs/>
        </w:rPr>
        <w:t>1</w:t>
      </w:r>
      <w:r w:rsidR="00935583">
        <w:t>).</w:t>
      </w:r>
      <w:r w:rsidR="00012026">
        <w:t xml:space="preserve"> </w:t>
      </w:r>
      <w:bookmarkStart w:id="39" w:name="OLE_LINK33"/>
      <w:r w:rsidR="00531108" w:rsidRPr="006E5753">
        <w:rPr>
          <w:bCs/>
        </w:rPr>
        <w:t>Figure A</w:t>
      </w:r>
      <w:r w:rsidR="008B34BA" w:rsidRPr="006E5753">
        <w:rPr>
          <w:bCs/>
        </w:rPr>
        <w:t>1</w:t>
      </w:r>
      <w:r w:rsidR="00531108" w:rsidRPr="006E5753">
        <w:rPr>
          <w:bCs/>
        </w:rPr>
        <w:t xml:space="preserve"> in Appendix A </w:t>
      </w:r>
      <w:r w:rsidR="008B34BA" w:rsidRPr="006E5753">
        <w:rPr>
          <w:bCs/>
        </w:rPr>
        <w:t>demonstrate</w:t>
      </w:r>
      <w:r w:rsidR="006E5753">
        <w:rPr>
          <w:bCs/>
        </w:rPr>
        <w:t>s</w:t>
      </w:r>
      <w:r w:rsidR="008B34BA" w:rsidRPr="006E5753">
        <w:rPr>
          <w:bCs/>
        </w:rPr>
        <w:t xml:space="preserve"> this result using the </w:t>
      </w:r>
      <w:r w:rsidR="00531108" w:rsidRPr="006E5753">
        <w:rPr>
          <w:bCs/>
        </w:rPr>
        <w:t>conditional marginal effect plot</w:t>
      </w:r>
      <w:r w:rsidR="00A11A25" w:rsidRPr="006E5753">
        <w:rPr>
          <w:bCs/>
        </w:rPr>
        <w:t>.</w:t>
      </w:r>
      <w:r w:rsidR="00A11A25">
        <w:rPr>
          <w:bCs/>
        </w:rPr>
        <w:t xml:space="preserve"> </w:t>
      </w:r>
      <w:r w:rsidR="00662773" w:rsidRPr="006E5753">
        <w:rPr>
          <w:bCs/>
        </w:rPr>
        <w:t>As</w:t>
      </w:r>
      <w:r w:rsidR="00A11A25" w:rsidRPr="006E5753">
        <w:rPr>
          <w:bCs/>
        </w:rPr>
        <w:t xml:space="preserve"> the average portfolio size </w:t>
      </w:r>
      <w:r w:rsidR="00C94CE2">
        <w:rPr>
          <w:bCs/>
        </w:rPr>
        <w:t>grows</w:t>
      </w:r>
      <w:r w:rsidR="00A11A25" w:rsidRPr="006E5753">
        <w:rPr>
          <w:bCs/>
        </w:rPr>
        <w:t>,</w:t>
      </w:r>
      <w:r w:rsidR="00151979" w:rsidRPr="006E5753">
        <w:rPr>
          <w:bCs/>
        </w:rPr>
        <w:t xml:space="preserve"> </w:t>
      </w:r>
      <w:r w:rsidR="006E5753" w:rsidRPr="006E5753">
        <w:rPr>
          <w:bCs/>
        </w:rPr>
        <w:t xml:space="preserve">institutional investors </w:t>
      </w:r>
      <w:r w:rsidR="00A11A25" w:rsidRPr="006E5753">
        <w:rPr>
          <w:bCs/>
        </w:rPr>
        <w:t xml:space="preserve">increasingly rely on </w:t>
      </w:r>
      <w:r w:rsidR="008B34BA" w:rsidRPr="006E5753">
        <w:t>the peer comparison heuristic—responding more negatively when a firm’s earnings surprise falls below that of its industry peers</w:t>
      </w:r>
      <w:bookmarkEnd w:id="39"/>
      <w:r w:rsidR="00DC0AE8" w:rsidRPr="006E5753">
        <w:t>.</w:t>
      </w:r>
    </w:p>
    <w:p w14:paraId="3D7CF100" w14:textId="775F076C" w:rsidR="005A4311" w:rsidRDefault="00906E00" w:rsidP="00DD1B99">
      <w:pPr>
        <w:spacing w:line="480" w:lineRule="auto"/>
        <w:ind w:firstLine="720"/>
      </w:pPr>
      <w:bookmarkStart w:id="40" w:name="OLE_LINK34"/>
      <w:r w:rsidRPr="00CE3647">
        <w:rPr>
          <w:b/>
          <w:bCs/>
          <w:i/>
          <w:iCs/>
        </w:rPr>
        <w:t>Is heuristic usage “rational?”</w:t>
      </w:r>
      <w:r w:rsidR="005211CE">
        <w:rPr>
          <w:rFonts w:hint="eastAsia"/>
        </w:rPr>
        <w:t xml:space="preserve"> </w:t>
      </w:r>
      <w:bookmarkStart w:id="41" w:name="OLE_LINK57"/>
      <w:r w:rsidR="002B3587" w:rsidRPr="00DB7CF4">
        <w:t xml:space="preserve">Finally, we conducted several analyses to determine whether </w:t>
      </w:r>
      <w:r w:rsidR="0000532D">
        <w:rPr>
          <w:rFonts w:hint="eastAsia"/>
        </w:rPr>
        <w:t>we</w:t>
      </w:r>
      <w:r w:rsidR="00311BB6" w:rsidRPr="00DB7CF4">
        <w:t xml:space="preserve"> were merely capturing rational behavior that reflect investors noticing changes to the underlying</w:t>
      </w:r>
      <w:r w:rsidR="00311BB6">
        <w:t xml:space="preserve"> “true” value of the </w:t>
      </w:r>
      <w:r w:rsidR="00311BB6" w:rsidRPr="005A4311">
        <w:t>firm (</w:t>
      </w:r>
      <w:r w:rsidR="002F523B" w:rsidRPr="005A4311">
        <w:t>Penman, 2013</w:t>
      </w:r>
      <w:r w:rsidR="00311BB6" w:rsidRPr="005A4311">
        <w:t>) or</w:t>
      </w:r>
      <w:r w:rsidR="00311BB6">
        <w:t xml:space="preserve"> </w:t>
      </w:r>
      <w:r w:rsidR="00450862" w:rsidRPr="00450862">
        <w:t>something distinct about heuristic-based decision-making</w:t>
      </w:r>
      <w:r w:rsidR="00311BB6">
        <w:t xml:space="preserve">. </w:t>
      </w:r>
      <w:r w:rsidR="00DB7CF4">
        <w:t>P</w:t>
      </w:r>
      <w:r w:rsidR="00DD1B99">
        <w:t xml:space="preserve">rior research </w:t>
      </w:r>
      <w:r w:rsidR="00311BB6">
        <w:t xml:space="preserve">has </w:t>
      </w:r>
      <w:r w:rsidR="00DD1B99">
        <w:t xml:space="preserve">suggested that </w:t>
      </w:r>
      <w:r w:rsidR="00DD1B99" w:rsidRPr="00DD1B99">
        <w:t>earnings have time-series properties, where they may be predictive of subsequent earnings (Bernard &amp; Thomas, 1990)</w:t>
      </w:r>
      <w:r w:rsidR="00DD1B99">
        <w:t>.</w:t>
      </w:r>
      <w:r w:rsidR="00311BB6">
        <w:t xml:space="preserve"> </w:t>
      </w:r>
      <w:r w:rsidR="00DD1B99">
        <w:t xml:space="preserve">Hence, </w:t>
      </w:r>
      <w:r w:rsidR="00DD1B99" w:rsidRPr="002B3587">
        <w:t>we reconstructed our measures for prescriptive expect</w:t>
      </w:r>
      <w:r w:rsidR="00662773">
        <w:t>ancy violations</w:t>
      </w:r>
      <w:r w:rsidR="00DD1B99" w:rsidRPr="002B3587">
        <w:t xml:space="preserve"> using </w:t>
      </w:r>
      <w:r w:rsidR="00DD1B99" w:rsidRPr="00EF5B51">
        <w:rPr>
          <w:i/>
        </w:rPr>
        <w:t>earnings</w:t>
      </w:r>
      <w:r w:rsidR="00DD1B99" w:rsidRPr="002B3587">
        <w:t xml:space="preserve"> rather than earnings surprises and re</w:t>
      </w:r>
      <w:r w:rsidR="00DD1B99">
        <w:t>-</w:t>
      </w:r>
      <w:r w:rsidR="00DD1B99" w:rsidRPr="002B3587">
        <w:t xml:space="preserve">ran the analysis. </w:t>
      </w:r>
      <w:r w:rsidR="00450862" w:rsidRPr="00450862">
        <w:t>The results showed that prescriptive expecta</w:t>
      </w:r>
      <w:r w:rsidR="00B96EC6">
        <w:t>ncy</w:t>
      </w:r>
      <w:r w:rsidR="00450862" w:rsidRPr="00450862">
        <w:t xml:space="preserve"> violations based on past actual earnings continued to have a negative and statistically significant impact on investor reactions </w:t>
      </w:r>
      <w:r w:rsidR="005A4311">
        <w:t>(</w:t>
      </w:r>
      <w:r w:rsidR="005A4311" w:rsidRPr="00BC2531">
        <w:rPr>
          <w:i/>
          <w:iCs/>
        </w:rPr>
        <w:sym w:font="Symbol" w:char="F062"/>
      </w:r>
      <w:r w:rsidR="005A4311">
        <w:rPr>
          <w:rFonts w:hint="eastAsia"/>
          <w:i/>
          <w:iCs/>
        </w:rPr>
        <w:t xml:space="preserve"> </w:t>
      </w:r>
      <w:r w:rsidR="005A4311" w:rsidRPr="00BC2531">
        <w:rPr>
          <w:i/>
          <w:iCs/>
        </w:rPr>
        <w:t>=</w:t>
      </w:r>
      <w:r w:rsidR="005A4311">
        <w:rPr>
          <w:rFonts w:hint="eastAsia"/>
          <w:i/>
          <w:iCs/>
        </w:rPr>
        <w:t xml:space="preserve"> </w:t>
      </w:r>
      <w:r w:rsidR="005A4311">
        <w:rPr>
          <w:i/>
          <w:iCs/>
        </w:rPr>
        <w:t xml:space="preserve">- </w:t>
      </w:r>
      <w:r w:rsidR="005A4311">
        <w:rPr>
          <w:rFonts w:hint="eastAsia"/>
          <w:i/>
          <w:iCs/>
        </w:rPr>
        <w:t>0.0</w:t>
      </w:r>
      <w:r w:rsidR="005A4311">
        <w:rPr>
          <w:i/>
          <w:iCs/>
        </w:rPr>
        <w:t>1</w:t>
      </w:r>
      <w:r w:rsidR="005A4311" w:rsidRPr="00BC2531">
        <w:rPr>
          <w:i/>
          <w:iCs/>
        </w:rPr>
        <w:t>, p</w:t>
      </w:r>
      <w:r w:rsidR="005A4311">
        <w:rPr>
          <w:rFonts w:hint="eastAsia"/>
          <w:i/>
          <w:iCs/>
        </w:rPr>
        <w:t xml:space="preserve"> </w:t>
      </w:r>
      <w:r w:rsidR="005A4311" w:rsidRPr="00BC2531">
        <w:rPr>
          <w:i/>
          <w:iCs/>
        </w:rPr>
        <w:t>&lt;</w:t>
      </w:r>
      <w:r w:rsidR="005A4311">
        <w:rPr>
          <w:rFonts w:hint="eastAsia"/>
          <w:i/>
          <w:iCs/>
        </w:rPr>
        <w:t xml:space="preserve"> </w:t>
      </w:r>
      <w:r w:rsidR="005A4311" w:rsidRPr="00BC2531">
        <w:rPr>
          <w:i/>
          <w:iCs/>
        </w:rPr>
        <w:t>0.</w:t>
      </w:r>
      <w:r w:rsidR="005A4311">
        <w:rPr>
          <w:rFonts w:hint="eastAsia"/>
          <w:i/>
          <w:iCs/>
        </w:rPr>
        <w:t>0</w:t>
      </w:r>
      <w:r w:rsidR="004D7378">
        <w:rPr>
          <w:i/>
          <w:iCs/>
        </w:rPr>
        <w:t>0</w:t>
      </w:r>
      <w:r w:rsidR="005A4311">
        <w:rPr>
          <w:i/>
          <w:iCs/>
        </w:rPr>
        <w:t>1)</w:t>
      </w:r>
      <w:r w:rsidR="005A4311">
        <w:t xml:space="preserve">. </w:t>
      </w:r>
      <w:r w:rsidR="00450862" w:rsidRPr="00450862">
        <w:t>However, prescriptive expecta</w:t>
      </w:r>
      <w:r w:rsidR="00B96EC6">
        <w:t>ncy</w:t>
      </w:r>
      <w:r w:rsidR="00450862" w:rsidRPr="00450862">
        <w:t xml:space="preserve"> violations based on peer comparison had a weaker effect in the stepwise model</w:t>
      </w:r>
      <w:r w:rsidR="005A4311">
        <w:t xml:space="preserve"> (</w:t>
      </w:r>
      <w:r w:rsidR="005A4311" w:rsidRPr="00BC2531">
        <w:rPr>
          <w:i/>
          <w:iCs/>
        </w:rPr>
        <w:sym w:font="Symbol" w:char="F062"/>
      </w:r>
      <w:r w:rsidR="005A4311">
        <w:rPr>
          <w:rFonts w:hint="eastAsia"/>
          <w:i/>
          <w:iCs/>
        </w:rPr>
        <w:t xml:space="preserve"> </w:t>
      </w:r>
      <w:r w:rsidR="005A4311" w:rsidRPr="00BC2531">
        <w:rPr>
          <w:i/>
          <w:iCs/>
        </w:rPr>
        <w:t>=</w:t>
      </w:r>
      <w:r w:rsidR="005A4311">
        <w:rPr>
          <w:rFonts w:hint="eastAsia"/>
          <w:i/>
          <w:iCs/>
        </w:rPr>
        <w:t xml:space="preserve"> </w:t>
      </w:r>
      <w:r w:rsidR="005A4311">
        <w:rPr>
          <w:i/>
          <w:iCs/>
        </w:rPr>
        <w:t xml:space="preserve">- </w:t>
      </w:r>
      <w:r w:rsidR="005A4311">
        <w:rPr>
          <w:rFonts w:hint="eastAsia"/>
          <w:i/>
          <w:iCs/>
        </w:rPr>
        <w:t>0.0</w:t>
      </w:r>
      <w:r w:rsidR="005A4311">
        <w:rPr>
          <w:i/>
          <w:iCs/>
        </w:rPr>
        <w:t>0</w:t>
      </w:r>
      <w:r w:rsidR="005A4311" w:rsidRPr="00BC2531">
        <w:rPr>
          <w:i/>
          <w:iCs/>
        </w:rPr>
        <w:t>, p</w:t>
      </w:r>
      <w:r w:rsidR="005A4311">
        <w:rPr>
          <w:rFonts w:hint="eastAsia"/>
          <w:i/>
          <w:iCs/>
        </w:rPr>
        <w:t xml:space="preserve"> </w:t>
      </w:r>
      <w:r w:rsidR="005A4311" w:rsidRPr="00BC2531">
        <w:rPr>
          <w:i/>
          <w:iCs/>
        </w:rPr>
        <w:t>&lt;</w:t>
      </w:r>
      <w:r w:rsidR="005A4311">
        <w:rPr>
          <w:rFonts w:hint="eastAsia"/>
          <w:i/>
          <w:iCs/>
        </w:rPr>
        <w:t xml:space="preserve"> </w:t>
      </w:r>
      <w:r w:rsidR="005A4311" w:rsidRPr="00BC2531">
        <w:rPr>
          <w:i/>
          <w:iCs/>
        </w:rPr>
        <w:t>0.</w:t>
      </w:r>
      <w:r w:rsidR="005A4311">
        <w:rPr>
          <w:i/>
          <w:iCs/>
        </w:rPr>
        <w:t>10</w:t>
      </w:r>
      <w:r w:rsidR="005A4311">
        <w:t xml:space="preserve">) and became </w:t>
      </w:r>
      <w:r w:rsidR="00C1175C">
        <w:t>non</w:t>
      </w:r>
      <w:r w:rsidR="005A4311">
        <w:t xml:space="preserve">significant in the full model. </w:t>
      </w:r>
      <w:bookmarkEnd w:id="40"/>
      <w:r w:rsidR="00450862" w:rsidRPr="00450862">
        <w:t xml:space="preserve">These </w:t>
      </w:r>
      <w:r w:rsidR="0060036E">
        <w:t>weaker effects</w:t>
      </w:r>
      <w:r w:rsidR="00450862" w:rsidRPr="00450862">
        <w:t xml:space="preserve"> suggest that investors </w:t>
      </w:r>
      <w:r w:rsidR="0060036E">
        <w:t xml:space="preserve">appear to </w:t>
      </w:r>
      <w:r w:rsidR="00662773">
        <w:t>favor</w:t>
      </w:r>
      <w:r w:rsidR="00450862" w:rsidRPr="00450862">
        <w:t xml:space="preserve"> heuristics </w:t>
      </w:r>
      <w:r w:rsidR="0060036E">
        <w:t xml:space="preserve">based on earnings surprises rather than earnings, per se, </w:t>
      </w:r>
      <w:r w:rsidR="00450862" w:rsidRPr="00450862">
        <w:t>large</w:t>
      </w:r>
      <w:r w:rsidR="00DB7CF4">
        <w:t>ly</w:t>
      </w:r>
      <w:r w:rsidR="00450862" w:rsidRPr="00450862">
        <w:t xml:space="preserve"> exhibit</w:t>
      </w:r>
      <w:r w:rsidR="00A146B6">
        <w:t>ing</w:t>
      </w:r>
      <w:r w:rsidR="00450862" w:rsidRPr="00450862">
        <w:t xml:space="preserve"> only semi-rational behavior.</w:t>
      </w:r>
      <w:bookmarkEnd w:id="41"/>
    </w:p>
    <w:p w14:paraId="5E271922" w14:textId="41DCCF24" w:rsidR="00DC7309" w:rsidRDefault="000921FF" w:rsidP="004D7378">
      <w:pPr>
        <w:spacing w:line="480" w:lineRule="auto"/>
        <w:ind w:firstLine="720"/>
      </w:pPr>
      <w:r w:rsidRPr="000921FF">
        <w:t>Next, we used the models specified in the main analysis to predict firms</w:t>
      </w:r>
      <w:r w:rsidR="00A146B6">
        <w:t>’</w:t>
      </w:r>
      <w:r w:rsidRPr="000921FF">
        <w:t xml:space="preserve"> actual earnings and earnings surprises for the subsequent quarter. First, we found that neither </w:t>
      </w:r>
      <w:r w:rsidR="00831A37">
        <w:t>type</w:t>
      </w:r>
      <w:r w:rsidR="00831A37">
        <w:rPr>
          <w:rFonts w:hint="eastAsia"/>
        </w:rPr>
        <w:t xml:space="preserve"> of </w:t>
      </w:r>
      <w:r w:rsidRPr="000921FF">
        <w:t>prescriptive</w:t>
      </w:r>
      <w:r w:rsidR="00831A37">
        <w:rPr>
          <w:rFonts w:hint="eastAsia"/>
        </w:rPr>
        <w:t xml:space="preserve"> </w:t>
      </w:r>
      <w:r w:rsidRPr="000921FF">
        <w:t>expecta</w:t>
      </w:r>
      <w:r w:rsidR="00B96EC6">
        <w:t>ncy</w:t>
      </w:r>
      <w:r w:rsidRPr="000921FF">
        <w:t xml:space="preserve"> violations </w:t>
      </w:r>
      <w:r w:rsidR="0060036E">
        <w:t xml:space="preserve">appeared to </w:t>
      </w:r>
      <w:r w:rsidRPr="000921FF">
        <w:t xml:space="preserve">significantly predict subsequent earnings. </w:t>
      </w:r>
      <w:r w:rsidR="004D7378">
        <w:t xml:space="preserve">For </w:t>
      </w:r>
      <w:r w:rsidR="00F320B6">
        <w:t xml:space="preserve">predicting </w:t>
      </w:r>
      <w:r w:rsidR="004D7378">
        <w:t xml:space="preserve">subsequent earnings surprises, </w:t>
      </w:r>
      <w:r w:rsidR="00F320B6">
        <w:t xml:space="preserve">only </w:t>
      </w:r>
      <w:r w:rsidR="004D7378">
        <w:t xml:space="preserve">the </w:t>
      </w:r>
      <w:r w:rsidR="00F320B6">
        <w:t>effect of</w:t>
      </w:r>
      <w:r w:rsidRPr="000921FF">
        <w:t xml:space="preserve"> prescriptive expecta</w:t>
      </w:r>
      <w:r w:rsidR="00B96EC6">
        <w:t>ncy</w:t>
      </w:r>
      <w:r w:rsidRPr="000921FF">
        <w:t xml:space="preserve"> violations based on past </w:t>
      </w:r>
      <w:r w:rsidRPr="000921FF">
        <w:lastRenderedPageBreak/>
        <w:t>performance</w:t>
      </w:r>
      <w:r w:rsidR="004D7378">
        <w:t xml:space="preserve"> was </w:t>
      </w:r>
      <w:r w:rsidRPr="000921FF">
        <w:t xml:space="preserve">significant </w:t>
      </w:r>
      <w:r w:rsidR="00F320B6">
        <w:t xml:space="preserve">and positive </w:t>
      </w:r>
      <w:r w:rsidR="004D7378">
        <w:t>(</w:t>
      </w:r>
      <w:r w:rsidR="004D7378" w:rsidRPr="00BC2531">
        <w:rPr>
          <w:i/>
          <w:iCs/>
        </w:rPr>
        <w:sym w:font="Symbol" w:char="F062"/>
      </w:r>
      <w:r w:rsidR="004D7378">
        <w:rPr>
          <w:rFonts w:hint="eastAsia"/>
          <w:i/>
          <w:iCs/>
        </w:rPr>
        <w:t xml:space="preserve"> </w:t>
      </w:r>
      <w:r w:rsidR="004D7378" w:rsidRPr="00BC2531">
        <w:rPr>
          <w:i/>
          <w:iCs/>
        </w:rPr>
        <w:t>=</w:t>
      </w:r>
      <w:r w:rsidR="004D7378">
        <w:rPr>
          <w:rFonts w:hint="eastAsia"/>
          <w:i/>
          <w:iCs/>
        </w:rPr>
        <w:t xml:space="preserve"> </w:t>
      </w:r>
      <w:r w:rsidR="004D7378">
        <w:rPr>
          <w:i/>
          <w:iCs/>
        </w:rPr>
        <w:t>0.08</w:t>
      </w:r>
      <w:r w:rsidR="004D7378" w:rsidRPr="00BC2531">
        <w:rPr>
          <w:i/>
          <w:iCs/>
        </w:rPr>
        <w:t>, p</w:t>
      </w:r>
      <w:r w:rsidR="004D7378">
        <w:rPr>
          <w:rFonts w:hint="eastAsia"/>
          <w:i/>
          <w:iCs/>
        </w:rPr>
        <w:t xml:space="preserve"> </w:t>
      </w:r>
      <w:r w:rsidR="004D7378" w:rsidRPr="00BC2531">
        <w:rPr>
          <w:i/>
          <w:iCs/>
        </w:rPr>
        <w:t>&lt;</w:t>
      </w:r>
      <w:r w:rsidR="004D7378">
        <w:rPr>
          <w:rFonts w:hint="eastAsia"/>
          <w:i/>
          <w:iCs/>
        </w:rPr>
        <w:t xml:space="preserve"> </w:t>
      </w:r>
      <w:r w:rsidR="004D7378" w:rsidRPr="00BC2531">
        <w:rPr>
          <w:i/>
          <w:iCs/>
        </w:rPr>
        <w:t>0.</w:t>
      </w:r>
      <w:r w:rsidR="004D7378">
        <w:rPr>
          <w:rFonts w:hint="eastAsia"/>
          <w:i/>
          <w:iCs/>
        </w:rPr>
        <w:t>0</w:t>
      </w:r>
      <w:r w:rsidR="004D7378">
        <w:rPr>
          <w:i/>
          <w:iCs/>
        </w:rPr>
        <w:t>5)</w:t>
      </w:r>
      <w:r w:rsidRPr="000921FF">
        <w:t xml:space="preserve">. </w:t>
      </w:r>
      <w:r w:rsidR="007862D9" w:rsidRPr="00A11E6C">
        <w:rPr>
          <w:rFonts w:hint="eastAsia"/>
        </w:rPr>
        <w:t>I</w:t>
      </w:r>
      <w:r w:rsidR="00261244" w:rsidRPr="00A11E6C">
        <w:t xml:space="preserve">f the </w:t>
      </w:r>
      <w:r w:rsidR="007862D9" w:rsidRPr="00A11E6C">
        <w:rPr>
          <w:rFonts w:hint="eastAsia"/>
        </w:rPr>
        <w:t xml:space="preserve">negative </w:t>
      </w:r>
      <w:r w:rsidR="00261244" w:rsidRPr="00A11E6C">
        <w:t>violation of expectations resulted in subsequent positive surprises, one would expect “rational” investors to react more positively in anticipation</w:t>
      </w:r>
      <w:r w:rsidR="007862D9" w:rsidRPr="00A11E6C">
        <w:rPr>
          <w:rFonts w:hint="eastAsia"/>
        </w:rPr>
        <w:t>, which is opposite to the patterns we found in the main analysis</w:t>
      </w:r>
      <w:r w:rsidRPr="00A11E6C">
        <w:t>.</w:t>
      </w:r>
      <w:r>
        <w:t xml:space="preserve"> </w:t>
      </w:r>
      <w:r w:rsidR="00261244">
        <w:t>T</w:t>
      </w:r>
      <w:r w:rsidRPr="000921FF">
        <w:t xml:space="preserve">hese results suggest that the patterns seen in our main analysis may be driven by </w:t>
      </w:r>
      <w:r w:rsidR="00261244">
        <w:t>“</w:t>
      </w:r>
      <w:r w:rsidRPr="000921FF">
        <w:t>irrational</w:t>
      </w:r>
      <w:r w:rsidR="00261244">
        <w:t>”</w:t>
      </w:r>
      <w:r w:rsidRPr="000921FF">
        <w:t xml:space="preserve"> </w:t>
      </w:r>
      <w:r w:rsidR="00261244">
        <w:t xml:space="preserve">or semi-rational </w:t>
      </w:r>
      <w:r w:rsidRPr="000921FF">
        <w:t xml:space="preserve">behavior. </w:t>
      </w:r>
      <w:r w:rsidR="00261244">
        <w:t>For example</w:t>
      </w:r>
      <w:r w:rsidRPr="000921FF">
        <w:t>, when using a more reliable proxy for future performance (i.e., earnings</w:t>
      </w:r>
      <w:r w:rsidR="00261244">
        <w:t xml:space="preserve"> rather than </w:t>
      </w:r>
      <w:r w:rsidR="00534157">
        <w:t>earnings</w:t>
      </w:r>
      <w:r w:rsidR="00261244">
        <w:t xml:space="preserve"> surprises</w:t>
      </w:r>
      <w:r w:rsidRPr="000921FF">
        <w:t>), the effects observed in the main analysis weakened</w:t>
      </w:r>
      <w:r w:rsidR="00261244">
        <w:t>. Similarly, even though violations of prescriptive expectations did not appear to predict subsequent earnings, investors still seemed to rely on them, and</w:t>
      </w:r>
      <w:r w:rsidR="00F50323">
        <w:t xml:space="preserve"> while the </w:t>
      </w:r>
      <w:r w:rsidR="00831A37">
        <w:rPr>
          <w:rFonts w:hint="eastAsia"/>
        </w:rPr>
        <w:t>p</w:t>
      </w:r>
      <w:r w:rsidR="00831A37" w:rsidRPr="000921FF">
        <w:t>rescriptive expecta</w:t>
      </w:r>
      <w:r w:rsidR="00831A37">
        <w:t>ncy</w:t>
      </w:r>
      <w:r w:rsidR="00831A37" w:rsidRPr="000921FF">
        <w:t xml:space="preserve"> violation </w:t>
      </w:r>
      <w:r w:rsidR="00F50323">
        <w:t xml:space="preserve">heuristic </w:t>
      </w:r>
      <w:r w:rsidR="00F06C5E" w:rsidRPr="000921FF">
        <w:t>based on past performance</w:t>
      </w:r>
      <w:r w:rsidR="00F06C5E">
        <w:rPr>
          <w:rFonts w:hint="eastAsia"/>
        </w:rPr>
        <w:t xml:space="preserve"> </w:t>
      </w:r>
      <w:r w:rsidR="00F50323">
        <w:t>did appear to predict subsequent earnings surprises, investors seemed to behave in ways that were inconsistent with those predictions</w:t>
      </w:r>
      <w:r w:rsidRPr="000921FF">
        <w:t>.</w:t>
      </w:r>
    </w:p>
    <w:p w14:paraId="5B28D107" w14:textId="33CC45A5" w:rsidR="00572F60" w:rsidRPr="00D7223F" w:rsidRDefault="00572F60" w:rsidP="00572F60">
      <w:pPr>
        <w:spacing w:line="360" w:lineRule="auto"/>
        <w:jc w:val="center"/>
        <w:rPr>
          <w:b/>
          <w:bCs/>
        </w:rPr>
      </w:pPr>
      <w:r>
        <w:rPr>
          <w:b/>
          <w:bCs/>
        </w:rPr>
        <w:t>DISCUSSION</w:t>
      </w:r>
    </w:p>
    <w:p w14:paraId="2249D349" w14:textId="3ABCA0F3" w:rsidR="00D65EB7" w:rsidRDefault="006D578B" w:rsidP="00CC0552">
      <w:pPr>
        <w:spacing w:line="480" w:lineRule="auto"/>
        <w:ind w:firstLine="720"/>
      </w:pPr>
      <w:r>
        <w:t xml:space="preserve">The simple truth is that </w:t>
      </w:r>
      <w:r w:rsidR="0028787B">
        <w:t xml:space="preserve">neither </w:t>
      </w:r>
      <w:r w:rsidR="00CC0552">
        <w:t xml:space="preserve">individuals </w:t>
      </w:r>
      <w:r w:rsidR="006E451D">
        <w:t xml:space="preserve">nor </w:t>
      </w:r>
      <w:r w:rsidR="00CC0552">
        <w:t>firms always behave the way we might expect or want them to (e.g., Burgoon, 2015)</w:t>
      </w:r>
      <w:r w:rsidR="00954B71">
        <w:t xml:space="preserve">. </w:t>
      </w:r>
      <w:r w:rsidR="00D65EB7">
        <w:t xml:space="preserve">This </w:t>
      </w:r>
      <w:r w:rsidR="0014385C">
        <w:t xml:space="preserve">notion </w:t>
      </w:r>
      <w:r w:rsidR="00E84349">
        <w:t>that</w:t>
      </w:r>
      <w:r w:rsidR="005800A4">
        <w:t xml:space="preserve"> behaviors might diverge from expectations </w:t>
      </w:r>
      <w:r w:rsidR="0014385C">
        <w:t xml:space="preserve">forms the core of EVT research </w:t>
      </w:r>
      <w:r w:rsidR="00D65EB7">
        <w:t xml:space="preserve">(e.g., Burgoon &amp; Jones, 1976; Burgoon, 1993, 2015) </w:t>
      </w:r>
      <w:r w:rsidR="0014385C">
        <w:t xml:space="preserve">and helps explain why people may react </w:t>
      </w:r>
      <w:r w:rsidR="006E451D">
        <w:t xml:space="preserve">in </w:t>
      </w:r>
      <w:r w:rsidR="0014385C">
        <w:t xml:space="preserve">a particular way </w:t>
      </w:r>
      <w:r w:rsidR="005800A4">
        <w:t xml:space="preserve">when others’ behaviors do not fit their expectations. From its initial roots in explaining reactions to the spatial positioning of others, EVT has expanded to explaining other types of interpersonal behavior (Burgoon, 2015) and then eventually to explaining stakeholder reactions to firm behavior (e.g., Blagoeva et al., 2020; Graffin et al., 2016; Pfarrer et al., 2010). It is </w:t>
      </w:r>
      <w:r w:rsidR="006961FF">
        <w:t xml:space="preserve">against </w:t>
      </w:r>
      <w:r w:rsidR="005800A4">
        <w:t>this backdrop that we began to explore when and why stakeholders might react to firm behaviors in ways that might be different, or even contradictory, to what we might expect based on the extant EVT research.</w:t>
      </w:r>
    </w:p>
    <w:p w14:paraId="3F03FF8F" w14:textId="71DE6474" w:rsidR="00505EE5" w:rsidRDefault="005800A4" w:rsidP="00A14278">
      <w:pPr>
        <w:spacing w:line="480" w:lineRule="auto"/>
        <w:ind w:firstLine="720"/>
      </w:pPr>
      <w:r w:rsidRPr="00A11E6C">
        <w:t xml:space="preserve">Using a sample of investor reactions to earnings surprises from 2013 to 2019, we bring </w:t>
      </w:r>
      <w:r w:rsidR="00DA00BE" w:rsidRPr="00A11E6C">
        <w:t xml:space="preserve">together </w:t>
      </w:r>
      <w:r w:rsidRPr="00A11E6C">
        <w:t xml:space="preserve">ideas of </w:t>
      </w:r>
      <w:r w:rsidR="005C138D" w:rsidRPr="00A11E6C">
        <w:t xml:space="preserve">heuristics and </w:t>
      </w:r>
      <w:r w:rsidRPr="00A11E6C">
        <w:t xml:space="preserve">future-oriented expectations </w:t>
      </w:r>
      <w:r w:rsidR="00987534" w:rsidRPr="00A11E6C">
        <w:t xml:space="preserve">and find that, in addition to a </w:t>
      </w:r>
      <w:r w:rsidR="00987534" w:rsidRPr="00A11E6C">
        <w:lastRenderedPageBreak/>
        <w:t xml:space="preserve">predictive expectation based on the consensus earnings estimate, investors appear to </w:t>
      </w:r>
      <w:r w:rsidR="00A71DA2" w:rsidRPr="00A11E6C">
        <w:t>evaluate firm performance</w:t>
      </w:r>
      <w:r w:rsidR="00C15039">
        <w:rPr>
          <w:rFonts w:hint="eastAsia"/>
        </w:rPr>
        <w:t xml:space="preserve"> in a more nuanced manner than </w:t>
      </w:r>
      <w:r w:rsidR="00C15039">
        <w:t>previously</w:t>
      </w:r>
      <w:r w:rsidR="00C15039">
        <w:rPr>
          <w:rFonts w:hint="eastAsia"/>
        </w:rPr>
        <w:t xml:space="preserve"> recognized</w:t>
      </w:r>
      <w:r w:rsidR="00A71DA2" w:rsidRPr="00A11E6C">
        <w:t>. They appear to use</w:t>
      </w:r>
      <w:r w:rsidR="00C15039">
        <w:rPr>
          <w:rFonts w:hint="eastAsia"/>
        </w:rPr>
        <w:t xml:space="preserve"> heuristics based on</w:t>
      </w:r>
      <w:r w:rsidR="00A71DA2" w:rsidRPr="00A11E6C">
        <w:t xml:space="preserve"> </w:t>
      </w:r>
      <w:r w:rsidR="00987534" w:rsidRPr="00A11E6C">
        <w:t>two different types of prescriptive expectations</w:t>
      </w:r>
      <w:r w:rsidR="00C15039">
        <w:rPr>
          <w:rFonts w:hint="eastAsia"/>
        </w:rPr>
        <w:t xml:space="preserve">: comparisons to </w:t>
      </w:r>
      <w:r w:rsidR="00BF5450" w:rsidRPr="00A11E6C">
        <w:t>the</w:t>
      </w:r>
      <w:r w:rsidR="00CD7821" w:rsidRPr="00A11E6C">
        <w:t xml:space="preserve"> firm’s</w:t>
      </w:r>
      <w:r w:rsidR="00BF5450" w:rsidRPr="00A11E6C">
        <w:t xml:space="preserve"> </w:t>
      </w:r>
      <w:r w:rsidR="00987534" w:rsidRPr="00A11E6C">
        <w:t xml:space="preserve">past performance and </w:t>
      </w:r>
      <w:r w:rsidR="00C15039">
        <w:rPr>
          <w:rFonts w:hint="eastAsia"/>
        </w:rPr>
        <w:t xml:space="preserve">comparisons </w:t>
      </w:r>
      <w:r w:rsidR="00BF5450" w:rsidRPr="00A11E6C">
        <w:t xml:space="preserve">to </w:t>
      </w:r>
      <w:r w:rsidR="00987534" w:rsidRPr="00A11E6C">
        <w:t xml:space="preserve">peer </w:t>
      </w:r>
      <w:r w:rsidR="00CD7821" w:rsidRPr="00A11E6C">
        <w:t xml:space="preserve">firms’ </w:t>
      </w:r>
      <w:r w:rsidR="00987534" w:rsidRPr="00A11E6C">
        <w:t xml:space="preserve">performance. We also find that investors appear to update their prospective expectations based on </w:t>
      </w:r>
      <w:r w:rsidR="00DA00BE" w:rsidRPr="00A11E6C">
        <w:t>how observed behavior might impact future performance</w:t>
      </w:r>
      <w:r w:rsidR="00987534" w:rsidRPr="00A11E6C">
        <w:t xml:space="preserve"> </w:t>
      </w:r>
      <w:r w:rsidR="005C138D" w:rsidRPr="00A11E6C">
        <w:t xml:space="preserve">and that this may lead to anticipatory reactions. </w:t>
      </w:r>
      <w:r w:rsidR="00A71DA2" w:rsidRPr="00A11E6C">
        <w:t xml:space="preserve">Once we dug deeper into our results, we found that, contrary to </w:t>
      </w:r>
      <w:r w:rsidR="005C138D" w:rsidRPr="00A11E6C">
        <w:t xml:space="preserve">what we expected, </w:t>
      </w:r>
      <w:r w:rsidR="00A71DA2" w:rsidRPr="00A11E6C">
        <w:t>neither firm uncertainty nor the percentage of unsophisticated investors appeared to amplify the use of the heuristics</w:t>
      </w:r>
      <w:r w:rsidR="00CD7821" w:rsidRPr="00A11E6C">
        <w:t>.</w:t>
      </w:r>
      <w:r w:rsidR="00A71DA2" w:rsidRPr="00A11E6C">
        <w:t xml:space="preserve"> </w:t>
      </w:r>
      <w:r w:rsidR="005C138D" w:rsidRPr="00A11E6C">
        <w:t>Instead, the</w:t>
      </w:r>
      <w:r w:rsidR="00505EE5" w:rsidRPr="00A11E6C">
        <w:t xml:space="preserve"> </w:t>
      </w:r>
      <w:r w:rsidR="001C53B0" w:rsidRPr="00A11E6C">
        <w:t xml:space="preserve">reactions </w:t>
      </w:r>
      <w:r w:rsidR="00505EE5" w:rsidRPr="00A11E6C">
        <w:t>seem to be driven by institutional</w:t>
      </w:r>
      <w:r w:rsidR="00A11E6C">
        <w:t xml:space="preserve"> investors</w:t>
      </w:r>
      <w:r w:rsidR="00505EE5" w:rsidRPr="00A11E6C">
        <w:t xml:space="preserve">, and </w:t>
      </w:r>
      <w:r w:rsidR="00A14278" w:rsidRPr="00A11E6C">
        <w:t xml:space="preserve">their use </w:t>
      </w:r>
      <w:r w:rsidR="00CD7821" w:rsidRPr="00A11E6C">
        <w:t xml:space="preserve">of heuristics </w:t>
      </w:r>
      <w:r w:rsidR="00A14278" w:rsidRPr="00A11E6C">
        <w:t>appears to be semi-rational or even irrational</w:t>
      </w:r>
      <w:r w:rsidR="00505EE5" w:rsidRPr="00A11E6C">
        <w:t xml:space="preserve">. </w:t>
      </w:r>
      <w:r w:rsidRPr="00A11E6C">
        <w:t xml:space="preserve">Our theorizing and </w:t>
      </w:r>
      <w:r w:rsidR="00505EE5" w:rsidRPr="00A11E6C">
        <w:t xml:space="preserve">results contribute to the EVT and other literatures in </w:t>
      </w:r>
      <w:proofErr w:type="gramStart"/>
      <w:r w:rsidR="00505EE5" w:rsidRPr="00A11E6C">
        <w:t>a number of</w:t>
      </w:r>
      <w:proofErr w:type="gramEnd"/>
      <w:r w:rsidR="00505EE5" w:rsidRPr="00A11E6C">
        <w:t xml:space="preserve"> ways.</w:t>
      </w:r>
      <w:r w:rsidR="00CD7821">
        <w:t xml:space="preserve"> </w:t>
      </w:r>
    </w:p>
    <w:p w14:paraId="63A01693" w14:textId="7EE47B71" w:rsidR="00110FCC" w:rsidRDefault="00505EE5" w:rsidP="003530D9">
      <w:pPr>
        <w:spacing w:line="480" w:lineRule="auto"/>
        <w:ind w:firstLine="720"/>
      </w:pPr>
      <w:r>
        <w:t>First,</w:t>
      </w:r>
      <w:r w:rsidR="00B43353">
        <w:t xml:space="preserve"> </w:t>
      </w:r>
      <w:r w:rsidR="005C138D">
        <w:t xml:space="preserve">we introduced the concept of prospective expectations to EVT. Prior conceptualizations of EVT have tended to be retrospective, but given that </w:t>
      </w:r>
      <w:r w:rsidR="005C138D">
        <w:rPr>
          <w:rFonts w:hint="eastAsia"/>
        </w:rPr>
        <w:t>stakeholders</w:t>
      </w:r>
      <w:r w:rsidR="005C138D">
        <w:t>’</w:t>
      </w:r>
      <w:r w:rsidR="005C138D">
        <w:rPr>
          <w:rFonts w:hint="eastAsia"/>
        </w:rPr>
        <w:t xml:space="preserve"> </w:t>
      </w:r>
      <w:r w:rsidR="005C138D">
        <w:t xml:space="preserve">reactions are also often influenced by the prospect of future interactions </w:t>
      </w:r>
      <w:r w:rsidR="005C138D" w:rsidRPr="00050DD7">
        <w:t>(e.g., Fiske &amp; Taylor, 2013; Snyder &amp; Stukas, 1999)</w:t>
      </w:r>
      <w:r w:rsidR="005C138D">
        <w:t xml:space="preserve">, we suggested that stakeholders are likely to form expectations about future interactions with the firm. </w:t>
      </w:r>
      <w:r w:rsidR="003810E6">
        <w:t xml:space="preserve">This is notable since both predictive and prescriptive violations are reactive—they result from observing behavior that </w:t>
      </w:r>
      <w:r w:rsidR="00E7115E">
        <w:t xml:space="preserve">explicitly </w:t>
      </w:r>
      <w:r w:rsidR="003810E6">
        <w:t xml:space="preserve">violates ex ante expectations. </w:t>
      </w:r>
      <w:r w:rsidR="00E7115E">
        <w:t xml:space="preserve">In contrast, prospective violations are anticipatory because they are based on anticipated changes to the expected value of future interactions with the firm, and hence stakeholders are not waiting to fully observe how those interactions play out. </w:t>
      </w:r>
      <w:r w:rsidR="005C138D">
        <w:t>Further, if observed behaviors result in an updating of those expectations—i.e., if the expected value of future interactions with a firm changes—then that is likely to result in anticipatory reactions</w:t>
      </w:r>
      <w:r w:rsidR="003530D9">
        <w:t>.</w:t>
      </w:r>
      <w:r w:rsidR="00F332F1">
        <w:t xml:space="preserve"> </w:t>
      </w:r>
      <w:r w:rsidR="00110FCC">
        <w:t>By introducing prospective expectations into EVT, we ex</w:t>
      </w:r>
      <w:r w:rsidR="00A11E6C">
        <w:t>pan</w:t>
      </w:r>
      <w:r w:rsidR="00110FCC">
        <w:t xml:space="preserve">d existing EVT arguments about attribution of intentionality, motive, and </w:t>
      </w:r>
      <w:r w:rsidR="00110FCC">
        <w:lastRenderedPageBreak/>
        <w:t xml:space="preserve">meaning (e.g., </w:t>
      </w:r>
      <w:r w:rsidR="00110FCC" w:rsidRPr="0090782A">
        <w:t xml:space="preserve">Burgoon, 2015) to more fully incorporate the role of updating and the nature of </w:t>
      </w:r>
      <w:r w:rsidR="0090782A">
        <w:t xml:space="preserve">the </w:t>
      </w:r>
      <w:r w:rsidR="00110FCC" w:rsidRPr="0090782A">
        <w:t>relationship when predicting reactions to observed behavior.</w:t>
      </w:r>
      <w:r w:rsidR="00110FCC">
        <w:t xml:space="preserve"> </w:t>
      </w:r>
    </w:p>
    <w:p w14:paraId="22BEBF23" w14:textId="61E9C58D" w:rsidR="00F332F1" w:rsidRDefault="003B024C" w:rsidP="003530D9">
      <w:pPr>
        <w:spacing w:line="480" w:lineRule="auto"/>
        <w:ind w:firstLine="720"/>
      </w:pPr>
      <w:r>
        <w:t>If the violation makes stakeholders update their beliefs such that they anticipate a higher likelihood of negative behaviors by an actor, that is likely to result in a lowering of the expected value of future interactions with that actor</w:t>
      </w:r>
      <w:r w:rsidR="008B6AA2">
        <w:t xml:space="preserve"> (i.e., a</w:t>
      </w:r>
      <w:r>
        <w:t xml:space="preserve"> negative violation of prospective expectations</w:t>
      </w:r>
      <w:r w:rsidR="008B6AA2">
        <w:t>), and thus</w:t>
      </w:r>
      <w:r>
        <w:t xml:space="preserve"> result in a negative anticipatory reaction. </w:t>
      </w:r>
      <w:r w:rsidR="008B6AA2">
        <w:t>At the same time, although v</w:t>
      </w:r>
      <w:r w:rsidR="00191297">
        <w:t xml:space="preserve">iolations of prospective expectations seemed to influence stakeholder reactions, we did not theorize about </w:t>
      </w:r>
      <w:r w:rsidR="00191297">
        <w:rPr>
          <w:i/>
          <w:iCs/>
        </w:rPr>
        <w:t>when</w:t>
      </w:r>
      <w:r w:rsidR="00191297">
        <w:t xml:space="preserve"> prospective expectations may change. In previous versions</w:t>
      </w:r>
      <w:r w:rsidR="00C62CDE">
        <w:t xml:space="preserve"> of the manuscript, </w:t>
      </w:r>
      <w:r w:rsidR="006553A1">
        <w:t xml:space="preserve">we explored the possibility that the </w:t>
      </w:r>
      <w:r w:rsidR="006553A1" w:rsidRPr="000350A4">
        <w:rPr>
          <w:i/>
          <w:iCs/>
        </w:rPr>
        <w:t>pattern of earnings surprises</w:t>
      </w:r>
      <w:r w:rsidR="006553A1">
        <w:t xml:space="preserve"> might lead stakeholders to alter their prospective expectations. In those previous analyses, we found indications that some stakeholders may hold regression-to-the-mean (e.g., Brooks &amp; Buckmaster, 1976) assumptions where periods of strong performance might be followed by periods of low performance</w:t>
      </w:r>
      <w:r w:rsidR="000350A4">
        <w:t>. However</w:t>
      </w:r>
      <w:r w:rsidR="006553A1">
        <w:t xml:space="preserve">, we also found indications that other investors might believe that firms will tend to </w:t>
      </w:r>
      <w:proofErr w:type="gramStart"/>
      <w:r w:rsidR="006553A1">
        <w:t>continue on</w:t>
      </w:r>
      <w:proofErr w:type="gramEnd"/>
      <w:r w:rsidR="006553A1">
        <w:t xml:space="preserve"> the same performance trajectory as before (e.g., De Bondt &amp; Thaler, 1990). The results of those analyses suggest that, while prospective expectations seem to matter, the exact way in which stakeholders form and alter their prospective expectations remains </w:t>
      </w:r>
      <w:r w:rsidR="00110FCC">
        <w:t xml:space="preserve">yet to be </w:t>
      </w:r>
      <w:r w:rsidR="0000532D">
        <w:rPr>
          <w:rFonts w:hint="eastAsia"/>
        </w:rPr>
        <w:t xml:space="preserve">fully </w:t>
      </w:r>
      <w:r w:rsidR="00110FCC">
        <w:t>explored</w:t>
      </w:r>
      <w:r w:rsidR="00BB1AC0">
        <w:t>,</w:t>
      </w:r>
      <w:r w:rsidR="0000532D">
        <w:rPr>
          <w:rFonts w:hint="eastAsia"/>
        </w:rPr>
        <w:t xml:space="preserve"> with our study being an early attempt</w:t>
      </w:r>
      <w:r w:rsidR="00110FCC">
        <w:t>.</w:t>
      </w:r>
      <w:r w:rsidR="005C138D">
        <w:t xml:space="preserve"> </w:t>
      </w:r>
    </w:p>
    <w:p w14:paraId="31D3BF24" w14:textId="525E6C5A" w:rsidR="00DC5667" w:rsidRDefault="00B43353" w:rsidP="00CD7821">
      <w:pPr>
        <w:spacing w:line="480" w:lineRule="auto"/>
        <w:ind w:firstLine="720"/>
      </w:pPr>
      <w:r>
        <w:t xml:space="preserve">We </w:t>
      </w:r>
      <w:r w:rsidR="008B6AA2">
        <w:t xml:space="preserve">also </w:t>
      </w:r>
      <w:r>
        <w:t>follow</w:t>
      </w:r>
      <w:r w:rsidR="003530D9">
        <w:t>ed</w:t>
      </w:r>
      <w:r>
        <w:t xml:space="preserve"> Burgoon’s (2015: 8) request to “</w:t>
      </w:r>
      <w:r w:rsidRPr="007112AE">
        <w:t>distinguish which type of</w:t>
      </w:r>
      <w:r>
        <w:t xml:space="preserve"> </w:t>
      </w:r>
      <w:r w:rsidRPr="007112AE">
        <w:t>expectancy violation it addresses</w:t>
      </w:r>
      <w:r>
        <w:t xml:space="preserve">” by </w:t>
      </w:r>
      <w:r w:rsidR="00B42187">
        <w:t xml:space="preserve">differentiating between </w:t>
      </w:r>
      <w:r>
        <w:t xml:space="preserve">predictive (i.e., consensus earnings estimate), prescriptive (i.e., </w:t>
      </w:r>
      <w:r w:rsidR="00EB647D">
        <w:t>past performance</w:t>
      </w:r>
      <w:r>
        <w:t xml:space="preserve"> and peer </w:t>
      </w:r>
      <w:r w:rsidR="00DA00BE">
        <w:t>comparison</w:t>
      </w:r>
      <w:r>
        <w:t>)</w:t>
      </w:r>
      <w:r w:rsidR="00A65757">
        <w:rPr>
          <w:rFonts w:hint="eastAsia"/>
        </w:rPr>
        <w:t>,</w:t>
      </w:r>
      <w:r>
        <w:t xml:space="preserve"> and prospective expectations (i.e., </w:t>
      </w:r>
      <w:r w:rsidR="00DA00BE">
        <w:t>changing expectations of the future</w:t>
      </w:r>
      <w:r>
        <w:t>)</w:t>
      </w:r>
      <w:r w:rsidR="00D13664">
        <w:t xml:space="preserve"> held by invest</w:t>
      </w:r>
      <w:r w:rsidR="00DA00BE">
        <w:t>ors</w:t>
      </w:r>
      <w:r>
        <w:t xml:space="preserve"> and demonstrate that reactions may be driven not just</w:t>
      </w:r>
      <w:r w:rsidR="005B59A9">
        <w:t xml:space="preserve"> by</w:t>
      </w:r>
      <w:r w:rsidR="00D75017">
        <w:t xml:space="preserve"> </w:t>
      </w:r>
      <w:r w:rsidR="00C04E3B">
        <w:t xml:space="preserve">holding </w:t>
      </w:r>
      <w:r w:rsidR="00D75017">
        <w:t xml:space="preserve">a single expectation, but by comparing the observed behavior to a set of different criteria. </w:t>
      </w:r>
      <w:r w:rsidR="003530D9">
        <w:t xml:space="preserve">Even when accounting for predictive and prescriptive expectations and </w:t>
      </w:r>
      <w:r w:rsidR="003530D9">
        <w:lastRenderedPageBreak/>
        <w:t>controlling for numerous contextual factors, we show that prospective expectations seem to matter in predicting stakeholder expectations.</w:t>
      </w:r>
      <w:r w:rsidR="00110FCC">
        <w:t xml:space="preserve"> These </w:t>
      </w:r>
      <w:r w:rsidR="00BE1B1D">
        <w:t>findings</w:t>
      </w:r>
      <w:r w:rsidR="00784707">
        <w:t xml:space="preserve"> suggest that </w:t>
      </w:r>
      <w:r w:rsidR="00A65757">
        <w:rPr>
          <w:rFonts w:hint="eastAsia"/>
        </w:rPr>
        <w:t xml:space="preserve">instead of </w:t>
      </w:r>
      <w:r w:rsidR="00784707">
        <w:t>having a single, context-specific expectation about a particular behavior</w:t>
      </w:r>
      <w:r w:rsidR="00BE1B1D">
        <w:t>, stakeholders may hold</w:t>
      </w:r>
      <w:r w:rsidR="00000F36">
        <w:t xml:space="preserve"> </w:t>
      </w:r>
      <w:r w:rsidR="005A2325">
        <w:t>multiple, distinct</w:t>
      </w:r>
      <w:r w:rsidR="00000F36">
        <w:t xml:space="preserve"> expectations</w:t>
      </w:r>
      <w:r w:rsidR="005A2325">
        <w:t xml:space="preserve">, each </w:t>
      </w:r>
      <w:r w:rsidR="00000F36">
        <w:t>serv</w:t>
      </w:r>
      <w:r w:rsidR="005A2325">
        <w:t>ing</w:t>
      </w:r>
      <w:r w:rsidR="00000F36">
        <w:t xml:space="preserve"> as </w:t>
      </w:r>
      <w:r w:rsidR="005A2325">
        <w:t>a separate hurdle</w:t>
      </w:r>
      <w:r w:rsidR="00000F36">
        <w:t xml:space="preserve"> that </w:t>
      </w:r>
      <w:r w:rsidR="00DA00BE">
        <w:t>firms</w:t>
      </w:r>
      <w:r w:rsidR="00000F36">
        <w:t xml:space="preserve"> </w:t>
      </w:r>
      <w:r w:rsidR="005A2325">
        <w:t xml:space="preserve">must navigate </w:t>
      </w:r>
      <w:r w:rsidR="00000F36">
        <w:t xml:space="preserve">to placate stakeholders. </w:t>
      </w:r>
      <w:r w:rsidR="00EB647D">
        <w:t>If even a single stakeholder might have multiple expectations about a given behavior</w:t>
      </w:r>
      <w:r w:rsidR="002E1D1B">
        <w:t xml:space="preserve">, these expectations </w:t>
      </w:r>
      <w:r w:rsidR="00C228EF">
        <w:t>could prove</w:t>
      </w:r>
      <w:r w:rsidR="002E1D1B">
        <w:t xml:space="preserve"> more difficult to fulfill because they </w:t>
      </w:r>
      <w:r w:rsidR="002632C3">
        <w:t xml:space="preserve">may </w:t>
      </w:r>
      <w:r w:rsidR="005A2325">
        <w:t>present</w:t>
      </w:r>
      <w:r w:rsidR="002E1D1B">
        <w:t xml:space="preserve"> divergent criteria. Hence exploring wh</w:t>
      </w:r>
      <w:r w:rsidR="00000F36">
        <w:t xml:space="preserve">en and under what conditions </w:t>
      </w:r>
      <w:r w:rsidR="00EB647D">
        <w:t xml:space="preserve">stakeholders’ </w:t>
      </w:r>
      <w:r w:rsidR="002E1D1B">
        <w:t xml:space="preserve">multiple expectations </w:t>
      </w:r>
      <w:r w:rsidR="00EB647D">
        <w:t xml:space="preserve">about a particular behavior </w:t>
      </w:r>
      <w:r w:rsidR="002632C3">
        <w:t>align</w:t>
      </w:r>
      <w:r w:rsidR="002E1D1B">
        <w:t xml:space="preserve"> or conflict may provide further insight into the notion of multiple expectations.</w:t>
      </w:r>
      <w:r w:rsidR="0010576D">
        <w:rPr>
          <w:rFonts w:hint="eastAsia"/>
        </w:rPr>
        <w:t xml:space="preserve"> Another implication </w:t>
      </w:r>
      <w:r w:rsidR="0010576D" w:rsidRPr="0010576D">
        <w:t>is that stakeholders may weigh different expectations differently</w:t>
      </w:r>
      <w:r w:rsidR="0010576D">
        <w:rPr>
          <w:rFonts w:hint="eastAsia"/>
        </w:rPr>
        <w:t xml:space="preserve">. </w:t>
      </w:r>
      <w:r w:rsidR="00DC5667" w:rsidRPr="00DC5667">
        <w:t xml:space="preserve">While some may prioritize prescriptive expectations based on a firm’s past performance, others may place greater emphasis on </w:t>
      </w:r>
      <w:r w:rsidR="00DC5667">
        <w:rPr>
          <w:rFonts w:hint="eastAsia"/>
        </w:rPr>
        <w:t xml:space="preserve">prospective expectations that are more </w:t>
      </w:r>
      <w:r w:rsidR="00DC5667" w:rsidRPr="00DC5667">
        <w:t>forward-looking</w:t>
      </w:r>
      <w:r w:rsidR="0010576D">
        <w:rPr>
          <w:rFonts w:hint="eastAsia"/>
        </w:rPr>
        <w:t xml:space="preserve">. </w:t>
      </w:r>
      <w:r w:rsidR="00CD6672" w:rsidRPr="00CD6672">
        <w:t>The relative importance of different expectations may vary</w:t>
      </w:r>
      <w:r w:rsidR="00DC5667">
        <w:rPr>
          <w:rFonts w:hint="eastAsia"/>
        </w:rPr>
        <w:t xml:space="preserve"> </w:t>
      </w:r>
      <w:r w:rsidR="00CD6672">
        <w:rPr>
          <w:rFonts w:hint="eastAsia"/>
        </w:rPr>
        <w:t xml:space="preserve">based </w:t>
      </w:r>
      <w:r w:rsidR="00DC5667">
        <w:rPr>
          <w:rFonts w:hint="eastAsia"/>
        </w:rPr>
        <w:t>on firm characteristics</w:t>
      </w:r>
      <w:r w:rsidR="00CD6672">
        <w:rPr>
          <w:rFonts w:hint="eastAsia"/>
        </w:rPr>
        <w:t>,</w:t>
      </w:r>
      <w:r w:rsidR="0010576D">
        <w:rPr>
          <w:rFonts w:hint="eastAsia"/>
        </w:rPr>
        <w:t xml:space="preserve"> </w:t>
      </w:r>
      <w:r w:rsidR="00DC5667" w:rsidRPr="00DC5667">
        <w:t>highlight</w:t>
      </w:r>
      <w:r w:rsidR="00CD6672">
        <w:rPr>
          <w:rFonts w:hint="eastAsia"/>
        </w:rPr>
        <w:t>ing</w:t>
      </w:r>
      <w:r w:rsidR="00DC5667" w:rsidRPr="00DC5667">
        <w:t xml:space="preserve"> an avenue for future research.</w:t>
      </w:r>
    </w:p>
    <w:p w14:paraId="40860EB0" w14:textId="3E7503C2" w:rsidR="00BF250E" w:rsidRDefault="008B6AA2" w:rsidP="00CD6672">
      <w:pPr>
        <w:spacing w:line="480" w:lineRule="auto"/>
        <w:ind w:firstLine="720"/>
      </w:pPr>
      <w:r>
        <w:t xml:space="preserve">Finally, </w:t>
      </w:r>
      <w:r w:rsidR="005800A4">
        <w:t xml:space="preserve">we demonstrate that, at least in our context, stakeholders appear to have set expectations based on </w:t>
      </w:r>
      <w:r w:rsidR="005800A4" w:rsidRPr="00007F8B">
        <w:t>the use of simplifying heuristics.</w:t>
      </w:r>
      <w:r w:rsidR="00FC458D">
        <w:t xml:space="preserve"> </w:t>
      </w:r>
      <w:r w:rsidR="00CD6672">
        <w:rPr>
          <w:rFonts w:hint="eastAsia"/>
        </w:rPr>
        <w:t>Inconsistent with our prediction</w:t>
      </w:r>
      <w:r w:rsidR="00291638">
        <w:rPr>
          <w:rFonts w:hint="eastAsia"/>
        </w:rPr>
        <w:t>s</w:t>
      </w:r>
      <w:r w:rsidR="00CD6672">
        <w:rPr>
          <w:rFonts w:hint="eastAsia"/>
        </w:rPr>
        <w:t xml:space="preserve">, </w:t>
      </w:r>
      <w:r w:rsidR="00FC458D">
        <w:t xml:space="preserve">we found that uncertainty about the firm did not appear to </w:t>
      </w:r>
      <w:r w:rsidR="00062833">
        <w:t>influence investors’ use of the heuristics. Further, the use of these heuristics appear</w:t>
      </w:r>
      <w:r w:rsidR="00DD1B99">
        <w:t>s</w:t>
      </w:r>
      <w:r w:rsidR="00062833">
        <w:t xml:space="preserve"> to be driven by institutional investors, rather than by retail investors, which </w:t>
      </w:r>
      <w:r w:rsidR="007B00E5">
        <w:t>was unexpected</w:t>
      </w:r>
      <w:r w:rsidR="00062833">
        <w:t xml:space="preserve"> since the former tend to be viewed as </w:t>
      </w:r>
      <w:r w:rsidR="00CD6672">
        <w:rPr>
          <w:rFonts w:hint="eastAsia"/>
        </w:rPr>
        <w:t xml:space="preserve">more </w:t>
      </w:r>
      <w:r w:rsidR="00062833">
        <w:t xml:space="preserve">sophisticated </w:t>
      </w:r>
      <w:r w:rsidR="00CD6672">
        <w:rPr>
          <w:rFonts w:hint="eastAsia"/>
        </w:rPr>
        <w:t>and rational in their judgment</w:t>
      </w:r>
      <w:r w:rsidR="00062833">
        <w:t xml:space="preserve"> (Bartov et al., 2000).</w:t>
      </w:r>
      <w:r w:rsidR="007B00E5">
        <w:t xml:space="preserve"> This is </w:t>
      </w:r>
      <w:r w:rsidR="00BF250E">
        <w:t xml:space="preserve">surprising for </w:t>
      </w:r>
      <w:r w:rsidR="000A571B">
        <w:t>two</w:t>
      </w:r>
      <w:r w:rsidR="00BF250E">
        <w:t xml:space="preserve"> interrelated reasons. First, </w:t>
      </w:r>
      <w:r w:rsidR="00491E6C">
        <w:t>rather than</w:t>
      </w:r>
      <w:r w:rsidR="00CD6672">
        <w:rPr>
          <w:rFonts w:hint="eastAsia"/>
        </w:rPr>
        <w:t xml:space="preserve"> earnings</w:t>
      </w:r>
      <w:r w:rsidR="00491E6C">
        <w:t>,</w:t>
      </w:r>
      <w:r w:rsidR="00CD6672">
        <w:rPr>
          <w:rFonts w:hint="eastAsia"/>
        </w:rPr>
        <w:t xml:space="preserve"> which </w:t>
      </w:r>
      <w:r w:rsidR="00CD6672">
        <w:t xml:space="preserve">may be predictive of subsequent earnings </w:t>
      </w:r>
      <w:r w:rsidR="00CD6672">
        <w:rPr>
          <w:rFonts w:hint="eastAsia"/>
        </w:rPr>
        <w:t xml:space="preserve">due to their </w:t>
      </w:r>
      <w:r w:rsidR="00CD6672">
        <w:t>time-series properties (Bernard &amp; Thomas, 1990)</w:t>
      </w:r>
      <w:r w:rsidR="00CD6672">
        <w:rPr>
          <w:rFonts w:hint="eastAsia"/>
        </w:rPr>
        <w:t xml:space="preserve">, </w:t>
      </w:r>
      <w:r w:rsidR="00BF250E">
        <w:t xml:space="preserve">investors appeared to anchor on (e.g., Tversky &amp; Kahneman, 1974) </w:t>
      </w:r>
      <w:r w:rsidR="004610DC">
        <w:t xml:space="preserve">earnings surprises. Second, </w:t>
      </w:r>
      <w:r w:rsidR="00BF250E">
        <w:t xml:space="preserve">the heuristics were </w:t>
      </w:r>
      <w:r w:rsidR="00B959B5">
        <w:t xml:space="preserve">not necessarily informative of the firm’s future performance </w:t>
      </w:r>
      <w:r w:rsidR="003B7B25">
        <w:t>(</w:t>
      </w:r>
      <w:r w:rsidR="00B959B5">
        <w:t>since the</w:t>
      </w:r>
      <w:r w:rsidR="004610DC">
        <w:t>y</w:t>
      </w:r>
      <w:r w:rsidR="00C61A37">
        <w:t xml:space="preserve"> </w:t>
      </w:r>
      <w:r w:rsidR="00B959B5">
        <w:t xml:space="preserve">were </w:t>
      </w:r>
      <w:r w:rsidR="00BF250E">
        <w:t xml:space="preserve">not </w:t>
      </w:r>
      <w:r w:rsidR="00BF250E" w:rsidRPr="00F33B38">
        <w:t>predictive of subsequent earnings</w:t>
      </w:r>
      <w:r w:rsidR="003B7B25" w:rsidRPr="00F33B38">
        <w:t>)</w:t>
      </w:r>
      <w:r w:rsidR="004610DC" w:rsidRPr="00F33B38">
        <w:t>. The</w:t>
      </w:r>
      <w:r w:rsidR="004610DC">
        <w:t xml:space="preserve"> </w:t>
      </w:r>
      <w:r w:rsidR="004610DC">
        <w:lastRenderedPageBreak/>
        <w:t>heuristics were sometimes predictive</w:t>
      </w:r>
      <w:r w:rsidR="002B0542">
        <w:t xml:space="preserve"> </w:t>
      </w:r>
      <w:r w:rsidR="004610DC">
        <w:t xml:space="preserve">of subsequent </w:t>
      </w:r>
      <w:r w:rsidR="00BF250E">
        <w:t>earnings surprises</w:t>
      </w:r>
      <w:r w:rsidR="004610DC">
        <w:t xml:space="preserve">, but in those instances, the </w:t>
      </w:r>
      <w:r w:rsidR="001C53B0">
        <w:t xml:space="preserve">reactions </w:t>
      </w:r>
      <w:r w:rsidR="002B0542">
        <w:t>were inconsistent with the predicted subsequent surprises</w:t>
      </w:r>
      <w:r w:rsidR="00BF250E">
        <w:t xml:space="preserve">. </w:t>
      </w:r>
      <w:r w:rsidR="000A571B">
        <w:t>Since institutional investors tend to be evaluated on the performance of their investment portfolios (Bartov et al., 2000), they should be the most likely to be both familiar with the time-series behavior of earnings</w:t>
      </w:r>
      <w:r w:rsidR="00CD6672">
        <w:rPr>
          <w:rFonts w:hint="eastAsia"/>
        </w:rPr>
        <w:t xml:space="preserve">, making them less </w:t>
      </w:r>
      <w:r w:rsidR="000A571B">
        <w:t xml:space="preserve">likely to rely on </w:t>
      </w:r>
      <w:r w:rsidR="003C2026">
        <w:t>heuristics</w:t>
      </w:r>
      <w:r w:rsidR="000A571B">
        <w:rPr>
          <w:rStyle w:val="FootnoteReference"/>
        </w:rPr>
        <w:footnoteReference w:id="10"/>
      </w:r>
      <w:r w:rsidR="000A571B">
        <w:t>.</w:t>
      </w:r>
    </w:p>
    <w:p w14:paraId="06371579" w14:textId="39F44929" w:rsidR="00844637" w:rsidRDefault="003C2026" w:rsidP="00E46A17">
      <w:pPr>
        <w:spacing w:line="480" w:lineRule="auto"/>
        <w:ind w:firstLine="720"/>
      </w:pPr>
      <w:r>
        <w:t xml:space="preserve">Though seemingly irrational at first glance, </w:t>
      </w:r>
      <w:r w:rsidR="003B7B25">
        <w:t>sophisticated institutional investors’</w:t>
      </w:r>
      <w:r w:rsidR="003B7B25">
        <w:rPr>
          <w:rFonts w:hint="eastAsia"/>
        </w:rPr>
        <w:t xml:space="preserve"> </w:t>
      </w:r>
      <w:r>
        <w:t>use of</w:t>
      </w:r>
      <w:r>
        <w:rPr>
          <w:rFonts w:hint="eastAsia"/>
        </w:rPr>
        <w:t xml:space="preserve"> earnings surprises</w:t>
      </w:r>
      <w:r w:rsidR="003B7B25">
        <w:t>–</w:t>
      </w:r>
      <w:r>
        <w:rPr>
          <w:rFonts w:hint="eastAsia"/>
        </w:rPr>
        <w:t>based heuristics</w:t>
      </w:r>
      <w:r>
        <w:t xml:space="preserve"> </w:t>
      </w:r>
      <w:r>
        <w:rPr>
          <w:rFonts w:hint="eastAsia"/>
        </w:rPr>
        <w:t>can be explained</w:t>
      </w:r>
      <w:r w:rsidR="000A2413">
        <w:t xml:space="preserve">. First, as mentioned in our theorizing, earnings surprises </w:t>
      </w:r>
      <w:r>
        <w:rPr>
          <w:rFonts w:hint="eastAsia"/>
        </w:rPr>
        <w:t>offers</w:t>
      </w:r>
      <w:r w:rsidR="000A2413">
        <w:t xml:space="preserve"> a “common metric” that strips away many of the idiosyncratic factors </w:t>
      </w:r>
      <w:r>
        <w:rPr>
          <w:rFonts w:hint="eastAsia"/>
        </w:rPr>
        <w:t xml:space="preserve">about earnings </w:t>
      </w:r>
      <w:r w:rsidR="000A2413" w:rsidRPr="00260933">
        <w:t>(</w:t>
      </w:r>
      <w:r w:rsidR="000A2413">
        <w:t xml:space="preserve">Espeland &amp; Stevens, 1998: </w:t>
      </w:r>
      <w:r w:rsidR="000A2413" w:rsidRPr="00260933">
        <w:t>314)</w:t>
      </w:r>
      <w:r w:rsidR="000A2413">
        <w:t xml:space="preserve"> that can make direct comparisons of firm performance challenging. </w:t>
      </w:r>
      <w:r w:rsidR="00B2777A">
        <w:t>Second, we know that heuristics are a way to economize on cognitive capacity and attention limits (e.g., Tversky &amp; Kahneman, 1974), and the use of earnings surprises rather than earnings also helps in this regard by decreasing “</w:t>
      </w:r>
      <w:r w:rsidR="00B2777A" w:rsidRPr="00260933">
        <w:t>the amount of information people have to process”</w:t>
      </w:r>
      <w:r w:rsidR="00B2777A">
        <w:t xml:space="preserve"> (Espeland &amp; Stevens, 1998: 316).</w:t>
      </w:r>
      <w:r w:rsidR="00446FF2">
        <w:t xml:space="preserve"> Our post hoc result that </w:t>
      </w:r>
      <w:r w:rsidR="00E46A17">
        <w:t xml:space="preserve">heuristics use increased when institutional investors had larger investment portfolios seems to support </w:t>
      </w:r>
      <w:r>
        <w:rPr>
          <w:rFonts w:hint="eastAsia"/>
        </w:rPr>
        <w:t>this</w:t>
      </w:r>
      <w:r>
        <w:t xml:space="preserve"> </w:t>
      </w:r>
      <w:r w:rsidR="00E46A17">
        <w:t>notion</w:t>
      </w:r>
      <w:r>
        <w:rPr>
          <w:rFonts w:hint="eastAsia"/>
        </w:rPr>
        <w:t>.</w:t>
      </w:r>
      <w:r w:rsidR="00E46A17">
        <w:t xml:space="preserve"> </w:t>
      </w:r>
      <w:r>
        <w:rPr>
          <w:rFonts w:hint="eastAsia"/>
        </w:rPr>
        <w:t>W</w:t>
      </w:r>
      <w:r w:rsidR="00E46A17">
        <w:t xml:space="preserve">hen </w:t>
      </w:r>
      <w:r>
        <w:rPr>
          <w:rFonts w:hint="eastAsia"/>
        </w:rPr>
        <w:t>institutional investors</w:t>
      </w:r>
      <w:r w:rsidR="00E46A17">
        <w:t xml:space="preserve"> </w:t>
      </w:r>
      <w:r w:rsidR="003B7B25">
        <w:t>must</w:t>
      </w:r>
      <w:r w:rsidR="00E46A17">
        <w:t xml:space="preserve"> attend to the performance of many firms simultaneously</w:t>
      </w:r>
      <w:r>
        <w:rPr>
          <w:rFonts w:hint="eastAsia"/>
        </w:rPr>
        <w:t xml:space="preserve">, they need </w:t>
      </w:r>
      <w:r w:rsidR="00E46A17">
        <w:t>a way to simplify their task</w:t>
      </w:r>
      <w:r>
        <w:rPr>
          <w:rFonts w:hint="eastAsia"/>
        </w:rPr>
        <w:t xml:space="preserve"> despite their </w:t>
      </w:r>
      <w:r>
        <w:t>sophistication</w:t>
      </w:r>
      <w:r>
        <w:rPr>
          <w:rFonts w:hint="eastAsia"/>
        </w:rPr>
        <w:t xml:space="preserve"> and superior information access </w:t>
      </w:r>
      <w:r w:rsidR="00E46A17">
        <w:t>(Bartov et al., 2000)</w:t>
      </w:r>
      <w:r>
        <w:rPr>
          <w:rFonts w:hint="eastAsia"/>
        </w:rPr>
        <w:t>,</w:t>
      </w:r>
      <w:r w:rsidR="00E46A17">
        <w:t xml:space="preserve"> </w:t>
      </w:r>
      <w:r w:rsidR="000944FA">
        <w:t xml:space="preserve">even if doing so may be </w:t>
      </w:r>
      <w:r w:rsidR="000944FA" w:rsidRPr="004C4284">
        <w:t>“arbitrary, uncertain, and error-ridden” (</w:t>
      </w:r>
      <w:r w:rsidR="000944FA">
        <w:t xml:space="preserve">Mennicken &amp; Espeland, 2019: </w:t>
      </w:r>
      <w:r w:rsidR="000944FA" w:rsidRPr="004C4284">
        <w:t>232)</w:t>
      </w:r>
      <w:r w:rsidR="00E46A17">
        <w:t xml:space="preserve">. </w:t>
      </w:r>
    </w:p>
    <w:p w14:paraId="69D4754F" w14:textId="5D0013CB" w:rsidR="000944FA" w:rsidRDefault="00E3040E" w:rsidP="00E46A17">
      <w:pPr>
        <w:spacing w:line="480" w:lineRule="auto"/>
        <w:ind w:firstLine="720"/>
      </w:pPr>
      <w:r>
        <w:t>Tversky and Kahneman (1974: 1124) famously noted that “</w:t>
      </w:r>
      <w:r w:rsidRPr="00E3040E">
        <w:t>heuristics are quite</w:t>
      </w:r>
      <w:r>
        <w:t xml:space="preserve"> </w:t>
      </w:r>
      <w:r w:rsidRPr="00E3040E">
        <w:t>useful, but sometimes they lead to severe</w:t>
      </w:r>
      <w:r>
        <w:t xml:space="preserve"> </w:t>
      </w:r>
      <w:r w:rsidRPr="00E3040E">
        <w:t>and systematic errors.</w:t>
      </w:r>
      <w:r>
        <w:t>” Th</w:t>
      </w:r>
      <w:r w:rsidR="00C050F5">
        <w:t>ough th</w:t>
      </w:r>
      <w:r>
        <w:t xml:space="preserve">ey were referring to the specific </w:t>
      </w:r>
      <w:r>
        <w:lastRenderedPageBreak/>
        <w:t xml:space="preserve">heuristics they discussed in their </w:t>
      </w:r>
      <w:r w:rsidR="00604584">
        <w:t xml:space="preserve">own </w:t>
      </w:r>
      <w:r>
        <w:t xml:space="preserve">paper, heuristics </w:t>
      </w:r>
      <w:r w:rsidR="00C050F5">
        <w:t xml:space="preserve">may indeed </w:t>
      </w:r>
      <w:r>
        <w:t xml:space="preserve">have multiple dimensions along which they are useful or less useful. In our study, they </w:t>
      </w:r>
      <w:r w:rsidR="007D4FE4">
        <w:t>app</w:t>
      </w:r>
      <w:r w:rsidR="00BF0B2D">
        <w:t>arently</w:t>
      </w:r>
      <w:r>
        <w:t xml:space="preserve"> serve</w:t>
      </w:r>
      <w:r w:rsidR="00BF0B2D">
        <w:t>d</w:t>
      </w:r>
      <w:r>
        <w:t xml:space="preserve"> the function of allowing comparability (Espeland &amp; Stevens, 1998) and economizing on limited cognitive resources (Tversky &amp; Kahneman, 1974), but they also seemed to be contrary to the tenets of market efficiency (Fama, 1970) and </w:t>
      </w:r>
      <w:r w:rsidR="007D4FE4">
        <w:t xml:space="preserve">may have </w:t>
      </w:r>
      <w:r>
        <w:t>resulted in behaviors that rel</w:t>
      </w:r>
      <w:r w:rsidR="007D4FE4">
        <w:t>ied</w:t>
      </w:r>
      <w:r>
        <w:t xml:space="preserve"> on “noise” (e.g., Mennicken &amp; Espeland, 2019). </w:t>
      </w:r>
      <w:r w:rsidR="00844637" w:rsidRPr="00844637">
        <w:t>Building on our preliminary exploration with post-hoc tests</w:t>
      </w:r>
      <w:r w:rsidR="00844637">
        <w:t>, f</w:t>
      </w:r>
      <w:r w:rsidR="00E46A17">
        <w:t xml:space="preserve">uture research should </w:t>
      </w:r>
      <w:r>
        <w:t xml:space="preserve">consider when and in what ways heuristics might be useful or damaging, as well as </w:t>
      </w:r>
      <w:r w:rsidR="00E46A17">
        <w:t>delve deeper into when, why, and who may be the most likely to use these heuristics, as well as how investors may update their heuristics over time.</w:t>
      </w:r>
    </w:p>
    <w:p w14:paraId="6AB4C953" w14:textId="0C86A6FA" w:rsidR="006D578B" w:rsidRPr="00FC458D" w:rsidRDefault="00FC458D" w:rsidP="00246E28">
      <w:pPr>
        <w:spacing w:line="360" w:lineRule="auto"/>
        <w:rPr>
          <w:b/>
          <w:bCs/>
        </w:rPr>
      </w:pPr>
      <w:r w:rsidRPr="00FC458D">
        <w:rPr>
          <w:b/>
          <w:bCs/>
        </w:rPr>
        <w:t>Practical Implications</w:t>
      </w:r>
    </w:p>
    <w:p w14:paraId="5A0DC1DD" w14:textId="022A340E" w:rsidR="0033112C" w:rsidRDefault="00DF0294" w:rsidP="00DF0294">
      <w:pPr>
        <w:spacing w:line="480" w:lineRule="auto"/>
        <w:ind w:firstLine="720"/>
      </w:pPr>
      <w:r>
        <w:t xml:space="preserve">Our results and theorizing also have practical implications for managers and investors. For managers, our results might confirm their suspicions that investors are overly demanding and that anything </w:t>
      </w:r>
      <w:r w:rsidR="00BF0B2D">
        <w:t>managers</w:t>
      </w:r>
      <w:r>
        <w:t xml:space="preserve"> do might just lead to further demands (e.g., Merton, 1968; Mishina et al., 2010; Rhee &amp; Haunschild, 2006; Wade et al., 2006).</w:t>
      </w:r>
      <w:r w:rsidR="00283EFE">
        <w:t xml:space="preserve"> Even if the earnings announcement meets or exceeds the consensus estimate (and thereby meets or exceeds the predictive expectation), investors may penalize them if they do not satisfy the</w:t>
      </w:r>
      <w:r w:rsidR="003D0D11">
        <w:t xml:space="preserve"> two different</w:t>
      </w:r>
      <w:r w:rsidR="00283EFE">
        <w:t xml:space="preserve"> prescriptive expectations of being at or above </w:t>
      </w:r>
      <w:r w:rsidR="0024694B">
        <w:t>past performance</w:t>
      </w:r>
      <w:r w:rsidR="00283EFE">
        <w:t xml:space="preserve"> and </w:t>
      </w:r>
      <w:r w:rsidR="003D0D11">
        <w:t xml:space="preserve">being at or above </w:t>
      </w:r>
      <w:r w:rsidR="00283EFE">
        <w:t xml:space="preserve">peer performance, as well as </w:t>
      </w:r>
      <w:r w:rsidR="003D0D11">
        <w:t xml:space="preserve">satisfy prospective expectations by ensuring that investors perceive future performance </w:t>
      </w:r>
      <w:r w:rsidR="00020407">
        <w:t xml:space="preserve">will </w:t>
      </w:r>
      <w:r w:rsidR="003D0D11">
        <w:t>be at least as strong as they had believe</w:t>
      </w:r>
      <w:r w:rsidR="00020407">
        <w:t>d</w:t>
      </w:r>
      <w:r w:rsidR="003D0D11">
        <w:t xml:space="preserve"> prior to the earnings announcement. </w:t>
      </w:r>
      <w:bookmarkStart w:id="42" w:name="OLE_LINK25"/>
      <w:r>
        <w:t>In</w:t>
      </w:r>
      <w:bookmarkEnd w:id="42"/>
      <w:r>
        <w:rPr>
          <w:rFonts w:hint="eastAsia"/>
        </w:rPr>
        <w:t xml:space="preserve"> some cases, m</w:t>
      </w:r>
      <w:r>
        <w:t xml:space="preserve">anagers may </w:t>
      </w:r>
      <w:r>
        <w:rPr>
          <w:rFonts w:hint="eastAsia"/>
        </w:rPr>
        <w:t xml:space="preserve">find themselves in a no-win situation as </w:t>
      </w:r>
      <w:r w:rsidR="003D0D11">
        <w:t>efforts to satisfy the multiple expectations would likely create even higher expectations for the next period (e.g., Merton, 1968; Mishina et al., 2010; Rhee &amp; Haunschild, 2006; Wade et al., 2006).</w:t>
      </w:r>
      <w:r w:rsidR="003E7D0C">
        <w:t xml:space="preserve"> If investors have multiple expectations, even impression management efforts (e.g., Blagoeva et al., 2020; Graffin et al., 2016; Jin et al., 2022) may be risky</w:t>
      </w:r>
      <w:r w:rsidR="00351764">
        <w:t xml:space="preserve">, as </w:t>
      </w:r>
      <w:r w:rsidR="0033112C">
        <w:t xml:space="preserve">expectations about different types of behavior may combine into complex </w:t>
      </w:r>
      <w:r w:rsidR="0033112C">
        <w:lastRenderedPageBreak/>
        <w:t xml:space="preserve">situational expectations </w:t>
      </w:r>
      <w:r w:rsidR="003E7D0C">
        <w:t>(</w:t>
      </w:r>
      <w:r w:rsidR="003E7D0C" w:rsidRPr="0055375F">
        <w:t>Bundy</w:t>
      </w:r>
      <w:r w:rsidR="003E7D0C">
        <w:t xml:space="preserve"> et al., </w:t>
      </w:r>
      <w:r w:rsidR="003E7D0C" w:rsidRPr="0055375F">
        <w:t>202</w:t>
      </w:r>
      <w:r w:rsidR="003E7D0C">
        <w:t>1)</w:t>
      </w:r>
      <w:r w:rsidR="0033112C">
        <w:t xml:space="preserve"> that then present </w:t>
      </w:r>
      <w:r w:rsidR="00020407">
        <w:t xml:space="preserve">yet </w:t>
      </w:r>
      <w:r w:rsidR="0033112C">
        <w:t xml:space="preserve">more expectational criteria for managers to worry about. </w:t>
      </w:r>
    </w:p>
    <w:p w14:paraId="18338AF0" w14:textId="1F8EC2C4" w:rsidR="00DB7520" w:rsidRDefault="00DF0294" w:rsidP="00DB7520">
      <w:pPr>
        <w:spacing w:line="480" w:lineRule="auto"/>
        <w:ind w:firstLine="720"/>
      </w:pPr>
      <w:r>
        <w:t xml:space="preserve">For investors, our results potentially represent an opportunity to trade upon that knowledge. </w:t>
      </w:r>
      <w:bookmarkStart w:id="43" w:name="OLE_LINK26"/>
      <w:r>
        <w:t xml:space="preserve">Knowing that </w:t>
      </w:r>
      <w:r w:rsidR="0033112C">
        <w:t xml:space="preserve">investors </w:t>
      </w:r>
      <w:r w:rsidR="00020407">
        <w:t xml:space="preserve">tend </w:t>
      </w:r>
      <w:r>
        <w:t xml:space="preserve">to react consistently with the </w:t>
      </w:r>
      <w:r w:rsidR="0033112C">
        <w:t>heuristics</w:t>
      </w:r>
      <w:r>
        <w:t xml:space="preserve"> we suggested means they may be able to, for example, short a firm’s stock when it was likely to beat earnings </w:t>
      </w:r>
      <w:r w:rsidR="00C046C7">
        <w:rPr>
          <w:rFonts w:hint="eastAsia"/>
        </w:rPr>
        <w:t>estimates</w:t>
      </w:r>
      <w:r w:rsidR="00DA3B0E">
        <w:rPr>
          <w:rFonts w:hint="eastAsia"/>
        </w:rPr>
        <w:t xml:space="preserve"> </w:t>
      </w:r>
      <w:r>
        <w:t xml:space="preserve">but be below </w:t>
      </w:r>
      <w:r w:rsidR="00DA3B0E">
        <w:rPr>
          <w:rFonts w:hint="eastAsia"/>
        </w:rPr>
        <w:t xml:space="preserve">other </w:t>
      </w:r>
      <w:r w:rsidR="00DA3B0E">
        <w:t>expectancy</w:t>
      </w:r>
      <w:r w:rsidR="00DA3B0E">
        <w:rPr>
          <w:rFonts w:hint="eastAsia"/>
        </w:rPr>
        <w:t xml:space="preserve"> benchmarks</w:t>
      </w:r>
      <w:r>
        <w:t>.</w:t>
      </w:r>
      <w:r w:rsidR="00DA3B0E">
        <w:rPr>
          <w:rFonts w:hint="eastAsia"/>
        </w:rPr>
        <w:t xml:space="preserve"> T</w:t>
      </w:r>
      <w:r>
        <w:t>hese opportunities</w:t>
      </w:r>
      <w:r w:rsidR="00DA3B0E">
        <w:rPr>
          <w:rFonts w:hint="eastAsia"/>
        </w:rPr>
        <w:t>, however,</w:t>
      </w:r>
      <w:r>
        <w:t xml:space="preserve"> may be short-lived </w:t>
      </w:r>
      <w:r w:rsidR="00DA3B0E">
        <w:rPr>
          <w:rFonts w:hint="eastAsia"/>
        </w:rPr>
        <w:t>as</w:t>
      </w:r>
      <w:r>
        <w:t xml:space="preserve"> </w:t>
      </w:r>
      <w:r w:rsidR="00DA3B0E">
        <w:rPr>
          <w:rFonts w:hint="eastAsia"/>
        </w:rPr>
        <w:t>market behavior adjusts,</w:t>
      </w:r>
      <w:r>
        <w:t xml:space="preserve"> </w:t>
      </w:r>
      <w:r w:rsidR="00DA3B0E">
        <w:t>potentially erasing the observed effects</w:t>
      </w:r>
      <w:r w:rsidR="00DA3B0E" w:rsidDel="00DA3B0E">
        <w:t xml:space="preserve"> </w:t>
      </w:r>
      <w:r w:rsidRPr="00CE1930">
        <w:t>(Marquering</w:t>
      </w:r>
      <w:r w:rsidR="007C5CC2">
        <w:t xml:space="preserve"> et </w:t>
      </w:r>
      <w:r w:rsidRPr="00CE1930">
        <w:t>a</w:t>
      </w:r>
      <w:r w:rsidR="007C5CC2">
        <w:t>l.</w:t>
      </w:r>
      <w:r w:rsidRPr="00CE1930">
        <w:t>, 2006).</w:t>
      </w:r>
      <w:bookmarkEnd w:id="43"/>
      <w:r w:rsidR="0033112C">
        <w:t xml:space="preserve"> Additionally, as we mentioned, the use of these heuristics </w:t>
      </w:r>
      <w:r w:rsidR="00604584">
        <w:t xml:space="preserve">generally did </w:t>
      </w:r>
      <w:r w:rsidR="0033112C">
        <w:t>not appear to predict subsequent earnings or earnings surprises</w:t>
      </w:r>
      <w:r w:rsidR="0024694B">
        <w:t xml:space="preserve">. This inconsistency </w:t>
      </w:r>
      <w:r w:rsidR="0033112C">
        <w:t xml:space="preserve">with efficient market notions (Fama, 1970) </w:t>
      </w:r>
      <w:r w:rsidR="0024694B">
        <w:t xml:space="preserve">is particularly striking given that </w:t>
      </w:r>
      <w:r w:rsidR="00DA3B0E">
        <w:rPr>
          <w:rFonts w:hint="eastAsia"/>
        </w:rPr>
        <w:t xml:space="preserve">even </w:t>
      </w:r>
      <w:r w:rsidR="0024694B">
        <w:t>institutional investors</w:t>
      </w:r>
      <w:r w:rsidR="00DA3B0E">
        <w:rPr>
          <w:rFonts w:hint="eastAsia"/>
        </w:rPr>
        <w:t xml:space="preserve"> </w:t>
      </w:r>
      <w:r w:rsidR="0024694B" w:rsidRPr="0024694B">
        <w:t>appear to rely on these heuristics.</w:t>
      </w:r>
      <w:r w:rsidR="0033112C">
        <w:t xml:space="preserve"> On the other hand,</w:t>
      </w:r>
      <w:r w:rsidR="009C1969">
        <w:t xml:space="preserve"> prior research has also show</w:t>
      </w:r>
      <w:r w:rsidR="00020407">
        <w:t>n</w:t>
      </w:r>
      <w:r w:rsidR="009C1969">
        <w:t xml:space="preserve"> that markets can </w:t>
      </w:r>
      <w:r w:rsidR="00020407">
        <w:t xml:space="preserve">at times </w:t>
      </w:r>
      <w:r w:rsidR="009C1969">
        <w:t>operate far from the tenets of market efficiency, such as by reacting to “non-news.” Huberman and Regev (2001: 396), for example, argued that sometimes “capital markets may allocate funds in a somewhat arbitrary fashion” by showing that investors appeared to permanently double the stock price of EntreMed, a biotech company, when an announcement about breakthrough in cancer research appeared in the New York Times on Sunday, May 3, 1998</w:t>
      </w:r>
      <w:r w:rsidR="005D4205">
        <w:t xml:space="preserve">, even though </w:t>
      </w:r>
      <w:r w:rsidR="009C1969" w:rsidRPr="009C1969">
        <w:rPr>
          <w:i/>
          <w:iCs/>
        </w:rPr>
        <w:t>all relevant information had already been published</w:t>
      </w:r>
      <w:r w:rsidR="009C1969">
        <w:t xml:space="preserve"> </w:t>
      </w:r>
      <w:r w:rsidR="00DA3B0E">
        <w:rPr>
          <w:rFonts w:hint="eastAsia"/>
        </w:rPr>
        <w:t>in major outlets (including the New York Times)</w:t>
      </w:r>
      <w:r w:rsidR="009C1969">
        <w:t xml:space="preserve"> </w:t>
      </w:r>
      <w:r w:rsidR="005D4205">
        <w:t xml:space="preserve">back </w:t>
      </w:r>
      <w:r w:rsidR="009C1969">
        <w:t>in November 1997</w:t>
      </w:r>
      <w:r w:rsidR="005D4205">
        <w:t xml:space="preserve">. Such behavior seems to instead reflect Keynes’ (1936: 156) notion that equity markets are characterized by investors trying to discern “what average opinion expects the average opinion to be.” Under such conditions, </w:t>
      </w:r>
      <w:r w:rsidR="0033112C">
        <w:t xml:space="preserve">irrational “noise traders” </w:t>
      </w:r>
      <w:r w:rsidR="005D4205">
        <w:t>may</w:t>
      </w:r>
      <w:r w:rsidR="0033112C">
        <w:t xml:space="preserve"> </w:t>
      </w:r>
      <w:r w:rsidR="003D0D11">
        <w:t xml:space="preserve">not only </w:t>
      </w:r>
      <w:r w:rsidR="005D4205">
        <w:t xml:space="preserve">be able to </w:t>
      </w:r>
      <w:r w:rsidR="003D0D11">
        <w:t xml:space="preserve">survive but potentially dominate markets (e.g., </w:t>
      </w:r>
      <w:r w:rsidR="003D0D11" w:rsidRPr="00A93AA9">
        <w:t>De</w:t>
      </w:r>
      <w:r w:rsidR="003D0D11">
        <w:rPr>
          <w:rFonts w:hint="eastAsia"/>
        </w:rPr>
        <w:t xml:space="preserve"> </w:t>
      </w:r>
      <w:r w:rsidR="003D0D11" w:rsidRPr="00A93AA9">
        <w:t>Bondt &amp; Thaler, 1990</w:t>
      </w:r>
      <w:r w:rsidR="003D0D11">
        <w:t>)</w:t>
      </w:r>
      <w:r w:rsidR="005D4205">
        <w:t xml:space="preserve">. Hence it may be that </w:t>
      </w:r>
      <w:r w:rsidR="0033112C">
        <w:t xml:space="preserve">the institutional investors who are using these heuristics are exactly those types of </w:t>
      </w:r>
      <w:r w:rsidR="00E3238D">
        <w:lastRenderedPageBreak/>
        <w:t xml:space="preserve">successful “noise traders” </w:t>
      </w:r>
      <w:r w:rsidR="00966B54">
        <w:t>who are anticipating how retail investors might behave in reaction to the earnings announcement and pre-empting them.</w:t>
      </w:r>
    </w:p>
    <w:p w14:paraId="46BEDF88" w14:textId="6B81EA61" w:rsidR="00DF0294" w:rsidRPr="00F60052" w:rsidRDefault="00DF0294" w:rsidP="008C0940">
      <w:pPr>
        <w:spacing w:line="360" w:lineRule="auto"/>
        <w:rPr>
          <w:b/>
          <w:bCs/>
        </w:rPr>
      </w:pPr>
      <w:r w:rsidRPr="00F60052">
        <w:rPr>
          <w:b/>
          <w:bCs/>
        </w:rPr>
        <w:t xml:space="preserve">Limitations and </w:t>
      </w:r>
      <w:r w:rsidR="00DB7CF4">
        <w:rPr>
          <w:b/>
          <w:bCs/>
        </w:rPr>
        <w:t>F</w:t>
      </w:r>
      <w:r w:rsidRPr="00F60052">
        <w:rPr>
          <w:b/>
          <w:bCs/>
        </w:rPr>
        <w:t xml:space="preserve">uture </w:t>
      </w:r>
      <w:r w:rsidR="00DB7CF4">
        <w:rPr>
          <w:b/>
          <w:bCs/>
        </w:rPr>
        <w:t>D</w:t>
      </w:r>
      <w:r w:rsidRPr="00F60052">
        <w:rPr>
          <w:b/>
          <w:bCs/>
        </w:rPr>
        <w:t>irections</w:t>
      </w:r>
    </w:p>
    <w:p w14:paraId="23923E8C" w14:textId="346DA49B" w:rsidR="00DF0294" w:rsidRDefault="004A4556" w:rsidP="005D15C9">
      <w:pPr>
        <w:spacing w:line="480" w:lineRule="auto"/>
        <w:ind w:firstLine="720"/>
      </w:pPr>
      <w:r>
        <w:t xml:space="preserve">While our theorizing and results </w:t>
      </w:r>
      <w:r w:rsidR="00482426">
        <w:t xml:space="preserve">make </w:t>
      </w:r>
      <w:r>
        <w:t>a number of theoretical and practical contributions, th</w:t>
      </w:r>
      <w:r w:rsidR="00486518">
        <w:t>is</w:t>
      </w:r>
      <w:r>
        <w:t xml:space="preserve"> study is not </w:t>
      </w:r>
      <w:r w:rsidR="00DF0294">
        <w:t xml:space="preserve">without its limitations. First, </w:t>
      </w:r>
      <w:r>
        <w:t>we used the context of earnings announcements, which ha</w:t>
      </w:r>
      <w:r w:rsidR="004C1629">
        <w:t>s</w:t>
      </w:r>
      <w:r>
        <w:t xml:space="preserve"> also been used in past studies of EVT (e.g., Pfarrer et al., 2010). </w:t>
      </w:r>
      <w:r w:rsidR="000218CE">
        <w:t>Using</w:t>
      </w:r>
      <w:r w:rsidR="005D15C9">
        <w:t xml:space="preserve"> the announcement of performance allowed us to bring in </w:t>
      </w:r>
      <w:proofErr w:type="gramStart"/>
      <w:r w:rsidR="005D15C9">
        <w:t>fairly straightforward</w:t>
      </w:r>
      <w:proofErr w:type="gramEnd"/>
      <w:r w:rsidR="005D15C9">
        <w:t xml:space="preserve"> prescriptive and prospective expectations</w:t>
      </w:r>
      <w:r w:rsidR="00D45804">
        <w:t>.</w:t>
      </w:r>
      <w:r w:rsidR="005D15C9">
        <w:t xml:space="preserve"> </w:t>
      </w:r>
      <w:r w:rsidR="00D45804">
        <w:t>I</w:t>
      </w:r>
      <w:r w:rsidR="005D15C9">
        <w:t>t is unclear</w:t>
      </w:r>
      <w:r w:rsidR="00D45804">
        <w:t>, however,</w:t>
      </w:r>
      <w:r w:rsidR="005D15C9">
        <w:t xml:space="preserve"> if our findings </w:t>
      </w:r>
      <w:r w:rsidR="000218CE">
        <w:t>c</w:t>
      </w:r>
      <w:r w:rsidR="005D15C9">
        <w:t>ould be generaliz</w:t>
      </w:r>
      <w:r w:rsidR="000218CE">
        <w:t>ed</w:t>
      </w:r>
      <w:r w:rsidR="005D15C9">
        <w:t xml:space="preserve"> to contexts that differ dramatically from ours. Exploring the similarities </w:t>
      </w:r>
      <w:r w:rsidR="00DF0294">
        <w:t xml:space="preserve">and differences across </w:t>
      </w:r>
      <w:r w:rsidR="000218CE">
        <w:t xml:space="preserve">other </w:t>
      </w:r>
      <w:r w:rsidR="005D15C9">
        <w:t xml:space="preserve">types of </w:t>
      </w:r>
      <w:r w:rsidR="001C53B0">
        <w:t>activities and</w:t>
      </w:r>
      <w:r w:rsidR="005D15C9">
        <w:t xml:space="preserve"> stakeholders </w:t>
      </w:r>
      <w:r w:rsidR="00DF0294">
        <w:t>thus represent potential opportunities for subsequent research.</w:t>
      </w:r>
    </w:p>
    <w:p w14:paraId="1940A307" w14:textId="6ABD0431" w:rsidR="00246D61" w:rsidRDefault="00DF0294" w:rsidP="00E06748">
      <w:pPr>
        <w:spacing w:line="480" w:lineRule="auto"/>
        <w:ind w:firstLine="720"/>
      </w:pPr>
      <w:r>
        <w:t xml:space="preserve">Second, </w:t>
      </w:r>
      <w:r w:rsidR="00B3569F">
        <w:t xml:space="preserve">and relatedly, </w:t>
      </w:r>
      <w:r w:rsidR="000218CE">
        <w:t>though we explore</w:t>
      </w:r>
      <w:r w:rsidR="00B3569F">
        <w:t xml:space="preserve"> the predictive expectation provided by the consensus analyst estimate, </w:t>
      </w:r>
      <w:r w:rsidR="000218CE">
        <w:t>plus</w:t>
      </w:r>
      <w:r w:rsidR="00B3569F">
        <w:t xml:space="preserve"> two different types of prescriptive expectations and one type of prospective expectation</w:t>
      </w:r>
      <w:r w:rsidR="00604584">
        <w:t xml:space="preserve"> (albeit with </w:t>
      </w:r>
      <w:r w:rsidR="00E1467F">
        <w:rPr>
          <w:rFonts w:hint="eastAsia"/>
        </w:rPr>
        <w:t>Tobin</w:t>
      </w:r>
      <w:r w:rsidR="00E1467F">
        <w:t>’</w:t>
      </w:r>
      <w:r w:rsidR="00E1467F">
        <w:rPr>
          <w:rFonts w:hint="eastAsia"/>
        </w:rPr>
        <w:t>s Q and P</w:t>
      </w:r>
      <w:r w:rsidR="00632E90">
        <w:rPr>
          <w:rFonts w:hint="eastAsia"/>
        </w:rPr>
        <w:t>/</w:t>
      </w:r>
      <w:r w:rsidR="00E1467F">
        <w:rPr>
          <w:rFonts w:hint="eastAsia"/>
        </w:rPr>
        <w:t>E ratio</w:t>
      </w:r>
      <w:r w:rsidR="00604584">
        <w:t>)</w:t>
      </w:r>
      <w:r w:rsidR="00B3569F">
        <w:t>, investors and/or other types of stakeholders may have many other expectation</w:t>
      </w:r>
      <w:r w:rsidR="00D86D35">
        <w:t xml:space="preserve"> considerations</w:t>
      </w:r>
      <w:r w:rsidR="00B3569F">
        <w:t xml:space="preserve"> that we did not explore</w:t>
      </w:r>
      <w:r w:rsidR="00D86D35">
        <w:t>.</w:t>
      </w:r>
      <w:r w:rsidR="00B3569F">
        <w:t xml:space="preserve"> </w:t>
      </w:r>
      <w:r w:rsidR="00D86D35">
        <w:t>O</w:t>
      </w:r>
      <w:r w:rsidR="00B3569F">
        <w:t>r</w:t>
      </w:r>
      <w:r w:rsidR="00D86D35">
        <w:t>,</w:t>
      </w:r>
      <w:r w:rsidR="00B3569F">
        <w:t xml:space="preserve"> those expectations might combine in different ways than they did in our context. For example, </w:t>
      </w:r>
      <w:r w:rsidR="00B70266">
        <w:t xml:space="preserve">in our context, </w:t>
      </w:r>
      <w:r w:rsidR="00B3569F">
        <w:t>investors appeared to have nested expectations, such that they examined how observed behavior compared to predicted expectations and then anchored (e.g., Tversky &amp; Kahneman, 1974) on those earnings surprises to determine whether the firm behavior confirmed to their prescriptive expectations</w:t>
      </w:r>
      <w:r w:rsidR="00B70266">
        <w:t xml:space="preserve">. </w:t>
      </w:r>
    </w:p>
    <w:p w14:paraId="56391B13" w14:textId="22B1CED6" w:rsidR="00B3569F" w:rsidRDefault="00E42252" w:rsidP="00E06748">
      <w:pPr>
        <w:spacing w:line="480" w:lineRule="auto"/>
        <w:ind w:firstLine="720"/>
      </w:pPr>
      <w:r w:rsidRPr="00E42252">
        <w:t xml:space="preserve">In some cases, predictive and prescriptive expectations may be identical. This can occur, for example, when one expects an individual or firm to behave exactly as normative prescriptions suggest, particularly when there is no available information about their past or likely behavior. In such instances, forming a predictive expectation that differs meaningfully </w:t>
      </w:r>
      <w:r w:rsidRPr="00E42252">
        <w:lastRenderedPageBreak/>
        <w:t xml:space="preserve">from the normative one becomes unlikely. For example, at the micro level, one might assume that a new acquaintance will behave in accordance with normative expectations unless there are additional cues suggesting otherwise, such as that they belong to a stigmatized group. Similarly, at the firm level, predictive and prescriptive expectations may largely coincide when there is no specific information about a company beyond its classification as a typical member of a particular industry. When predictive and prescriptive expectations do not meaningfully differ, a violation of both may not elicit separate reactions. </w:t>
      </w:r>
      <w:r w:rsidR="00B70266">
        <w:t>O</w:t>
      </w:r>
      <w:r w:rsidR="00B3569F">
        <w:t>ther contexts may entail very different types of relationships amongst the multiple expectations, and studying when they may have nested or partially nested expectations, versus when they may have completely independent expectations (i.e., not anchoring on a particular expectation) may provide an additional direction of study.</w:t>
      </w:r>
    </w:p>
    <w:p w14:paraId="6B2382E4" w14:textId="32E6DE8A" w:rsidR="005D15C9" w:rsidRDefault="00B3569F" w:rsidP="00D059D8">
      <w:pPr>
        <w:spacing w:line="480" w:lineRule="auto"/>
        <w:ind w:firstLine="720"/>
      </w:pPr>
      <w:r>
        <w:t xml:space="preserve">Third, </w:t>
      </w:r>
      <w:r w:rsidR="005D15C9">
        <w:t>we used a sample of</w:t>
      </w:r>
      <w:r w:rsidR="00E23201">
        <w:t xml:space="preserve"> S&amp;P 500 firms to test our hypotheses</w:t>
      </w:r>
      <w:r w:rsidR="009E2052">
        <w:t>.</w:t>
      </w:r>
      <w:r w:rsidR="00E23201">
        <w:t xml:space="preserve"> </w:t>
      </w:r>
      <w:r w:rsidR="009E2052">
        <w:t>O</w:t>
      </w:r>
      <w:r w:rsidR="00E23201">
        <w:t xml:space="preserve">ne characteristic of these firms is that they are </w:t>
      </w:r>
      <w:r w:rsidR="00D059D8">
        <w:t>intended to be “</w:t>
      </w:r>
      <w:r w:rsidR="00D059D8" w:rsidRPr="00D059D8">
        <w:t>the best single gauge of large-cap U.S. equities</w:t>
      </w:r>
      <w:r w:rsidR="00D059D8">
        <w:t xml:space="preserve">… [that] </w:t>
      </w:r>
      <w:r w:rsidR="00D059D8" w:rsidRPr="00D059D8">
        <w:t>covers approximately 80% of available market capitalization</w:t>
      </w:r>
      <w:r w:rsidR="00D059D8">
        <w:t>” (S&amp;P Global, 2025)</w:t>
      </w:r>
      <w:r w:rsidR="00927C02">
        <w:t xml:space="preserve">. Hence these represent very large, well-known firms for which information is likely to be much more readily available. Consequently, even though the firms varied in terms of </w:t>
      </w:r>
      <w:r w:rsidR="00E87D60">
        <w:t>commonly used</w:t>
      </w:r>
      <w:r w:rsidR="00927C02">
        <w:t xml:space="preserve"> indicators of uncertainty</w:t>
      </w:r>
      <w:r w:rsidR="009E2052">
        <w:t>,</w:t>
      </w:r>
      <w:r w:rsidR="00927C02">
        <w:t xml:space="preserve"> </w:t>
      </w:r>
      <w:r w:rsidR="009E2052">
        <w:t>such as</w:t>
      </w:r>
      <w:r w:rsidR="00927C02">
        <w:t xml:space="preserve"> </w:t>
      </w:r>
      <w:r w:rsidR="00B32B3E">
        <w:t xml:space="preserve">firm </w:t>
      </w:r>
      <w:r w:rsidR="00927C02">
        <w:t>size and age (</w:t>
      </w:r>
      <w:r w:rsidR="00E87D60">
        <w:t>e.g., Freeman, Carroll, &amp; Hannan, 19</w:t>
      </w:r>
      <w:r w:rsidR="006775AA">
        <w:t>83</w:t>
      </w:r>
      <w:r w:rsidR="00927C02">
        <w:t xml:space="preserve">), and </w:t>
      </w:r>
      <w:r w:rsidR="00B32B3E">
        <w:t xml:space="preserve">firm-quarters varied in uncertainty in terms of </w:t>
      </w:r>
      <w:r w:rsidR="004C1629">
        <w:t xml:space="preserve">earnings </w:t>
      </w:r>
      <w:r w:rsidR="00B32B3E">
        <w:t xml:space="preserve">dispersion </w:t>
      </w:r>
      <w:r w:rsidR="00B32B3E" w:rsidRPr="005F6DE6">
        <w:t>(e.g., Ajinkya &amp; Gift, 1985</w:t>
      </w:r>
      <w:r w:rsidR="00B32B3E">
        <w:t xml:space="preserve">; </w:t>
      </w:r>
      <w:r w:rsidR="00B32B3E" w:rsidRPr="005F6DE6">
        <w:t>Barron &amp; Stuerke, 1998</w:t>
      </w:r>
      <w:r w:rsidR="00B32B3E">
        <w:t>), the amount of uncertainty that investors would have about these firms is likely to be much lower than if we had examined firms that were less well known. This may also partly explain why the level of uncertainty did not appear to impact use of heuristics by investors in our sample. Exploring if investors use these same types of heuristics for less well</w:t>
      </w:r>
      <w:r w:rsidR="00DB7520">
        <w:t>-</w:t>
      </w:r>
      <w:r w:rsidR="00B32B3E">
        <w:t xml:space="preserve">known firms, </w:t>
      </w:r>
      <w:r w:rsidR="009E2052">
        <w:t>and</w:t>
      </w:r>
      <w:r w:rsidR="00B32B3E">
        <w:t xml:space="preserve"> if their use of heuristics might be greater for those firms, may represent another avenue for future study.</w:t>
      </w:r>
    </w:p>
    <w:p w14:paraId="04FE2D0B" w14:textId="1A41D84F" w:rsidR="004172A5" w:rsidRDefault="004172A5" w:rsidP="004172A5">
      <w:pPr>
        <w:spacing w:line="480" w:lineRule="auto"/>
        <w:ind w:firstLine="720"/>
      </w:pPr>
      <w:bookmarkStart w:id="44" w:name="OLE_LINK35"/>
      <w:r>
        <w:lastRenderedPageBreak/>
        <w:t>Fourth, we only explored prospective expectations</w:t>
      </w:r>
      <w:r w:rsidR="00906E00">
        <w:t xml:space="preserve"> in a </w:t>
      </w:r>
      <w:proofErr w:type="gramStart"/>
      <w:r w:rsidR="00906E00">
        <w:t>fairly general</w:t>
      </w:r>
      <w:proofErr w:type="gramEnd"/>
      <w:r w:rsidR="00906E00">
        <w:t xml:space="preserve"> sense</w:t>
      </w:r>
      <w:r>
        <w:t>—</w:t>
      </w:r>
      <w:proofErr w:type="gramStart"/>
      <w:r>
        <w:t>whether or not</w:t>
      </w:r>
      <w:proofErr w:type="gramEnd"/>
      <w:r>
        <w:t xml:space="preserve"> investors </w:t>
      </w:r>
      <w:r w:rsidR="00906E00">
        <w:t>think that the performance of the firm might be better or worse in the future</w:t>
      </w:r>
      <w:r>
        <w:t xml:space="preserve">. </w:t>
      </w:r>
      <w:r w:rsidR="009E2052">
        <w:t>O</w:t>
      </w:r>
      <w:r w:rsidR="00EB6C05">
        <w:rPr>
          <w:rFonts w:hint="eastAsia"/>
        </w:rPr>
        <w:t>bserved behavior can shape prospective expectations in multiple ways</w:t>
      </w:r>
      <w:r w:rsidR="009E2052">
        <w:t>, however</w:t>
      </w:r>
      <w:r>
        <w:t xml:space="preserve">. Given that we conceptualize prospective expectations as expected value of future firm behavior, this would suggest that prospective expectations would be based on beliefs about the likelihood and/or frequency of future interactions with the firm, the future behaviors expected from the firm during those interactions, and the criteria used to evaluate the behaviors. </w:t>
      </w:r>
      <w:r w:rsidR="000B3E61">
        <w:t xml:space="preserve">Each of the </w:t>
      </w:r>
      <w:r w:rsidR="009E2052">
        <w:t>afore</w:t>
      </w:r>
      <w:r w:rsidR="000B3E61">
        <w:t xml:space="preserve">mentioned factors may change independently or jointly, based on </w:t>
      </w:r>
      <w:r w:rsidR="00EB6C05">
        <w:rPr>
          <w:rFonts w:hint="eastAsia"/>
        </w:rPr>
        <w:t>how stakeholders interpret</w:t>
      </w:r>
      <w:r w:rsidR="000B3E61">
        <w:t xml:space="preserve"> observed behavior</w:t>
      </w:r>
      <w:r w:rsidR="00E1467F">
        <w:rPr>
          <w:rFonts w:hint="eastAsia"/>
        </w:rPr>
        <w:t>, triggering a prospective expectancy violation and subsequent reactions</w:t>
      </w:r>
      <w:r w:rsidR="000B3E61">
        <w:t xml:space="preserve">. </w:t>
      </w:r>
      <w:bookmarkEnd w:id="44"/>
      <w:r w:rsidRPr="00EF0569">
        <w:t xml:space="preserve">Conversely, if prospective expectations are not altered by the observed behavior, </w:t>
      </w:r>
      <w:r w:rsidR="00EB6C05" w:rsidRPr="00EF0569">
        <w:rPr>
          <w:rFonts w:hint="eastAsia"/>
        </w:rPr>
        <w:t xml:space="preserve">no such violation occurs, and stakeholder reactions should align with predictions from </w:t>
      </w:r>
      <w:r w:rsidRPr="00EF0569">
        <w:t>traditional EVT (e.g., Burgoon, 1993, 2015).</w:t>
      </w:r>
      <w:r w:rsidR="007F599B" w:rsidRPr="00EF0569">
        <w:t xml:space="preserve"> </w:t>
      </w:r>
      <w:r w:rsidRPr="00EF0569">
        <w:t xml:space="preserve">Our arguments also imply that </w:t>
      </w:r>
      <w:r w:rsidR="00EB6C05" w:rsidRPr="00EF0569">
        <w:rPr>
          <w:rFonts w:hint="eastAsia"/>
        </w:rPr>
        <w:t>prospective expecta</w:t>
      </w:r>
      <w:r w:rsidR="00B96EC6" w:rsidRPr="00EF0569">
        <w:t>ncy</w:t>
      </w:r>
      <w:r w:rsidR="00EB6C05" w:rsidRPr="00EF0569">
        <w:rPr>
          <w:rFonts w:hint="eastAsia"/>
        </w:rPr>
        <w:t xml:space="preserve"> </w:t>
      </w:r>
      <w:r w:rsidR="00EB6C05" w:rsidRPr="00EF0569">
        <w:t>violations</w:t>
      </w:r>
      <w:r w:rsidR="00EB6C05" w:rsidRPr="00EF0569">
        <w:rPr>
          <w:rFonts w:hint="eastAsia"/>
        </w:rPr>
        <w:t xml:space="preserve"> are not solely triggered by </w:t>
      </w:r>
      <w:r w:rsidRPr="00EF0569">
        <w:t>observed behavior</w:t>
      </w:r>
      <w:r w:rsidR="00EB6C05" w:rsidRPr="00EF0569">
        <w:rPr>
          <w:rFonts w:hint="eastAsia"/>
        </w:rPr>
        <w:t>. Rather,</w:t>
      </w:r>
      <w:r w:rsidRPr="00EF0569">
        <w:t xml:space="preserve"> </w:t>
      </w:r>
      <w:r w:rsidRPr="00EF0569">
        <w:rPr>
          <w:i/>
          <w:iCs/>
        </w:rPr>
        <w:t>any</w:t>
      </w:r>
      <w:r w:rsidRPr="00EF0569">
        <w:t xml:space="preserve"> factor </w:t>
      </w:r>
      <w:r w:rsidR="00375471" w:rsidRPr="00EF0569">
        <w:t>influencing</w:t>
      </w:r>
      <w:r w:rsidRPr="00EF0569">
        <w:t xml:space="preserve"> the three factors might change prospective expectations and thus provoke </w:t>
      </w:r>
      <w:r w:rsidR="00196AA5" w:rsidRPr="00EF0569">
        <w:rPr>
          <w:rFonts w:hint="eastAsia"/>
        </w:rPr>
        <w:t>anticipatory reactions</w:t>
      </w:r>
      <w:r w:rsidRPr="00EF0569">
        <w:t xml:space="preserve">. </w:t>
      </w:r>
      <w:r w:rsidR="00375471" w:rsidRPr="00EF0569">
        <w:t>Future research could explore whether changes in these factors impact stakeholder reactions, which factors are most influential, and how environmental, firm, or behavioral characteristics affect the likelihood of expecta</w:t>
      </w:r>
      <w:r w:rsidR="00B96EC6" w:rsidRPr="00EF0569">
        <w:t>ncy</w:t>
      </w:r>
      <w:r w:rsidR="00375471" w:rsidRPr="00375471">
        <w:t xml:space="preserve"> violations.</w:t>
      </w:r>
      <w:r w:rsidR="00375471">
        <w:t xml:space="preserve"> </w:t>
      </w:r>
    </w:p>
    <w:p w14:paraId="35D04695" w14:textId="55F805AA" w:rsidR="008D6A4A" w:rsidRDefault="00B3569F" w:rsidP="0010434D">
      <w:pPr>
        <w:spacing w:line="480" w:lineRule="auto"/>
        <w:ind w:firstLine="720"/>
      </w:pPr>
      <w:r>
        <w:t>Finally</w:t>
      </w:r>
      <w:r w:rsidR="00DF0294">
        <w:t xml:space="preserve">, </w:t>
      </w:r>
      <w:r>
        <w:t xml:space="preserve">while we discussed expectations and heuristics, </w:t>
      </w:r>
      <w:r w:rsidR="0010434D">
        <w:t>we only had access to archival data. Our results are generally consistent with our theorizing, and we have followed the examples set by other macro studies on EVT (e.g., Blagoeva et al., 2020; Bundy et al., 2021; Graffin et al., 2016; Jin et al., 2022), but we certainly</w:t>
      </w:r>
      <w:r w:rsidR="0010434D" w:rsidRPr="0010434D">
        <w:t xml:space="preserve"> </w:t>
      </w:r>
      <w:r w:rsidR="0010434D">
        <w:t xml:space="preserve">were not privy to </w:t>
      </w:r>
      <w:r w:rsidR="008D6A4A">
        <w:t>investors’</w:t>
      </w:r>
      <w:r w:rsidR="0010434D">
        <w:t xml:space="preserve"> individual cognitions. </w:t>
      </w:r>
      <w:r w:rsidR="00B81497">
        <w:t>Nonetheless, it</w:t>
      </w:r>
      <w:r w:rsidR="00503FE7">
        <w:t xml:space="preserve"> i</w:t>
      </w:r>
      <w:r w:rsidR="00B81497">
        <w:t xml:space="preserve">s common </w:t>
      </w:r>
      <w:r w:rsidR="00503FE7">
        <w:t xml:space="preserve">for studies on investors </w:t>
      </w:r>
      <w:r w:rsidR="00B81497">
        <w:t>to treat the reactions of investors as indicative of their cognitions and/or sentiment (</w:t>
      </w:r>
      <w:r w:rsidR="00503FE7">
        <w:t>De Bondt &amp; Thaler, 1985; Pfarrer et al., 2010</w:t>
      </w:r>
      <w:r w:rsidR="00B81497">
        <w:t>)</w:t>
      </w:r>
      <w:r w:rsidR="00503FE7">
        <w:t xml:space="preserve">, particularly </w:t>
      </w:r>
      <w:r w:rsidR="00503FE7">
        <w:lastRenderedPageBreak/>
        <w:t>since timing can be important in financial markets (Busse &amp; Green, 2002)</w:t>
      </w:r>
      <w:r w:rsidR="008D6A4A">
        <w:t>. This</w:t>
      </w:r>
      <w:r w:rsidR="009F104E">
        <w:t xml:space="preserve"> mak</w:t>
      </w:r>
      <w:r w:rsidR="008D6A4A">
        <w:t>es</w:t>
      </w:r>
      <w:r w:rsidR="009F104E">
        <w:t xml:space="preserve"> it difficult to separate out cognitions or emotions</w:t>
      </w:r>
      <w:r w:rsidR="00085533">
        <w:t xml:space="preserve"> of investors</w:t>
      </w:r>
      <w:r w:rsidR="009F104E">
        <w:t xml:space="preserve"> from their reactions</w:t>
      </w:r>
      <w:r w:rsidR="00085533">
        <w:t xml:space="preserve"> unless one had something like skin conductance measurements during trading (Lo &amp; Repin, 2002)</w:t>
      </w:r>
      <w:r w:rsidR="00B81497">
        <w:t xml:space="preserve">. </w:t>
      </w:r>
      <w:r w:rsidR="0010434D">
        <w:t xml:space="preserve">We thus </w:t>
      </w:r>
      <w:r w:rsidR="0010434D" w:rsidRPr="0010434D">
        <w:t>encourage future studies to delve more deeply into investor cognitions and behavior by more directly exploring the expectations, violations of those expectations, and subsequent behavior, perhaps through policy capturing studies and qualitative evidence (e.g., Connelly, Ketchen, Gangloff, &amp; Shook, 2016; Connelly, Miller, &amp; Devers, 2012).</w:t>
      </w:r>
      <w:r w:rsidR="0010434D">
        <w:t xml:space="preserve"> </w:t>
      </w:r>
    </w:p>
    <w:p w14:paraId="1B755790" w14:textId="44D6C1FD" w:rsidR="004C5CD4" w:rsidRDefault="00DF0294" w:rsidP="009E5E5D">
      <w:pPr>
        <w:spacing w:line="480" w:lineRule="auto"/>
        <w:ind w:firstLine="720"/>
      </w:pPr>
      <w:r w:rsidRPr="00975008">
        <w:t>The</w:t>
      </w:r>
      <w:r w:rsidR="008D6A4A">
        <w:t>se</w:t>
      </w:r>
      <w:r w:rsidRPr="00975008">
        <w:t xml:space="preserve"> directions represent just a few of the many rich opportunities for further research. We hope that our initial ideas and insights will inspire deeper exploration and encourage scholars to delve into th</w:t>
      </w:r>
      <w:r>
        <w:rPr>
          <w:rFonts w:hint="eastAsia"/>
        </w:rPr>
        <w:t>ese</w:t>
      </w:r>
      <w:r w:rsidRPr="00975008">
        <w:t xml:space="preserve"> promising areas</w:t>
      </w:r>
      <w:r>
        <w:rPr>
          <w:rFonts w:hint="eastAsia"/>
        </w:rPr>
        <w:t xml:space="preserve"> about</w:t>
      </w:r>
      <w:r w:rsidR="0010434D">
        <w:t xml:space="preserve"> EVT, </w:t>
      </w:r>
      <w:r w:rsidR="0010434D" w:rsidRPr="00636660">
        <w:t>expectations, and heuristics</w:t>
      </w:r>
      <w:r w:rsidR="0010434D">
        <w:t>.</w:t>
      </w:r>
    </w:p>
    <w:p w14:paraId="31885F61" w14:textId="21138FC8" w:rsidR="00161934" w:rsidRPr="001601BA" w:rsidRDefault="00161934" w:rsidP="00AA0DB2">
      <w:pPr>
        <w:spacing w:line="360" w:lineRule="auto"/>
        <w:ind w:left="562" w:hanging="562"/>
        <w:rPr>
          <w:b/>
          <w:bCs/>
        </w:rPr>
      </w:pPr>
      <w:r w:rsidRPr="001601BA">
        <w:rPr>
          <w:b/>
          <w:bCs/>
        </w:rPr>
        <w:t>REFERENCES</w:t>
      </w:r>
    </w:p>
    <w:p w14:paraId="6D760ECD" w14:textId="612E17BB" w:rsidR="00737835" w:rsidRPr="001601BA" w:rsidRDefault="00737835" w:rsidP="00737835">
      <w:pPr>
        <w:ind w:left="270" w:hanging="270"/>
      </w:pPr>
      <w:r w:rsidRPr="001601BA">
        <w:t>Abarbanell, J. S., Lanen, W. N., &amp; Verrecchia, R. E. 1995. Analysts</w:t>
      </w:r>
      <w:r w:rsidR="00EF0569" w:rsidRPr="001601BA">
        <w:t>’</w:t>
      </w:r>
      <w:r w:rsidRPr="001601BA">
        <w:t xml:space="preserve"> forecasts as proxies for investor beliefs in empirical research. </w:t>
      </w:r>
      <w:r w:rsidRPr="001601BA">
        <w:rPr>
          <w:b/>
          <w:i/>
        </w:rPr>
        <w:t>Journal of Accounting and Economics</w:t>
      </w:r>
      <w:r w:rsidRPr="001601BA">
        <w:rPr>
          <w:i/>
        </w:rPr>
        <w:t xml:space="preserve">, </w:t>
      </w:r>
      <w:r w:rsidRPr="001601BA">
        <w:rPr>
          <w:iCs/>
        </w:rPr>
        <w:t>20(1)</w:t>
      </w:r>
      <w:r w:rsidRPr="001601BA">
        <w:rPr>
          <w:rFonts w:ascii="SimSun" w:eastAsia="SimSun" w:hAnsi="SimSun" w:cs="SimSun"/>
        </w:rPr>
        <w:t>:</w:t>
      </w:r>
      <w:r w:rsidRPr="001601BA">
        <w:t xml:space="preserve"> 31-60.</w:t>
      </w:r>
    </w:p>
    <w:p w14:paraId="0C38A021" w14:textId="40B46E80" w:rsidR="00336E46" w:rsidRPr="001601BA" w:rsidRDefault="00336E46" w:rsidP="00336E46">
      <w:pPr>
        <w:ind w:left="270" w:hanging="270"/>
      </w:pPr>
      <w:r w:rsidRPr="001601BA">
        <w:t>Ajinkya, B. B., Atiase, R. K., &amp; Gift, M. J. 1991. Volume of trading and the dispersion in financial analysts</w:t>
      </w:r>
      <w:r w:rsidR="00195C56">
        <w:t>’</w:t>
      </w:r>
      <w:r w:rsidRPr="001601BA">
        <w:t xml:space="preserve"> earnings forecasts. </w:t>
      </w:r>
      <w:r w:rsidRPr="001601BA">
        <w:rPr>
          <w:b/>
          <w:bCs/>
          <w:i/>
          <w:iCs/>
        </w:rPr>
        <w:t>Accounting Review</w:t>
      </w:r>
      <w:r w:rsidRPr="001601BA">
        <w:t>,</w:t>
      </w:r>
      <w:r w:rsidR="00EF0569" w:rsidRPr="001601BA">
        <w:t xml:space="preserve"> </w:t>
      </w:r>
      <w:r w:rsidRPr="001601BA">
        <w:t>55(2): 389-401.</w:t>
      </w:r>
    </w:p>
    <w:p w14:paraId="1120349E" w14:textId="3DFFFF33" w:rsidR="00737835" w:rsidRPr="001601BA" w:rsidRDefault="00737835" w:rsidP="00CA5836">
      <w:pPr>
        <w:ind w:left="270" w:hanging="270"/>
      </w:pPr>
      <w:r w:rsidRPr="001601BA">
        <w:t>Ajinkya, B. B., &amp; Gift, M. J. 1985. Dispersion of financial analysts</w:t>
      </w:r>
      <w:r w:rsidR="00195C56">
        <w:t>’</w:t>
      </w:r>
      <w:r w:rsidRPr="001601BA">
        <w:t xml:space="preserve"> earnings forecasts and the (option model) implied standard deviations of stock returns. </w:t>
      </w:r>
      <w:r w:rsidRPr="001601BA">
        <w:rPr>
          <w:b/>
          <w:bCs/>
          <w:i/>
          <w:iCs/>
        </w:rPr>
        <w:t>The Journal of Finance</w:t>
      </w:r>
      <w:r w:rsidRPr="001601BA">
        <w:t>, 40(5): 1353-1365.</w:t>
      </w:r>
    </w:p>
    <w:p w14:paraId="435D8FE3" w14:textId="1A496DCF" w:rsidR="00737835" w:rsidRPr="001601BA" w:rsidRDefault="00737835" w:rsidP="00CA5836">
      <w:pPr>
        <w:ind w:left="270" w:hanging="270"/>
      </w:pPr>
      <w:r w:rsidRPr="001601BA">
        <w:t xml:space="preserve">Anderson, E. W., Ghysels, E., &amp; Juergens, J. L. 2005. Do heterogeneous beliefs matter for asset pricing? </w:t>
      </w:r>
      <w:r w:rsidRPr="001601BA">
        <w:rPr>
          <w:b/>
          <w:bCs/>
          <w:i/>
          <w:iCs/>
        </w:rPr>
        <w:t>The Review of Financial Studies</w:t>
      </w:r>
      <w:r w:rsidRPr="001601BA">
        <w:t>, 18(3): 875-924.</w:t>
      </w:r>
    </w:p>
    <w:p w14:paraId="197A1F3C" w14:textId="77777777" w:rsidR="00737835" w:rsidRPr="001601BA" w:rsidRDefault="00737835" w:rsidP="00CA5836">
      <w:pPr>
        <w:ind w:left="270" w:hanging="270"/>
        <w:rPr>
          <w:highlight w:val="yellow"/>
        </w:rPr>
      </w:pPr>
      <w:r w:rsidRPr="001601BA">
        <w:t xml:space="preserve">Atmaz, A. &amp; Basak, S. 2018. Belief dispersion in the stock market. </w:t>
      </w:r>
      <w:r w:rsidRPr="001601BA">
        <w:rPr>
          <w:b/>
          <w:bCs/>
          <w:i/>
          <w:iCs/>
        </w:rPr>
        <w:t>The Journal of Finance</w:t>
      </w:r>
      <w:r w:rsidRPr="001601BA">
        <w:t>, 73(3): 1225-1279.</w:t>
      </w:r>
    </w:p>
    <w:p w14:paraId="5B11348B" w14:textId="14D3EF62" w:rsidR="00737835" w:rsidRPr="001601BA" w:rsidRDefault="00737835" w:rsidP="00CA5836">
      <w:pPr>
        <w:ind w:left="270" w:hanging="270"/>
      </w:pPr>
      <w:r w:rsidRPr="001601BA">
        <w:t>Barron, O. E., &amp; Stuerke, P. S. 1998. Dispersion in analysts</w:t>
      </w:r>
      <w:r w:rsidR="00CF444C">
        <w:t>’</w:t>
      </w:r>
      <w:r w:rsidRPr="001601BA">
        <w:t xml:space="preserve"> earnings forecasts as a measure of uncertainty. </w:t>
      </w:r>
      <w:r w:rsidRPr="001601BA">
        <w:rPr>
          <w:b/>
          <w:bCs/>
          <w:i/>
          <w:iCs/>
        </w:rPr>
        <w:t>Journal of Accounting, Auditing &amp; Finance</w:t>
      </w:r>
      <w:r w:rsidRPr="001601BA">
        <w:t>, 13(3): 245-270.</w:t>
      </w:r>
    </w:p>
    <w:p w14:paraId="3E19A49E" w14:textId="77777777" w:rsidR="00737835" w:rsidRPr="001601BA" w:rsidRDefault="00737835" w:rsidP="00CA5836">
      <w:pPr>
        <w:ind w:left="270" w:hanging="270"/>
        <w:rPr>
          <w:highlight w:val="yellow"/>
        </w:rPr>
      </w:pPr>
      <w:r w:rsidRPr="001601BA">
        <w:t xml:space="preserve">Barron, O. E., Byard, D., &amp; Yu, Y. 2008. Earnings surprises that motivate analysts to reduce average forecast error. </w:t>
      </w:r>
      <w:r w:rsidRPr="001601BA">
        <w:rPr>
          <w:b/>
          <w:bCs/>
          <w:i/>
          <w:iCs/>
        </w:rPr>
        <w:t>The Accounting Review</w:t>
      </w:r>
      <w:r w:rsidRPr="001601BA">
        <w:t>, 83(2)</w:t>
      </w:r>
      <w:r w:rsidRPr="001601BA">
        <w:rPr>
          <w:rFonts w:hint="eastAsia"/>
        </w:rPr>
        <w:t>:</w:t>
      </w:r>
      <w:r w:rsidRPr="001601BA">
        <w:t xml:space="preserve"> 303-325.</w:t>
      </w:r>
      <w:r w:rsidRPr="001601BA" w:rsidDel="001A3990">
        <w:rPr>
          <w:highlight w:val="yellow"/>
        </w:rPr>
        <w:t xml:space="preserve"> </w:t>
      </w:r>
    </w:p>
    <w:p w14:paraId="7038DDB7" w14:textId="77777777" w:rsidR="00737835" w:rsidRPr="001601BA" w:rsidRDefault="00737835" w:rsidP="00CA5836">
      <w:pPr>
        <w:ind w:left="270" w:hanging="270"/>
      </w:pPr>
      <w:r w:rsidRPr="001601BA">
        <w:t xml:space="preserve">Barth, M. E., &amp; Clinch, G. 2009. Scale effects in capital markets‐based accounting research. </w:t>
      </w:r>
      <w:r w:rsidRPr="001601BA">
        <w:rPr>
          <w:b/>
          <w:bCs/>
          <w:i/>
          <w:iCs/>
        </w:rPr>
        <w:t>Journal of Business Finance &amp; Accounting</w:t>
      </w:r>
      <w:r w:rsidRPr="001601BA">
        <w:t>, 36(3‐4): 253-288.</w:t>
      </w:r>
    </w:p>
    <w:p w14:paraId="509EB8D4" w14:textId="77777777" w:rsidR="00737835" w:rsidRPr="001601BA" w:rsidRDefault="00737835" w:rsidP="00CA5836">
      <w:pPr>
        <w:ind w:left="270" w:hanging="270"/>
      </w:pPr>
      <w:r w:rsidRPr="001601BA">
        <w:t>Bartov, E., Givoly, D., &amp; Hayn, C. 2002. The rewards to meeting or beating earnings expectations. </w:t>
      </w:r>
      <w:r w:rsidRPr="001601BA">
        <w:rPr>
          <w:b/>
          <w:bCs/>
          <w:i/>
          <w:iCs/>
        </w:rPr>
        <w:t>Journal of Accounting and Economics</w:t>
      </w:r>
      <w:r w:rsidRPr="001601BA">
        <w:t>, 33(2): 173-204.</w:t>
      </w:r>
    </w:p>
    <w:p w14:paraId="742586E3" w14:textId="77777777" w:rsidR="00737835" w:rsidRPr="001601BA" w:rsidRDefault="00737835" w:rsidP="00CA5836">
      <w:pPr>
        <w:ind w:left="270" w:hanging="270"/>
        <w:rPr>
          <w:highlight w:val="yellow"/>
        </w:rPr>
      </w:pPr>
      <w:r w:rsidRPr="001601BA">
        <w:t xml:space="preserve">Bartov, E., Radhakrishnan, S., &amp; Krinsky, I. 2000. Investor sophistication and patterns in stock returns after earnings announcements. </w:t>
      </w:r>
      <w:r w:rsidRPr="001601BA">
        <w:rPr>
          <w:b/>
          <w:bCs/>
          <w:i/>
          <w:iCs/>
        </w:rPr>
        <w:t>The Accounting Review</w:t>
      </w:r>
      <w:r w:rsidRPr="001601BA">
        <w:t>, 75(1): 43-63.</w:t>
      </w:r>
    </w:p>
    <w:p w14:paraId="50A9BFBA" w14:textId="77777777" w:rsidR="00737835" w:rsidRPr="001601BA" w:rsidRDefault="00737835" w:rsidP="00CA5836">
      <w:pPr>
        <w:ind w:left="270" w:hanging="270"/>
      </w:pPr>
      <w:r w:rsidRPr="001601BA">
        <w:t xml:space="preserve">Belsley, D. 1991. </w:t>
      </w:r>
      <w:r w:rsidRPr="001601BA">
        <w:rPr>
          <w:b/>
          <w:bCs/>
          <w:i/>
        </w:rPr>
        <w:t>Conditioning Diagnostics: Collinearity and Weak Data in Regression</w:t>
      </w:r>
      <w:r w:rsidRPr="001601BA">
        <w:t>. New York: Wiley.</w:t>
      </w:r>
    </w:p>
    <w:p w14:paraId="304B0FEB" w14:textId="77777777" w:rsidR="00737835" w:rsidRPr="001601BA" w:rsidRDefault="00737835" w:rsidP="00CA5836">
      <w:pPr>
        <w:ind w:left="270" w:hanging="270"/>
      </w:pPr>
      <w:r w:rsidRPr="001601BA">
        <w:lastRenderedPageBreak/>
        <w:t xml:space="preserve">Bernard, V. L., &amp; Thomas, J. K. 1990. Evidence that stock prices do not fully reflect the implications of current earnings for future earnings. </w:t>
      </w:r>
      <w:r w:rsidRPr="001601BA">
        <w:rPr>
          <w:b/>
          <w:bCs/>
          <w:i/>
          <w:iCs/>
        </w:rPr>
        <w:t>Journal of Accounting and Economics</w:t>
      </w:r>
      <w:r w:rsidRPr="001601BA">
        <w:t>, 13(4): 305-340.</w:t>
      </w:r>
    </w:p>
    <w:p w14:paraId="1F615359" w14:textId="7D6FAAD5" w:rsidR="00737835" w:rsidRPr="001601BA" w:rsidRDefault="00737835" w:rsidP="00CA5836">
      <w:pPr>
        <w:ind w:left="270" w:hanging="270"/>
      </w:pPr>
      <w:r w:rsidRPr="001601BA">
        <w:t>Blagoeva, R. R., Kavusan, K., &amp; Jansen, J. J. 2020. Who violates expectations when? How firms</w:t>
      </w:r>
      <w:r w:rsidR="00F37EFE">
        <w:t>’</w:t>
      </w:r>
      <w:r w:rsidRPr="001601BA">
        <w:t xml:space="preserve"> growth and dividend reputations affect investors' reactions to acquisitions. </w:t>
      </w:r>
      <w:r w:rsidRPr="001601BA">
        <w:rPr>
          <w:b/>
          <w:bCs/>
          <w:i/>
          <w:iCs/>
        </w:rPr>
        <w:t>Strategic Management Journal</w:t>
      </w:r>
      <w:r w:rsidRPr="001601BA">
        <w:t>, 41(9)</w:t>
      </w:r>
      <w:r w:rsidRPr="001601BA">
        <w:rPr>
          <w:rFonts w:hint="eastAsia"/>
        </w:rPr>
        <w:t>:</w:t>
      </w:r>
      <w:r w:rsidRPr="001601BA">
        <w:t xml:space="preserve"> 1712-1742.</w:t>
      </w:r>
    </w:p>
    <w:p w14:paraId="40C70BE6" w14:textId="77777777" w:rsidR="00737835" w:rsidRPr="001601BA" w:rsidRDefault="00737835" w:rsidP="00CA5836">
      <w:pPr>
        <w:ind w:left="270" w:hanging="270"/>
      </w:pPr>
      <w:r w:rsidRPr="001601BA">
        <w:t xml:space="preserve">Brooks, L. D., &amp; Buckmaster, D. A. 1976. Further evidence of the time series properties of accounting income. </w:t>
      </w:r>
      <w:r w:rsidRPr="001601BA">
        <w:rPr>
          <w:b/>
          <w:bCs/>
          <w:i/>
          <w:iCs/>
        </w:rPr>
        <w:t>The Journal of Finance</w:t>
      </w:r>
      <w:r w:rsidRPr="001601BA">
        <w:t>, 31(5): 1359-1373.</w:t>
      </w:r>
    </w:p>
    <w:p w14:paraId="05C483DA" w14:textId="77777777" w:rsidR="00737835" w:rsidRPr="001601BA" w:rsidRDefault="00737835" w:rsidP="00CA5836">
      <w:pPr>
        <w:ind w:left="270" w:hanging="270"/>
        <w:rPr>
          <w:highlight w:val="yellow"/>
        </w:rPr>
      </w:pPr>
      <w:r w:rsidRPr="001601BA">
        <w:t xml:space="preserve">Bundy, J., Iqbal, F. &amp; Pfarrer, M.D. 2021. Reputations in flux: How a firm defends its multiple reputations in response to different violations. </w:t>
      </w:r>
      <w:r w:rsidRPr="001601BA">
        <w:rPr>
          <w:b/>
          <w:bCs/>
          <w:i/>
          <w:iCs/>
        </w:rPr>
        <w:t>Strategic Management Journal</w:t>
      </w:r>
      <w:r w:rsidRPr="001601BA">
        <w:t>, 42(6): 1109-1138.</w:t>
      </w:r>
    </w:p>
    <w:p w14:paraId="248F9A23" w14:textId="77777777" w:rsidR="00737835" w:rsidRPr="001601BA" w:rsidRDefault="00737835" w:rsidP="00CA5836">
      <w:pPr>
        <w:ind w:left="270" w:hanging="270"/>
      </w:pPr>
      <w:r w:rsidRPr="001601BA">
        <w:t xml:space="preserve">Burgoon, J. K. 1993. Interpersonal expectations, expectancy violations, and emotional communication. </w:t>
      </w:r>
      <w:r w:rsidRPr="001601BA">
        <w:rPr>
          <w:b/>
          <w:bCs/>
          <w:i/>
        </w:rPr>
        <w:t>Journal of Language and Social Psychology</w:t>
      </w:r>
      <w:r w:rsidRPr="001601BA">
        <w:rPr>
          <w:i/>
        </w:rPr>
        <w:t xml:space="preserve">, </w:t>
      </w:r>
      <w:r w:rsidRPr="008C5415">
        <w:rPr>
          <w:iCs/>
        </w:rPr>
        <w:t>12</w:t>
      </w:r>
      <w:r w:rsidRPr="001601BA">
        <w:t>(1-2): 30-48.</w:t>
      </w:r>
    </w:p>
    <w:p w14:paraId="3418F2E1" w14:textId="77777777" w:rsidR="00737835" w:rsidRPr="001601BA" w:rsidRDefault="00737835" w:rsidP="00CA5836">
      <w:pPr>
        <w:ind w:left="270" w:hanging="270"/>
      </w:pPr>
      <w:r w:rsidRPr="001601BA">
        <w:t xml:space="preserve">Burgoon, J. K. 2015. Expectancy violations theory. </w:t>
      </w:r>
      <w:r w:rsidRPr="001601BA">
        <w:rPr>
          <w:b/>
          <w:bCs/>
          <w:i/>
        </w:rPr>
        <w:t>The International Encyclopedia of Interpersonal Communication</w:t>
      </w:r>
      <w:r w:rsidRPr="001601BA">
        <w:t>, 1-9.</w:t>
      </w:r>
    </w:p>
    <w:p w14:paraId="3C2A6420" w14:textId="77777777" w:rsidR="00737835" w:rsidRPr="001601BA" w:rsidRDefault="00737835" w:rsidP="00CA5836">
      <w:pPr>
        <w:ind w:left="270" w:hanging="270"/>
      </w:pPr>
      <w:r w:rsidRPr="001601BA">
        <w:t xml:space="preserve">Burgoon, J. K., &amp; Jones, S. B. 1976. Toward a theory of personal space expectations and their violations. </w:t>
      </w:r>
      <w:r w:rsidRPr="001601BA">
        <w:rPr>
          <w:b/>
          <w:bCs/>
          <w:i/>
          <w:iCs/>
        </w:rPr>
        <w:t>Human Communication Research</w:t>
      </w:r>
      <w:r w:rsidRPr="001601BA">
        <w:t>, 2(2): 131-146.</w:t>
      </w:r>
    </w:p>
    <w:p w14:paraId="33C0604D" w14:textId="77777777" w:rsidR="00737835" w:rsidRPr="001601BA" w:rsidRDefault="00737835" w:rsidP="00CA5836">
      <w:pPr>
        <w:ind w:left="270" w:hanging="270"/>
      </w:pPr>
      <w:r w:rsidRPr="001601BA">
        <w:t xml:space="preserve">Busenbark, J. R., Frank, K. A., Maroulis, S. J., Xu, R., &amp; Lin, Q. 2021. Quantifying the robustness of empirical inferences in strategic management: The impact threshold of a confounding variable and robustness of inference to replacement. In A. D. Hill, J. K. Lê, A. F. McKenny, P. O’Kane, S. Paroutis, &amp; A. D. Smith (Eds), </w:t>
      </w:r>
      <w:r w:rsidRPr="001601BA">
        <w:rPr>
          <w:b/>
          <w:bCs/>
          <w:i/>
          <w:iCs/>
        </w:rPr>
        <w:t>Research in times of crisis: research methods in the time of Covid-19</w:t>
      </w:r>
      <w:r w:rsidRPr="001601BA">
        <w:t>: 123-150. Bingley, UK: Emerald Publishing Limited.</w:t>
      </w:r>
    </w:p>
    <w:p w14:paraId="763B3606" w14:textId="77777777" w:rsidR="00737835" w:rsidRPr="001601BA" w:rsidRDefault="00737835" w:rsidP="00CA5836">
      <w:pPr>
        <w:ind w:left="270" w:hanging="270"/>
      </w:pPr>
      <w:r w:rsidRPr="001601BA">
        <w:t xml:space="preserve">Busenbark, J. R., Lange, D., &amp; Certo, S. T. 2017. Foreshadowing as impression management: Illuminating the path for security analysts. </w:t>
      </w:r>
      <w:r w:rsidRPr="001601BA">
        <w:rPr>
          <w:b/>
          <w:bCs/>
          <w:i/>
          <w:iCs/>
        </w:rPr>
        <w:t>Strategic Management Journal</w:t>
      </w:r>
      <w:r w:rsidRPr="001601BA">
        <w:t>, 38(12): 2486-2507.</w:t>
      </w:r>
    </w:p>
    <w:p w14:paraId="58946C07" w14:textId="77777777" w:rsidR="00737835" w:rsidRPr="001601BA" w:rsidRDefault="00737835" w:rsidP="00CA5836">
      <w:pPr>
        <w:ind w:left="270" w:hanging="270"/>
      </w:pPr>
      <w:r w:rsidRPr="001601BA">
        <w:t xml:space="preserve">Busenbark, J. R., Yoon, H., Gamache, D. L., &amp; Withers, M. C. 2022. Omitted variable bias: Examining management research with the impact threshold of a confounding variable (ITCV). </w:t>
      </w:r>
      <w:r w:rsidRPr="001601BA">
        <w:rPr>
          <w:b/>
          <w:bCs/>
          <w:i/>
          <w:iCs/>
        </w:rPr>
        <w:t>Journal of Management</w:t>
      </w:r>
      <w:r w:rsidRPr="001601BA">
        <w:t>, 48(1): 17-48.</w:t>
      </w:r>
    </w:p>
    <w:p w14:paraId="701D39E0" w14:textId="77777777" w:rsidR="00737835" w:rsidRPr="001601BA" w:rsidRDefault="00737835" w:rsidP="00CA5836">
      <w:pPr>
        <w:ind w:left="270" w:hanging="270"/>
      </w:pPr>
      <w:r w:rsidRPr="001601BA">
        <w:t xml:space="preserve">Busse, J. A., &amp; Green, T. C. 2002. Market efficiency in real time. </w:t>
      </w:r>
      <w:r w:rsidRPr="001601BA">
        <w:rPr>
          <w:b/>
          <w:bCs/>
          <w:i/>
          <w:iCs/>
        </w:rPr>
        <w:t>Journal of Financial Economics</w:t>
      </w:r>
      <w:r w:rsidRPr="001601BA">
        <w:t>, 65(3): 415-437.</w:t>
      </w:r>
    </w:p>
    <w:p w14:paraId="7F6C1359" w14:textId="77777777" w:rsidR="00737835" w:rsidRPr="001601BA" w:rsidRDefault="00737835" w:rsidP="00CA5836">
      <w:pPr>
        <w:ind w:left="270" w:hanging="270"/>
      </w:pPr>
      <w:r w:rsidRPr="001601BA">
        <w:t xml:space="preserve">Carhart, M. M. 1997. On persistence in mutual fund performance. </w:t>
      </w:r>
      <w:r w:rsidRPr="001601BA">
        <w:rPr>
          <w:b/>
          <w:bCs/>
          <w:i/>
          <w:iCs/>
        </w:rPr>
        <w:t>The Journal of Finance</w:t>
      </w:r>
      <w:r w:rsidRPr="001601BA">
        <w:t>, 52(1): 57-82.</w:t>
      </w:r>
    </w:p>
    <w:p w14:paraId="702F3165" w14:textId="77777777" w:rsidR="00737835" w:rsidRPr="001601BA" w:rsidRDefault="00737835" w:rsidP="00CA5836">
      <w:pPr>
        <w:ind w:left="270" w:hanging="270"/>
        <w:rPr>
          <w:color w:val="222222"/>
          <w:shd w:val="clear" w:color="auto" w:fill="FFFFFF"/>
        </w:rPr>
      </w:pPr>
      <w:r w:rsidRPr="001601BA">
        <w:rPr>
          <w:color w:val="222222"/>
          <w:shd w:val="clear" w:color="auto" w:fill="FFFFFF"/>
        </w:rPr>
        <w:t>Certo, S. T., Withers, M. C., &amp; Semadeni, M. 2017. A tale of two effects: Using longitudinal data to compare within‐and between‐firm effects. </w:t>
      </w:r>
      <w:r w:rsidRPr="001601BA">
        <w:rPr>
          <w:b/>
          <w:bCs/>
          <w:i/>
          <w:iCs/>
          <w:color w:val="222222"/>
          <w:shd w:val="clear" w:color="auto" w:fill="FFFFFF"/>
        </w:rPr>
        <w:t>Strategic Management Journal</w:t>
      </w:r>
      <w:r w:rsidRPr="001601BA">
        <w:rPr>
          <w:color w:val="222222"/>
          <w:shd w:val="clear" w:color="auto" w:fill="FFFFFF"/>
        </w:rPr>
        <w:t>, 38(7): 1536-1556.</w:t>
      </w:r>
    </w:p>
    <w:p w14:paraId="4171B35A" w14:textId="77777777" w:rsidR="00737835" w:rsidRPr="001601BA" w:rsidRDefault="00737835" w:rsidP="00CA5836">
      <w:pPr>
        <w:ind w:left="270" w:hanging="270"/>
        <w:rPr>
          <w:color w:val="222222"/>
          <w:shd w:val="clear" w:color="auto" w:fill="FFFFFF"/>
        </w:rPr>
      </w:pPr>
      <w:r w:rsidRPr="001601BA">
        <w:rPr>
          <w:color w:val="222222"/>
          <w:shd w:val="clear" w:color="auto" w:fill="FFFFFF"/>
        </w:rPr>
        <w:t xml:space="preserve">Chung, K. H., &amp; Pruitt, S. W. 1994. A simple approximation of Tobin's q. </w:t>
      </w:r>
      <w:r w:rsidRPr="001601BA">
        <w:rPr>
          <w:b/>
          <w:bCs/>
          <w:i/>
          <w:iCs/>
          <w:color w:val="222222"/>
          <w:shd w:val="clear" w:color="auto" w:fill="FFFFFF"/>
        </w:rPr>
        <w:t>Financial Management</w:t>
      </w:r>
      <w:r w:rsidRPr="001601BA">
        <w:rPr>
          <w:color w:val="222222"/>
          <w:shd w:val="clear" w:color="auto" w:fill="FFFFFF"/>
        </w:rPr>
        <w:t>, 23(3): 70-74.</w:t>
      </w:r>
    </w:p>
    <w:p w14:paraId="3C5EE864" w14:textId="77777777" w:rsidR="00737835" w:rsidRPr="001601BA" w:rsidRDefault="00737835" w:rsidP="00CA5836">
      <w:pPr>
        <w:ind w:left="270" w:hanging="270"/>
        <w:rPr>
          <w:color w:val="222222"/>
          <w:shd w:val="clear" w:color="auto" w:fill="FFFFFF"/>
        </w:rPr>
      </w:pPr>
      <w:r w:rsidRPr="001601BA">
        <w:rPr>
          <w:color w:val="222222"/>
          <w:shd w:val="clear" w:color="auto" w:fill="FFFFFF"/>
        </w:rPr>
        <w:t xml:space="preserve">Clement, M. B. &amp; Tse, S. Y. 2005. Financial analyst characteristics and herding behavior in forecasting. </w:t>
      </w:r>
      <w:r w:rsidRPr="001601BA">
        <w:rPr>
          <w:b/>
          <w:bCs/>
          <w:i/>
          <w:iCs/>
          <w:color w:val="222222"/>
          <w:shd w:val="clear" w:color="auto" w:fill="FFFFFF"/>
        </w:rPr>
        <w:t>The Journal of Finance</w:t>
      </w:r>
      <w:r w:rsidRPr="001601BA">
        <w:rPr>
          <w:color w:val="222222"/>
          <w:shd w:val="clear" w:color="auto" w:fill="FFFFFF"/>
        </w:rPr>
        <w:t>, 60(1): 307-341.</w:t>
      </w:r>
    </w:p>
    <w:p w14:paraId="20061B79" w14:textId="77777777" w:rsidR="00737835" w:rsidRPr="001601BA" w:rsidRDefault="00737835" w:rsidP="00CA5836">
      <w:pPr>
        <w:ind w:left="270" w:hanging="270"/>
        <w:rPr>
          <w:color w:val="222222"/>
          <w:shd w:val="clear" w:color="auto" w:fill="FFFFFF"/>
        </w:rPr>
      </w:pPr>
      <w:r w:rsidRPr="001601BA">
        <w:rPr>
          <w:color w:val="222222"/>
          <w:shd w:val="clear" w:color="auto" w:fill="FFFFFF"/>
        </w:rPr>
        <w:t xml:space="preserve">Connelly, B. L., Ketchen Jr, D. J., Gangloff, K. A. &amp; Shook, C. L. 2016. Investor perceptions of CEO successor selection in the wake of integrity and competence failures: A policy capturing study. </w:t>
      </w:r>
      <w:r w:rsidRPr="001601BA">
        <w:rPr>
          <w:b/>
          <w:bCs/>
          <w:i/>
          <w:iCs/>
          <w:color w:val="222222"/>
          <w:shd w:val="clear" w:color="auto" w:fill="FFFFFF"/>
        </w:rPr>
        <w:t>Strategic Management Journal</w:t>
      </w:r>
      <w:r w:rsidRPr="001601BA">
        <w:rPr>
          <w:color w:val="222222"/>
          <w:shd w:val="clear" w:color="auto" w:fill="FFFFFF"/>
        </w:rPr>
        <w:t>, 37(10): 2135-2151.</w:t>
      </w:r>
    </w:p>
    <w:p w14:paraId="2558ADF3" w14:textId="77777777" w:rsidR="00737835" w:rsidRPr="001601BA" w:rsidRDefault="00737835" w:rsidP="00CA5836">
      <w:pPr>
        <w:ind w:left="270" w:hanging="270"/>
        <w:rPr>
          <w:color w:val="222222"/>
          <w:shd w:val="clear" w:color="auto" w:fill="FFFFFF"/>
        </w:rPr>
      </w:pPr>
      <w:r w:rsidRPr="001601BA">
        <w:rPr>
          <w:color w:val="222222"/>
          <w:shd w:val="clear" w:color="auto" w:fill="FFFFFF"/>
        </w:rPr>
        <w:t xml:space="preserve">Connelly, B. L., Miller, T. &amp; Devers, C.E. 2012. Under a cloud of suspicion: Trust, distrust, and their interactive effect in interorganizational contracting. </w:t>
      </w:r>
      <w:r w:rsidRPr="001601BA">
        <w:rPr>
          <w:b/>
          <w:bCs/>
          <w:i/>
          <w:iCs/>
          <w:color w:val="222222"/>
          <w:shd w:val="clear" w:color="auto" w:fill="FFFFFF"/>
        </w:rPr>
        <w:t>Strategic Management Journal</w:t>
      </w:r>
      <w:r w:rsidRPr="001601BA">
        <w:rPr>
          <w:color w:val="222222"/>
          <w:shd w:val="clear" w:color="auto" w:fill="FFFFFF"/>
        </w:rPr>
        <w:t>, 33(7): 820-833.</w:t>
      </w:r>
    </w:p>
    <w:p w14:paraId="3F060E2F" w14:textId="1D57F5E7" w:rsidR="00737835" w:rsidRPr="001601BA" w:rsidRDefault="00737835" w:rsidP="00CA5836">
      <w:pPr>
        <w:ind w:left="270" w:hanging="270"/>
      </w:pPr>
      <w:r w:rsidRPr="001601BA">
        <w:lastRenderedPageBreak/>
        <w:t xml:space="preserve">Cooper, R. A., Day, T. E., &amp; Lewis, C. M. 2001. Following the leader: </w:t>
      </w:r>
      <w:r w:rsidR="00CC0ACB">
        <w:t>A</w:t>
      </w:r>
      <w:r w:rsidRPr="001601BA">
        <w:t xml:space="preserve"> study of individual analysts’ earnings forecasts. </w:t>
      </w:r>
      <w:r w:rsidRPr="001601BA">
        <w:rPr>
          <w:b/>
          <w:bCs/>
          <w:i/>
          <w:iCs/>
        </w:rPr>
        <w:t>Journal of Financial Economics</w:t>
      </w:r>
      <w:r w:rsidRPr="001601BA">
        <w:t>, 61(3): 383-416.</w:t>
      </w:r>
    </w:p>
    <w:p w14:paraId="480B9AB4" w14:textId="77777777" w:rsidR="00737835" w:rsidRPr="001601BA" w:rsidRDefault="00737835" w:rsidP="00CA5836">
      <w:pPr>
        <w:ind w:left="270" w:hanging="270"/>
      </w:pPr>
      <w:r w:rsidRPr="001601BA">
        <w:t xml:space="preserve">Cyert, R. M., March, J. G. 1963. </w:t>
      </w:r>
      <w:r w:rsidRPr="001601BA">
        <w:rPr>
          <w:b/>
          <w:bCs/>
          <w:i/>
          <w:iCs/>
        </w:rPr>
        <w:t>A behavioral theory of the firm</w:t>
      </w:r>
      <w:r w:rsidRPr="001601BA">
        <w:t>. Englewood Cliffs, NJ: Prentice-Hall.</w:t>
      </w:r>
    </w:p>
    <w:p w14:paraId="7117F740" w14:textId="77777777" w:rsidR="00737835" w:rsidRPr="001601BA" w:rsidRDefault="00737835" w:rsidP="006775AA">
      <w:pPr>
        <w:ind w:left="270" w:hanging="270"/>
      </w:pPr>
      <w:r w:rsidRPr="001601BA">
        <w:t xml:space="preserve">De Bondt, W. F. M., &amp; Thaler, R. 1985. Does the stock market overreact? </w:t>
      </w:r>
      <w:r w:rsidRPr="001601BA">
        <w:rPr>
          <w:b/>
          <w:bCs/>
          <w:i/>
          <w:iCs/>
        </w:rPr>
        <w:t>Journal of Finance</w:t>
      </w:r>
      <w:r w:rsidRPr="001601BA">
        <w:t>, 40(3): 793-805.</w:t>
      </w:r>
    </w:p>
    <w:p w14:paraId="3F754F88" w14:textId="77777777" w:rsidR="00737835" w:rsidRPr="001601BA" w:rsidRDefault="00737835" w:rsidP="00CA5836">
      <w:pPr>
        <w:ind w:left="270" w:hanging="270"/>
      </w:pPr>
      <w:r w:rsidRPr="001601BA">
        <w:t xml:space="preserve">De Bondt, W. F. M., &amp; Thaler, R. 1990. Do security analysts overreact? </w:t>
      </w:r>
      <w:r w:rsidRPr="001601BA">
        <w:rPr>
          <w:b/>
          <w:bCs/>
          <w:i/>
          <w:iCs/>
        </w:rPr>
        <w:t>American Economic Review</w:t>
      </w:r>
      <w:r w:rsidRPr="001601BA">
        <w:t>, 80(2): 52–57.</w:t>
      </w:r>
    </w:p>
    <w:p w14:paraId="42A3CC37" w14:textId="369893D1" w:rsidR="00737835" w:rsidRPr="001601BA" w:rsidRDefault="00737835" w:rsidP="00CA5836">
      <w:pPr>
        <w:ind w:left="270" w:hanging="270"/>
      </w:pPr>
      <w:r w:rsidRPr="001601BA">
        <w:t xml:space="preserve">Deffenbaugh, R. 2024. Meta stock falls despite strong quarter. </w:t>
      </w:r>
      <w:r w:rsidR="00C50428">
        <w:t>W</w:t>
      </w:r>
      <w:r w:rsidRPr="001601BA">
        <w:t xml:space="preserve">hy Zuckerberg is keeping up the AI spending spree. </w:t>
      </w:r>
      <w:r w:rsidRPr="001601BA">
        <w:rPr>
          <w:b/>
          <w:bCs/>
          <w:i/>
          <w:iCs/>
        </w:rPr>
        <w:t>Investor’s Business Daily</w:t>
      </w:r>
      <w:r w:rsidRPr="001601BA">
        <w:t>, https://www.investors.com/news/technology/meta-stock-q3-2024-earnings-results-facebook-instagram/</w:t>
      </w:r>
      <w:r w:rsidR="00FC1C3A">
        <w:t>.</w:t>
      </w:r>
      <w:r w:rsidRPr="001601BA">
        <w:t xml:space="preserve"> Accessed 1/14/24.</w:t>
      </w:r>
    </w:p>
    <w:p w14:paraId="09487C04" w14:textId="77777777" w:rsidR="00737835" w:rsidRPr="001601BA" w:rsidRDefault="00737835" w:rsidP="00CA5836">
      <w:pPr>
        <w:ind w:left="270" w:hanging="270"/>
      </w:pPr>
      <w:r w:rsidRPr="001601BA">
        <w:t xml:space="preserve">Diether, K. B., Malloy, C. J., &amp; Scherbina, A. 2002. Differences of opinion and the cross section of stock returns. </w:t>
      </w:r>
      <w:r w:rsidRPr="001601BA">
        <w:rPr>
          <w:b/>
          <w:bCs/>
          <w:i/>
          <w:iCs/>
        </w:rPr>
        <w:t>The Journal of Finance</w:t>
      </w:r>
      <w:r w:rsidRPr="001601BA">
        <w:t>, 57(5): 2113-2141.</w:t>
      </w:r>
    </w:p>
    <w:p w14:paraId="37610F8D" w14:textId="35F63DC5" w:rsidR="00737835" w:rsidRPr="001601BA" w:rsidRDefault="00737835" w:rsidP="00CA5836">
      <w:pPr>
        <w:ind w:left="270" w:hanging="270"/>
      </w:pPr>
      <w:r w:rsidRPr="001601BA">
        <w:t>Easterwood, J. C., &amp; Nutt, S. R. 1999. Inefficiency in analysts</w:t>
      </w:r>
      <w:r w:rsidR="008C5049">
        <w:t>’</w:t>
      </w:r>
      <w:r w:rsidRPr="001601BA">
        <w:t xml:space="preserve"> earnings forecasts: Systematic misreaction or systematic optimism? </w:t>
      </w:r>
      <w:r w:rsidRPr="001601BA">
        <w:rPr>
          <w:b/>
          <w:bCs/>
          <w:i/>
          <w:iCs/>
        </w:rPr>
        <w:t>The Journal of Finance</w:t>
      </w:r>
      <w:r w:rsidRPr="001601BA">
        <w:t>, 54(5): 1777-1797.</w:t>
      </w:r>
    </w:p>
    <w:p w14:paraId="54927D43" w14:textId="77777777" w:rsidR="00737835" w:rsidRPr="001601BA" w:rsidRDefault="00737835" w:rsidP="00CA5836">
      <w:pPr>
        <w:ind w:left="270" w:hanging="270"/>
        <w:rPr>
          <w:highlight w:val="yellow"/>
        </w:rPr>
      </w:pPr>
      <w:r w:rsidRPr="001601BA">
        <w:t xml:space="preserve">Espeland, W.N. &amp; Stevens, M.L. 1998. Commensuration as a social process. </w:t>
      </w:r>
      <w:r w:rsidRPr="001601BA">
        <w:rPr>
          <w:b/>
          <w:bCs/>
          <w:i/>
          <w:iCs/>
        </w:rPr>
        <w:t>Annual Review of Sociology</w:t>
      </w:r>
      <w:r w:rsidRPr="001601BA">
        <w:t>, 24(1): 313-343.</w:t>
      </w:r>
    </w:p>
    <w:p w14:paraId="724DF6BD" w14:textId="77777777" w:rsidR="00737835" w:rsidRPr="001601BA" w:rsidRDefault="00737835" w:rsidP="00CA5836">
      <w:pPr>
        <w:ind w:left="270" w:hanging="270"/>
      </w:pPr>
      <w:r w:rsidRPr="001601BA">
        <w:t xml:space="preserve">Fama, E. F. 1970. Efficient capital markets. </w:t>
      </w:r>
      <w:r w:rsidRPr="001601BA">
        <w:rPr>
          <w:b/>
          <w:bCs/>
          <w:i/>
          <w:iCs/>
        </w:rPr>
        <w:t>Journal of Finance</w:t>
      </w:r>
      <w:r w:rsidRPr="001601BA">
        <w:t>, 25(2): 383-417.</w:t>
      </w:r>
    </w:p>
    <w:p w14:paraId="33FFB73C" w14:textId="77777777" w:rsidR="00737835" w:rsidRPr="001601BA" w:rsidRDefault="00737835" w:rsidP="00CA5836">
      <w:pPr>
        <w:ind w:left="270" w:hanging="270"/>
      </w:pPr>
      <w:r w:rsidRPr="001601BA">
        <w:t xml:space="preserve">Fama, E. F., &amp; French, K. R. 1993. Common risk factors in the returns on stocks and bonds. </w:t>
      </w:r>
      <w:r w:rsidRPr="001601BA">
        <w:rPr>
          <w:b/>
          <w:bCs/>
          <w:i/>
          <w:iCs/>
        </w:rPr>
        <w:t>Journal of Financial Economics</w:t>
      </w:r>
      <w:r w:rsidRPr="001601BA">
        <w:t>, 33(1): 3-56.</w:t>
      </w:r>
    </w:p>
    <w:p w14:paraId="526DBC19" w14:textId="77777777" w:rsidR="00737835" w:rsidRPr="001601BA" w:rsidRDefault="00737835" w:rsidP="00CA5836">
      <w:pPr>
        <w:ind w:left="270" w:hanging="270"/>
        <w:rPr>
          <w:highlight w:val="yellow"/>
        </w:rPr>
      </w:pPr>
      <w:r w:rsidRPr="001601BA">
        <w:t xml:space="preserve">Fiske, S.T., &amp; Taylor, S.E., 2013. </w:t>
      </w:r>
      <w:r w:rsidRPr="001601BA">
        <w:rPr>
          <w:b/>
          <w:bCs/>
          <w:i/>
          <w:iCs/>
        </w:rPr>
        <w:t>Social cognition: From brains to culture</w:t>
      </w:r>
      <w:r w:rsidRPr="001601BA">
        <w:t xml:space="preserve"> (2nd ed.). Los Angeles, CA: Sage.</w:t>
      </w:r>
    </w:p>
    <w:p w14:paraId="69C9E03A" w14:textId="69EF7B96" w:rsidR="00737835" w:rsidRPr="001601BA" w:rsidRDefault="00737835" w:rsidP="00CA5836">
      <w:pPr>
        <w:ind w:left="270" w:hanging="270"/>
      </w:pPr>
      <w:r w:rsidRPr="001601BA">
        <w:t>Francis, J., &amp; Schipper, K. 1999. Have financial statements lost their relevance? </w:t>
      </w:r>
      <w:r w:rsidRPr="001601BA">
        <w:rPr>
          <w:b/>
          <w:bCs/>
          <w:i/>
          <w:iCs/>
        </w:rPr>
        <w:t>Journal of Accounting Research</w:t>
      </w:r>
      <w:r w:rsidRPr="001601BA">
        <w:t>, 37(2): 319-352.</w:t>
      </w:r>
    </w:p>
    <w:p w14:paraId="62CC4B5C" w14:textId="77777777" w:rsidR="00737835" w:rsidRPr="001601BA" w:rsidRDefault="00737835" w:rsidP="00CA5836">
      <w:pPr>
        <w:ind w:left="270" w:hanging="270"/>
      </w:pPr>
      <w:r w:rsidRPr="001601BA">
        <w:t xml:space="preserve">Freeman, J., Carroll, G. R., &amp; Hannan, M. T. 1983. The liability of newness: Age dependence in organizational death rates. </w:t>
      </w:r>
      <w:r w:rsidRPr="001601BA">
        <w:rPr>
          <w:b/>
          <w:bCs/>
          <w:i/>
          <w:iCs/>
        </w:rPr>
        <w:t>American Sociological Review</w:t>
      </w:r>
      <w:r w:rsidRPr="001601BA">
        <w:t>, 48(5): 692-710.</w:t>
      </w:r>
    </w:p>
    <w:p w14:paraId="468D5581" w14:textId="77777777" w:rsidR="00737835" w:rsidRPr="001601BA" w:rsidRDefault="00737835" w:rsidP="00CA5836">
      <w:pPr>
        <w:ind w:left="270" w:hanging="270"/>
      </w:pPr>
      <w:r w:rsidRPr="001601BA">
        <w:t xml:space="preserve">Gentry, R. J., &amp; Shen, W. 2013. The impacts of performance relative to analyst forecasts and analyst coverage on firm R&amp;D intensity. </w:t>
      </w:r>
      <w:r w:rsidRPr="001601BA">
        <w:rPr>
          <w:b/>
          <w:bCs/>
          <w:i/>
        </w:rPr>
        <w:t>Strategic Management Journal</w:t>
      </w:r>
      <w:r w:rsidRPr="001601BA">
        <w:rPr>
          <w:i/>
        </w:rPr>
        <w:t>, 34</w:t>
      </w:r>
      <w:r w:rsidRPr="001601BA">
        <w:t>(1), 121-130.</w:t>
      </w:r>
    </w:p>
    <w:p w14:paraId="65DDCD1E" w14:textId="652EFCFE" w:rsidR="00737835" w:rsidRPr="00C34084" w:rsidRDefault="00737835" w:rsidP="00CA5836">
      <w:pPr>
        <w:ind w:left="270" w:hanging="270"/>
      </w:pPr>
      <w:r w:rsidRPr="001601BA">
        <w:t xml:space="preserve">Goldstein, S. 2024. History shows Wall Street analyst estimates can be 30% too high at the peak, which one strategist says may be now. </w:t>
      </w:r>
      <w:r w:rsidRPr="001601BA">
        <w:rPr>
          <w:b/>
          <w:bCs/>
          <w:i/>
          <w:iCs/>
        </w:rPr>
        <w:t>MarketWatch</w:t>
      </w:r>
      <w:r w:rsidRPr="001601BA">
        <w:t xml:space="preserve">, </w:t>
      </w:r>
      <w:hyperlink r:id="rId8" w:history="1">
        <w:r w:rsidRPr="001601BA">
          <w:rPr>
            <w:rStyle w:val="Hyperlink"/>
          </w:rPr>
          <w:t>https://www.marketwatch.com/story/history-shows-wall-street-analyst-estimates-can-be-30-too-high-at-the-peak-which-one-strategist-says-may-be-now-4d8be68e</w:t>
        </w:r>
      </w:hyperlink>
      <w:r w:rsidR="00BD3137">
        <w:t xml:space="preserve"> </w:t>
      </w:r>
      <w:r w:rsidRPr="00C34084">
        <w:t>Accessed 6/6/2025.</w:t>
      </w:r>
    </w:p>
    <w:p w14:paraId="374934AE" w14:textId="77777777" w:rsidR="00737835" w:rsidRPr="00C34084" w:rsidRDefault="00737835" w:rsidP="00CA5836">
      <w:pPr>
        <w:ind w:left="270" w:hanging="270"/>
      </w:pPr>
      <w:r w:rsidRPr="00C34084">
        <w:t xml:space="preserve">Graffin, S. D., Haleblian, J., &amp; Kiley, J. T. 2016. Ready, AIM, acquire: Impression offsetting and acquisitions. </w:t>
      </w:r>
      <w:r w:rsidRPr="00C34084">
        <w:rPr>
          <w:b/>
          <w:bCs/>
          <w:i/>
        </w:rPr>
        <w:t>Academy of Management Journal</w:t>
      </w:r>
      <w:r w:rsidRPr="00C34084">
        <w:rPr>
          <w:i/>
        </w:rPr>
        <w:t xml:space="preserve">, </w:t>
      </w:r>
      <w:r w:rsidRPr="00C34084">
        <w:rPr>
          <w:iCs/>
        </w:rPr>
        <w:t>59</w:t>
      </w:r>
      <w:r w:rsidRPr="00C34084">
        <w:t>(1): 232-252.</w:t>
      </w:r>
    </w:p>
    <w:p w14:paraId="0E76C1FE" w14:textId="77777777" w:rsidR="00737835" w:rsidRPr="00C34084" w:rsidRDefault="00737835" w:rsidP="00CA5836">
      <w:pPr>
        <w:ind w:left="270" w:hanging="270"/>
      </w:pPr>
      <w:r w:rsidRPr="00C34084">
        <w:t xml:space="preserve">Haleblian, J. J., Pfarrer, M. D., &amp; Kiley, J. T. 2017. High‐reputation firms and their differential acquisition behaviors. </w:t>
      </w:r>
      <w:r w:rsidRPr="00C34084">
        <w:rPr>
          <w:b/>
          <w:bCs/>
          <w:i/>
          <w:iCs/>
        </w:rPr>
        <w:t>Strategic Management Journal</w:t>
      </w:r>
      <w:r w:rsidRPr="00C34084">
        <w:t>, 38(11)</w:t>
      </w:r>
      <w:r w:rsidRPr="00C34084">
        <w:rPr>
          <w:rFonts w:ascii="SimSun" w:eastAsia="SimSun" w:hAnsi="SimSun" w:cs="SimSun"/>
        </w:rPr>
        <w:t>:</w:t>
      </w:r>
      <w:r w:rsidRPr="00C34084">
        <w:t xml:space="preserve"> 2237-2254.</w:t>
      </w:r>
    </w:p>
    <w:p w14:paraId="449D8019" w14:textId="77777777" w:rsidR="00737835" w:rsidRPr="00C34084" w:rsidRDefault="00737835" w:rsidP="00CA5836">
      <w:pPr>
        <w:ind w:left="270" w:hanging="270"/>
      </w:pPr>
      <w:r w:rsidRPr="00C34084">
        <w:t xml:space="preserve">Hawn, O., Chatterji, A. K., &amp; Mitchell, W. 2018. Do investors </w:t>
      </w:r>
      <w:proofErr w:type="gramStart"/>
      <w:r w:rsidRPr="00C34084">
        <w:t>actually value</w:t>
      </w:r>
      <w:proofErr w:type="gramEnd"/>
      <w:r w:rsidRPr="00C34084">
        <w:t xml:space="preserve"> sustainability? New evidence from investor reactions to the Dow Jones Sustainability Index (DJSI). </w:t>
      </w:r>
      <w:r w:rsidRPr="00C34084">
        <w:rPr>
          <w:b/>
          <w:bCs/>
          <w:i/>
          <w:iCs/>
        </w:rPr>
        <w:t>Strategic Management Journal</w:t>
      </w:r>
      <w:r w:rsidRPr="00C34084">
        <w:t>, 39(4)</w:t>
      </w:r>
      <w:r w:rsidRPr="00C34084">
        <w:rPr>
          <w:rFonts w:hint="eastAsia"/>
        </w:rPr>
        <w:t>:</w:t>
      </w:r>
      <w:r w:rsidRPr="00C34084">
        <w:t xml:space="preserve"> 949-976.</w:t>
      </w:r>
    </w:p>
    <w:p w14:paraId="0E6C81D9" w14:textId="77777777" w:rsidR="00737835" w:rsidRPr="00C34084" w:rsidRDefault="00737835" w:rsidP="00CA5836">
      <w:pPr>
        <w:ind w:left="270" w:hanging="270"/>
      </w:pPr>
      <w:r w:rsidRPr="00C34084">
        <w:t xml:space="preserve">Hotchkiss, E. S., &amp; Strickland, D. 2003. Does shareholder composition matter? Evidence from the market reaction to corporate earnings announcements. </w:t>
      </w:r>
      <w:r w:rsidRPr="00C34084">
        <w:rPr>
          <w:b/>
          <w:bCs/>
          <w:i/>
          <w:iCs/>
        </w:rPr>
        <w:t>The Journal of Finance</w:t>
      </w:r>
      <w:r w:rsidRPr="00C34084">
        <w:t>, 58(4): 1469–1498.</w:t>
      </w:r>
    </w:p>
    <w:p w14:paraId="606390ED" w14:textId="77777777" w:rsidR="00737835" w:rsidRPr="00C34084" w:rsidRDefault="00737835" w:rsidP="00CA5836">
      <w:pPr>
        <w:ind w:left="270" w:hanging="270"/>
      </w:pPr>
      <w:r w:rsidRPr="00C34084">
        <w:t xml:space="preserve">Huberman, G., &amp; Regev, T. 2001. Contagious speculation and a cure for cancer: A nonevent that made stock prices soar. </w:t>
      </w:r>
      <w:r w:rsidRPr="00C34084">
        <w:rPr>
          <w:b/>
          <w:bCs/>
          <w:i/>
          <w:iCs/>
        </w:rPr>
        <w:t>The Journal of Finance</w:t>
      </w:r>
      <w:r w:rsidRPr="00C34084">
        <w:t>, 56(1): 387-396.</w:t>
      </w:r>
    </w:p>
    <w:p w14:paraId="4D007456" w14:textId="2CDD5418" w:rsidR="00737835" w:rsidRPr="00544D9A" w:rsidRDefault="00737835" w:rsidP="00CA5836">
      <w:pPr>
        <w:ind w:left="270" w:hanging="270"/>
      </w:pPr>
      <w:r w:rsidRPr="00C34084">
        <w:lastRenderedPageBreak/>
        <w:t xml:space="preserve">Jagielski, D. 2024. Eli Lilly posts a huge earnings miss. Should investors be worried? </w:t>
      </w:r>
      <w:r w:rsidRPr="00C34084">
        <w:rPr>
          <w:b/>
          <w:bCs/>
          <w:i/>
          <w:iCs/>
        </w:rPr>
        <w:t>The Motley Fool</w:t>
      </w:r>
      <w:r w:rsidRPr="00C34084">
        <w:t>, https://finance.yahoo.com/news/eli-lilly-posts-huge-earnings-233300934.html</w:t>
      </w:r>
      <w:r w:rsidRPr="00544D9A">
        <w:t>. Accessed 1/14/24.</w:t>
      </w:r>
    </w:p>
    <w:p w14:paraId="1D7968AA" w14:textId="2E55263A" w:rsidR="00737835" w:rsidRPr="00544D9A" w:rsidRDefault="00737835" w:rsidP="00CA5836">
      <w:pPr>
        <w:ind w:left="270" w:hanging="270"/>
      </w:pPr>
      <w:r w:rsidRPr="00CD4402">
        <w:rPr>
          <w:lang w:val="fr-FR"/>
        </w:rPr>
        <w:t xml:space="preserve">Jayachandran, S., Kalaignanam, K., &amp; Eilert, M. 2013. </w:t>
      </w:r>
      <w:r w:rsidRPr="00544D9A">
        <w:t xml:space="preserve">Product and environmental social performance: Varying effect on firm performance. </w:t>
      </w:r>
      <w:r w:rsidRPr="00544D9A">
        <w:rPr>
          <w:b/>
          <w:bCs/>
          <w:i/>
          <w:iCs/>
        </w:rPr>
        <w:t>Strategic Management Journal</w:t>
      </w:r>
      <w:r w:rsidRPr="00544D9A">
        <w:t>, 34(10)</w:t>
      </w:r>
      <w:r w:rsidR="00FC1C3A">
        <w:t>:</w:t>
      </w:r>
      <w:r w:rsidRPr="00544D9A">
        <w:t xml:space="preserve"> 1255-1264.</w:t>
      </w:r>
    </w:p>
    <w:p w14:paraId="02943B43" w14:textId="77777777" w:rsidR="00737835" w:rsidRPr="00544D9A" w:rsidRDefault="00737835" w:rsidP="00CA5836">
      <w:pPr>
        <w:ind w:left="270" w:hanging="270"/>
      </w:pPr>
      <w:r w:rsidRPr="00544D9A">
        <w:t xml:space="preserve">Jenter, D., &amp; Kanaan, F. 2015. CEO turnover and relative performance evaluation. </w:t>
      </w:r>
      <w:r w:rsidRPr="00544D9A">
        <w:rPr>
          <w:b/>
          <w:bCs/>
          <w:i/>
          <w:iCs/>
        </w:rPr>
        <w:t>Journal of Finance</w:t>
      </w:r>
      <w:r w:rsidRPr="00544D9A">
        <w:t>, 70(5): 2155-2184.</w:t>
      </w:r>
    </w:p>
    <w:p w14:paraId="4F904707" w14:textId="593CFD47" w:rsidR="00737835" w:rsidRPr="00544D9A" w:rsidRDefault="00737835" w:rsidP="00CA5836">
      <w:pPr>
        <w:ind w:left="270" w:hanging="270"/>
      </w:pPr>
      <w:r w:rsidRPr="00544D9A">
        <w:t xml:space="preserve">Jin, J., Li, H., &amp; Hoskisson, R. 2022. The use of strategic noise in reactive impression management: how do market reactions matter? </w:t>
      </w:r>
      <w:r w:rsidRPr="00544D9A">
        <w:rPr>
          <w:b/>
          <w:bCs/>
          <w:i/>
          <w:iCs/>
        </w:rPr>
        <w:t>Academy of Management Journal</w:t>
      </w:r>
      <w:r w:rsidRPr="00544D9A">
        <w:t>, 65(4): 1303-1326.</w:t>
      </w:r>
    </w:p>
    <w:p w14:paraId="6D01B830" w14:textId="77777777" w:rsidR="00737835" w:rsidRPr="00544D9A" w:rsidRDefault="00737835" w:rsidP="00CA5836">
      <w:pPr>
        <w:ind w:left="270" w:hanging="270"/>
      </w:pPr>
      <w:r w:rsidRPr="00544D9A">
        <w:t xml:space="preserve">Jin, L. 2006. Capital gains tax overhang and price pressure. </w:t>
      </w:r>
      <w:r w:rsidRPr="007C610C">
        <w:rPr>
          <w:b/>
          <w:bCs/>
          <w:i/>
          <w:iCs/>
        </w:rPr>
        <w:t>The Journal of Finance</w:t>
      </w:r>
      <w:r w:rsidRPr="00544D9A">
        <w:t>, 61(3): 1399-1431.</w:t>
      </w:r>
    </w:p>
    <w:p w14:paraId="47EFB32D" w14:textId="77777777" w:rsidR="00737835" w:rsidRPr="00544D9A" w:rsidRDefault="00737835" w:rsidP="001D71AC">
      <w:pPr>
        <w:ind w:left="270" w:hanging="270"/>
      </w:pPr>
      <w:r w:rsidRPr="00544D9A">
        <w:t xml:space="preserve">Karolyi, S., Ruchti, T., &amp; Truong, P. 2024. Number processing constraints and earnings news. </w:t>
      </w:r>
      <w:r w:rsidRPr="00544D9A">
        <w:rPr>
          <w:b/>
          <w:bCs/>
          <w:i/>
          <w:iCs/>
        </w:rPr>
        <w:t>Management Science</w:t>
      </w:r>
      <w:r w:rsidRPr="00544D9A">
        <w:t>, 70(3): 456-478.</w:t>
      </w:r>
    </w:p>
    <w:p w14:paraId="5B308E2F" w14:textId="77777777" w:rsidR="00737835" w:rsidRPr="00544D9A" w:rsidRDefault="00737835" w:rsidP="001D71AC">
      <w:pPr>
        <w:ind w:left="270" w:hanging="270"/>
      </w:pPr>
      <w:r w:rsidRPr="00544D9A">
        <w:t xml:space="preserve">Keller, T., Glaum, M., Bausch, A., &amp; Bunz, T., 2023. The “CEO in context” technique revisited: A replication and extension of Hambrick and Quigley (2014). </w:t>
      </w:r>
      <w:r w:rsidRPr="00544D9A">
        <w:rPr>
          <w:b/>
          <w:bCs/>
          <w:i/>
          <w:iCs/>
        </w:rPr>
        <w:t>Strategic Management Journal</w:t>
      </w:r>
      <w:r w:rsidRPr="00544D9A">
        <w:t>, 44(4): 1111-1138.</w:t>
      </w:r>
    </w:p>
    <w:p w14:paraId="49E0CD0D" w14:textId="28C29C13" w:rsidR="00737835" w:rsidRPr="00544D9A" w:rsidRDefault="00737835" w:rsidP="00CA5836">
      <w:pPr>
        <w:ind w:left="270" w:hanging="270"/>
      </w:pPr>
      <w:r w:rsidRPr="00544D9A">
        <w:t xml:space="preserve">Keynes, J. M. 1936. </w:t>
      </w:r>
      <w:r w:rsidRPr="00544D9A">
        <w:rPr>
          <w:b/>
          <w:bCs/>
          <w:i/>
          <w:iCs/>
        </w:rPr>
        <w:t>The general theory of employment, interest and money</w:t>
      </w:r>
      <w:r w:rsidRPr="00544D9A">
        <w:t>. New York</w:t>
      </w:r>
      <w:r w:rsidR="000D3484">
        <w:t>:</w:t>
      </w:r>
      <w:r w:rsidRPr="00544D9A">
        <w:t xml:space="preserve"> Harcourt, Brace.</w:t>
      </w:r>
    </w:p>
    <w:p w14:paraId="0BA4CE02" w14:textId="77777777" w:rsidR="00737835" w:rsidRPr="00544D9A" w:rsidRDefault="00737835" w:rsidP="00CA5836">
      <w:pPr>
        <w:ind w:left="270" w:hanging="270"/>
      </w:pPr>
      <w:r w:rsidRPr="00544D9A">
        <w:t xml:space="preserve">Kim, C., &amp; Bettis, R. A. 2014. Cash is surprisingly valuable as a strategic asset. </w:t>
      </w:r>
      <w:r w:rsidRPr="00544D9A">
        <w:rPr>
          <w:b/>
          <w:bCs/>
          <w:i/>
          <w:iCs/>
        </w:rPr>
        <w:t>Strategic Management Journal</w:t>
      </w:r>
      <w:r w:rsidRPr="00544D9A">
        <w:t>, 35(13): 2053-2063.</w:t>
      </w:r>
    </w:p>
    <w:p w14:paraId="5FEA5352" w14:textId="290206D8" w:rsidR="00737835" w:rsidRPr="00544D9A" w:rsidRDefault="00737835" w:rsidP="00CA5836">
      <w:pPr>
        <w:ind w:left="270" w:hanging="270"/>
      </w:pPr>
      <w:r w:rsidRPr="00544D9A">
        <w:t xml:space="preserve">Kinney, W., Burgstahler, D., &amp; Martin, R. 2002. Earnings surprise </w:t>
      </w:r>
      <w:r w:rsidR="000D3484">
        <w:t>“</w:t>
      </w:r>
      <w:r w:rsidRPr="00544D9A">
        <w:t>materiality</w:t>
      </w:r>
      <w:r w:rsidR="000D3484">
        <w:t>”</w:t>
      </w:r>
      <w:r w:rsidRPr="00544D9A">
        <w:t xml:space="preserve"> as measured by stock returns. </w:t>
      </w:r>
      <w:r w:rsidRPr="00544D9A">
        <w:rPr>
          <w:b/>
          <w:bCs/>
          <w:i/>
          <w:iCs/>
        </w:rPr>
        <w:t>Journal of Accounting Research</w:t>
      </w:r>
      <w:r w:rsidRPr="00544D9A">
        <w:t>, 40(5): 1297-1329.</w:t>
      </w:r>
    </w:p>
    <w:p w14:paraId="32BA15E8" w14:textId="7F6DC1BB" w:rsidR="00737835" w:rsidRPr="00544D9A" w:rsidRDefault="00737835" w:rsidP="00CA5836">
      <w:pPr>
        <w:ind w:left="270" w:hanging="270"/>
      </w:pPr>
      <w:r w:rsidRPr="00544D9A">
        <w:t xml:space="preserve">Lang, L. H., Stulz, R., &amp; Walkling, R. A. 1989. Managerial performance, Tobin's Q, and the gains from successful tender offers. </w:t>
      </w:r>
      <w:r w:rsidRPr="00544D9A">
        <w:rPr>
          <w:b/>
          <w:bCs/>
          <w:i/>
          <w:iCs/>
        </w:rPr>
        <w:t xml:space="preserve">Journal of </w:t>
      </w:r>
      <w:r w:rsidR="00F02F56" w:rsidRPr="00544D9A">
        <w:rPr>
          <w:b/>
          <w:bCs/>
          <w:i/>
          <w:iCs/>
        </w:rPr>
        <w:t>F</w:t>
      </w:r>
      <w:r w:rsidRPr="00544D9A">
        <w:rPr>
          <w:b/>
          <w:bCs/>
          <w:i/>
          <w:iCs/>
        </w:rPr>
        <w:t>inancial Economics</w:t>
      </w:r>
      <w:r w:rsidRPr="00544D9A">
        <w:t>, 24(1): 137-154.</w:t>
      </w:r>
    </w:p>
    <w:p w14:paraId="7F929FCD" w14:textId="77777777" w:rsidR="00737835" w:rsidRPr="00544D9A" w:rsidRDefault="00737835" w:rsidP="00CA5836">
      <w:pPr>
        <w:ind w:left="270" w:hanging="270"/>
      </w:pPr>
      <w:r w:rsidRPr="00544D9A">
        <w:t xml:space="preserve">Lant, T. K. 1992. Aspiration level adaptation: An empirical exploration. </w:t>
      </w:r>
      <w:r w:rsidRPr="00544D9A">
        <w:rPr>
          <w:b/>
          <w:bCs/>
          <w:i/>
          <w:iCs/>
        </w:rPr>
        <w:t>Management Science</w:t>
      </w:r>
      <w:r w:rsidRPr="00544D9A">
        <w:t>, 38(5): 623-644.</w:t>
      </w:r>
    </w:p>
    <w:p w14:paraId="0383DA75" w14:textId="77777777" w:rsidR="00737835" w:rsidRPr="00544D9A" w:rsidRDefault="00737835" w:rsidP="00CA5836">
      <w:pPr>
        <w:ind w:left="270" w:hanging="270"/>
      </w:pPr>
      <w:r w:rsidRPr="00544D9A">
        <w:t xml:space="preserve">Lewis, B. W., &amp; Carlos, W. C. 2023. The risk of being ranked: Investor response to marginal inclusion on the 100 Best Corporate Citizens list. </w:t>
      </w:r>
      <w:r w:rsidRPr="00544D9A">
        <w:rPr>
          <w:b/>
          <w:bCs/>
          <w:i/>
          <w:iCs/>
        </w:rPr>
        <w:t>Strategic Management Journal</w:t>
      </w:r>
      <w:r w:rsidRPr="00544D9A">
        <w:t>, 44(1)</w:t>
      </w:r>
      <w:r w:rsidRPr="00544D9A">
        <w:rPr>
          <w:rFonts w:hint="eastAsia"/>
        </w:rPr>
        <w:t>:</w:t>
      </w:r>
      <w:r w:rsidRPr="00544D9A">
        <w:t xml:space="preserve"> 117-140.</w:t>
      </w:r>
    </w:p>
    <w:p w14:paraId="33F795E1" w14:textId="77777777" w:rsidR="00737835" w:rsidRPr="00544D9A" w:rsidRDefault="00737835" w:rsidP="00CA5836">
      <w:pPr>
        <w:ind w:left="270" w:hanging="270"/>
      </w:pPr>
      <w:r w:rsidRPr="00544D9A">
        <w:t xml:space="preserve">Lo, A. W., &amp; Repin, D. V. 2002. The psychophysiology of real-time financial risk processing. </w:t>
      </w:r>
      <w:r w:rsidRPr="00544D9A">
        <w:rPr>
          <w:b/>
          <w:bCs/>
          <w:i/>
          <w:iCs/>
        </w:rPr>
        <w:t>Journal of Cognitive Neuroscience</w:t>
      </w:r>
      <w:r w:rsidRPr="00544D9A">
        <w:t>, 14(3): 323-339.</w:t>
      </w:r>
    </w:p>
    <w:p w14:paraId="264EE58F" w14:textId="77777777" w:rsidR="00737835" w:rsidRPr="00544D9A" w:rsidRDefault="00737835" w:rsidP="00CA5836">
      <w:pPr>
        <w:ind w:left="270" w:hanging="270"/>
      </w:pPr>
      <w:r w:rsidRPr="00544D9A">
        <w:t>Lobo, G. J., &amp; Zhao, Y. 2013. Relation between audit effort and financial report misstatements: Evidence from quarterly and annual restatements. </w:t>
      </w:r>
      <w:r w:rsidRPr="00544D9A">
        <w:rPr>
          <w:b/>
          <w:bCs/>
          <w:i/>
          <w:iCs/>
        </w:rPr>
        <w:t>The Accounting Review</w:t>
      </w:r>
      <w:r w:rsidRPr="00544D9A">
        <w:t>, 88(4): 1385-1412.</w:t>
      </w:r>
    </w:p>
    <w:p w14:paraId="64E5E298" w14:textId="77777777" w:rsidR="00737835" w:rsidRPr="00544D9A" w:rsidRDefault="00737835" w:rsidP="00CA5836">
      <w:pPr>
        <w:ind w:left="270" w:hanging="270"/>
      </w:pPr>
      <w:r w:rsidRPr="00544D9A">
        <w:t xml:space="preserve">Marquering, W., Nisser, J. &amp; Valla, T. 2006. Disappearing anomalies: a dynamic analysis of the persistence of anomalies. </w:t>
      </w:r>
      <w:r w:rsidRPr="00544D9A">
        <w:rPr>
          <w:b/>
          <w:bCs/>
          <w:i/>
        </w:rPr>
        <w:t>Applied Financial Economics</w:t>
      </w:r>
      <w:r w:rsidRPr="00544D9A">
        <w:rPr>
          <w:i/>
        </w:rPr>
        <w:t xml:space="preserve">, </w:t>
      </w:r>
      <w:r w:rsidRPr="00544D9A">
        <w:rPr>
          <w:iCs/>
        </w:rPr>
        <w:t>16</w:t>
      </w:r>
      <w:r w:rsidRPr="00544D9A">
        <w:t>(4): 291-302.</w:t>
      </w:r>
    </w:p>
    <w:p w14:paraId="52443D55" w14:textId="77777777" w:rsidR="00737835" w:rsidRPr="00544D9A" w:rsidRDefault="00737835" w:rsidP="00CA5836">
      <w:pPr>
        <w:ind w:left="270" w:hanging="270"/>
      </w:pPr>
      <w:r w:rsidRPr="00544D9A">
        <w:t>Matsunaga, S. R., &amp; Park, C. W. 2001. The effect of missing a quarterly earnings benchmark on the CEO's annual bonus. </w:t>
      </w:r>
      <w:r w:rsidRPr="00544D9A">
        <w:rPr>
          <w:b/>
          <w:bCs/>
          <w:i/>
          <w:iCs/>
        </w:rPr>
        <w:t>The Accounting Review</w:t>
      </w:r>
      <w:r w:rsidRPr="00544D9A">
        <w:t>, 76(3): 313-332.</w:t>
      </w:r>
    </w:p>
    <w:p w14:paraId="3BDBE170" w14:textId="77777777" w:rsidR="00737835" w:rsidRPr="00544D9A" w:rsidRDefault="00737835" w:rsidP="00CA5836">
      <w:pPr>
        <w:ind w:left="270" w:hanging="270"/>
      </w:pPr>
      <w:r w:rsidRPr="00544D9A">
        <w:t xml:space="preserve">Mennicken, A. &amp; Espeland, W. N. 2019. What's new with numbers? Sociological approaches to the study of quantification. </w:t>
      </w:r>
      <w:r w:rsidRPr="00544D9A">
        <w:rPr>
          <w:b/>
          <w:bCs/>
          <w:i/>
          <w:iCs/>
        </w:rPr>
        <w:t>Annual Review of Sociology</w:t>
      </w:r>
      <w:r w:rsidRPr="00544D9A">
        <w:t>, 45(1): 223-245.</w:t>
      </w:r>
    </w:p>
    <w:p w14:paraId="0E5873BA" w14:textId="77777777" w:rsidR="00737835" w:rsidRPr="00544D9A" w:rsidRDefault="00737835" w:rsidP="00CA5836">
      <w:pPr>
        <w:ind w:left="270" w:hanging="270"/>
      </w:pPr>
      <w:r w:rsidRPr="00544D9A">
        <w:t xml:space="preserve">Merton, R. K., 1968. The Matthew effect in science: The reward and communication systems of science are considered. </w:t>
      </w:r>
      <w:r w:rsidRPr="00544D9A">
        <w:rPr>
          <w:b/>
          <w:bCs/>
          <w:i/>
          <w:iCs/>
        </w:rPr>
        <w:t>Science</w:t>
      </w:r>
      <w:r w:rsidRPr="00544D9A">
        <w:t>, 159(3810): 56-63.</w:t>
      </w:r>
    </w:p>
    <w:p w14:paraId="5DCEBAD2" w14:textId="77777777" w:rsidR="00737835" w:rsidRPr="00544D9A" w:rsidRDefault="00737835" w:rsidP="00CA5836">
      <w:pPr>
        <w:ind w:left="270" w:hanging="270"/>
      </w:pPr>
      <w:r w:rsidRPr="00544D9A">
        <w:t xml:space="preserve">Mishina, Y., Dykes, B. J., Block, E. S., &amp; Pollock, T. G. 2010. Why “good” firms do bad things: The effects of high aspirations, high expectations, and prominence on the incidence of corporate illegality. </w:t>
      </w:r>
      <w:r w:rsidRPr="00544D9A">
        <w:rPr>
          <w:b/>
          <w:bCs/>
          <w:i/>
          <w:iCs/>
        </w:rPr>
        <w:t>Academy of Management Journal</w:t>
      </w:r>
      <w:r w:rsidRPr="00544D9A">
        <w:t>, 53(4): 701-722.</w:t>
      </w:r>
    </w:p>
    <w:p w14:paraId="290B72CB" w14:textId="77777777" w:rsidR="00737835" w:rsidRPr="00544D9A" w:rsidRDefault="00737835" w:rsidP="007F25C6">
      <w:pPr>
        <w:ind w:left="270" w:hanging="270"/>
      </w:pPr>
      <w:r w:rsidRPr="00544D9A">
        <w:lastRenderedPageBreak/>
        <w:t xml:space="preserve">Ohlson, J. A. 1995. Earnings, book values, and dividends in equity valuation. </w:t>
      </w:r>
      <w:r w:rsidRPr="00544D9A">
        <w:rPr>
          <w:b/>
          <w:bCs/>
          <w:i/>
          <w:iCs/>
        </w:rPr>
        <w:t>Contemporary Accounting Research</w:t>
      </w:r>
      <w:r w:rsidRPr="00544D9A">
        <w:t>, 11(2): 661-687.</w:t>
      </w:r>
    </w:p>
    <w:p w14:paraId="54249197" w14:textId="6DB1E69C" w:rsidR="00737835" w:rsidRPr="00544D9A" w:rsidRDefault="00737835" w:rsidP="007F25C6">
      <w:pPr>
        <w:ind w:left="270" w:hanging="270"/>
      </w:pPr>
      <w:r w:rsidRPr="00544D9A">
        <w:t xml:space="preserve">Paik, E. T., Pollock, T. G., Boivie, S., Lange, D. &amp; Lee, P. M. 2022. A </w:t>
      </w:r>
      <w:r w:rsidR="002A499C">
        <w:t>s</w:t>
      </w:r>
      <w:r w:rsidRPr="00544D9A">
        <w:t xml:space="preserve">tar </w:t>
      </w:r>
      <w:r w:rsidR="002A499C">
        <w:t>i</w:t>
      </w:r>
      <w:r w:rsidRPr="00544D9A">
        <w:t xml:space="preserve">s </w:t>
      </w:r>
      <w:r w:rsidR="002A499C">
        <w:t>b</w:t>
      </w:r>
      <w:r w:rsidRPr="00544D9A">
        <w:t xml:space="preserve">orn: The </w:t>
      </w:r>
      <w:r w:rsidR="002A499C">
        <w:t>r</w:t>
      </w:r>
      <w:r w:rsidRPr="00544D9A">
        <w:t xml:space="preserve">elationship </w:t>
      </w:r>
      <w:r w:rsidR="002A499C">
        <w:t>b</w:t>
      </w:r>
      <w:r w:rsidRPr="00544D9A">
        <w:t xml:space="preserve">etween </w:t>
      </w:r>
      <w:r w:rsidR="002A499C">
        <w:t>p</w:t>
      </w:r>
      <w:r w:rsidRPr="00544D9A">
        <w:t xml:space="preserve">erformance and </w:t>
      </w:r>
      <w:r w:rsidR="002A499C">
        <w:t>a</w:t>
      </w:r>
      <w:r w:rsidRPr="00544D9A">
        <w:t xml:space="preserve">chieving </w:t>
      </w:r>
      <w:r w:rsidR="002A499C">
        <w:t>s</w:t>
      </w:r>
      <w:r w:rsidRPr="00544D9A">
        <w:t xml:space="preserve">tatus </w:t>
      </w:r>
      <w:r w:rsidR="002A499C">
        <w:t>t</w:t>
      </w:r>
      <w:r w:rsidRPr="00544D9A">
        <w:t xml:space="preserve">hrough </w:t>
      </w:r>
      <w:r w:rsidR="002A499C">
        <w:t>c</w:t>
      </w:r>
      <w:r w:rsidRPr="00544D9A">
        <w:t xml:space="preserve">ertification </w:t>
      </w:r>
      <w:r w:rsidR="002A499C">
        <w:t>c</w:t>
      </w:r>
      <w:r w:rsidRPr="00544D9A">
        <w:t xml:space="preserve">ontests in the </w:t>
      </w:r>
      <w:r w:rsidR="002A499C">
        <w:t>c</w:t>
      </w:r>
      <w:r w:rsidRPr="00544D9A">
        <w:t xml:space="preserve">ontext of </w:t>
      </w:r>
      <w:r w:rsidR="002A499C">
        <w:t>e</w:t>
      </w:r>
      <w:r w:rsidRPr="00544D9A">
        <w:t xml:space="preserve">quity </w:t>
      </w:r>
      <w:r w:rsidR="002A499C">
        <w:t>a</w:t>
      </w:r>
      <w:r w:rsidRPr="00544D9A">
        <w:t xml:space="preserve">nalysts. </w:t>
      </w:r>
      <w:r w:rsidRPr="00544D9A">
        <w:rPr>
          <w:b/>
          <w:bCs/>
          <w:i/>
          <w:iCs/>
        </w:rPr>
        <w:t>Organization Science</w:t>
      </w:r>
      <w:r w:rsidRPr="00544D9A">
        <w:t>, 34(1): 75-99.</w:t>
      </w:r>
    </w:p>
    <w:p w14:paraId="3BEB94C5" w14:textId="77777777" w:rsidR="003A0118" w:rsidRPr="00544D9A" w:rsidRDefault="003A0118" w:rsidP="003A0118">
      <w:pPr>
        <w:ind w:left="270" w:hanging="270"/>
      </w:pPr>
      <w:r w:rsidRPr="00544D9A">
        <w:t xml:space="preserve">Penman, S. H. 1996. The articulation of price-earnings ratios and market-to-book ratios and the evaluation of growth. </w:t>
      </w:r>
      <w:r w:rsidRPr="00544D9A">
        <w:rPr>
          <w:b/>
          <w:bCs/>
          <w:i/>
          <w:iCs/>
        </w:rPr>
        <w:t>Journal of Accounting Research</w:t>
      </w:r>
      <w:r w:rsidRPr="00544D9A">
        <w:t>, 34 (2): 235-259.</w:t>
      </w:r>
    </w:p>
    <w:p w14:paraId="46BC6E5C" w14:textId="47544436" w:rsidR="00737835" w:rsidRPr="00544D9A" w:rsidRDefault="00737835" w:rsidP="007F25C6">
      <w:pPr>
        <w:ind w:left="270" w:hanging="270"/>
      </w:pPr>
      <w:r w:rsidRPr="00544D9A">
        <w:t xml:space="preserve">Penman, S. H. 2013. </w:t>
      </w:r>
      <w:r w:rsidRPr="00544D9A">
        <w:rPr>
          <w:b/>
          <w:bCs/>
          <w:i/>
          <w:iCs/>
        </w:rPr>
        <w:t>Financial statement analysis and security valuation</w:t>
      </w:r>
      <w:r w:rsidRPr="00544D9A">
        <w:t xml:space="preserve">. </w:t>
      </w:r>
      <w:r w:rsidR="00295EFE">
        <w:rPr>
          <w:rFonts w:hint="eastAsia"/>
        </w:rPr>
        <w:t xml:space="preserve">New York: </w:t>
      </w:r>
      <w:r w:rsidRPr="00544D9A">
        <w:t>McGraw-Hill.</w:t>
      </w:r>
    </w:p>
    <w:p w14:paraId="353295ED" w14:textId="77777777" w:rsidR="00737835" w:rsidRPr="00544D9A" w:rsidRDefault="00737835" w:rsidP="007F25C6">
      <w:pPr>
        <w:ind w:left="270" w:hanging="270"/>
      </w:pPr>
      <w:r w:rsidRPr="00544D9A">
        <w:t xml:space="preserve">Petrenko, O. V., Aime, F., Recendes, T., &amp; Chandler, J. A. 2019. The case for humble expectations: CEO humility and market performance. </w:t>
      </w:r>
      <w:r w:rsidRPr="00544D9A">
        <w:rPr>
          <w:b/>
          <w:bCs/>
          <w:i/>
          <w:iCs/>
        </w:rPr>
        <w:t>Strategic Management Journal</w:t>
      </w:r>
      <w:r w:rsidRPr="00544D9A">
        <w:t>, 40(12): 1938-1964.</w:t>
      </w:r>
    </w:p>
    <w:p w14:paraId="70AE8501" w14:textId="77777777" w:rsidR="00737835" w:rsidRPr="00544D9A" w:rsidRDefault="00737835" w:rsidP="00CA5836">
      <w:pPr>
        <w:ind w:left="270" w:hanging="270"/>
      </w:pPr>
      <w:r w:rsidRPr="00544D9A">
        <w:t xml:space="preserve">Pfarrer, M. D., Pollock, T. G., &amp; Rindova, V. P. 2010. A tale of two assets: The effects of firm reputation and celebrity on earnings surprises and investors' reactions. </w:t>
      </w:r>
      <w:r w:rsidRPr="00544D9A">
        <w:rPr>
          <w:b/>
          <w:bCs/>
          <w:i/>
          <w:iCs/>
        </w:rPr>
        <w:t>Academy of Management Journal</w:t>
      </w:r>
      <w:r w:rsidRPr="00544D9A">
        <w:t>, 53(5): 1131-1152.</w:t>
      </w:r>
    </w:p>
    <w:p w14:paraId="47B976A8" w14:textId="5740E512" w:rsidR="00737835" w:rsidRPr="00544D9A" w:rsidRDefault="00737835" w:rsidP="00CA5836">
      <w:pPr>
        <w:ind w:left="270" w:hanging="270"/>
      </w:pPr>
      <w:r w:rsidRPr="00544D9A">
        <w:t>Pinello, A. S. 2008. Investors</w:t>
      </w:r>
      <w:r w:rsidR="005610BC">
        <w:t>’</w:t>
      </w:r>
      <w:r w:rsidRPr="00544D9A">
        <w:t xml:space="preserve"> differential reaction to positive versus negative earnings surprises. </w:t>
      </w:r>
      <w:r w:rsidRPr="00544D9A">
        <w:rPr>
          <w:b/>
          <w:bCs/>
          <w:i/>
          <w:iCs/>
        </w:rPr>
        <w:t>Contemporary Accounting Research</w:t>
      </w:r>
      <w:r w:rsidRPr="00544D9A">
        <w:t>, 25(3): 891-920.</w:t>
      </w:r>
    </w:p>
    <w:p w14:paraId="3109EF5D" w14:textId="77777777" w:rsidR="00737835" w:rsidRPr="00544D9A" w:rsidRDefault="00737835" w:rsidP="00CA5836">
      <w:pPr>
        <w:ind w:left="270" w:hanging="270"/>
      </w:pPr>
      <w:r w:rsidRPr="00544D9A">
        <w:t xml:space="preserve">Porac, J. F., Thomas, H., Wilson, F., Paton, D., &amp; Kanfer, A. 1995. Rivalry and the industry model of Scottish knitwear producers. </w:t>
      </w:r>
      <w:r w:rsidRPr="00544D9A">
        <w:rPr>
          <w:b/>
          <w:bCs/>
          <w:i/>
          <w:iCs/>
        </w:rPr>
        <w:t>Administrative Science Quarterly</w:t>
      </w:r>
      <w:r w:rsidRPr="00544D9A">
        <w:t>, 40(2): 203-227.</w:t>
      </w:r>
    </w:p>
    <w:p w14:paraId="37D3A96B" w14:textId="77777777" w:rsidR="00737835" w:rsidRPr="00544D9A" w:rsidRDefault="00737835" w:rsidP="00CA5836">
      <w:pPr>
        <w:ind w:left="270" w:hanging="270"/>
      </w:pPr>
      <w:r w:rsidRPr="00544D9A">
        <w:t xml:space="preserve">Rhee, E. Y., &amp; Fiss, P. C. 2014. Framing controversial actions: Regulatory focus, source credibility, and stock market reaction to poison pill adoption. </w:t>
      </w:r>
      <w:r w:rsidRPr="00544D9A">
        <w:rPr>
          <w:b/>
          <w:bCs/>
          <w:i/>
          <w:iCs/>
        </w:rPr>
        <w:t>Academy of Management Journal</w:t>
      </w:r>
      <w:r w:rsidRPr="00544D9A">
        <w:t>, 57(6)</w:t>
      </w:r>
      <w:r w:rsidRPr="00544D9A">
        <w:rPr>
          <w:rFonts w:hint="eastAsia"/>
        </w:rPr>
        <w:t>:</w:t>
      </w:r>
      <w:r w:rsidRPr="00544D9A">
        <w:t xml:space="preserve"> 1734-1758.</w:t>
      </w:r>
    </w:p>
    <w:p w14:paraId="4E17326E" w14:textId="77777777" w:rsidR="00737835" w:rsidRPr="00544D9A" w:rsidRDefault="00737835" w:rsidP="00CA5836">
      <w:pPr>
        <w:ind w:left="270" w:hanging="270"/>
      </w:pPr>
      <w:r w:rsidRPr="00544D9A">
        <w:t xml:space="preserve">Rhee, M., &amp; Haunschild, P. R. 2006. The liability of good reputation: A study of product recalls in the U.S. automobile industry. </w:t>
      </w:r>
      <w:r w:rsidRPr="00544D9A">
        <w:rPr>
          <w:b/>
          <w:bCs/>
          <w:i/>
          <w:iCs/>
        </w:rPr>
        <w:t>Organization Science</w:t>
      </w:r>
      <w:r w:rsidRPr="00544D9A">
        <w:t>, 17(1): 101-117.</w:t>
      </w:r>
    </w:p>
    <w:p w14:paraId="0EB9BFD4" w14:textId="2B69C9F5" w:rsidR="00737835" w:rsidRPr="00544D9A" w:rsidRDefault="00737835" w:rsidP="00CA5836">
      <w:pPr>
        <w:ind w:left="270" w:hanging="270"/>
      </w:pPr>
      <w:r w:rsidRPr="00544D9A">
        <w:t>S&amp;P Global. 2025. S&amp;P 500 | S&amp;P Dow Jones Indices</w:t>
      </w:r>
      <w:r w:rsidR="00511728">
        <w:t>,</w:t>
      </w:r>
      <w:r w:rsidRPr="00544D9A">
        <w:t xml:space="preserve"> </w:t>
      </w:r>
      <w:hyperlink r:id="rId9" w:anchor="overview" w:history="1">
        <w:r w:rsidRPr="00544D9A">
          <w:rPr>
            <w:rStyle w:val="Hyperlink"/>
          </w:rPr>
          <w:t>https://www.spglobal.com/spdji/en/indices/equity/sp-500/#overview</w:t>
        </w:r>
      </w:hyperlink>
      <w:r w:rsidRPr="00544D9A">
        <w:t>. Accessed January 31, 2025.</w:t>
      </w:r>
    </w:p>
    <w:p w14:paraId="4684075C" w14:textId="77777777" w:rsidR="00737835" w:rsidRPr="00544D9A" w:rsidRDefault="00737835" w:rsidP="00CA5836">
      <w:pPr>
        <w:ind w:left="270" w:hanging="270"/>
      </w:pPr>
      <w:r w:rsidRPr="00544D9A">
        <w:t xml:space="preserve">Simon, H. A. 1955. A behavioral model of rational choice. </w:t>
      </w:r>
      <w:r w:rsidRPr="00544D9A">
        <w:rPr>
          <w:b/>
          <w:bCs/>
          <w:i/>
          <w:iCs/>
        </w:rPr>
        <w:t>Quarterly Journal of Economics</w:t>
      </w:r>
      <w:r w:rsidRPr="00544D9A">
        <w:t>, 69(1): 99-118.</w:t>
      </w:r>
    </w:p>
    <w:p w14:paraId="78320D5A" w14:textId="64DC0BF7" w:rsidR="00737835" w:rsidRPr="00544D9A" w:rsidRDefault="00737835" w:rsidP="00CA5836">
      <w:pPr>
        <w:ind w:left="270" w:hanging="270"/>
      </w:pPr>
      <w:r w:rsidRPr="00544D9A">
        <w:t>Snyder, M. &amp; Stukas Jr, A.</w:t>
      </w:r>
      <w:r w:rsidR="00E5706B">
        <w:t xml:space="preserve"> </w:t>
      </w:r>
      <w:r w:rsidRPr="00544D9A">
        <w:t xml:space="preserve">A. 1999. Interpersonal processes: The interplay of cognitive, motivational, and behavioral activities in social interaction. </w:t>
      </w:r>
      <w:r w:rsidRPr="00544D9A">
        <w:rPr>
          <w:b/>
          <w:bCs/>
          <w:i/>
          <w:iCs/>
        </w:rPr>
        <w:t>Annual Review of Psychology</w:t>
      </w:r>
      <w:r w:rsidRPr="00544D9A">
        <w:t>, 50(1): 273-303.</w:t>
      </w:r>
    </w:p>
    <w:p w14:paraId="0517528E" w14:textId="77777777" w:rsidR="00737835" w:rsidRPr="00544D9A" w:rsidRDefault="00737835" w:rsidP="00CA5836">
      <w:pPr>
        <w:ind w:left="270" w:hanging="270"/>
      </w:pPr>
      <w:r w:rsidRPr="00544D9A">
        <w:t xml:space="preserve">Tobin, J. 1969. A general equilibrium approach to monetary theory. </w:t>
      </w:r>
      <w:r w:rsidRPr="00591AFD">
        <w:rPr>
          <w:b/>
          <w:bCs/>
          <w:i/>
          <w:iCs/>
        </w:rPr>
        <w:t>Journal of Money, Credit and Banking</w:t>
      </w:r>
      <w:r w:rsidRPr="00544D9A">
        <w:t>, 1(1): 15-29.</w:t>
      </w:r>
    </w:p>
    <w:p w14:paraId="67ECF830" w14:textId="34D05AE3" w:rsidR="00737835" w:rsidRPr="00544D9A" w:rsidRDefault="00737835" w:rsidP="00CA5836">
      <w:pPr>
        <w:ind w:left="270" w:hanging="270"/>
      </w:pPr>
      <w:r w:rsidRPr="00544D9A">
        <w:t xml:space="preserve">Tversky, A. &amp; Kahneman, D. 1974. Judgment under </w:t>
      </w:r>
      <w:r w:rsidR="00E5706B">
        <w:t>u</w:t>
      </w:r>
      <w:r w:rsidRPr="00544D9A">
        <w:t xml:space="preserve">ncertainty: Heuristics and </w:t>
      </w:r>
      <w:r w:rsidR="00E5706B">
        <w:t>b</w:t>
      </w:r>
      <w:r w:rsidRPr="00544D9A">
        <w:t xml:space="preserve">iases: Biases in judgments reveal some heuristics of thinking under uncertainty. </w:t>
      </w:r>
      <w:r w:rsidRPr="00544D9A">
        <w:rPr>
          <w:b/>
          <w:bCs/>
          <w:i/>
          <w:iCs/>
        </w:rPr>
        <w:t>Science</w:t>
      </w:r>
      <w:r w:rsidRPr="00544D9A">
        <w:t>, 185(4157): 1124-1131.</w:t>
      </w:r>
    </w:p>
    <w:p w14:paraId="534D1308" w14:textId="77777777" w:rsidR="00737835" w:rsidRPr="00544D9A" w:rsidRDefault="00737835" w:rsidP="00CA5836">
      <w:pPr>
        <w:ind w:left="270" w:hanging="270"/>
      </w:pPr>
      <w:r w:rsidRPr="00544D9A">
        <w:t xml:space="preserve">Veenman, D., &amp; Verwijmeren, P. 2022. The earnings expectations game and the dispersion anomaly. </w:t>
      </w:r>
      <w:r w:rsidRPr="00544D9A">
        <w:rPr>
          <w:b/>
          <w:bCs/>
          <w:i/>
          <w:iCs/>
        </w:rPr>
        <w:t>Management Science</w:t>
      </w:r>
      <w:r w:rsidRPr="00544D9A">
        <w:t>, 68(4): 3129-3149.</w:t>
      </w:r>
    </w:p>
    <w:p w14:paraId="4EDFF146" w14:textId="77777777" w:rsidR="00737835" w:rsidRPr="00544D9A" w:rsidRDefault="00737835" w:rsidP="00CA5836">
      <w:pPr>
        <w:ind w:left="270" w:hanging="270"/>
      </w:pPr>
      <w:r w:rsidRPr="00544D9A">
        <w:t xml:space="preserve">Wade, J. B., Porac, J. F., Pollock, T. G., &amp; Graffin, S. D. 2006. The burden of celebrity: The impact of CEO certification contests on CEO pay and performance. </w:t>
      </w:r>
      <w:r w:rsidRPr="00544D9A">
        <w:rPr>
          <w:b/>
          <w:bCs/>
          <w:i/>
          <w:iCs/>
        </w:rPr>
        <w:t>Academy of Management Journal</w:t>
      </w:r>
      <w:r w:rsidRPr="00544D9A">
        <w:t>, 49(4): 643-660.</w:t>
      </w:r>
    </w:p>
    <w:p w14:paraId="4490DFA4" w14:textId="77777777" w:rsidR="00737835" w:rsidRPr="00544D9A" w:rsidRDefault="00737835" w:rsidP="00CA5836">
      <w:pPr>
        <w:ind w:left="270" w:hanging="270"/>
      </w:pPr>
      <w:r w:rsidRPr="00544D9A">
        <w:t xml:space="preserve">Wei, C., &amp; Zhang, L. 2023. Trust in financial markets: Evidence from reactions to earnings news. </w:t>
      </w:r>
      <w:r w:rsidRPr="00544D9A">
        <w:rPr>
          <w:b/>
          <w:bCs/>
          <w:i/>
          <w:iCs/>
        </w:rPr>
        <w:t>Management Science</w:t>
      </w:r>
      <w:r w:rsidRPr="00544D9A">
        <w:t>, 69(10)</w:t>
      </w:r>
      <w:r w:rsidRPr="00544D9A">
        <w:rPr>
          <w:rFonts w:hint="eastAsia"/>
        </w:rPr>
        <w:t xml:space="preserve">: </w:t>
      </w:r>
      <w:r w:rsidRPr="00544D9A">
        <w:t>6393-6415.</w:t>
      </w:r>
    </w:p>
    <w:p w14:paraId="317F07F5" w14:textId="63D72126" w:rsidR="00737835" w:rsidRPr="00544D9A" w:rsidRDefault="00737835" w:rsidP="00CA5836">
      <w:pPr>
        <w:ind w:left="270" w:hanging="270"/>
      </w:pPr>
      <w:r w:rsidRPr="00544D9A">
        <w:t xml:space="preserve">White, H. 1980. Using least squares to approximate unknown regression functions. </w:t>
      </w:r>
      <w:r w:rsidRPr="00544D9A">
        <w:rPr>
          <w:b/>
          <w:bCs/>
          <w:i/>
          <w:iCs/>
        </w:rPr>
        <w:t>International Economic Review</w:t>
      </w:r>
      <w:r w:rsidRPr="00544D9A">
        <w:t>, 21(1):</w:t>
      </w:r>
      <w:r w:rsidR="0057244A">
        <w:t xml:space="preserve"> </w:t>
      </w:r>
      <w:r w:rsidRPr="00544D9A">
        <w:t>149-170.</w:t>
      </w:r>
    </w:p>
    <w:p w14:paraId="348A49BF" w14:textId="2E365899" w:rsidR="00737835" w:rsidRPr="00544D9A" w:rsidRDefault="00737835" w:rsidP="00CA5836">
      <w:pPr>
        <w:ind w:left="270" w:hanging="270"/>
      </w:pPr>
      <w:r w:rsidRPr="00544D9A">
        <w:lastRenderedPageBreak/>
        <w:t xml:space="preserve">Wulf, J. 2009. Influence and inefficiency in the internal capital market. </w:t>
      </w:r>
      <w:r w:rsidRPr="00544D9A">
        <w:rPr>
          <w:b/>
          <w:bCs/>
          <w:i/>
          <w:iCs/>
        </w:rPr>
        <w:t>Journal of Economic Behavior &amp; Organ</w:t>
      </w:r>
      <w:r w:rsidR="0057244A">
        <w:rPr>
          <w:b/>
          <w:bCs/>
          <w:i/>
          <w:iCs/>
        </w:rPr>
        <w:t>i</w:t>
      </w:r>
      <w:r w:rsidRPr="00544D9A">
        <w:rPr>
          <w:b/>
          <w:bCs/>
          <w:i/>
          <w:iCs/>
        </w:rPr>
        <w:t>zation</w:t>
      </w:r>
      <w:r w:rsidRPr="00544D9A">
        <w:t>, 72(1): 305-321.</w:t>
      </w:r>
    </w:p>
    <w:p w14:paraId="6F69D631" w14:textId="695E0250" w:rsidR="00737835" w:rsidRPr="00544D9A" w:rsidRDefault="00737835" w:rsidP="00B90592">
      <w:pPr>
        <w:ind w:left="270" w:hanging="270"/>
      </w:pPr>
      <w:r w:rsidRPr="00544D9A">
        <w:t xml:space="preserve">Xu, R., Frank, K. A., Maroulis, S. J., &amp; Rosenberg, J. M. 2019. </w:t>
      </w:r>
      <w:r w:rsidR="0057244A">
        <w:t>K</w:t>
      </w:r>
      <w:r w:rsidRPr="00544D9A">
        <w:t xml:space="preserve">onfound: Command to quantify robustness of causal inferences. </w:t>
      </w:r>
      <w:r w:rsidRPr="00544D9A">
        <w:rPr>
          <w:b/>
          <w:bCs/>
          <w:i/>
          <w:iCs/>
        </w:rPr>
        <w:t>The Stata Journal</w:t>
      </w:r>
      <w:r w:rsidRPr="00544D9A">
        <w:t>, 19(3), 523-550.</w:t>
      </w:r>
    </w:p>
    <w:p w14:paraId="38C3EDB9" w14:textId="77777777" w:rsidR="00737835" w:rsidRDefault="00737835" w:rsidP="00CA5836">
      <w:pPr>
        <w:ind w:left="270" w:hanging="270"/>
      </w:pPr>
      <w:r w:rsidRPr="00544D9A">
        <w:t xml:space="preserve">Zhang, Y., &amp; Wiersema, M. F. 2009. Stock market reaction to CEO certification: The signaling role of CEO background. </w:t>
      </w:r>
      <w:r w:rsidRPr="00544D9A">
        <w:rPr>
          <w:b/>
          <w:bCs/>
          <w:i/>
        </w:rPr>
        <w:t>Strategic Management Journal</w:t>
      </w:r>
      <w:r w:rsidRPr="00544D9A">
        <w:rPr>
          <w:i/>
        </w:rPr>
        <w:t xml:space="preserve">, </w:t>
      </w:r>
      <w:r w:rsidRPr="00544D9A">
        <w:rPr>
          <w:iCs/>
        </w:rPr>
        <w:t>30</w:t>
      </w:r>
      <w:r w:rsidRPr="00544D9A">
        <w:t>(7): 693-710.</w:t>
      </w:r>
    </w:p>
    <w:p w14:paraId="61B06842" w14:textId="77777777" w:rsidR="00231125" w:rsidRDefault="00231125" w:rsidP="00FF4482"/>
    <w:p w14:paraId="2A5305CB" w14:textId="77777777" w:rsidR="00231125" w:rsidRDefault="00231125" w:rsidP="00231125">
      <w:pPr>
        <w:rPr>
          <w:b/>
          <w:bCs/>
        </w:rPr>
        <w:sectPr w:rsidR="00231125" w:rsidSect="00B10202">
          <w:footerReference w:type="even" r:id="rId10"/>
          <w:footerReference w:type="default" r:id="rId11"/>
          <w:pgSz w:w="12240" w:h="15840" w:code="9"/>
          <w:pgMar w:top="1440" w:right="1440" w:bottom="1440" w:left="1440" w:header="720" w:footer="720" w:gutter="0"/>
          <w:cols w:space="720"/>
          <w:docGrid w:linePitch="360"/>
        </w:sectPr>
      </w:pPr>
    </w:p>
    <w:p w14:paraId="30D06740" w14:textId="23C5A79D" w:rsidR="00231125" w:rsidRDefault="00231125" w:rsidP="005F25E8">
      <w:pPr>
        <w:spacing w:after="120"/>
        <w:rPr>
          <w:b/>
          <w:bCs/>
        </w:rPr>
      </w:pPr>
      <w:bookmarkStart w:id="45" w:name="OLE_LINK28"/>
      <w:r w:rsidRPr="00BD1BB7">
        <w:rPr>
          <w:b/>
          <w:bCs/>
        </w:rPr>
        <w:lastRenderedPageBreak/>
        <w:t>TABLE 1. Descriptive statistics</w:t>
      </w:r>
      <w:r>
        <w:rPr>
          <w:b/>
          <w:bCs/>
        </w:rPr>
        <w:t xml:space="preserve"> and correlations</w:t>
      </w:r>
    </w:p>
    <w:tbl>
      <w:tblPr>
        <w:tblW w:w="11590" w:type="dxa"/>
        <w:tblLayout w:type="fixed"/>
        <w:tblLook w:val="0000" w:firstRow="0" w:lastRow="0" w:firstColumn="0" w:lastColumn="0" w:noHBand="0" w:noVBand="0"/>
      </w:tblPr>
      <w:tblGrid>
        <w:gridCol w:w="4928"/>
        <w:gridCol w:w="709"/>
        <w:gridCol w:w="850"/>
        <w:gridCol w:w="851"/>
        <w:gridCol w:w="850"/>
        <w:gridCol w:w="851"/>
        <w:gridCol w:w="850"/>
        <w:gridCol w:w="851"/>
        <w:gridCol w:w="850"/>
      </w:tblGrid>
      <w:tr w:rsidR="00B2025B" w:rsidRPr="00A94B15" w14:paraId="3C22220F" w14:textId="77777777" w:rsidTr="006524D0">
        <w:tc>
          <w:tcPr>
            <w:tcW w:w="4928" w:type="dxa"/>
            <w:tcBorders>
              <w:top w:val="single" w:sz="4" w:space="0" w:color="auto"/>
              <w:left w:val="nil"/>
              <w:bottom w:val="single" w:sz="6" w:space="0" w:color="auto"/>
              <w:right w:val="nil"/>
            </w:tcBorders>
          </w:tcPr>
          <w:p w14:paraId="709260D8" w14:textId="77777777" w:rsidR="00B2025B" w:rsidRPr="00EF1E22" w:rsidRDefault="00B2025B" w:rsidP="006524D0">
            <w:pPr>
              <w:widowControl w:val="0"/>
              <w:autoSpaceDE w:val="0"/>
              <w:autoSpaceDN w:val="0"/>
              <w:adjustRightInd w:val="0"/>
              <w:rPr>
                <w:b/>
                <w:bCs/>
                <w:sz w:val="20"/>
                <w:szCs w:val="20"/>
              </w:rPr>
            </w:pPr>
            <w:r w:rsidRPr="00EF1E22">
              <w:rPr>
                <w:b/>
                <w:bCs/>
                <w:sz w:val="20"/>
                <w:szCs w:val="20"/>
              </w:rPr>
              <w:t>Variables</w:t>
            </w:r>
          </w:p>
        </w:tc>
        <w:tc>
          <w:tcPr>
            <w:tcW w:w="709" w:type="dxa"/>
            <w:tcBorders>
              <w:top w:val="single" w:sz="4" w:space="0" w:color="auto"/>
              <w:left w:val="nil"/>
              <w:bottom w:val="single" w:sz="6" w:space="0" w:color="auto"/>
              <w:right w:val="nil"/>
            </w:tcBorders>
          </w:tcPr>
          <w:p w14:paraId="3A9A4258"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Mean</w:t>
            </w:r>
          </w:p>
        </w:tc>
        <w:tc>
          <w:tcPr>
            <w:tcW w:w="850" w:type="dxa"/>
            <w:tcBorders>
              <w:top w:val="single" w:sz="4" w:space="0" w:color="auto"/>
              <w:left w:val="nil"/>
              <w:bottom w:val="single" w:sz="6" w:space="0" w:color="auto"/>
              <w:right w:val="nil"/>
            </w:tcBorders>
          </w:tcPr>
          <w:p w14:paraId="4AEFF7D2"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SD</w:t>
            </w:r>
          </w:p>
        </w:tc>
        <w:tc>
          <w:tcPr>
            <w:tcW w:w="851" w:type="dxa"/>
            <w:tcBorders>
              <w:top w:val="single" w:sz="4" w:space="0" w:color="auto"/>
              <w:left w:val="nil"/>
              <w:bottom w:val="single" w:sz="6" w:space="0" w:color="auto"/>
              <w:right w:val="nil"/>
            </w:tcBorders>
          </w:tcPr>
          <w:p w14:paraId="7303028F"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(1)</w:t>
            </w:r>
          </w:p>
        </w:tc>
        <w:tc>
          <w:tcPr>
            <w:tcW w:w="850" w:type="dxa"/>
            <w:tcBorders>
              <w:top w:val="single" w:sz="4" w:space="0" w:color="auto"/>
              <w:left w:val="nil"/>
              <w:bottom w:val="single" w:sz="6" w:space="0" w:color="auto"/>
              <w:right w:val="nil"/>
            </w:tcBorders>
          </w:tcPr>
          <w:p w14:paraId="55862EE5"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(2)</w:t>
            </w:r>
          </w:p>
        </w:tc>
        <w:tc>
          <w:tcPr>
            <w:tcW w:w="851" w:type="dxa"/>
            <w:tcBorders>
              <w:top w:val="single" w:sz="4" w:space="0" w:color="auto"/>
              <w:left w:val="nil"/>
              <w:bottom w:val="single" w:sz="6" w:space="0" w:color="auto"/>
              <w:right w:val="nil"/>
            </w:tcBorders>
          </w:tcPr>
          <w:p w14:paraId="17C1E647"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(3)</w:t>
            </w:r>
          </w:p>
        </w:tc>
        <w:tc>
          <w:tcPr>
            <w:tcW w:w="850" w:type="dxa"/>
            <w:tcBorders>
              <w:top w:val="single" w:sz="4" w:space="0" w:color="auto"/>
              <w:left w:val="nil"/>
              <w:bottom w:val="single" w:sz="6" w:space="0" w:color="auto"/>
              <w:right w:val="nil"/>
            </w:tcBorders>
          </w:tcPr>
          <w:p w14:paraId="04ABF887"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(4)</w:t>
            </w:r>
          </w:p>
        </w:tc>
        <w:tc>
          <w:tcPr>
            <w:tcW w:w="851" w:type="dxa"/>
            <w:tcBorders>
              <w:top w:val="single" w:sz="4" w:space="0" w:color="auto"/>
              <w:left w:val="nil"/>
              <w:bottom w:val="single" w:sz="6" w:space="0" w:color="auto"/>
              <w:right w:val="nil"/>
            </w:tcBorders>
          </w:tcPr>
          <w:p w14:paraId="546A1880"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(5)</w:t>
            </w:r>
          </w:p>
        </w:tc>
        <w:tc>
          <w:tcPr>
            <w:tcW w:w="850" w:type="dxa"/>
            <w:tcBorders>
              <w:top w:val="single" w:sz="4" w:space="0" w:color="auto"/>
              <w:left w:val="nil"/>
              <w:bottom w:val="single" w:sz="6" w:space="0" w:color="auto"/>
              <w:right w:val="nil"/>
            </w:tcBorders>
          </w:tcPr>
          <w:p w14:paraId="053ACEF4"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(6)</w:t>
            </w:r>
          </w:p>
        </w:tc>
      </w:tr>
      <w:tr w:rsidR="00B2025B" w:rsidRPr="00A94B15" w14:paraId="59A5B969" w14:textId="77777777" w:rsidTr="006524D0">
        <w:tc>
          <w:tcPr>
            <w:tcW w:w="4928" w:type="dxa"/>
            <w:tcBorders>
              <w:top w:val="nil"/>
              <w:left w:val="nil"/>
              <w:bottom w:val="nil"/>
              <w:right w:val="nil"/>
            </w:tcBorders>
          </w:tcPr>
          <w:p w14:paraId="048174DE"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(1) </w:t>
            </w:r>
            <w:r>
              <w:rPr>
                <w:rFonts w:hint="eastAsia"/>
                <w:sz w:val="20"/>
                <w:szCs w:val="20"/>
              </w:rPr>
              <w:t>Investor reactions</w:t>
            </w:r>
          </w:p>
        </w:tc>
        <w:tc>
          <w:tcPr>
            <w:tcW w:w="709" w:type="dxa"/>
            <w:tcBorders>
              <w:top w:val="nil"/>
              <w:left w:val="nil"/>
              <w:bottom w:val="nil"/>
              <w:right w:val="nil"/>
            </w:tcBorders>
          </w:tcPr>
          <w:p w14:paraId="756D0CD6" w14:textId="77777777" w:rsidR="00B2025B" w:rsidRPr="00EF1E22" w:rsidRDefault="00B2025B" w:rsidP="006524D0">
            <w:pPr>
              <w:widowControl w:val="0"/>
              <w:autoSpaceDE w:val="0"/>
              <w:autoSpaceDN w:val="0"/>
              <w:adjustRightInd w:val="0"/>
              <w:jc w:val="right"/>
              <w:rPr>
                <w:sz w:val="20"/>
                <w:szCs w:val="20"/>
              </w:rPr>
            </w:pPr>
            <w:r w:rsidRPr="00EF1E22">
              <w:rPr>
                <w:sz w:val="20"/>
                <w:szCs w:val="20"/>
              </w:rPr>
              <w:t>0</w:t>
            </w:r>
          </w:p>
        </w:tc>
        <w:tc>
          <w:tcPr>
            <w:tcW w:w="850" w:type="dxa"/>
            <w:tcBorders>
              <w:top w:val="nil"/>
              <w:left w:val="nil"/>
              <w:bottom w:val="nil"/>
              <w:right w:val="nil"/>
            </w:tcBorders>
          </w:tcPr>
          <w:p w14:paraId="739263AD"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.06</w:t>
            </w:r>
          </w:p>
        </w:tc>
        <w:tc>
          <w:tcPr>
            <w:tcW w:w="851" w:type="dxa"/>
            <w:tcBorders>
              <w:top w:val="nil"/>
              <w:left w:val="nil"/>
              <w:bottom w:val="nil"/>
              <w:right w:val="nil"/>
            </w:tcBorders>
          </w:tcPr>
          <w:p w14:paraId="5206E074"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0" w:type="dxa"/>
            <w:tcBorders>
              <w:top w:val="nil"/>
              <w:left w:val="nil"/>
              <w:bottom w:val="nil"/>
              <w:right w:val="nil"/>
            </w:tcBorders>
          </w:tcPr>
          <w:p w14:paraId="6CDD9EAD"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0D1D3934"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3528382A"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62FF668B"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7B0DC0AD"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2EBFBA56" w14:textId="77777777" w:rsidTr="006524D0">
        <w:tc>
          <w:tcPr>
            <w:tcW w:w="4928" w:type="dxa"/>
            <w:tcBorders>
              <w:top w:val="nil"/>
              <w:left w:val="nil"/>
              <w:bottom w:val="nil"/>
              <w:right w:val="nil"/>
            </w:tcBorders>
          </w:tcPr>
          <w:p w14:paraId="45C6E80E" w14:textId="2432A119" w:rsidR="00B2025B" w:rsidRPr="00EF1E22" w:rsidRDefault="00B2025B" w:rsidP="006524D0">
            <w:pPr>
              <w:widowControl w:val="0"/>
              <w:autoSpaceDE w:val="0"/>
              <w:autoSpaceDN w:val="0"/>
              <w:adjustRightInd w:val="0"/>
              <w:rPr>
                <w:sz w:val="20"/>
                <w:szCs w:val="20"/>
              </w:rPr>
            </w:pPr>
            <w:r w:rsidRPr="00EF1E22">
              <w:rPr>
                <w:sz w:val="20"/>
                <w:szCs w:val="20"/>
              </w:rPr>
              <w:t>(2) Predictive expecta</w:t>
            </w:r>
            <w:r w:rsidR="00B96EC6">
              <w:rPr>
                <w:sz w:val="20"/>
                <w:szCs w:val="20"/>
              </w:rPr>
              <w:t>ncy</w:t>
            </w:r>
            <w:r w:rsidRPr="00EF1E22">
              <w:rPr>
                <w:sz w:val="20"/>
                <w:szCs w:val="20"/>
              </w:rPr>
              <w:t xml:space="preserve"> violation (positive)</w:t>
            </w:r>
          </w:p>
        </w:tc>
        <w:tc>
          <w:tcPr>
            <w:tcW w:w="709" w:type="dxa"/>
            <w:tcBorders>
              <w:top w:val="nil"/>
              <w:left w:val="nil"/>
              <w:bottom w:val="nil"/>
              <w:right w:val="nil"/>
            </w:tcBorders>
          </w:tcPr>
          <w:p w14:paraId="7AC14509" w14:textId="77777777" w:rsidR="00B2025B" w:rsidRPr="00EF1E22" w:rsidRDefault="00B2025B" w:rsidP="006524D0">
            <w:pPr>
              <w:widowControl w:val="0"/>
              <w:autoSpaceDE w:val="0"/>
              <w:autoSpaceDN w:val="0"/>
              <w:adjustRightInd w:val="0"/>
              <w:jc w:val="right"/>
              <w:rPr>
                <w:sz w:val="20"/>
                <w:szCs w:val="20"/>
              </w:rPr>
            </w:pPr>
            <w:r w:rsidRPr="00EF1E22">
              <w:rPr>
                <w:sz w:val="20"/>
                <w:szCs w:val="20"/>
              </w:rPr>
              <w:t>0.14</w:t>
            </w:r>
          </w:p>
        </w:tc>
        <w:tc>
          <w:tcPr>
            <w:tcW w:w="850" w:type="dxa"/>
            <w:tcBorders>
              <w:top w:val="nil"/>
              <w:left w:val="nil"/>
              <w:bottom w:val="nil"/>
              <w:right w:val="nil"/>
            </w:tcBorders>
          </w:tcPr>
          <w:p w14:paraId="6382764F" w14:textId="77777777" w:rsidR="00B2025B" w:rsidRPr="00EF1E22" w:rsidRDefault="00B2025B" w:rsidP="006524D0">
            <w:pPr>
              <w:widowControl w:val="0"/>
              <w:autoSpaceDE w:val="0"/>
              <w:autoSpaceDN w:val="0"/>
              <w:adjustRightInd w:val="0"/>
              <w:jc w:val="right"/>
              <w:rPr>
                <w:sz w:val="20"/>
                <w:szCs w:val="20"/>
              </w:rPr>
            </w:pPr>
            <w:r w:rsidRPr="00EF1E22">
              <w:rPr>
                <w:sz w:val="20"/>
                <w:szCs w:val="20"/>
              </w:rPr>
              <w:t>1.1</w:t>
            </w:r>
            <w:r>
              <w:rPr>
                <w:rFonts w:hint="eastAsia"/>
                <w:sz w:val="20"/>
                <w:szCs w:val="20"/>
              </w:rPr>
              <w:t>1</w:t>
            </w:r>
          </w:p>
        </w:tc>
        <w:tc>
          <w:tcPr>
            <w:tcW w:w="851" w:type="dxa"/>
            <w:tcBorders>
              <w:top w:val="nil"/>
              <w:left w:val="nil"/>
              <w:bottom w:val="nil"/>
              <w:right w:val="nil"/>
            </w:tcBorders>
          </w:tcPr>
          <w:p w14:paraId="1F01A146"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0.08</w:t>
            </w:r>
          </w:p>
        </w:tc>
        <w:tc>
          <w:tcPr>
            <w:tcW w:w="850" w:type="dxa"/>
            <w:tcBorders>
              <w:top w:val="nil"/>
              <w:left w:val="nil"/>
              <w:bottom w:val="nil"/>
              <w:right w:val="nil"/>
            </w:tcBorders>
          </w:tcPr>
          <w:p w14:paraId="1C94B57A"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1" w:type="dxa"/>
            <w:tcBorders>
              <w:top w:val="nil"/>
              <w:left w:val="nil"/>
              <w:bottom w:val="nil"/>
              <w:right w:val="nil"/>
            </w:tcBorders>
          </w:tcPr>
          <w:p w14:paraId="1002C1E5"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54D526FC"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1045859D"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5623995F"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2C7489FB" w14:textId="77777777" w:rsidTr="006524D0">
        <w:tc>
          <w:tcPr>
            <w:tcW w:w="4928" w:type="dxa"/>
            <w:tcBorders>
              <w:top w:val="nil"/>
              <w:left w:val="nil"/>
              <w:bottom w:val="nil"/>
              <w:right w:val="nil"/>
            </w:tcBorders>
          </w:tcPr>
          <w:p w14:paraId="0C5C5381" w14:textId="1E40C798" w:rsidR="00B2025B" w:rsidRPr="00EF1E22" w:rsidRDefault="00B2025B" w:rsidP="006524D0">
            <w:pPr>
              <w:widowControl w:val="0"/>
              <w:autoSpaceDE w:val="0"/>
              <w:autoSpaceDN w:val="0"/>
              <w:adjustRightInd w:val="0"/>
              <w:rPr>
                <w:sz w:val="20"/>
                <w:szCs w:val="20"/>
              </w:rPr>
            </w:pPr>
            <w:r w:rsidRPr="00EF1E22">
              <w:rPr>
                <w:sz w:val="20"/>
                <w:szCs w:val="20"/>
              </w:rPr>
              <w:t>(3) Predictive expecta</w:t>
            </w:r>
            <w:r w:rsidR="00B96EC6">
              <w:rPr>
                <w:sz w:val="20"/>
                <w:szCs w:val="20"/>
              </w:rPr>
              <w:t>ncy</w:t>
            </w:r>
            <w:r w:rsidRPr="00EF1E22">
              <w:rPr>
                <w:sz w:val="20"/>
                <w:szCs w:val="20"/>
              </w:rPr>
              <w:t xml:space="preserve"> violation (negative)</w:t>
            </w:r>
          </w:p>
        </w:tc>
        <w:tc>
          <w:tcPr>
            <w:tcW w:w="709" w:type="dxa"/>
            <w:tcBorders>
              <w:top w:val="nil"/>
              <w:left w:val="nil"/>
              <w:bottom w:val="nil"/>
              <w:right w:val="nil"/>
            </w:tcBorders>
          </w:tcPr>
          <w:p w14:paraId="4CFC42AC"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.0</w:t>
            </w:r>
            <w:r>
              <w:rPr>
                <w:rFonts w:hint="eastAsia"/>
                <w:sz w:val="20"/>
                <w:szCs w:val="20"/>
              </w:rPr>
              <w:t>9</w:t>
            </w:r>
          </w:p>
        </w:tc>
        <w:tc>
          <w:tcPr>
            <w:tcW w:w="850" w:type="dxa"/>
            <w:tcBorders>
              <w:top w:val="nil"/>
              <w:left w:val="nil"/>
              <w:bottom w:val="nil"/>
              <w:right w:val="nil"/>
            </w:tcBorders>
          </w:tcPr>
          <w:p w14:paraId="04968CEA" w14:textId="77777777" w:rsidR="00B2025B" w:rsidRPr="00EF1E22" w:rsidRDefault="00B2025B" w:rsidP="006524D0">
            <w:pPr>
              <w:widowControl w:val="0"/>
              <w:autoSpaceDE w:val="0"/>
              <w:autoSpaceDN w:val="0"/>
              <w:adjustRightInd w:val="0"/>
              <w:jc w:val="right"/>
              <w:rPr>
                <w:sz w:val="20"/>
                <w:szCs w:val="20"/>
              </w:rPr>
            </w:pPr>
            <w:r w:rsidRPr="00EF1E22">
              <w:rPr>
                <w:sz w:val="20"/>
                <w:szCs w:val="20"/>
              </w:rPr>
              <w:t>1.0</w:t>
            </w:r>
            <w:r>
              <w:rPr>
                <w:rFonts w:hint="eastAsia"/>
                <w:sz w:val="20"/>
                <w:szCs w:val="20"/>
              </w:rPr>
              <w:t>1</w:t>
            </w:r>
          </w:p>
        </w:tc>
        <w:tc>
          <w:tcPr>
            <w:tcW w:w="851" w:type="dxa"/>
            <w:tcBorders>
              <w:top w:val="nil"/>
              <w:left w:val="nil"/>
              <w:bottom w:val="nil"/>
              <w:right w:val="nil"/>
            </w:tcBorders>
          </w:tcPr>
          <w:p w14:paraId="1EA8AAFA"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5</w:t>
            </w:r>
          </w:p>
        </w:tc>
        <w:tc>
          <w:tcPr>
            <w:tcW w:w="850" w:type="dxa"/>
            <w:tcBorders>
              <w:top w:val="nil"/>
              <w:left w:val="nil"/>
              <w:bottom w:val="nil"/>
              <w:right w:val="nil"/>
            </w:tcBorders>
          </w:tcPr>
          <w:p w14:paraId="47B3F49D"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-0.01</w:t>
            </w:r>
          </w:p>
        </w:tc>
        <w:tc>
          <w:tcPr>
            <w:tcW w:w="851" w:type="dxa"/>
            <w:tcBorders>
              <w:top w:val="nil"/>
              <w:left w:val="nil"/>
              <w:bottom w:val="nil"/>
              <w:right w:val="nil"/>
            </w:tcBorders>
          </w:tcPr>
          <w:p w14:paraId="5DBC02ED"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0" w:type="dxa"/>
            <w:tcBorders>
              <w:top w:val="nil"/>
              <w:left w:val="nil"/>
              <w:bottom w:val="nil"/>
              <w:right w:val="nil"/>
            </w:tcBorders>
          </w:tcPr>
          <w:p w14:paraId="10C91A6A"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0E06FF98"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3D882EB4"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66BEEEF7" w14:textId="77777777" w:rsidTr="006524D0">
        <w:tc>
          <w:tcPr>
            <w:tcW w:w="4928" w:type="dxa"/>
            <w:tcBorders>
              <w:top w:val="nil"/>
              <w:left w:val="nil"/>
              <w:bottom w:val="nil"/>
              <w:right w:val="nil"/>
            </w:tcBorders>
          </w:tcPr>
          <w:p w14:paraId="0DDE2CD1" w14:textId="47BA2C8F" w:rsidR="00B2025B" w:rsidRPr="00EF1E22" w:rsidRDefault="00B2025B" w:rsidP="006524D0">
            <w:pPr>
              <w:widowControl w:val="0"/>
              <w:autoSpaceDE w:val="0"/>
              <w:autoSpaceDN w:val="0"/>
              <w:adjustRightInd w:val="0"/>
              <w:rPr>
                <w:sz w:val="20"/>
                <w:szCs w:val="20"/>
              </w:rPr>
            </w:pPr>
            <w:r w:rsidRPr="00EF1E22">
              <w:rPr>
                <w:sz w:val="20"/>
                <w:szCs w:val="20"/>
              </w:rPr>
              <w:t>(4) Prescriptive expecta</w:t>
            </w:r>
            <w:r w:rsidR="00B96EC6">
              <w:rPr>
                <w:sz w:val="20"/>
                <w:szCs w:val="20"/>
              </w:rPr>
              <w:t>ncy</w:t>
            </w:r>
            <w:r w:rsidRPr="00EF1E22">
              <w:rPr>
                <w:sz w:val="20"/>
                <w:szCs w:val="20"/>
              </w:rPr>
              <w:t xml:space="preserve"> violation (past performance)</w:t>
            </w:r>
          </w:p>
        </w:tc>
        <w:tc>
          <w:tcPr>
            <w:tcW w:w="709" w:type="dxa"/>
            <w:tcBorders>
              <w:top w:val="nil"/>
              <w:left w:val="nil"/>
              <w:bottom w:val="nil"/>
              <w:right w:val="nil"/>
            </w:tcBorders>
          </w:tcPr>
          <w:p w14:paraId="1F69FE1B"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.4</w:t>
            </w:r>
            <w:r>
              <w:rPr>
                <w:rFonts w:hint="eastAsia"/>
                <w:sz w:val="20"/>
                <w:szCs w:val="20"/>
              </w:rPr>
              <w:t>8</w:t>
            </w:r>
          </w:p>
        </w:tc>
        <w:tc>
          <w:tcPr>
            <w:tcW w:w="850" w:type="dxa"/>
            <w:tcBorders>
              <w:top w:val="nil"/>
              <w:left w:val="nil"/>
              <w:bottom w:val="nil"/>
              <w:right w:val="nil"/>
            </w:tcBorders>
          </w:tcPr>
          <w:p w14:paraId="404623C8"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w:t>
            </w:r>
            <w:r>
              <w:rPr>
                <w:rFonts w:hint="eastAsia"/>
                <w:sz w:val="20"/>
                <w:szCs w:val="20"/>
              </w:rPr>
              <w:t>50</w:t>
            </w:r>
          </w:p>
        </w:tc>
        <w:tc>
          <w:tcPr>
            <w:tcW w:w="851" w:type="dxa"/>
            <w:tcBorders>
              <w:top w:val="nil"/>
              <w:left w:val="nil"/>
              <w:bottom w:val="nil"/>
              <w:right w:val="nil"/>
            </w:tcBorders>
          </w:tcPr>
          <w:p w14:paraId="5DD77E8E"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-0.19</w:t>
            </w:r>
          </w:p>
        </w:tc>
        <w:tc>
          <w:tcPr>
            <w:tcW w:w="850" w:type="dxa"/>
            <w:tcBorders>
              <w:top w:val="nil"/>
              <w:left w:val="nil"/>
              <w:bottom w:val="nil"/>
              <w:right w:val="nil"/>
            </w:tcBorders>
          </w:tcPr>
          <w:p w14:paraId="2F1EF1B1"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-0.09</w:t>
            </w:r>
          </w:p>
        </w:tc>
        <w:tc>
          <w:tcPr>
            <w:tcW w:w="851" w:type="dxa"/>
            <w:tcBorders>
              <w:top w:val="nil"/>
              <w:left w:val="nil"/>
              <w:bottom w:val="nil"/>
              <w:right w:val="nil"/>
            </w:tcBorders>
          </w:tcPr>
          <w:p w14:paraId="512AE08D"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0.07</w:t>
            </w:r>
          </w:p>
        </w:tc>
        <w:tc>
          <w:tcPr>
            <w:tcW w:w="850" w:type="dxa"/>
            <w:tcBorders>
              <w:top w:val="nil"/>
              <w:left w:val="nil"/>
              <w:bottom w:val="nil"/>
              <w:right w:val="nil"/>
            </w:tcBorders>
          </w:tcPr>
          <w:p w14:paraId="74F56579"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1" w:type="dxa"/>
            <w:tcBorders>
              <w:top w:val="nil"/>
              <w:left w:val="nil"/>
              <w:bottom w:val="nil"/>
              <w:right w:val="nil"/>
            </w:tcBorders>
          </w:tcPr>
          <w:p w14:paraId="0542D483"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6FDF5B50"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60502979" w14:textId="77777777" w:rsidTr="006524D0">
        <w:tc>
          <w:tcPr>
            <w:tcW w:w="4928" w:type="dxa"/>
            <w:tcBorders>
              <w:top w:val="nil"/>
              <w:left w:val="nil"/>
              <w:bottom w:val="nil"/>
              <w:right w:val="nil"/>
            </w:tcBorders>
          </w:tcPr>
          <w:p w14:paraId="45E270F1" w14:textId="28B862B8" w:rsidR="00B2025B" w:rsidRPr="00EF1E22" w:rsidRDefault="00B2025B" w:rsidP="006524D0">
            <w:pPr>
              <w:widowControl w:val="0"/>
              <w:autoSpaceDE w:val="0"/>
              <w:autoSpaceDN w:val="0"/>
              <w:adjustRightInd w:val="0"/>
              <w:rPr>
                <w:sz w:val="20"/>
                <w:szCs w:val="20"/>
              </w:rPr>
            </w:pPr>
            <w:r w:rsidRPr="00EF1E22">
              <w:rPr>
                <w:sz w:val="20"/>
                <w:szCs w:val="20"/>
              </w:rPr>
              <w:t>(5) Prescriptive expecta</w:t>
            </w:r>
            <w:r w:rsidR="00B96EC6">
              <w:rPr>
                <w:sz w:val="20"/>
                <w:szCs w:val="20"/>
              </w:rPr>
              <w:t>ncy</w:t>
            </w:r>
            <w:r w:rsidRPr="00EF1E22">
              <w:rPr>
                <w:sz w:val="20"/>
                <w:szCs w:val="20"/>
              </w:rPr>
              <w:t xml:space="preserve"> violation (peer comparison)</w:t>
            </w:r>
          </w:p>
        </w:tc>
        <w:tc>
          <w:tcPr>
            <w:tcW w:w="709" w:type="dxa"/>
            <w:tcBorders>
              <w:top w:val="nil"/>
              <w:left w:val="nil"/>
              <w:bottom w:val="nil"/>
              <w:right w:val="nil"/>
            </w:tcBorders>
          </w:tcPr>
          <w:p w14:paraId="1B13A705"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.5</w:t>
            </w:r>
            <w:r>
              <w:rPr>
                <w:rFonts w:hint="eastAsia"/>
                <w:sz w:val="20"/>
                <w:szCs w:val="20"/>
              </w:rPr>
              <w:t>4</w:t>
            </w:r>
          </w:p>
        </w:tc>
        <w:tc>
          <w:tcPr>
            <w:tcW w:w="850" w:type="dxa"/>
            <w:tcBorders>
              <w:top w:val="nil"/>
              <w:left w:val="nil"/>
              <w:bottom w:val="nil"/>
              <w:right w:val="nil"/>
            </w:tcBorders>
          </w:tcPr>
          <w:p w14:paraId="5BFB19A5"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w:t>
            </w:r>
            <w:r>
              <w:rPr>
                <w:rFonts w:hint="eastAsia"/>
                <w:sz w:val="20"/>
                <w:szCs w:val="20"/>
              </w:rPr>
              <w:t>50</w:t>
            </w:r>
          </w:p>
        </w:tc>
        <w:tc>
          <w:tcPr>
            <w:tcW w:w="851" w:type="dxa"/>
            <w:tcBorders>
              <w:top w:val="nil"/>
              <w:left w:val="nil"/>
              <w:bottom w:val="nil"/>
              <w:right w:val="nil"/>
            </w:tcBorders>
          </w:tcPr>
          <w:p w14:paraId="4B13BCF0"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-0.1</w:t>
            </w:r>
            <w:r>
              <w:rPr>
                <w:rFonts w:hint="eastAsia"/>
                <w:sz w:val="20"/>
                <w:szCs w:val="20"/>
              </w:rPr>
              <w:t>8</w:t>
            </w:r>
          </w:p>
        </w:tc>
        <w:tc>
          <w:tcPr>
            <w:tcW w:w="850" w:type="dxa"/>
            <w:tcBorders>
              <w:top w:val="nil"/>
              <w:left w:val="nil"/>
              <w:bottom w:val="nil"/>
              <w:right w:val="nil"/>
            </w:tcBorders>
          </w:tcPr>
          <w:p w14:paraId="4F440F8A"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-0.13</w:t>
            </w:r>
          </w:p>
        </w:tc>
        <w:tc>
          <w:tcPr>
            <w:tcW w:w="851" w:type="dxa"/>
            <w:tcBorders>
              <w:top w:val="nil"/>
              <w:left w:val="nil"/>
              <w:bottom w:val="nil"/>
              <w:right w:val="nil"/>
            </w:tcBorders>
          </w:tcPr>
          <w:p w14:paraId="0114FE7F"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0.08</w:t>
            </w:r>
          </w:p>
        </w:tc>
        <w:tc>
          <w:tcPr>
            <w:tcW w:w="850" w:type="dxa"/>
            <w:tcBorders>
              <w:top w:val="nil"/>
              <w:left w:val="nil"/>
              <w:bottom w:val="nil"/>
              <w:right w:val="nil"/>
            </w:tcBorders>
          </w:tcPr>
          <w:p w14:paraId="1D740E0E"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0.2</w:t>
            </w:r>
            <w:r>
              <w:rPr>
                <w:rFonts w:hint="eastAsia"/>
                <w:sz w:val="20"/>
                <w:szCs w:val="20"/>
              </w:rPr>
              <w:t>5</w:t>
            </w:r>
          </w:p>
        </w:tc>
        <w:tc>
          <w:tcPr>
            <w:tcW w:w="851" w:type="dxa"/>
            <w:tcBorders>
              <w:top w:val="nil"/>
              <w:left w:val="nil"/>
              <w:bottom w:val="nil"/>
              <w:right w:val="nil"/>
            </w:tcBorders>
          </w:tcPr>
          <w:p w14:paraId="084BE03E"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0" w:type="dxa"/>
            <w:tcBorders>
              <w:top w:val="nil"/>
              <w:left w:val="nil"/>
              <w:bottom w:val="nil"/>
              <w:right w:val="nil"/>
            </w:tcBorders>
          </w:tcPr>
          <w:p w14:paraId="61E66F7E"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0EC1B5DF" w14:textId="77777777" w:rsidTr="006524D0">
        <w:tc>
          <w:tcPr>
            <w:tcW w:w="4928" w:type="dxa"/>
            <w:tcBorders>
              <w:top w:val="nil"/>
              <w:left w:val="nil"/>
              <w:bottom w:val="nil"/>
              <w:right w:val="nil"/>
            </w:tcBorders>
          </w:tcPr>
          <w:p w14:paraId="7E53F04D" w14:textId="5F045EB9" w:rsidR="00B2025B" w:rsidRPr="00A94B15" w:rsidRDefault="00B2025B" w:rsidP="006524D0">
            <w:pPr>
              <w:widowControl w:val="0"/>
              <w:autoSpaceDE w:val="0"/>
              <w:autoSpaceDN w:val="0"/>
              <w:adjustRightInd w:val="0"/>
              <w:rPr>
                <w:sz w:val="20"/>
                <w:szCs w:val="20"/>
              </w:rPr>
            </w:pPr>
            <w:r w:rsidRPr="00A94B15">
              <w:rPr>
                <w:sz w:val="20"/>
                <w:szCs w:val="20"/>
              </w:rPr>
              <w:t xml:space="preserve">(6) </w:t>
            </w:r>
            <w:r w:rsidRPr="00EF1E22">
              <w:rPr>
                <w:sz w:val="20"/>
                <w:szCs w:val="20"/>
              </w:rPr>
              <w:t>Prospective expecta</w:t>
            </w:r>
            <w:r w:rsidR="00B96EC6">
              <w:rPr>
                <w:sz w:val="20"/>
                <w:szCs w:val="20"/>
              </w:rPr>
              <w:t>ncy</w:t>
            </w:r>
            <w:r w:rsidRPr="00EF1E22">
              <w:rPr>
                <w:sz w:val="20"/>
                <w:szCs w:val="20"/>
              </w:rPr>
              <w:t xml:space="preserve"> violation</w:t>
            </w:r>
          </w:p>
        </w:tc>
        <w:tc>
          <w:tcPr>
            <w:tcW w:w="709" w:type="dxa"/>
            <w:tcBorders>
              <w:top w:val="nil"/>
              <w:left w:val="nil"/>
              <w:bottom w:val="nil"/>
              <w:right w:val="nil"/>
            </w:tcBorders>
          </w:tcPr>
          <w:p w14:paraId="7536C902"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.00</w:t>
            </w:r>
          </w:p>
        </w:tc>
        <w:tc>
          <w:tcPr>
            <w:tcW w:w="850" w:type="dxa"/>
            <w:tcBorders>
              <w:top w:val="nil"/>
              <w:left w:val="nil"/>
              <w:bottom w:val="nil"/>
              <w:right w:val="nil"/>
            </w:tcBorders>
          </w:tcPr>
          <w:p w14:paraId="51CA487D"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.0</w:t>
            </w:r>
            <w:r>
              <w:rPr>
                <w:rFonts w:hint="eastAsia"/>
                <w:sz w:val="20"/>
                <w:szCs w:val="20"/>
              </w:rPr>
              <w:t>3</w:t>
            </w:r>
          </w:p>
        </w:tc>
        <w:tc>
          <w:tcPr>
            <w:tcW w:w="851" w:type="dxa"/>
            <w:tcBorders>
              <w:top w:val="nil"/>
              <w:left w:val="nil"/>
              <w:bottom w:val="nil"/>
              <w:right w:val="nil"/>
            </w:tcBorders>
          </w:tcPr>
          <w:p w14:paraId="584BB980"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0.09</w:t>
            </w:r>
          </w:p>
        </w:tc>
        <w:tc>
          <w:tcPr>
            <w:tcW w:w="850" w:type="dxa"/>
            <w:tcBorders>
              <w:top w:val="nil"/>
              <w:left w:val="nil"/>
              <w:bottom w:val="nil"/>
              <w:right w:val="nil"/>
            </w:tcBorders>
          </w:tcPr>
          <w:p w14:paraId="6C185863"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1" w:type="dxa"/>
            <w:tcBorders>
              <w:top w:val="nil"/>
              <w:left w:val="nil"/>
              <w:bottom w:val="nil"/>
              <w:right w:val="nil"/>
            </w:tcBorders>
          </w:tcPr>
          <w:p w14:paraId="7D03B596"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0" w:type="dxa"/>
            <w:tcBorders>
              <w:top w:val="nil"/>
              <w:left w:val="nil"/>
              <w:bottom w:val="nil"/>
              <w:right w:val="nil"/>
            </w:tcBorders>
          </w:tcPr>
          <w:p w14:paraId="125A43CA"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-0.02</w:t>
            </w:r>
          </w:p>
        </w:tc>
        <w:tc>
          <w:tcPr>
            <w:tcW w:w="851" w:type="dxa"/>
            <w:tcBorders>
              <w:top w:val="nil"/>
              <w:left w:val="nil"/>
              <w:bottom w:val="nil"/>
              <w:right w:val="nil"/>
            </w:tcBorders>
          </w:tcPr>
          <w:p w14:paraId="2BE75F72"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2</w:t>
            </w:r>
          </w:p>
        </w:tc>
        <w:tc>
          <w:tcPr>
            <w:tcW w:w="850" w:type="dxa"/>
            <w:tcBorders>
              <w:top w:val="nil"/>
              <w:left w:val="nil"/>
              <w:bottom w:val="nil"/>
              <w:right w:val="nil"/>
            </w:tcBorders>
          </w:tcPr>
          <w:p w14:paraId="664561B1"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r>
      <w:tr w:rsidR="00B2025B" w:rsidRPr="00A94B15" w14:paraId="3D3C7724" w14:textId="77777777" w:rsidTr="006524D0">
        <w:tc>
          <w:tcPr>
            <w:tcW w:w="4928" w:type="dxa"/>
            <w:tcBorders>
              <w:top w:val="nil"/>
              <w:left w:val="nil"/>
              <w:bottom w:val="nil"/>
              <w:right w:val="nil"/>
            </w:tcBorders>
          </w:tcPr>
          <w:p w14:paraId="386AD513"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(7) </w:t>
            </w:r>
            <w:r>
              <w:rPr>
                <w:rFonts w:hint="eastAsia"/>
                <w:sz w:val="20"/>
                <w:szCs w:val="20"/>
              </w:rPr>
              <w:t>Firm performance</w:t>
            </w:r>
          </w:p>
        </w:tc>
        <w:tc>
          <w:tcPr>
            <w:tcW w:w="709" w:type="dxa"/>
            <w:tcBorders>
              <w:top w:val="nil"/>
              <w:left w:val="nil"/>
              <w:bottom w:val="nil"/>
              <w:right w:val="nil"/>
            </w:tcBorders>
          </w:tcPr>
          <w:p w14:paraId="757D020E"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.0</w:t>
            </w:r>
            <w:r>
              <w:rPr>
                <w:rFonts w:hint="eastAsia"/>
                <w:sz w:val="20"/>
                <w:szCs w:val="20"/>
              </w:rPr>
              <w:t>6</w:t>
            </w:r>
          </w:p>
        </w:tc>
        <w:tc>
          <w:tcPr>
            <w:tcW w:w="850" w:type="dxa"/>
            <w:tcBorders>
              <w:top w:val="nil"/>
              <w:left w:val="nil"/>
              <w:bottom w:val="nil"/>
              <w:right w:val="nil"/>
            </w:tcBorders>
          </w:tcPr>
          <w:p w14:paraId="57C4D037"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.1</w:t>
            </w:r>
            <w:r>
              <w:rPr>
                <w:rFonts w:hint="eastAsia"/>
                <w:sz w:val="20"/>
                <w:szCs w:val="20"/>
              </w:rPr>
              <w:t>9</w:t>
            </w:r>
          </w:p>
        </w:tc>
        <w:tc>
          <w:tcPr>
            <w:tcW w:w="851" w:type="dxa"/>
            <w:tcBorders>
              <w:top w:val="nil"/>
              <w:left w:val="nil"/>
              <w:bottom w:val="nil"/>
              <w:right w:val="nil"/>
            </w:tcBorders>
          </w:tcPr>
          <w:p w14:paraId="3474B502"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1</w:t>
            </w:r>
          </w:p>
        </w:tc>
        <w:tc>
          <w:tcPr>
            <w:tcW w:w="850" w:type="dxa"/>
            <w:tcBorders>
              <w:top w:val="nil"/>
              <w:left w:val="nil"/>
              <w:bottom w:val="nil"/>
              <w:right w:val="nil"/>
            </w:tcBorders>
          </w:tcPr>
          <w:p w14:paraId="7C50DE32"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-0.06</w:t>
            </w:r>
          </w:p>
        </w:tc>
        <w:tc>
          <w:tcPr>
            <w:tcW w:w="851" w:type="dxa"/>
            <w:tcBorders>
              <w:top w:val="nil"/>
              <w:left w:val="nil"/>
              <w:bottom w:val="nil"/>
              <w:right w:val="nil"/>
            </w:tcBorders>
          </w:tcPr>
          <w:p w14:paraId="45692783"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4</w:t>
            </w:r>
          </w:p>
        </w:tc>
        <w:tc>
          <w:tcPr>
            <w:tcW w:w="850" w:type="dxa"/>
            <w:tcBorders>
              <w:top w:val="nil"/>
              <w:left w:val="nil"/>
              <w:bottom w:val="nil"/>
              <w:right w:val="nil"/>
            </w:tcBorders>
          </w:tcPr>
          <w:p w14:paraId="6E1DB676"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0.01</w:t>
            </w:r>
          </w:p>
        </w:tc>
        <w:tc>
          <w:tcPr>
            <w:tcW w:w="851" w:type="dxa"/>
            <w:tcBorders>
              <w:top w:val="nil"/>
              <w:left w:val="nil"/>
              <w:bottom w:val="nil"/>
              <w:right w:val="nil"/>
            </w:tcBorders>
          </w:tcPr>
          <w:p w14:paraId="04EDBFF6"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2</w:t>
            </w:r>
          </w:p>
        </w:tc>
        <w:tc>
          <w:tcPr>
            <w:tcW w:w="850" w:type="dxa"/>
            <w:tcBorders>
              <w:top w:val="nil"/>
              <w:left w:val="nil"/>
              <w:bottom w:val="nil"/>
              <w:right w:val="nil"/>
            </w:tcBorders>
          </w:tcPr>
          <w:p w14:paraId="2FE9F3D8"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0.03</w:t>
            </w:r>
          </w:p>
        </w:tc>
      </w:tr>
      <w:tr w:rsidR="00B2025B" w:rsidRPr="00A94B15" w14:paraId="349D039C" w14:textId="77777777" w:rsidTr="006524D0">
        <w:tc>
          <w:tcPr>
            <w:tcW w:w="4928" w:type="dxa"/>
            <w:tcBorders>
              <w:top w:val="nil"/>
              <w:left w:val="nil"/>
              <w:bottom w:val="nil"/>
              <w:right w:val="nil"/>
            </w:tcBorders>
          </w:tcPr>
          <w:p w14:paraId="53B37977"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(8) </w:t>
            </w:r>
            <w:r>
              <w:rPr>
                <w:rFonts w:hint="eastAsia"/>
                <w:sz w:val="20"/>
                <w:szCs w:val="20"/>
              </w:rPr>
              <w:t>High reputation</w:t>
            </w:r>
          </w:p>
        </w:tc>
        <w:tc>
          <w:tcPr>
            <w:tcW w:w="709" w:type="dxa"/>
            <w:tcBorders>
              <w:top w:val="nil"/>
              <w:left w:val="nil"/>
              <w:bottom w:val="nil"/>
              <w:right w:val="nil"/>
            </w:tcBorders>
          </w:tcPr>
          <w:p w14:paraId="2747BED2"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.6</w:t>
            </w:r>
            <w:r>
              <w:rPr>
                <w:rFonts w:hint="eastAsia"/>
                <w:sz w:val="20"/>
                <w:szCs w:val="20"/>
              </w:rPr>
              <w:t>3</w:t>
            </w:r>
          </w:p>
        </w:tc>
        <w:tc>
          <w:tcPr>
            <w:tcW w:w="850" w:type="dxa"/>
            <w:tcBorders>
              <w:top w:val="nil"/>
              <w:left w:val="nil"/>
              <w:bottom w:val="nil"/>
              <w:right w:val="nil"/>
            </w:tcBorders>
          </w:tcPr>
          <w:p w14:paraId="06704A0C"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.7</w:t>
            </w:r>
            <w:r>
              <w:rPr>
                <w:rFonts w:hint="eastAsia"/>
                <w:sz w:val="20"/>
                <w:szCs w:val="20"/>
              </w:rPr>
              <w:t>9</w:t>
            </w:r>
          </w:p>
        </w:tc>
        <w:tc>
          <w:tcPr>
            <w:tcW w:w="851" w:type="dxa"/>
            <w:tcBorders>
              <w:top w:val="nil"/>
              <w:left w:val="nil"/>
              <w:bottom w:val="nil"/>
              <w:right w:val="nil"/>
            </w:tcBorders>
          </w:tcPr>
          <w:p w14:paraId="1CD553FA"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-0.01</w:t>
            </w:r>
          </w:p>
        </w:tc>
        <w:tc>
          <w:tcPr>
            <w:tcW w:w="850" w:type="dxa"/>
            <w:tcBorders>
              <w:top w:val="nil"/>
              <w:left w:val="nil"/>
              <w:bottom w:val="nil"/>
              <w:right w:val="nil"/>
            </w:tcBorders>
          </w:tcPr>
          <w:p w14:paraId="3F035857"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5</w:t>
            </w:r>
          </w:p>
        </w:tc>
        <w:tc>
          <w:tcPr>
            <w:tcW w:w="851" w:type="dxa"/>
            <w:tcBorders>
              <w:top w:val="nil"/>
              <w:left w:val="nil"/>
              <w:bottom w:val="nil"/>
              <w:right w:val="nil"/>
            </w:tcBorders>
          </w:tcPr>
          <w:p w14:paraId="7E60D61F"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5</w:t>
            </w:r>
          </w:p>
        </w:tc>
        <w:tc>
          <w:tcPr>
            <w:tcW w:w="850" w:type="dxa"/>
            <w:tcBorders>
              <w:top w:val="nil"/>
              <w:left w:val="nil"/>
              <w:bottom w:val="nil"/>
              <w:right w:val="nil"/>
            </w:tcBorders>
          </w:tcPr>
          <w:p w14:paraId="64035F44"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-0.02</w:t>
            </w:r>
          </w:p>
        </w:tc>
        <w:tc>
          <w:tcPr>
            <w:tcW w:w="851" w:type="dxa"/>
            <w:tcBorders>
              <w:top w:val="nil"/>
              <w:left w:val="nil"/>
              <w:bottom w:val="nil"/>
              <w:right w:val="nil"/>
            </w:tcBorders>
          </w:tcPr>
          <w:p w14:paraId="706AA538"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0" w:type="dxa"/>
            <w:tcBorders>
              <w:top w:val="nil"/>
              <w:left w:val="nil"/>
              <w:bottom w:val="nil"/>
              <w:right w:val="nil"/>
            </w:tcBorders>
          </w:tcPr>
          <w:p w14:paraId="4651364D"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0.01</w:t>
            </w:r>
          </w:p>
        </w:tc>
      </w:tr>
      <w:tr w:rsidR="00B2025B" w:rsidRPr="00A94B15" w14:paraId="2455585C" w14:textId="77777777" w:rsidTr="006524D0">
        <w:tc>
          <w:tcPr>
            <w:tcW w:w="4928" w:type="dxa"/>
            <w:tcBorders>
              <w:top w:val="nil"/>
              <w:left w:val="nil"/>
              <w:bottom w:val="nil"/>
              <w:right w:val="nil"/>
            </w:tcBorders>
          </w:tcPr>
          <w:p w14:paraId="06A05722"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(9) </w:t>
            </w:r>
            <w:r>
              <w:rPr>
                <w:rFonts w:hint="eastAsia"/>
                <w:sz w:val="20"/>
                <w:szCs w:val="20"/>
              </w:rPr>
              <w:t>Institutional investor ownership</w:t>
            </w:r>
          </w:p>
        </w:tc>
        <w:tc>
          <w:tcPr>
            <w:tcW w:w="709" w:type="dxa"/>
            <w:tcBorders>
              <w:top w:val="nil"/>
              <w:left w:val="nil"/>
              <w:bottom w:val="nil"/>
              <w:right w:val="nil"/>
            </w:tcBorders>
          </w:tcPr>
          <w:p w14:paraId="503B7690"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.82</w:t>
            </w:r>
          </w:p>
        </w:tc>
        <w:tc>
          <w:tcPr>
            <w:tcW w:w="850" w:type="dxa"/>
            <w:tcBorders>
              <w:top w:val="nil"/>
              <w:left w:val="nil"/>
              <w:bottom w:val="nil"/>
              <w:right w:val="nil"/>
            </w:tcBorders>
          </w:tcPr>
          <w:p w14:paraId="14404988"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.1</w:t>
            </w:r>
            <w:r>
              <w:rPr>
                <w:rFonts w:hint="eastAsia"/>
                <w:sz w:val="20"/>
                <w:szCs w:val="20"/>
              </w:rPr>
              <w:t>4</w:t>
            </w:r>
          </w:p>
        </w:tc>
        <w:tc>
          <w:tcPr>
            <w:tcW w:w="851" w:type="dxa"/>
            <w:tcBorders>
              <w:top w:val="nil"/>
              <w:left w:val="nil"/>
              <w:bottom w:val="nil"/>
              <w:right w:val="nil"/>
            </w:tcBorders>
          </w:tcPr>
          <w:p w14:paraId="0151AA5F"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0.01</w:t>
            </w:r>
          </w:p>
        </w:tc>
        <w:tc>
          <w:tcPr>
            <w:tcW w:w="850" w:type="dxa"/>
            <w:tcBorders>
              <w:top w:val="nil"/>
              <w:left w:val="nil"/>
              <w:bottom w:val="nil"/>
              <w:right w:val="nil"/>
            </w:tcBorders>
          </w:tcPr>
          <w:p w14:paraId="3501A853"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-0.03</w:t>
            </w:r>
          </w:p>
        </w:tc>
        <w:tc>
          <w:tcPr>
            <w:tcW w:w="851" w:type="dxa"/>
            <w:tcBorders>
              <w:top w:val="nil"/>
              <w:left w:val="nil"/>
              <w:bottom w:val="nil"/>
              <w:right w:val="nil"/>
            </w:tcBorders>
          </w:tcPr>
          <w:p w14:paraId="1BA33945"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-0.02</w:t>
            </w:r>
          </w:p>
        </w:tc>
        <w:tc>
          <w:tcPr>
            <w:tcW w:w="850" w:type="dxa"/>
            <w:tcBorders>
              <w:top w:val="nil"/>
              <w:left w:val="nil"/>
              <w:bottom w:val="nil"/>
              <w:right w:val="nil"/>
            </w:tcBorders>
          </w:tcPr>
          <w:p w14:paraId="5FD8C51F"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1" w:type="dxa"/>
            <w:tcBorders>
              <w:top w:val="nil"/>
              <w:left w:val="nil"/>
              <w:bottom w:val="nil"/>
              <w:right w:val="nil"/>
            </w:tcBorders>
          </w:tcPr>
          <w:p w14:paraId="1A0F2F89"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0.02</w:t>
            </w:r>
          </w:p>
        </w:tc>
        <w:tc>
          <w:tcPr>
            <w:tcW w:w="850" w:type="dxa"/>
            <w:tcBorders>
              <w:top w:val="nil"/>
              <w:left w:val="nil"/>
              <w:bottom w:val="nil"/>
              <w:right w:val="nil"/>
            </w:tcBorders>
          </w:tcPr>
          <w:p w14:paraId="539F60E7"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r>
      <w:tr w:rsidR="00B2025B" w:rsidRPr="00A94B15" w14:paraId="13CBE462" w14:textId="77777777" w:rsidTr="006524D0">
        <w:tc>
          <w:tcPr>
            <w:tcW w:w="4928" w:type="dxa"/>
            <w:tcBorders>
              <w:top w:val="nil"/>
              <w:left w:val="nil"/>
              <w:bottom w:val="nil"/>
              <w:right w:val="nil"/>
            </w:tcBorders>
          </w:tcPr>
          <w:p w14:paraId="792B7E1C" w14:textId="185EF7E6" w:rsidR="00B2025B" w:rsidRPr="00A94B15" w:rsidRDefault="00B2025B" w:rsidP="006524D0">
            <w:pPr>
              <w:widowControl w:val="0"/>
              <w:autoSpaceDE w:val="0"/>
              <w:autoSpaceDN w:val="0"/>
              <w:adjustRightInd w:val="0"/>
              <w:rPr>
                <w:sz w:val="20"/>
                <w:szCs w:val="20"/>
              </w:rPr>
            </w:pPr>
            <w:r w:rsidRPr="00A94B15">
              <w:rPr>
                <w:sz w:val="20"/>
                <w:szCs w:val="20"/>
              </w:rPr>
              <w:t xml:space="preserve">(10) </w:t>
            </w:r>
            <w:r>
              <w:rPr>
                <w:rFonts w:hint="eastAsia"/>
                <w:sz w:val="20"/>
                <w:szCs w:val="20"/>
              </w:rPr>
              <w:t>Managerial guidance</w:t>
            </w:r>
          </w:p>
        </w:tc>
        <w:tc>
          <w:tcPr>
            <w:tcW w:w="709" w:type="dxa"/>
            <w:tcBorders>
              <w:top w:val="nil"/>
              <w:left w:val="nil"/>
              <w:bottom w:val="nil"/>
              <w:right w:val="nil"/>
            </w:tcBorders>
          </w:tcPr>
          <w:p w14:paraId="1491FD53"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.15</w:t>
            </w:r>
          </w:p>
        </w:tc>
        <w:tc>
          <w:tcPr>
            <w:tcW w:w="850" w:type="dxa"/>
            <w:tcBorders>
              <w:top w:val="nil"/>
              <w:left w:val="nil"/>
              <w:bottom w:val="nil"/>
              <w:right w:val="nil"/>
            </w:tcBorders>
          </w:tcPr>
          <w:p w14:paraId="3FB00416"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.36</w:t>
            </w:r>
          </w:p>
        </w:tc>
        <w:tc>
          <w:tcPr>
            <w:tcW w:w="851" w:type="dxa"/>
            <w:tcBorders>
              <w:top w:val="nil"/>
              <w:left w:val="nil"/>
              <w:bottom w:val="nil"/>
              <w:right w:val="nil"/>
            </w:tcBorders>
          </w:tcPr>
          <w:p w14:paraId="5E999CE7"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0.02</w:t>
            </w:r>
          </w:p>
        </w:tc>
        <w:tc>
          <w:tcPr>
            <w:tcW w:w="850" w:type="dxa"/>
            <w:tcBorders>
              <w:top w:val="nil"/>
              <w:left w:val="nil"/>
              <w:bottom w:val="nil"/>
              <w:right w:val="nil"/>
            </w:tcBorders>
          </w:tcPr>
          <w:p w14:paraId="46252CC0"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3</w:t>
            </w:r>
          </w:p>
        </w:tc>
        <w:tc>
          <w:tcPr>
            <w:tcW w:w="851" w:type="dxa"/>
            <w:tcBorders>
              <w:top w:val="nil"/>
              <w:left w:val="nil"/>
              <w:bottom w:val="nil"/>
              <w:right w:val="nil"/>
            </w:tcBorders>
          </w:tcPr>
          <w:p w14:paraId="1B328BA2"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4</w:t>
            </w:r>
          </w:p>
        </w:tc>
        <w:tc>
          <w:tcPr>
            <w:tcW w:w="850" w:type="dxa"/>
            <w:tcBorders>
              <w:top w:val="nil"/>
              <w:left w:val="nil"/>
              <w:bottom w:val="nil"/>
              <w:right w:val="nil"/>
            </w:tcBorders>
          </w:tcPr>
          <w:p w14:paraId="7D237D12"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1" w:type="dxa"/>
            <w:tcBorders>
              <w:top w:val="nil"/>
              <w:left w:val="nil"/>
              <w:bottom w:val="nil"/>
              <w:right w:val="nil"/>
            </w:tcBorders>
          </w:tcPr>
          <w:p w14:paraId="558216B8"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0" w:type="dxa"/>
            <w:tcBorders>
              <w:top w:val="nil"/>
              <w:left w:val="nil"/>
              <w:bottom w:val="nil"/>
              <w:right w:val="nil"/>
            </w:tcBorders>
          </w:tcPr>
          <w:p w14:paraId="7AAE825B"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0.04</w:t>
            </w:r>
          </w:p>
        </w:tc>
      </w:tr>
      <w:tr w:rsidR="00B2025B" w:rsidRPr="00A94B15" w14:paraId="16D544DB" w14:textId="77777777" w:rsidTr="006524D0">
        <w:tc>
          <w:tcPr>
            <w:tcW w:w="4928" w:type="dxa"/>
            <w:tcBorders>
              <w:top w:val="nil"/>
              <w:left w:val="nil"/>
              <w:bottom w:val="nil"/>
              <w:right w:val="nil"/>
            </w:tcBorders>
          </w:tcPr>
          <w:p w14:paraId="100538E1"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(11) </w:t>
            </w:r>
            <w:r>
              <w:rPr>
                <w:rFonts w:hint="eastAsia"/>
                <w:sz w:val="20"/>
                <w:szCs w:val="20"/>
              </w:rPr>
              <w:t>Analyst coverage</w:t>
            </w:r>
          </w:p>
        </w:tc>
        <w:tc>
          <w:tcPr>
            <w:tcW w:w="709" w:type="dxa"/>
            <w:tcBorders>
              <w:top w:val="nil"/>
              <w:left w:val="nil"/>
              <w:bottom w:val="nil"/>
              <w:right w:val="nil"/>
            </w:tcBorders>
          </w:tcPr>
          <w:p w14:paraId="3363C8D6" w14:textId="77777777" w:rsidR="00B2025B" w:rsidRPr="00EF1E22" w:rsidRDefault="00B2025B" w:rsidP="006524D0">
            <w:pPr>
              <w:widowControl w:val="0"/>
              <w:autoSpaceDE w:val="0"/>
              <w:autoSpaceDN w:val="0"/>
              <w:adjustRightInd w:val="0"/>
              <w:jc w:val="right"/>
              <w:rPr>
                <w:sz w:val="20"/>
                <w:szCs w:val="20"/>
              </w:rPr>
            </w:pPr>
            <w:r w:rsidRPr="00EF1E22">
              <w:rPr>
                <w:sz w:val="20"/>
                <w:szCs w:val="20"/>
              </w:rPr>
              <w:t>13.6</w:t>
            </w:r>
            <w:r>
              <w:rPr>
                <w:rFonts w:hint="eastAsia"/>
                <w:sz w:val="20"/>
                <w:szCs w:val="20"/>
              </w:rPr>
              <w:t>9</w:t>
            </w:r>
          </w:p>
        </w:tc>
        <w:tc>
          <w:tcPr>
            <w:tcW w:w="850" w:type="dxa"/>
            <w:tcBorders>
              <w:top w:val="nil"/>
              <w:left w:val="nil"/>
              <w:bottom w:val="nil"/>
              <w:right w:val="nil"/>
            </w:tcBorders>
          </w:tcPr>
          <w:p w14:paraId="161C7CF5" w14:textId="77777777" w:rsidR="00B2025B" w:rsidRPr="00EF1E22" w:rsidRDefault="00B2025B" w:rsidP="006524D0">
            <w:pPr>
              <w:widowControl w:val="0"/>
              <w:autoSpaceDE w:val="0"/>
              <w:autoSpaceDN w:val="0"/>
              <w:adjustRightInd w:val="0"/>
              <w:jc w:val="right"/>
              <w:rPr>
                <w:sz w:val="20"/>
                <w:szCs w:val="20"/>
              </w:rPr>
            </w:pPr>
            <w:r w:rsidRPr="00EF1E22">
              <w:rPr>
                <w:sz w:val="20"/>
                <w:szCs w:val="20"/>
              </w:rPr>
              <w:t>5.3</w:t>
            </w:r>
            <w:r>
              <w:rPr>
                <w:rFonts w:hint="eastAsia"/>
                <w:sz w:val="20"/>
                <w:szCs w:val="20"/>
              </w:rPr>
              <w:t>3</w:t>
            </w:r>
          </w:p>
        </w:tc>
        <w:tc>
          <w:tcPr>
            <w:tcW w:w="851" w:type="dxa"/>
            <w:tcBorders>
              <w:top w:val="nil"/>
              <w:left w:val="nil"/>
              <w:bottom w:val="nil"/>
              <w:right w:val="nil"/>
            </w:tcBorders>
          </w:tcPr>
          <w:p w14:paraId="5DF273DB"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0" w:type="dxa"/>
            <w:tcBorders>
              <w:top w:val="nil"/>
              <w:left w:val="nil"/>
              <w:bottom w:val="nil"/>
              <w:right w:val="nil"/>
            </w:tcBorders>
          </w:tcPr>
          <w:p w14:paraId="395382E2"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0.05</w:t>
            </w:r>
          </w:p>
        </w:tc>
        <w:tc>
          <w:tcPr>
            <w:tcW w:w="851" w:type="dxa"/>
            <w:tcBorders>
              <w:top w:val="nil"/>
              <w:left w:val="nil"/>
              <w:bottom w:val="nil"/>
              <w:right w:val="nil"/>
            </w:tcBorders>
          </w:tcPr>
          <w:p w14:paraId="53D0E846"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0" w:type="dxa"/>
            <w:tcBorders>
              <w:top w:val="nil"/>
              <w:left w:val="nil"/>
              <w:bottom w:val="nil"/>
              <w:right w:val="nil"/>
            </w:tcBorders>
          </w:tcPr>
          <w:p w14:paraId="106BACE9"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0.01</w:t>
            </w:r>
          </w:p>
        </w:tc>
        <w:tc>
          <w:tcPr>
            <w:tcW w:w="851" w:type="dxa"/>
            <w:tcBorders>
              <w:top w:val="nil"/>
              <w:left w:val="nil"/>
              <w:bottom w:val="nil"/>
              <w:right w:val="nil"/>
            </w:tcBorders>
          </w:tcPr>
          <w:p w14:paraId="0DD51434"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-0.02</w:t>
            </w:r>
          </w:p>
        </w:tc>
        <w:tc>
          <w:tcPr>
            <w:tcW w:w="850" w:type="dxa"/>
            <w:tcBorders>
              <w:top w:val="nil"/>
              <w:left w:val="nil"/>
              <w:bottom w:val="nil"/>
              <w:right w:val="nil"/>
            </w:tcBorders>
          </w:tcPr>
          <w:p w14:paraId="4274D327"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-0.05</w:t>
            </w:r>
          </w:p>
        </w:tc>
      </w:tr>
      <w:tr w:rsidR="00B2025B" w:rsidRPr="00A94B15" w14:paraId="6B4A892F" w14:textId="77777777" w:rsidTr="006524D0">
        <w:tc>
          <w:tcPr>
            <w:tcW w:w="4928" w:type="dxa"/>
            <w:tcBorders>
              <w:top w:val="nil"/>
              <w:left w:val="nil"/>
              <w:bottom w:val="nil"/>
              <w:right w:val="nil"/>
            </w:tcBorders>
          </w:tcPr>
          <w:p w14:paraId="0EBF3631"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(12) </w:t>
            </w:r>
            <w:r>
              <w:rPr>
                <w:rFonts w:hint="eastAsia"/>
                <w:sz w:val="20"/>
                <w:szCs w:val="20"/>
              </w:rPr>
              <w:t>Estimate dispersion</w:t>
            </w:r>
          </w:p>
        </w:tc>
        <w:tc>
          <w:tcPr>
            <w:tcW w:w="709" w:type="dxa"/>
            <w:tcBorders>
              <w:top w:val="nil"/>
              <w:left w:val="nil"/>
              <w:bottom w:val="nil"/>
              <w:right w:val="nil"/>
            </w:tcBorders>
          </w:tcPr>
          <w:p w14:paraId="588EA4DB"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.0</w:t>
            </w:r>
            <w:r>
              <w:rPr>
                <w:rFonts w:hint="eastAsia"/>
                <w:sz w:val="20"/>
                <w:szCs w:val="20"/>
              </w:rPr>
              <w:t>8</w:t>
            </w:r>
          </w:p>
        </w:tc>
        <w:tc>
          <w:tcPr>
            <w:tcW w:w="850" w:type="dxa"/>
            <w:tcBorders>
              <w:top w:val="nil"/>
              <w:left w:val="nil"/>
              <w:bottom w:val="nil"/>
              <w:right w:val="nil"/>
            </w:tcBorders>
          </w:tcPr>
          <w:p w14:paraId="73574218"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.26</w:t>
            </w:r>
          </w:p>
        </w:tc>
        <w:tc>
          <w:tcPr>
            <w:tcW w:w="851" w:type="dxa"/>
            <w:tcBorders>
              <w:top w:val="nil"/>
              <w:left w:val="nil"/>
              <w:bottom w:val="nil"/>
              <w:right w:val="nil"/>
            </w:tcBorders>
          </w:tcPr>
          <w:p w14:paraId="758F7911"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0" w:type="dxa"/>
            <w:tcBorders>
              <w:top w:val="nil"/>
              <w:left w:val="nil"/>
              <w:bottom w:val="nil"/>
              <w:right w:val="nil"/>
            </w:tcBorders>
          </w:tcPr>
          <w:p w14:paraId="1C24862D"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0.1</w:t>
            </w:r>
            <w:r>
              <w:rPr>
                <w:rFonts w:hint="eastAsia"/>
                <w:sz w:val="20"/>
                <w:szCs w:val="20"/>
              </w:rPr>
              <w:t>2</w:t>
            </w:r>
          </w:p>
        </w:tc>
        <w:tc>
          <w:tcPr>
            <w:tcW w:w="851" w:type="dxa"/>
            <w:tcBorders>
              <w:top w:val="nil"/>
              <w:left w:val="nil"/>
              <w:bottom w:val="nil"/>
              <w:right w:val="nil"/>
            </w:tcBorders>
          </w:tcPr>
          <w:p w14:paraId="403C2FB5"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9</w:t>
            </w:r>
          </w:p>
        </w:tc>
        <w:tc>
          <w:tcPr>
            <w:tcW w:w="850" w:type="dxa"/>
            <w:tcBorders>
              <w:top w:val="nil"/>
              <w:left w:val="nil"/>
              <w:bottom w:val="nil"/>
              <w:right w:val="nil"/>
            </w:tcBorders>
          </w:tcPr>
          <w:p w14:paraId="5FFF17E8"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0.04</w:t>
            </w:r>
          </w:p>
        </w:tc>
        <w:tc>
          <w:tcPr>
            <w:tcW w:w="851" w:type="dxa"/>
            <w:tcBorders>
              <w:top w:val="nil"/>
              <w:left w:val="nil"/>
              <w:bottom w:val="nil"/>
              <w:right w:val="nil"/>
            </w:tcBorders>
          </w:tcPr>
          <w:p w14:paraId="5845015C"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7</w:t>
            </w:r>
          </w:p>
        </w:tc>
        <w:tc>
          <w:tcPr>
            <w:tcW w:w="850" w:type="dxa"/>
            <w:tcBorders>
              <w:top w:val="nil"/>
              <w:left w:val="nil"/>
              <w:bottom w:val="nil"/>
              <w:right w:val="nil"/>
            </w:tcBorders>
          </w:tcPr>
          <w:p w14:paraId="6A521DB5"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3</w:t>
            </w:r>
          </w:p>
        </w:tc>
      </w:tr>
      <w:tr w:rsidR="00B2025B" w:rsidRPr="00A94B15" w14:paraId="74C98750" w14:textId="77777777" w:rsidTr="006524D0">
        <w:tc>
          <w:tcPr>
            <w:tcW w:w="4928" w:type="dxa"/>
            <w:tcBorders>
              <w:top w:val="nil"/>
              <w:left w:val="nil"/>
              <w:bottom w:val="nil"/>
              <w:right w:val="nil"/>
            </w:tcBorders>
          </w:tcPr>
          <w:p w14:paraId="257DC783"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(13) </w:t>
            </w:r>
            <w:r>
              <w:rPr>
                <w:rFonts w:hint="eastAsia"/>
                <w:sz w:val="20"/>
                <w:szCs w:val="20"/>
              </w:rPr>
              <w:t>Financial restatements</w:t>
            </w:r>
          </w:p>
        </w:tc>
        <w:tc>
          <w:tcPr>
            <w:tcW w:w="709" w:type="dxa"/>
            <w:tcBorders>
              <w:top w:val="nil"/>
              <w:left w:val="nil"/>
              <w:bottom w:val="nil"/>
              <w:right w:val="nil"/>
            </w:tcBorders>
          </w:tcPr>
          <w:p w14:paraId="655BB4BE"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.22</w:t>
            </w:r>
          </w:p>
        </w:tc>
        <w:tc>
          <w:tcPr>
            <w:tcW w:w="850" w:type="dxa"/>
            <w:tcBorders>
              <w:top w:val="nil"/>
              <w:left w:val="nil"/>
              <w:bottom w:val="nil"/>
              <w:right w:val="nil"/>
            </w:tcBorders>
          </w:tcPr>
          <w:p w14:paraId="0A31DA28" w14:textId="77777777" w:rsidR="00B2025B" w:rsidRPr="00EF1E22" w:rsidRDefault="00B2025B" w:rsidP="006524D0">
            <w:pPr>
              <w:widowControl w:val="0"/>
              <w:autoSpaceDE w:val="0"/>
              <w:autoSpaceDN w:val="0"/>
              <w:adjustRightInd w:val="0"/>
              <w:jc w:val="right"/>
              <w:rPr>
                <w:sz w:val="20"/>
                <w:szCs w:val="20"/>
              </w:rPr>
            </w:pPr>
            <w:r>
              <w:rPr>
                <w:rFonts w:hint="eastAsia"/>
                <w:sz w:val="20"/>
                <w:szCs w:val="20"/>
              </w:rPr>
              <w:t>0</w:t>
            </w:r>
            <w:r w:rsidRPr="00EF1E22">
              <w:rPr>
                <w:sz w:val="20"/>
                <w:szCs w:val="20"/>
              </w:rPr>
              <w:t>.56</w:t>
            </w:r>
          </w:p>
        </w:tc>
        <w:tc>
          <w:tcPr>
            <w:tcW w:w="851" w:type="dxa"/>
            <w:tcBorders>
              <w:top w:val="nil"/>
              <w:left w:val="nil"/>
              <w:bottom w:val="nil"/>
              <w:right w:val="nil"/>
            </w:tcBorders>
          </w:tcPr>
          <w:p w14:paraId="358AF10C"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0" w:type="dxa"/>
            <w:tcBorders>
              <w:top w:val="nil"/>
              <w:left w:val="nil"/>
              <w:bottom w:val="nil"/>
              <w:right w:val="nil"/>
            </w:tcBorders>
          </w:tcPr>
          <w:p w14:paraId="2E4E1BE6"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0.03</w:t>
            </w:r>
          </w:p>
        </w:tc>
        <w:tc>
          <w:tcPr>
            <w:tcW w:w="851" w:type="dxa"/>
            <w:tcBorders>
              <w:top w:val="nil"/>
              <w:left w:val="nil"/>
              <w:bottom w:val="nil"/>
              <w:right w:val="nil"/>
            </w:tcBorders>
          </w:tcPr>
          <w:p w14:paraId="0591056C"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0.01</w:t>
            </w:r>
          </w:p>
        </w:tc>
        <w:tc>
          <w:tcPr>
            <w:tcW w:w="850" w:type="dxa"/>
            <w:tcBorders>
              <w:top w:val="nil"/>
              <w:left w:val="nil"/>
              <w:bottom w:val="nil"/>
              <w:right w:val="nil"/>
            </w:tcBorders>
          </w:tcPr>
          <w:p w14:paraId="2789C2EC"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0.02</w:t>
            </w:r>
          </w:p>
        </w:tc>
        <w:tc>
          <w:tcPr>
            <w:tcW w:w="851" w:type="dxa"/>
            <w:tcBorders>
              <w:top w:val="nil"/>
              <w:left w:val="nil"/>
              <w:bottom w:val="nil"/>
              <w:right w:val="nil"/>
            </w:tcBorders>
          </w:tcPr>
          <w:p w14:paraId="6B07A489"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-0.03</w:t>
            </w:r>
          </w:p>
        </w:tc>
        <w:tc>
          <w:tcPr>
            <w:tcW w:w="850" w:type="dxa"/>
            <w:tcBorders>
              <w:top w:val="nil"/>
              <w:left w:val="nil"/>
              <w:bottom w:val="nil"/>
              <w:right w:val="nil"/>
            </w:tcBorders>
          </w:tcPr>
          <w:p w14:paraId="1F3FFC94"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-0.01</w:t>
            </w:r>
          </w:p>
        </w:tc>
      </w:tr>
      <w:tr w:rsidR="00B2025B" w:rsidRPr="00A94B15" w14:paraId="0EC9DB99" w14:textId="77777777" w:rsidTr="006524D0">
        <w:trPr>
          <w:gridAfter w:val="1"/>
          <w:wAfter w:w="850" w:type="dxa"/>
        </w:trPr>
        <w:tc>
          <w:tcPr>
            <w:tcW w:w="4928" w:type="dxa"/>
            <w:tcBorders>
              <w:top w:val="single" w:sz="4" w:space="0" w:color="auto"/>
              <w:left w:val="nil"/>
              <w:bottom w:val="single" w:sz="6" w:space="0" w:color="auto"/>
              <w:right w:val="nil"/>
            </w:tcBorders>
          </w:tcPr>
          <w:p w14:paraId="72590830" w14:textId="77777777" w:rsidR="00B2025B" w:rsidRPr="00EF1E22" w:rsidRDefault="00B2025B" w:rsidP="006524D0">
            <w:pPr>
              <w:widowControl w:val="0"/>
              <w:autoSpaceDE w:val="0"/>
              <w:autoSpaceDN w:val="0"/>
              <w:adjustRightInd w:val="0"/>
              <w:rPr>
                <w:b/>
                <w:bCs/>
                <w:sz w:val="20"/>
                <w:szCs w:val="20"/>
              </w:rPr>
            </w:pPr>
            <w:r w:rsidRPr="00EF1E22">
              <w:rPr>
                <w:b/>
                <w:bCs/>
                <w:sz w:val="20"/>
                <w:szCs w:val="20"/>
              </w:rPr>
              <w:t>Variables</w:t>
            </w:r>
          </w:p>
        </w:tc>
        <w:tc>
          <w:tcPr>
            <w:tcW w:w="709" w:type="dxa"/>
            <w:tcBorders>
              <w:top w:val="single" w:sz="4" w:space="0" w:color="auto"/>
              <w:left w:val="nil"/>
              <w:bottom w:val="single" w:sz="6" w:space="0" w:color="auto"/>
              <w:right w:val="nil"/>
            </w:tcBorders>
          </w:tcPr>
          <w:p w14:paraId="5C9C0AA7"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(7)</w:t>
            </w:r>
          </w:p>
        </w:tc>
        <w:tc>
          <w:tcPr>
            <w:tcW w:w="850" w:type="dxa"/>
            <w:tcBorders>
              <w:top w:val="single" w:sz="4" w:space="0" w:color="auto"/>
              <w:left w:val="nil"/>
              <w:bottom w:val="single" w:sz="6" w:space="0" w:color="auto"/>
              <w:right w:val="nil"/>
            </w:tcBorders>
          </w:tcPr>
          <w:p w14:paraId="69519430"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(8)</w:t>
            </w:r>
          </w:p>
        </w:tc>
        <w:tc>
          <w:tcPr>
            <w:tcW w:w="851" w:type="dxa"/>
            <w:tcBorders>
              <w:top w:val="single" w:sz="4" w:space="0" w:color="auto"/>
              <w:left w:val="nil"/>
              <w:bottom w:val="single" w:sz="6" w:space="0" w:color="auto"/>
              <w:right w:val="nil"/>
            </w:tcBorders>
          </w:tcPr>
          <w:p w14:paraId="79AEE860"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(9)</w:t>
            </w:r>
          </w:p>
        </w:tc>
        <w:tc>
          <w:tcPr>
            <w:tcW w:w="850" w:type="dxa"/>
            <w:tcBorders>
              <w:top w:val="single" w:sz="4" w:space="0" w:color="auto"/>
              <w:left w:val="nil"/>
              <w:bottom w:val="single" w:sz="6" w:space="0" w:color="auto"/>
              <w:right w:val="nil"/>
            </w:tcBorders>
          </w:tcPr>
          <w:p w14:paraId="46159D24"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(10)</w:t>
            </w:r>
          </w:p>
        </w:tc>
        <w:tc>
          <w:tcPr>
            <w:tcW w:w="851" w:type="dxa"/>
            <w:tcBorders>
              <w:top w:val="single" w:sz="4" w:space="0" w:color="auto"/>
              <w:left w:val="nil"/>
              <w:bottom w:val="single" w:sz="6" w:space="0" w:color="auto"/>
              <w:right w:val="nil"/>
            </w:tcBorders>
          </w:tcPr>
          <w:p w14:paraId="463A4811"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(11)</w:t>
            </w:r>
          </w:p>
        </w:tc>
        <w:tc>
          <w:tcPr>
            <w:tcW w:w="850" w:type="dxa"/>
            <w:tcBorders>
              <w:top w:val="single" w:sz="4" w:space="0" w:color="auto"/>
              <w:left w:val="nil"/>
              <w:bottom w:val="single" w:sz="6" w:space="0" w:color="auto"/>
              <w:right w:val="nil"/>
            </w:tcBorders>
          </w:tcPr>
          <w:p w14:paraId="44EB93C9"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(12)</w:t>
            </w:r>
          </w:p>
        </w:tc>
        <w:tc>
          <w:tcPr>
            <w:tcW w:w="851" w:type="dxa"/>
            <w:tcBorders>
              <w:top w:val="single" w:sz="4" w:space="0" w:color="auto"/>
              <w:left w:val="nil"/>
              <w:bottom w:val="single" w:sz="6" w:space="0" w:color="auto"/>
              <w:right w:val="nil"/>
            </w:tcBorders>
          </w:tcPr>
          <w:p w14:paraId="1C91572B" w14:textId="77777777" w:rsidR="00B2025B" w:rsidRPr="00EF1E22" w:rsidRDefault="00B2025B" w:rsidP="006524D0">
            <w:pPr>
              <w:widowControl w:val="0"/>
              <w:autoSpaceDE w:val="0"/>
              <w:autoSpaceDN w:val="0"/>
              <w:adjustRightInd w:val="0"/>
              <w:jc w:val="right"/>
              <w:rPr>
                <w:b/>
                <w:bCs/>
                <w:sz w:val="20"/>
                <w:szCs w:val="20"/>
              </w:rPr>
            </w:pPr>
            <w:r w:rsidRPr="00EF1E22">
              <w:rPr>
                <w:b/>
                <w:bCs/>
                <w:sz w:val="20"/>
                <w:szCs w:val="20"/>
              </w:rPr>
              <w:t>(13)</w:t>
            </w:r>
          </w:p>
        </w:tc>
      </w:tr>
      <w:tr w:rsidR="00B2025B" w:rsidRPr="00A94B15" w14:paraId="676B9DE0" w14:textId="77777777" w:rsidTr="006524D0">
        <w:trPr>
          <w:gridAfter w:val="1"/>
          <w:wAfter w:w="850" w:type="dxa"/>
        </w:trPr>
        <w:tc>
          <w:tcPr>
            <w:tcW w:w="4928" w:type="dxa"/>
            <w:tcBorders>
              <w:top w:val="nil"/>
              <w:left w:val="nil"/>
              <w:bottom w:val="nil"/>
              <w:right w:val="nil"/>
            </w:tcBorders>
          </w:tcPr>
          <w:p w14:paraId="70FA414A"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(1) </w:t>
            </w:r>
            <w:r>
              <w:rPr>
                <w:rFonts w:hint="eastAsia"/>
                <w:sz w:val="20"/>
                <w:szCs w:val="20"/>
              </w:rPr>
              <w:t>Investor reactions</w:t>
            </w:r>
          </w:p>
        </w:tc>
        <w:tc>
          <w:tcPr>
            <w:tcW w:w="709" w:type="dxa"/>
            <w:tcBorders>
              <w:top w:val="nil"/>
              <w:left w:val="nil"/>
              <w:bottom w:val="nil"/>
              <w:right w:val="nil"/>
            </w:tcBorders>
          </w:tcPr>
          <w:p w14:paraId="4BA7A360"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79337E80"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4788F287"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6BCD12F6"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355D531D"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584A612A"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387E7C19"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4008E739" w14:textId="77777777" w:rsidTr="006524D0">
        <w:trPr>
          <w:gridAfter w:val="1"/>
          <w:wAfter w:w="850" w:type="dxa"/>
        </w:trPr>
        <w:tc>
          <w:tcPr>
            <w:tcW w:w="4928" w:type="dxa"/>
            <w:tcBorders>
              <w:top w:val="nil"/>
              <w:left w:val="nil"/>
              <w:bottom w:val="nil"/>
              <w:right w:val="nil"/>
            </w:tcBorders>
          </w:tcPr>
          <w:p w14:paraId="26948F91" w14:textId="474E1604" w:rsidR="00B2025B" w:rsidRPr="00A94B15" w:rsidRDefault="00B2025B" w:rsidP="006524D0">
            <w:pPr>
              <w:widowControl w:val="0"/>
              <w:autoSpaceDE w:val="0"/>
              <w:autoSpaceDN w:val="0"/>
              <w:adjustRightInd w:val="0"/>
              <w:rPr>
                <w:sz w:val="20"/>
                <w:szCs w:val="20"/>
              </w:rPr>
            </w:pPr>
            <w:r w:rsidRPr="00EF1E22">
              <w:rPr>
                <w:sz w:val="20"/>
                <w:szCs w:val="20"/>
              </w:rPr>
              <w:t>(2) Predictive expecta</w:t>
            </w:r>
            <w:r w:rsidR="00B96EC6">
              <w:rPr>
                <w:sz w:val="20"/>
                <w:szCs w:val="20"/>
              </w:rPr>
              <w:t>ncy</w:t>
            </w:r>
            <w:r w:rsidRPr="00EF1E22">
              <w:rPr>
                <w:sz w:val="20"/>
                <w:szCs w:val="20"/>
              </w:rPr>
              <w:t xml:space="preserve"> violation (positive)</w:t>
            </w:r>
          </w:p>
        </w:tc>
        <w:tc>
          <w:tcPr>
            <w:tcW w:w="709" w:type="dxa"/>
            <w:tcBorders>
              <w:top w:val="nil"/>
              <w:left w:val="nil"/>
              <w:bottom w:val="nil"/>
              <w:right w:val="nil"/>
            </w:tcBorders>
          </w:tcPr>
          <w:p w14:paraId="2C546473"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3C9E6126"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2301D2B0"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17FC6249"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485354C6"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3FE809FE"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43D43BDA"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57064FB8" w14:textId="77777777" w:rsidTr="006524D0">
        <w:trPr>
          <w:gridAfter w:val="1"/>
          <w:wAfter w:w="850" w:type="dxa"/>
        </w:trPr>
        <w:tc>
          <w:tcPr>
            <w:tcW w:w="4928" w:type="dxa"/>
            <w:tcBorders>
              <w:top w:val="nil"/>
              <w:left w:val="nil"/>
              <w:bottom w:val="nil"/>
              <w:right w:val="nil"/>
            </w:tcBorders>
          </w:tcPr>
          <w:p w14:paraId="309B450F" w14:textId="37C761E7" w:rsidR="00B2025B" w:rsidRPr="00A94B15" w:rsidRDefault="00B2025B" w:rsidP="006524D0">
            <w:pPr>
              <w:widowControl w:val="0"/>
              <w:autoSpaceDE w:val="0"/>
              <w:autoSpaceDN w:val="0"/>
              <w:adjustRightInd w:val="0"/>
              <w:rPr>
                <w:sz w:val="20"/>
                <w:szCs w:val="20"/>
              </w:rPr>
            </w:pPr>
            <w:r w:rsidRPr="00EF1E22">
              <w:rPr>
                <w:sz w:val="20"/>
                <w:szCs w:val="20"/>
              </w:rPr>
              <w:t>(3) Predictive expecta</w:t>
            </w:r>
            <w:r w:rsidR="00B96EC6">
              <w:rPr>
                <w:sz w:val="20"/>
                <w:szCs w:val="20"/>
              </w:rPr>
              <w:t>ncy</w:t>
            </w:r>
            <w:r w:rsidRPr="00EF1E22">
              <w:rPr>
                <w:sz w:val="20"/>
                <w:szCs w:val="20"/>
              </w:rPr>
              <w:t xml:space="preserve"> violation (negative)</w:t>
            </w:r>
          </w:p>
        </w:tc>
        <w:tc>
          <w:tcPr>
            <w:tcW w:w="709" w:type="dxa"/>
            <w:tcBorders>
              <w:top w:val="nil"/>
              <w:left w:val="nil"/>
              <w:bottom w:val="nil"/>
              <w:right w:val="nil"/>
            </w:tcBorders>
          </w:tcPr>
          <w:p w14:paraId="4FB511A3"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7072751A"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72034CF2"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03ABCC57"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70CAD2C9"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3005572A"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57EDC0B2"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41F19824" w14:textId="77777777" w:rsidTr="006524D0">
        <w:trPr>
          <w:gridAfter w:val="1"/>
          <w:wAfter w:w="850" w:type="dxa"/>
        </w:trPr>
        <w:tc>
          <w:tcPr>
            <w:tcW w:w="4928" w:type="dxa"/>
            <w:tcBorders>
              <w:top w:val="nil"/>
              <w:left w:val="nil"/>
              <w:bottom w:val="nil"/>
              <w:right w:val="nil"/>
            </w:tcBorders>
          </w:tcPr>
          <w:p w14:paraId="282D24A1" w14:textId="0F1D46B5" w:rsidR="00B2025B" w:rsidRPr="00A94B15" w:rsidRDefault="00B2025B" w:rsidP="006524D0">
            <w:pPr>
              <w:widowControl w:val="0"/>
              <w:autoSpaceDE w:val="0"/>
              <w:autoSpaceDN w:val="0"/>
              <w:adjustRightInd w:val="0"/>
              <w:rPr>
                <w:sz w:val="20"/>
                <w:szCs w:val="20"/>
              </w:rPr>
            </w:pPr>
            <w:r w:rsidRPr="00EF1E22">
              <w:rPr>
                <w:sz w:val="20"/>
                <w:szCs w:val="20"/>
              </w:rPr>
              <w:t>(4) Prescriptive expecta</w:t>
            </w:r>
            <w:r w:rsidR="00B96EC6">
              <w:rPr>
                <w:sz w:val="20"/>
                <w:szCs w:val="20"/>
              </w:rPr>
              <w:t>ncy</w:t>
            </w:r>
            <w:r w:rsidRPr="00EF1E22">
              <w:rPr>
                <w:sz w:val="20"/>
                <w:szCs w:val="20"/>
              </w:rPr>
              <w:t xml:space="preserve"> violation (past performance)</w:t>
            </w:r>
          </w:p>
        </w:tc>
        <w:tc>
          <w:tcPr>
            <w:tcW w:w="709" w:type="dxa"/>
            <w:tcBorders>
              <w:top w:val="nil"/>
              <w:left w:val="nil"/>
              <w:bottom w:val="nil"/>
              <w:right w:val="nil"/>
            </w:tcBorders>
          </w:tcPr>
          <w:p w14:paraId="66E305B5"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2E5EED10"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0AB93F67"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7FC21BEB"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54B60DD7"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673DDA87"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4AF55CB0"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1C28D07A" w14:textId="77777777" w:rsidTr="006524D0">
        <w:trPr>
          <w:gridAfter w:val="1"/>
          <w:wAfter w:w="850" w:type="dxa"/>
        </w:trPr>
        <w:tc>
          <w:tcPr>
            <w:tcW w:w="4928" w:type="dxa"/>
            <w:tcBorders>
              <w:top w:val="nil"/>
              <w:left w:val="nil"/>
              <w:bottom w:val="nil"/>
              <w:right w:val="nil"/>
            </w:tcBorders>
          </w:tcPr>
          <w:p w14:paraId="6C666C80" w14:textId="699DA4F7" w:rsidR="00B2025B" w:rsidRPr="00A94B15" w:rsidRDefault="00B2025B" w:rsidP="006524D0">
            <w:pPr>
              <w:widowControl w:val="0"/>
              <w:autoSpaceDE w:val="0"/>
              <w:autoSpaceDN w:val="0"/>
              <w:adjustRightInd w:val="0"/>
              <w:rPr>
                <w:sz w:val="20"/>
                <w:szCs w:val="20"/>
              </w:rPr>
            </w:pPr>
            <w:r w:rsidRPr="00EF1E22">
              <w:rPr>
                <w:sz w:val="20"/>
                <w:szCs w:val="20"/>
              </w:rPr>
              <w:t>(5) Prescriptive expecta</w:t>
            </w:r>
            <w:r w:rsidR="00B96EC6">
              <w:rPr>
                <w:sz w:val="20"/>
                <w:szCs w:val="20"/>
              </w:rPr>
              <w:t>ncy</w:t>
            </w:r>
            <w:r w:rsidRPr="00EF1E22">
              <w:rPr>
                <w:sz w:val="20"/>
                <w:szCs w:val="20"/>
              </w:rPr>
              <w:t xml:space="preserve"> violation (peer comparison)</w:t>
            </w:r>
          </w:p>
        </w:tc>
        <w:tc>
          <w:tcPr>
            <w:tcW w:w="709" w:type="dxa"/>
            <w:tcBorders>
              <w:top w:val="nil"/>
              <w:left w:val="nil"/>
              <w:bottom w:val="nil"/>
              <w:right w:val="nil"/>
            </w:tcBorders>
          </w:tcPr>
          <w:p w14:paraId="305D5905"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082CEBA9"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3E5979E0"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09A56B28"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2A0C9CC6"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40E71718"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7C6DD246"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6C196794" w14:textId="77777777" w:rsidTr="006524D0">
        <w:trPr>
          <w:gridAfter w:val="1"/>
          <w:wAfter w:w="850" w:type="dxa"/>
        </w:trPr>
        <w:tc>
          <w:tcPr>
            <w:tcW w:w="4928" w:type="dxa"/>
            <w:tcBorders>
              <w:top w:val="nil"/>
              <w:left w:val="nil"/>
              <w:bottom w:val="nil"/>
              <w:right w:val="nil"/>
            </w:tcBorders>
          </w:tcPr>
          <w:p w14:paraId="64D29456" w14:textId="6A061784" w:rsidR="00B2025B" w:rsidRPr="00A94B15" w:rsidRDefault="00B2025B" w:rsidP="006524D0">
            <w:pPr>
              <w:widowControl w:val="0"/>
              <w:autoSpaceDE w:val="0"/>
              <w:autoSpaceDN w:val="0"/>
              <w:adjustRightInd w:val="0"/>
              <w:rPr>
                <w:sz w:val="20"/>
                <w:szCs w:val="20"/>
              </w:rPr>
            </w:pPr>
            <w:r w:rsidRPr="00A94B15">
              <w:rPr>
                <w:sz w:val="20"/>
                <w:szCs w:val="20"/>
              </w:rPr>
              <w:t xml:space="preserve">(6) </w:t>
            </w:r>
            <w:r w:rsidRPr="00EF1E22">
              <w:rPr>
                <w:sz w:val="20"/>
                <w:szCs w:val="20"/>
              </w:rPr>
              <w:t>Prospective expecta</w:t>
            </w:r>
            <w:r w:rsidR="00B96EC6">
              <w:rPr>
                <w:sz w:val="20"/>
                <w:szCs w:val="20"/>
              </w:rPr>
              <w:t>ncy</w:t>
            </w:r>
            <w:r w:rsidRPr="00EF1E22">
              <w:rPr>
                <w:sz w:val="20"/>
                <w:szCs w:val="20"/>
              </w:rPr>
              <w:t xml:space="preserve"> violation</w:t>
            </w:r>
          </w:p>
        </w:tc>
        <w:tc>
          <w:tcPr>
            <w:tcW w:w="709" w:type="dxa"/>
            <w:tcBorders>
              <w:top w:val="nil"/>
              <w:left w:val="nil"/>
              <w:bottom w:val="nil"/>
              <w:right w:val="nil"/>
            </w:tcBorders>
          </w:tcPr>
          <w:p w14:paraId="7D919409"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54E91395"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0CA10DC7"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199A4C2F"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4F696617"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197E50FB"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1DF571BF"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5C58F8A0" w14:textId="77777777" w:rsidTr="006524D0">
        <w:trPr>
          <w:gridAfter w:val="1"/>
          <w:wAfter w:w="850" w:type="dxa"/>
        </w:trPr>
        <w:tc>
          <w:tcPr>
            <w:tcW w:w="4928" w:type="dxa"/>
            <w:tcBorders>
              <w:top w:val="nil"/>
              <w:left w:val="nil"/>
              <w:bottom w:val="nil"/>
              <w:right w:val="nil"/>
            </w:tcBorders>
          </w:tcPr>
          <w:p w14:paraId="25A785A3"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(7) </w:t>
            </w:r>
            <w:r>
              <w:rPr>
                <w:rFonts w:hint="eastAsia"/>
                <w:sz w:val="20"/>
                <w:szCs w:val="20"/>
              </w:rPr>
              <w:t>Firm performance</w:t>
            </w:r>
          </w:p>
        </w:tc>
        <w:tc>
          <w:tcPr>
            <w:tcW w:w="709" w:type="dxa"/>
            <w:tcBorders>
              <w:top w:val="nil"/>
              <w:left w:val="nil"/>
              <w:bottom w:val="nil"/>
              <w:right w:val="nil"/>
            </w:tcBorders>
          </w:tcPr>
          <w:p w14:paraId="26BE9535"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0" w:type="dxa"/>
            <w:tcBorders>
              <w:top w:val="nil"/>
              <w:left w:val="nil"/>
              <w:bottom w:val="nil"/>
              <w:right w:val="nil"/>
            </w:tcBorders>
          </w:tcPr>
          <w:p w14:paraId="786EE7AB"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51BA8E05"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7CE73C3D"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4DFEFBFA"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4A157D90"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357ECBB0"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6CFC3469" w14:textId="77777777" w:rsidTr="006524D0">
        <w:trPr>
          <w:gridAfter w:val="1"/>
          <w:wAfter w:w="850" w:type="dxa"/>
        </w:trPr>
        <w:tc>
          <w:tcPr>
            <w:tcW w:w="4928" w:type="dxa"/>
            <w:tcBorders>
              <w:top w:val="nil"/>
              <w:left w:val="nil"/>
              <w:bottom w:val="nil"/>
              <w:right w:val="nil"/>
            </w:tcBorders>
          </w:tcPr>
          <w:p w14:paraId="5C46FC39"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(8) </w:t>
            </w:r>
            <w:r>
              <w:rPr>
                <w:rFonts w:hint="eastAsia"/>
                <w:sz w:val="20"/>
                <w:szCs w:val="20"/>
              </w:rPr>
              <w:t>High reputation</w:t>
            </w:r>
          </w:p>
        </w:tc>
        <w:tc>
          <w:tcPr>
            <w:tcW w:w="709" w:type="dxa"/>
            <w:tcBorders>
              <w:top w:val="nil"/>
              <w:left w:val="nil"/>
              <w:bottom w:val="nil"/>
              <w:right w:val="nil"/>
            </w:tcBorders>
          </w:tcPr>
          <w:p w14:paraId="2A46F857"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0.07</w:t>
            </w:r>
          </w:p>
        </w:tc>
        <w:tc>
          <w:tcPr>
            <w:tcW w:w="850" w:type="dxa"/>
            <w:tcBorders>
              <w:top w:val="nil"/>
              <w:left w:val="nil"/>
              <w:bottom w:val="nil"/>
              <w:right w:val="nil"/>
            </w:tcBorders>
          </w:tcPr>
          <w:p w14:paraId="7FB1EF14"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1" w:type="dxa"/>
            <w:tcBorders>
              <w:top w:val="nil"/>
              <w:left w:val="nil"/>
              <w:bottom w:val="nil"/>
              <w:right w:val="nil"/>
            </w:tcBorders>
          </w:tcPr>
          <w:p w14:paraId="682DCB6C"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3FE1E37F"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57E1633D"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7CA90EC5"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7CA8A62E"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4DA4AD2A" w14:textId="77777777" w:rsidTr="006524D0">
        <w:trPr>
          <w:gridAfter w:val="1"/>
          <w:wAfter w:w="850" w:type="dxa"/>
        </w:trPr>
        <w:tc>
          <w:tcPr>
            <w:tcW w:w="4928" w:type="dxa"/>
            <w:tcBorders>
              <w:top w:val="nil"/>
              <w:left w:val="nil"/>
              <w:bottom w:val="nil"/>
              <w:right w:val="nil"/>
            </w:tcBorders>
          </w:tcPr>
          <w:p w14:paraId="22738A2C"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(9) </w:t>
            </w:r>
            <w:r>
              <w:rPr>
                <w:rFonts w:hint="eastAsia"/>
                <w:sz w:val="20"/>
                <w:szCs w:val="20"/>
              </w:rPr>
              <w:t>Institutional investor ownership</w:t>
            </w:r>
          </w:p>
        </w:tc>
        <w:tc>
          <w:tcPr>
            <w:tcW w:w="709" w:type="dxa"/>
            <w:tcBorders>
              <w:top w:val="nil"/>
              <w:left w:val="nil"/>
              <w:bottom w:val="nil"/>
              <w:right w:val="nil"/>
            </w:tcBorders>
          </w:tcPr>
          <w:p w14:paraId="45886E5C"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-0.08</w:t>
            </w:r>
          </w:p>
        </w:tc>
        <w:tc>
          <w:tcPr>
            <w:tcW w:w="850" w:type="dxa"/>
            <w:tcBorders>
              <w:top w:val="nil"/>
              <w:left w:val="nil"/>
              <w:bottom w:val="nil"/>
              <w:right w:val="nil"/>
            </w:tcBorders>
          </w:tcPr>
          <w:p w14:paraId="1DFE97FD"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-0.2</w:t>
            </w:r>
            <w:r>
              <w:rPr>
                <w:rFonts w:hint="eastAsia"/>
                <w:sz w:val="20"/>
                <w:szCs w:val="20"/>
              </w:rPr>
              <w:t>7</w:t>
            </w:r>
          </w:p>
        </w:tc>
        <w:tc>
          <w:tcPr>
            <w:tcW w:w="851" w:type="dxa"/>
            <w:tcBorders>
              <w:top w:val="nil"/>
              <w:left w:val="nil"/>
              <w:bottom w:val="nil"/>
              <w:right w:val="nil"/>
            </w:tcBorders>
          </w:tcPr>
          <w:p w14:paraId="4B199336"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0" w:type="dxa"/>
            <w:tcBorders>
              <w:top w:val="nil"/>
              <w:left w:val="nil"/>
              <w:bottom w:val="nil"/>
              <w:right w:val="nil"/>
            </w:tcBorders>
          </w:tcPr>
          <w:p w14:paraId="2F315157"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120A3E77"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2E0B1620"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7A5C9A9F"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09C944ED" w14:textId="77777777" w:rsidTr="006524D0">
        <w:trPr>
          <w:gridAfter w:val="1"/>
          <w:wAfter w:w="850" w:type="dxa"/>
        </w:trPr>
        <w:tc>
          <w:tcPr>
            <w:tcW w:w="4928" w:type="dxa"/>
            <w:tcBorders>
              <w:top w:val="nil"/>
              <w:left w:val="nil"/>
              <w:bottom w:val="nil"/>
              <w:right w:val="nil"/>
            </w:tcBorders>
          </w:tcPr>
          <w:p w14:paraId="4193F136" w14:textId="6BE12D5D" w:rsidR="00B2025B" w:rsidRPr="00A94B15" w:rsidRDefault="00B2025B" w:rsidP="006524D0">
            <w:pPr>
              <w:widowControl w:val="0"/>
              <w:autoSpaceDE w:val="0"/>
              <w:autoSpaceDN w:val="0"/>
              <w:adjustRightInd w:val="0"/>
              <w:rPr>
                <w:sz w:val="20"/>
                <w:szCs w:val="20"/>
              </w:rPr>
            </w:pPr>
            <w:r w:rsidRPr="00A94B15">
              <w:rPr>
                <w:sz w:val="20"/>
                <w:szCs w:val="20"/>
              </w:rPr>
              <w:t xml:space="preserve">(10) </w:t>
            </w:r>
            <w:r>
              <w:rPr>
                <w:rFonts w:hint="eastAsia"/>
                <w:sz w:val="20"/>
                <w:szCs w:val="20"/>
              </w:rPr>
              <w:t>Managerial guidance</w:t>
            </w:r>
          </w:p>
        </w:tc>
        <w:tc>
          <w:tcPr>
            <w:tcW w:w="709" w:type="dxa"/>
            <w:tcBorders>
              <w:top w:val="nil"/>
              <w:left w:val="nil"/>
              <w:bottom w:val="nil"/>
              <w:right w:val="nil"/>
            </w:tcBorders>
          </w:tcPr>
          <w:p w14:paraId="63996CFF"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0.04</w:t>
            </w:r>
          </w:p>
        </w:tc>
        <w:tc>
          <w:tcPr>
            <w:tcW w:w="850" w:type="dxa"/>
            <w:tcBorders>
              <w:top w:val="nil"/>
              <w:left w:val="nil"/>
              <w:bottom w:val="nil"/>
              <w:right w:val="nil"/>
            </w:tcBorders>
          </w:tcPr>
          <w:p w14:paraId="0FF75E50"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3</w:t>
            </w:r>
          </w:p>
        </w:tc>
        <w:tc>
          <w:tcPr>
            <w:tcW w:w="851" w:type="dxa"/>
            <w:tcBorders>
              <w:top w:val="nil"/>
              <w:left w:val="nil"/>
              <w:bottom w:val="nil"/>
              <w:right w:val="nil"/>
            </w:tcBorders>
          </w:tcPr>
          <w:p w14:paraId="1FE9D737"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1</w:t>
            </w:r>
          </w:p>
        </w:tc>
        <w:tc>
          <w:tcPr>
            <w:tcW w:w="850" w:type="dxa"/>
            <w:tcBorders>
              <w:top w:val="nil"/>
              <w:left w:val="nil"/>
              <w:bottom w:val="nil"/>
              <w:right w:val="nil"/>
            </w:tcBorders>
          </w:tcPr>
          <w:p w14:paraId="68F21CA3"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1" w:type="dxa"/>
            <w:tcBorders>
              <w:top w:val="nil"/>
              <w:left w:val="nil"/>
              <w:bottom w:val="nil"/>
              <w:right w:val="nil"/>
            </w:tcBorders>
          </w:tcPr>
          <w:p w14:paraId="2B419A3E" w14:textId="77777777" w:rsidR="00B2025B" w:rsidRPr="00A94B15" w:rsidRDefault="00B2025B" w:rsidP="006524D0">
            <w:pPr>
              <w:widowControl w:val="0"/>
              <w:autoSpaceDE w:val="0"/>
              <w:autoSpaceDN w:val="0"/>
              <w:adjustRightInd w:val="0"/>
              <w:jc w:val="right"/>
              <w:rPr>
                <w:sz w:val="20"/>
                <w:szCs w:val="20"/>
              </w:rPr>
            </w:pPr>
          </w:p>
        </w:tc>
        <w:tc>
          <w:tcPr>
            <w:tcW w:w="850" w:type="dxa"/>
            <w:tcBorders>
              <w:top w:val="nil"/>
              <w:left w:val="nil"/>
              <w:bottom w:val="nil"/>
              <w:right w:val="nil"/>
            </w:tcBorders>
          </w:tcPr>
          <w:p w14:paraId="0EC70E20"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05758DB0"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319A8C43" w14:textId="77777777" w:rsidTr="006524D0">
        <w:trPr>
          <w:gridAfter w:val="1"/>
          <w:wAfter w:w="850" w:type="dxa"/>
        </w:trPr>
        <w:tc>
          <w:tcPr>
            <w:tcW w:w="4928" w:type="dxa"/>
            <w:tcBorders>
              <w:top w:val="nil"/>
              <w:left w:val="nil"/>
              <w:bottom w:val="nil"/>
              <w:right w:val="nil"/>
            </w:tcBorders>
          </w:tcPr>
          <w:p w14:paraId="0965DD1E"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(11) </w:t>
            </w:r>
            <w:r>
              <w:rPr>
                <w:rFonts w:hint="eastAsia"/>
                <w:sz w:val="20"/>
                <w:szCs w:val="20"/>
              </w:rPr>
              <w:t>Analyst coverage</w:t>
            </w:r>
          </w:p>
        </w:tc>
        <w:tc>
          <w:tcPr>
            <w:tcW w:w="709" w:type="dxa"/>
            <w:tcBorders>
              <w:top w:val="nil"/>
              <w:left w:val="nil"/>
              <w:bottom w:val="nil"/>
              <w:right w:val="nil"/>
            </w:tcBorders>
          </w:tcPr>
          <w:p w14:paraId="23E07109"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8</w:t>
            </w:r>
          </w:p>
        </w:tc>
        <w:tc>
          <w:tcPr>
            <w:tcW w:w="850" w:type="dxa"/>
            <w:tcBorders>
              <w:top w:val="nil"/>
              <w:left w:val="nil"/>
              <w:bottom w:val="nil"/>
              <w:right w:val="nil"/>
            </w:tcBorders>
          </w:tcPr>
          <w:p w14:paraId="745D3564"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0.1</w:t>
            </w:r>
            <w:r>
              <w:rPr>
                <w:rFonts w:hint="eastAsia"/>
                <w:sz w:val="20"/>
                <w:szCs w:val="20"/>
              </w:rPr>
              <w:t>8</w:t>
            </w:r>
          </w:p>
        </w:tc>
        <w:tc>
          <w:tcPr>
            <w:tcW w:w="851" w:type="dxa"/>
            <w:tcBorders>
              <w:top w:val="nil"/>
              <w:left w:val="nil"/>
              <w:bottom w:val="nil"/>
              <w:right w:val="nil"/>
            </w:tcBorders>
          </w:tcPr>
          <w:p w14:paraId="36D63657"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1</w:t>
            </w:r>
          </w:p>
        </w:tc>
        <w:tc>
          <w:tcPr>
            <w:tcW w:w="850" w:type="dxa"/>
            <w:tcBorders>
              <w:top w:val="nil"/>
              <w:left w:val="nil"/>
              <w:bottom w:val="nil"/>
              <w:right w:val="nil"/>
            </w:tcBorders>
          </w:tcPr>
          <w:p w14:paraId="52EF6891"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0.01</w:t>
            </w:r>
          </w:p>
        </w:tc>
        <w:tc>
          <w:tcPr>
            <w:tcW w:w="851" w:type="dxa"/>
            <w:tcBorders>
              <w:top w:val="nil"/>
              <w:left w:val="nil"/>
              <w:bottom w:val="nil"/>
              <w:right w:val="nil"/>
            </w:tcBorders>
          </w:tcPr>
          <w:p w14:paraId="458B6F06"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0" w:type="dxa"/>
            <w:tcBorders>
              <w:top w:val="nil"/>
              <w:left w:val="nil"/>
              <w:bottom w:val="nil"/>
              <w:right w:val="nil"/>
            </w:tcBorders>
          </w:tcPr>
          <w:p w14:paraId="112F05AF" w14:textId="77777777" w:rsidR="00B2025B" w:rsidRPr="00A94B15" w:rsidRDefault="00B2025B" w:rsidP="006524D0">
            <w:pPr>
              <w:widowControl w:val="0"/>
              <w:autoSpaceDE w:val="0"/>
              <w:autoSpaceDN w:val="0"/>
              <w:adjustRightInd w:val="0"/>
              <w:jc w:val="right"/>
              <w:rPr>
                <w:sz w:val="20"/>
                <w:szCs w:val="20"/>
              </w:rPr>
            </w:pPr>
          </w:p>
        </w:tc>
        <w:tc>
          <w:tcPr>
            <w:tcW w:w="851" w:type="dxa"/>
            <w:tcBorders>
              <w:top w:val="nil"/>
              <w:left w:val="nil"/>
              <w:bottom w:val="nil"/>
              <w:right w:val="nil"/>
            </w:tcBorders>
          </w:tcPr>
          <w:p w14:paraId="53F9CF82"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2DEC979A" w14:textId="77777777" w:rsidTr="006524D0">
        <w:trPr>
          <w:gridAfter w:val="1"/>
          <w:wAfter w:w="850" w:type="dxa"/>
        </w:trPr>
        <w:tc>
          <w:tcPr>
            <w:tcW w:w="4928" w:type="dxa"/>
            <w:tcBorders>
              <w:top w:val="nil"/>
              <w:left w:val="nil"/>
              <w:bottom w:val="nil"/>
              <w:right w:val="nil"/>
            </w:tcBorders>
          </w:tcPr>
          <w:p w14:paraId="1103BE9C" w14:textId="77777777" w:rsidR="00B2025B" w:rsidRPr="00A94B15" w:rsidRDefault="00B2025B" w:rsidP="006524D0">
            <w:pPr>
              <w:widowControl w:val="0"/>
              <w:autoSpaceDE w:val="0"/>
              <w:autoSpaceDN w:val="0"/>
              <w:adjustRightInd w:val="0"/>
              <w:rPr>
                <w:sz w:val="20"/>
                <w:szCs w:val="20"/>
              </w:rPr>
            </w:pPr>
            <w:r w:rsidRPr="00A94B15">
              <w:rPr>
                <w:sz w:val="20"/>
                <w:szCs w:val="20"/>
              </w:rPr>
              <w:t xml:space="preserve">(12) </w:t>
            </w:r>
            <w:r>
              <w:rPr>
                <w:rFonts w:hint="eastAsia"/>
                <w:sz w:val="20"/>
                <w:szCs w:val="20"/>
              </w:rPr>
              <w:t>Estimate dispersion</w:t>
            </w:r>
          </w:p>
        </w:tc>
        <w:tc>
          <w:tcPr>
            <w:tcW w:w="709" w:type="dxa"/>
            <w:tcBorders>
              <w:top w:val="nil"/>
              <w:left w:val="nil"/>
              <w:bottom w:val="nil"/>
              <w:right w:val="nil"/>
            </w:tcBorders>
          </w:tcPr>
          <w:p w14:paraId="57B41919"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w:t>
            </w:r>
            <w:r>
              <w:rPr>
                <w:rFonts w:hint="eastAsia"/>
                <w:sz w:val="20"/>
                <w:szCs w:val="20"/>
              </w:rPr>
              <w:t>10</w:t>
            </w:r>
          </w:p>
        </w:tc>
        <w:tc>
          <w:tcPr>
            <w:tcW w:w="850" w:type="dxa"/>
            <w:tcBorders>
              <w:top w:val="nil"/>
              <w:left w:val="nil"/>
              <w:bottom w:val="nil"/>
              <w:right w:val="nil"/>
            </w:tcBorders>
          </w:tcPr>
          <w:p w14:paraId="3333B74A"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1" w:type="dxa"/>
            <w:tcBorders>
              <w:top w:val="nil"/>
              <w:left w:val="nil"/>
              <w:bottom w:val="nil"/>
              <w:right w:val="nil"/>
            </w:tcBorders>
          </w:tcPr>
          <w:p w14:paraId="620B583D"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0.00</w:t>
            </w:r>
          </w:p>
        </w:tc>
        <w:tc>
          <w:tcPr>
            <w:tcW w:w="850" w:type="dxa"/>
            <w:tcBorders>
              <w:top w:val="nil"/>
              <w:left w:val="nil"/>
              <w:bottom w:val="nil"/>
              <w:right w:val="nil"/>
            </w:tcBorders>
          </w:tcPr>
          <w:p w14:paraId="68450B80"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-0.2</w:t>
            </w:r>
            <w:r>
              <w:rPr>
                <w:rFonts w:hint="eastAsia"/>
                <w:sz w:val="20"/>
                <w:szCs w:val="20"/>
              </w:rPr>
              <w:t>6</w:t>
            </w:r>
          </w:p>
        </w:tc>
        <w:tc>
          <w:tcPr>
            <w:tcW w:w="851" w:type="dxa"/>
            <w:tcBorders>
              <w:top w:val="nil"/>
              <w:left w:val="nil"/>
              <w:bottom w:val="nil"/>
              <w:right w:val="nil"/>
            </w:tcBorders>
          </w:tcPr>
          <w:p w14:paraId="3BD72A8E"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0.2</w:t>
            </w:r>
            <w:r>
              <w:rPr>
                <w:rFonts w:hint="eastAsia"/>
                <w:sz w:val="20"/>
                <w:szCs w:val="20"/>
              </w:rPr>
              <w:t>3</w:t>
            </w:r>
          </w:p>
        </w:tc>
        <w:tc>
          <w:tcPr>
            <w:tcW w:w="850" w:type="dxa"/>
            <w:tcBorders>
              <w:top w:val="nil"/>
              <w:left w:val="nil"/>
              <w:bottom w:val="nil"/>
              <w:right w:val="nil"/>
            </w:tcBorders>
          </w:tcPr>
          <w:p w14:paraId="4888697E"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c>
          <w:tcPr>
            <w:tcW w:w="851" w:type="dxa"/>
            <w:tcBorders>
              <w:top w:val="nil"/>
              <w:left w:val="nil"/>
              <w:bottom w:val="nil"/>
              <w:right w:val="nil"/>
            </w:tcBorders>
          </w:tcPr>
          <w:p w14:paraId="3443F3CC" w14:textId="77777777" w:rsidR="00B2025B" w:rsidRPr="00A94B15" w:rsidRDefault="00B2025B" w:rsidP="006524D0">
            <w:pPr>
              <w:widowControl w:val="0"/>
              <w:autoSpaceDE w:val="0"/>
              <w:autoSpaceDN w:val="0"/>
              <w:adjustRightInd w:val="0"/>
              <w:jc w:val="right"/>
              <w:rPr>
                <w:sz w:val="20"/>
                <w:szCs w:val="20"/>
              </w:rPr>
            </w:pPr>
          </w:p>
        </w:tc>
      </w:tr>
      <w:tr w:rsidR="00B2025B" w:rsidRPr="00A94B15" w14:paraId="064073CF" w14:textId="77777777" w:rsidTr="006524D0">
        <w:trPr>
          <w:gridAfter w:val="1"/>
          <w:wAfter w:w="850" w:type="dxa"/>
        </w:trPr>
        <w:tc>
          <w:tcPr>
            <w:tcW w:w="4928" w:type="dxa"/>
            <w:tcBorders>
              <w:top w:val="nil"/>
              <w:left w:val="nil"/>
              <w:bottom w:val="nil"/>
              <w:right w:val="nil"/>
            </w:tcBorders>
          </w:tcPr>
          <w:p w14:paraId="6880B527" w14:textId="0B0B4E3E" w:rsidR="00B2025B" w:rsidRPr="00A94B15" w:rsidRDefault="00B2025B" w:rsidP="006524D0">
            <w:pPr>
              <w:widowControl w:val="0"/>
              <w:autoSpaceDE w:val="0"/>
              <w:autoSpaceDN w:val="0"/>
              <w:adjustRightInd w:val="0"/>
              <w:rPr>
                <w:sz w:val="20"/>
                <w:szCs w:val="20"/>
              </w:rPr>
            </w:pPr>
            <w:r>
              <w:rPr>
                <w:noProof/>
                <w:sz w:val="20"/>
                <w:szCs w:val="20"/>
                <w14:ligatures w14:val="standardContextual"/>
              </w:rPr>
              <mc:AlternateContent>
                <mc:Choice Requires="wps">
                  <w:drawing>
                    <wp:anchor distT="0" distB="0" distL="114300" distR="114300" simplePos="0" relativeHeight="251659264" behindDoc="0" locked="0" layoutInCell="1" allowOverlap="1" wp14:anchorId="4BC54889" wp14:editId="4E93C950">
                      <wp:simplePos x="0" y="0"/>
                      <wp:positionH relativeFrom="column">
                        <wp:posOffset>-28823</wp:posOffset>
                      </wp:positionH>
                      <wp:positionV relativeFrom="paragraph">
                        <wp:posOffset>139341</wp:posOffset>
                      </wp:positionV>
                      <wp:extent cx="6814267" cy="39757"/>
                      <wp:effectExtent l="0" t="0" r="18415" b="24130"/>
                      <wp:wrapNone/>
                      <wp:docPr id="1890751235" name="Straight Connector 2"/>
                      <wp:cNvGraphicFramePr/>
                      <a:graphic xmlns:a="http://schemas.openxmlformats.org/drawingml/2006/main">
                        <a:graphicData uri="http://schemas.microsoft.com/office/word/2010/wordprocessingShape">
                          <wps:wsp>
                            <wps:cNvCnPr/>
                            <wps:spPr>
                              <a:xfrm>
                                <a:off x="0" y="0"/>
                                <a:ext cx="6814267" cy="3975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1E50EB"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10.95pt" to="534.3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" strokecolor="black [3213]" strokeweight=".5pt">
                      <v:stroke joinstyle="miter"/>
                    </v:line>
                  </w:pict>
                </mc:Fallback>
              </mc:AlternateContent>
            </w:r>
            <w:r w:rsidRPr="00A94B15">
              <w:rPr>
                <w:sz w:val="20"/>
                <w:szCs w:val="20"/>
              </w:rPr>
              <w:t xml:space="preserve">(13) </w:t>
            </w:r>
            <w:r>
              <w:rPr>
                <w:rFonts w:hint="eastAsia"/>
                <w:sz w:val="20"/>
                <w:szCs w:val="20"/>
              </w:rPr>
              <w:t>Financial restatements</w:t>
            </w:r>
          </w:p>
        </w:tc>
        <w:tc>
          <w:tcPr>
            <w:tcW w:w="709" w:type="dxa"/>
            <w:tcBorders>
              <w:top w:val="nil"/>
              <w:left w:val="nil"/>
              <w:bottom w:val="nil"/>
              <w:right w:val="nil"/>
            </w:tcBorders>
          </w:tcPr>
          <w:p w14:paraId="2CB27A94"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-0.04</w:t>
            </w:r>
          </w:p>
        </w:tc>
        <w:tc>
          <w:tcPr>
            <w:tcW w:w="850" w:type="dxa"/>
            <w:tcBorders>
              <w:top w:val="nil"/>
              <w:left w:val="nil"/>
              <w:bottom w:val="nil"/>
              <w:right w:val="nil"/>
            </w:tcBorders>
          </w:tcPr>
          <w:p w14:paraId="56153856"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-0.1</w:t>
            </w:r>
            <w:r>
              <w:rPr>
                <w:rFonts w:hint="eastAsia"/>
                <w:sz w:val="20"/>
                <w:szCs w:val="20"/>
              </w:rPr>
              <w:t>2</w:t>
            </w:r>
          </w:p>
        </w:tc>
        <w:tc>
          <w:tcPr>
            <w:tcW w:w="851" w:type="dxa"/>
            <w:tcBorders>
              <w:top w:val="nil"/>
              <w:left w:val="nil"/>
              <w:bottom w:val="nil"/>
              <w:right w:val="nil"/>
            </w:tcBorders>
          </w:tcPr>
          <w:p w14:paraId="071F1A68"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1</w:t>
            </w:r>
          </w:p>
        </w:tc>
        <w:tc>
          <w:tcPr>
            <w:tcW w:w="850" w:type="dxa"/>
            <w:tcBorders>
              <w:top w:val="nil"/>
              <w:left w:val="nil"/>
              <w:bottom w:val="nil"/>
              <w:right w:val="nil"/>
            </w:tcBorders>
          </w:tcPr>
          <w:p w14:paraId="4F44AF1E"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2</w:t>
            </w:r>
          </w:p>
        </w:tc>
        <w:tc>
          <w:tcPr>
            <w:tcW w:w="851" w:type="dxa"/>
            <w:tcBorders>
              <w:top w:val="nil"/>
              <w:left w:val="nil"/>
              <w:bottom w:val="nil"/>
              <w:right w:val="nil"/>
            </w:tcBorders>
          </w:tcPr>
          <w:p w14:paraId="18FEF99A"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-0.02</w:t>
            </w:r>
          </w:p>
        </w:tc>
        <w:tc>
          <w:tcPr>
            <w:tcW w:w="850" w:type="dxa"/>
            <w:tcBorders>
              <w:top w:val="nil"/>
              <w:left w:val="nil"/>
              <w:bottom w:val="nil"/>
              <w:right w:val="nil"/>
            </w:tcBorders>
          </w:tcPr>
          <w:p w14:paraId="08BA4B69"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0.0</w:t>
            </w:r>
            <w:r>
              <w:rPr>
                <w:rFonts w:hint="eastAsia"/>
                <w:sz w:val="20"/>
                <w:szCs w:val="20"/>
              </w:rPr>
              <w:t>5</w:t>
            </w:r>
          </w:p>
        </w:tc>
        <w:tc>
          <w:tcPr>
            <w:tcW w:w="851" w:type="dxa"/>
            <w:tcBorders>
              <w:top w:val="nil"/>
              <w:left w:val="nil"/>
              <w:bottom w:val="nil"/>
              <w:right w:val="nil"/>
            </w:tcBorders>
          </w:tcPr>
          <w:p w14:paraId="6DEBB30A" w14:textId="77777777" w:rsidR="00B2025B" w:rsidRPr="00A94B15" w:rsidRDefault="00B2025B" w:rsidP="006524D0">
            <w:pPr>
              <w:widowControl w:val="0"/>
              <w:autoSpaceDE w:val="0"/>
              <w:autoSpaceDN w:val="0"/>
              <w:adjustRightInd w:val="0"/>
              <w:jc w:val="right"/>
              <w:rPr>
                <w:sz w:val="20"/>
                <w:szCs w:val="20"/>
              </w:rPr>
            </w:pPr>
            <w:r w:rsidRPr="00A94B15">
              <w:rPr>
                <w:sz w:val="20"/>
                <w:szCs w:val="20"/>
              </w:rPr>
              <w:t>1.00</w:t>
            </w:r>
          </w:p>
        </w:tc>
      </w:tr>
    </w:tbl>
    <w:p w14:paraId="2217DDF0" w14:textId="77777777" w:rsidR="0011303E" w:rsidRPr="0011303E" w:rsidRDefault="0011303E" w:rsidP="0011303E">
      <w:pPr>
        <w:rPr>
          <w:bCs/>
          <w:i/>
          <w:iCs/>
          <w:sz w:val="10"/>
          <w:szCs w:val="10"/>
          <w:lang w:eastAsia="en-GB"/>
        </w:rPr>
      </w:pPr>
    </w:p>
    <w:p w14:paraId="08AA128A" w14:textId="397A4B5B" w:rsidR="0011303E" w:rsidRPr="00C24F45" w:rsidRDefault="0011303E" w:rsidP="0011303E">
      <w:pPr>
        <w:rPr>
          <w:bCs/>
          <w:sz w:val="20"/>
          <w:szCs w:val="20"/>
          <w:lang w:eastAsia="en-GB"/>
        </w:rPr>
      </w:pPr>
      <w:r w:rsidRPr="00C24F45">
        <w:rPr>
          <w:bCs/>
          <w:i/>
          <w:iCs/>
          <w:sz w:val="20"/>
          <w:szCs w:val="20"/>
          <w:lang w:eastAsia="en-GB"/>
        </w:rPr>
        <w:t xml:space="preserve">N = </w:t>
      </w:r>
      <w:r w:rsidR="00B2025B">
        <w:rPr>
          <w:rFonts w:hint="eastAsia"/>
          <w:bCs/>
          <w:i/>
          <w:iCs/>
          <w:sz w:val="20"/>
          <w:szCs w:val="20"/>
        </w:rPr>
        <w:t>4752</w:t>
      </w:r>
      <w:r w:rsidRPr="00C24F45">
        <w:rPr>
          <w:bCs/>
          <w:i/>
          <w:iCs/>
          <w:sz w:val="20"/>
          <w:szCs w:val="20"/>
          <w:lang w:eastAsia="en-GB"/>
        </w:rPr>
        <w:t>. Correlations of |0.0</w:t>
      </w:r>
      <w:r>
        <w:rPr>
          <w:bCs/>
          <w:i/>
          <w:iCs/>
          <w:sz w:val="20"/>
          <w:szCs w:val="20"/>
          <w:lang w:eastAsia="en-GB"/>
        </w:rPr>
        <w:t>3</w:t>
      </w:r>
      <w:r w:rsidRPr="00C24F45">
        <w:rPr>
          <w:bCs/>
          <w:i/>
          <w:iCs/>
          <w:sz w:val="20"/>
          <w:szCs w:val="20"/>
          <w:lang w:eastAsia="en-GB"/>
        </w:rPr>
        <w:t>| or greater are significant at p &lt; .05.</w:t>
      </w:r>
      <w:r w:rsidR="00146DD1">
        <w:rPr>
          <w:bCs/>
          <w:sz w:val="20"/>
          <w:szCs w:val="20"/>
          <w:lang w:eastAsia="en-GB"/>
        </w:rPr>
        <w:t xml:space="preserve"> </w:t>
      </w:r>
    </w:p>
    <w:p w14:paraId="7F95DD25" w14:textId="77777777" w:rsidR="0011303E" w:rsidRPr="00C24F45" w:rsidRDefault="0011303E" w:rsidP="0011303E">
      <w:pPr>
        <w:rPr>
          <w:bCs/>
          <w:sz w:val="20"/>
          <w:szCs w:val="20"/>
          <w:lang w:eastAsia="en-GB"/>
        </w:rPr>
        <w:sectPr w:rsidR="0011303E" w:rsidRPr="00C24F45" w:rsidSect="00B10202">
          <w:pgSz w:w="15840" w:h="12240" w:orient="landscape"/>
          <w:pgMar w:top="1440" w:right="1440" w:bottom="1440" w:left="1440" w:header="709" w:footer="709" w:gutter="0"/>
          <w:cols w:space="708"/>
          <w:docGrid w:linePitch="360"/>
        </w:sectPr>
      </w:pPr>
      <w:r w:rsidRPr="00C24F45">
        <w:rPr>
          <w:bCs/>
          <w:sz w:val="20"/>
          <w:szCs w:val="20"/>
          <w:lang w:eastAsia="en-GB"/>
        </w:rPr>
        <w:t>Note: Reported means and standard deviations are for non-transformed variables, correlations are for transformed variables as indicated in the main te</w:t>
      </w:r>
      <w:r>
        <w:rPr>
          <w:bCs/>
          <w:sz w:val="20"/>
          <w:szCs w:val="20"/>
          <w:lang w:eastAsia="en-GB"/>
        </w:rPr>
        <w:t>xt.</w:t>
      </w:r>
    </w:p>
    <w:p w14:paraId="24521920" w14:textId="151F2F6C" w:rsidR="00231125" w:rsidRDefault="00231125" w:rsidP="00C949D0">
      <w:pPr>
        <w:spacing w:after="120"/>
        <w:rPr>
          <w:b/>
          <w:bCs/>
        </w:rPr>
      </w:pPr>
      <w:r w:rsidRPr="00E41289">
        <w:rPr>
          <w:b/>
          <w:bCs/>
        </w:rPr>
        <w:lastRenderedPageBreak/>
        <w:t xml:space="preserve">TABLE 2. Effects of </w:t>
      </w:r>
      <w:r>
        <w:rPr>
          <w:b/>
          <w:bCs/>
        </w:rPr>
        <w:t>Multiple Expectations</w:t>
      </w:r>
      <w:r w:rsidRPr="00E41289">
        <w:rPr>
          <w:b/>
          <w:bCs/>
        </w:rPr>
        <w:t xml:space="preserve"> on </w:t>
      </w:r>
      <w:r>
        <w:rPr>
          <w:b/>
          <w:bCs/>
        </w:rPr>
        <w:t>Investor</w:t>
      </w:r>
      <w:r w:rsidRPr="00E41289">
        <w:rPr>
          <w:b/>
          <w:bCs/>
        </w:rPr>
        <w:t xml:space="preserve"> Reactions</w:t>
      </w:r>
      <w:r w:rsidR="00C373AF">
        <w:rPr>
          <w:rStyle w:val="FootnoteReference"/>
          <w:b/>
          <w:bCs/>
        </w:rPr>
        <w:footnoteReference w:customMarkFollows="1" w:id="11"/>
        <w:t>a</w:t>
      </w:r>
    </w:p>
    <w:tbl>
      <w:tblPr>
        <w:tblW w:w="9464" w:type="dxa"/>
        <w:tblLayout w:type="fixed"/>
        <w:tblLook w:val="0000" w:firstRow="0" w:lastRow="0" w:firstColumn="0" w:lastColumn="0" w:noHBand="0" w:noVBand="0"/>
      </w:tblPr>
      <w:tblGrid>
        <w:gridCol w:w="3369"/>
        <w:gridCol w:w="992"/>
        <w:gridCol w:w="992"/>
        <w:gridCol w:w="1134"/>
        <w:gridCol w:w="992"/>
        <w:gridCol w:w="991"/>
        <w:gridCol w:w="994"/>
      </w:tblGrid>
      <w:tr w:rsidR="00DD5F92" w:rsidRPr="004066B5" w14:paraId="553F0FFE" w14:textId="77777777" w:rsidTr="006524D0">
        <w:tc>
          <w:tcPr>
            <w:tcW w:w="3369" w:type="dxa"/>
            <w:tcBorders>
              <w:top w:val="single" w:sz="4" w:space="0" w:color="auto"/>
              <w:left w:val="nil"/>
              <w:bottom w:val="nil"/>
              <w:right w:val="nil"/>
            </w:tcBorders>
          </w:tcPr>
          <w:p w14:paraId="37BE1758" w14:textId="77777777" w:rsidR="00DD5F92" w:rsidRPr="004066B5" w:rsidRDefault="00DD5F92" w:rsidP="006524D0">
            <w:pPr>
              <w:widowControl w:val="0"/>
              <w:autoSpaceDE w:val="0"/>
              <w:autoSpaceDN w:val="0"/>
              <w:adjustRightInd w:val="0"/>
              <w:rPr>
                <w:sz w:val="20"/>
                <w:szCs w:val="20"/>
              </w:rPr>
            </w:pPr>
            <w:r w:rsidRPr="004066B5">
              <w:rPr>
                <w:b/>
                <w:bCs/>
                <w:sz w:val="20"/>
                <w:szCs w:val="20"/>
              </w:rPr>
              <w:t>DV: Investor reactions</w:t>
            </w:r>
          </w:p>
        </w:tc>
        <w:tc>
          <w:tcPr>
            <w:tcW w:w="992" w:type="dxa"/>
            <w:tcBorders>
              <w:top w:val="single" w:sz="4" w:space="0" w:color="auto"/>
              <w:left w:val="nil"/>
              <w:bottom w:val="nil"/>
              <w:right w:val="nil"/>
            </w:tcBorders>
          </w:tcPr>
          <w:p w14:paraId="12926483" w14:textId="77777777" w:rsidR="00DD5F92" w:rsidRPr="004066B5" w:rsidRDefault="00DD5F92" w:rsidP="006524D0">
            <w:pPr>
              <w:widowControl w:val="0"/>
              <w:autoSpaceDE w:val="0"/>
              <w:autoSpaceDN w:val="0"/>
              <w:adjustRightInd w:val="0"/>
              <w:jc w:val="center"/>
              <w:rPr>
                <w:sz w:val="20"/>
                <w:szCs w:val="20"/>
              </w:rPr>
            </w:pPr>
            <w:r w:rsidRPr="004066B5">
              <w:rPr>
                <w:b/>
                <w:bCs/>
                <w:sz w:val="20"/>
                <w:szCs w:val="20"/>
              </w:rPr>
              <w:t>Model 1</w:t>
            </w:r>
          </w:p>
        </w:tc>
        <w:tc>
          <w:tcPr>
            <w:tcW w:w="992" w:type="dxa"/>
            <w:tcBorders>
              <w:top w:val="single" w:sz="4" w:space="0" w:color="auto"/>
              <w:left w:val="nil"/>
              <w:bottom w:val="nil"/>
              <w:right w:val="nil"/>
            </w:tcBorders>
          </w:tcPr>
          <w:p w14:paraId="1526AB64" w14:textId="77777777" w:rsidR="00DD5F92" w:rsidRPr="004066B5" w:rsidRDefault="00DD5F92" w:rsidP="006524D0">
            <w:pPr>
              <w:widowControl w:val="0"/>
              <w:autoSpaceDE w:val="0"/>
              <w:autoSpaceDN w:val="0"/>
              <w:adjustRightInd w:val="0"/>
              <w:jc w:val="center"/>
              <w:rPr>
                <w:sz w:val="20"/>
                <w:szCs w:val="20"/>
              </w:rPr>
            </w:pPr>
            <w:r w:rsidRPr="004066B5">
              <w:rPr>
                <w:b/>
                <w:bCs/>
                <w:sz w:val="20"/>
                <w:szCs w:val="20"/>
              </w:rPr>
              <w:t>Model 2</w:t>
            </w:r>
          </w:p>
        </w:tc>
        <w:tc>
          <w:tcPr>
            <w:tcW w:w="1134" w:type="dxa"/>
            <w:tcBorders>
              <w:top w:val="single" w:sz="4" w:space="0" w:color="auto"/>
              <w:left w:val="nil"/>
              <w:bottom w:val="nil"/>
              <w:right w:val="nil"/>
            </w:tcBorders>
          </w:tcPr>
          <w:p w14:paraId="0789DED8" w14:textId="77777777" w:rsidR="00DD5F92" w:rsidRPr="004066B5" w:rsidRDefault="00DD5F92" w:rsidP="006524D0">
            <w:pPr>
              <w:widowControl w:val="0"/>
              <w:autoSpaceDE w:val="0"/>
              <w:autoSpaceDN w:val="0"/>
              <w:adjustRightInd w:val="0"/>
              <w:jc w:val="center"/>
              <w:rPr>
                <w:sz w:val="20"/>
                <w:szCs w:val="20"/>
              </w:rPr>
            </w:pPr>
            <w:r w:rsidRPr="004066B5">
              <w:rPr>
                <w:b/>
                <w:bCs/>
                <w:sz w:val="20"/>
                <w:szCs w:val="20"/>
              </w:rPr>
              <w:t>Model 3</w:t>
            </w:r>
          </w:p>
        </w:tc>
        <w:tc>
          <w:tcPr>
            <w:tcW w:w="992" w:type="dxa"/>
            <w:tcBorders>
              <w:top w:val="single" w:sz="4" w:space="0" w:color="auto"/>
              <w:left w:val="nil"/>
              <w:bottom w:val="nil"/>
              <w:right w:val="nil"/>
            </w:tcBorders>
          </w:tcPr>
          <w:p w14:paraId="4F36AAD5" w14:textId="77777777" w:rsidR="00DD5F92" w:rsidRPr="004066B5" w:rsidRDefault="00DD5F92" w:rsidP="006524D0">
            <w:pPr>
              <w:widowControl w:val="0"/>
              <w:autoSpaceDE w:val="0"/>
              <w:autoSpaceDN w:val="0"/>
              <w:adjustRightInd w:val="0"/>
              <w:jc w:val="center"/>
              <w:rPr>
                <w:sz w:val="20"/>
                <w:szCs w:val="20"/>
              </w:rPr>
            </w:pPr>
            <w:r w:rsidRPr="004066B5">
              <w:rPr>
                <w:b/>
                <w:bCs/>
                <w:sz w:val="20"/>
                <w:szCs w:val="20"/>
              </w:rPr>
              <w:t>Model 4</w:t>
            </w:r>
          </w:p>
        </w:tc>
        <w:tc>
          <w:tcPr>
            <w:tcW w:w="991" w:type="dxa"/>
            <w:tcBorders>
              <w:top w:val="single" w:sz="4" w:space="0" w:color="auto"/>
              <w:left w:val="nil"/>
              <w:bottom w:val="nil"/>
              <w:right w:val="nil"/>
            </w:tcBorders>
          </w:tcPr>
          <w:p w14:paraId="7F448737" w14:textId="77777777" w:rsidR="00DD5F92" w:rsidRPr="004066B5" w:rsidRDefault="00DD5F92" w:rsidP="006524D0">
            <w:pPr>
              <w:widowControl w:val="0"/>
              <w:autoSpaceDE w:val="0"/>
              <w:autoSpaceDN w:val="0"/>
              <w:adjustRightInd w:val="0"/>
              <w:jc w:val="center"/>
              <w:rPr>
                <w:sz w:val="20"/>
                <w:szCs w:val="20"/>
              </w:rPr>
            </w:pPr>
            <w:r w:rsidRPr="004066B5">
              <w:rPr>
                <w:b/>
                <w:bCs/>
                <w:sz w:val="20"/>
                <w:szCs w:val="20"/>
              </w:rPr>
              <w:t>Model 5</w:t>
            </w:r>
          </w:p>
        </w:tc>
        <w:tc>
          <w:tcPr>
            <w:tcW w:w="994" w:type="dxa"/>
            <w:tcBorders>
              <w:top w:val="single" w:sz="4" w:space="0" w:color="auto"/>
              <w:left w:val="nil"/>
              <w:bottom w:val="nil"/>
              <w:right w:val="nil"/>
            </w:tcBorders>
          </w:tcPr>
          <w:p w14:paraId="03044105" w14:textId="77777777" w:rsidR="00DD5F92" w:rsidRPr="004066B5" w:rsidRDefault="00DD5F92" w:rsidP="006524D0">
            <w:pPr>
              <w:widowControl w:val="0"/>
              <w:autoSpaceDE w:val="0"/>
              <w:autoSpaceDN w:val="0"/>
              <w:adjustRightInd w:val="0"/>
              <w:jc w:val="center"/>
              <w:rPr>
                <w:sz w:val="20"/>
                <w:szCs w:val="20"/>
              </w:rPr>
            </w:pPr>
            <w:r w:rsidRPr="004066B5">
              <w:rPr>
                <w:b/>
                <w:bCs/>
                <w:sz w:val="20"/>
                <w:szCs w:val="20"/>
              </w:rPr>
              <w:t>Model 6</w:t>
            </w:r>
          </w:p>
        </w:tc>
      </w:tr>
      <w:tr w:rsidR="00DD5F92" w:rsidRPr="004066B5" w14:paraId="263B8DB6" w14:textId="77777777" w:rsidTr="006524D0">
        <w:tc>
          <w:tcPr>
            <w:tcW w:w="3369" w:type="dxa"/>
            <w:tcBorders>
              <w:top w:val="single" w:sz="4" w:space="0" w:color="auto"/>
              <w:left w:val="nil"/>
              <w:bottom w:val="nil"/>
              <w:right w:val="nil"/>
            </w:tcBorders>
          </w:tcPr>
          <w:p w14:paraId="6F555F6F" w14:textId="40CDB68C" w:rsidR="00DD5F92" w:rsidRPr="004066B5" w:rsidRDefault="00DD5F92" w:rsidP="006524D0">
            <w:pPr>
              <w:widowControl w:val="0"/>
              <w:autoSpaceDE w:val="0"/>
              <w:autoSpaceDN w:val="0"/>
              <w:adjustRightInd w:val="0"/>
              <w:rPr>
                <w:sz w:val="20"/>
                <w:szCs w:val="20"/>
              </w:rPr>
            </w:pPr>
            <w:r w:rsidRPr="00B564EF">
              <w:rPr>
                <w:sz w:val="20"/>
                <w:szCs w:val="20"/>
              </w:rPr>
              <w:t>Predictive expecta</w:t>
            </w:r>
            <w:r w:rsidR="00B96EC6">
              <w:rPr>
                <w:sz w:val="20"/>
                <w:szCs w:val="20"/>
              </w:rPr>
              <w:t>ncy</w:t>
            </w:r>
            <w:r w:rsidRPr="00B564EF">
              <w:rPr>
                <w:sz w:val="20"/>
                <w:szCs w:val="20"/>
              </w:rPr>
              <w:t xml:space="preserve"> violation </w:t>
            </w:r>
          </w:p>
        </w:tc>
        <w:tc>
          <w:tcPr>
            <w:tcW w:w="992" w:type="dxa"/>
            <w:tcBorders>
              <w:top w:val="single" w:sz="4" w:space="0" w:color="auto"/>
              <w:left w:val="nil"/>
              <w:bottom w:val="nil"/>
              <w:right w:val="nil"/>
            </w:tcBorders>
          </w:tcPr>
          <w:p w14:paraId="393B2634"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single" w:sz="4" w:space="0" w:color="auto"/>
              <w:left w:val="nil"/>
              <w:bottom w:val="nil"/>
              <w:right w:val="nil"/>
            </w:tcBorders>
          </w:tcPr>
          <w:p w14:paraId="2D355C8D"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r w:rsidRPr="004066B5">
              <w:rPr>
                <w:sz w:val="20"/>
                <w:szCs w:val="20"/>
                <w:vertAlign w:val="superscript"/>
              </w:rPr>
              <w:t>**</w:t>
            </w:r>
          </w:p>
        </w:tc>
        <w:tc>
          <w:tcPr>
            <w:tcW w:w="1134" w:type="dxa"/>
            <w:tcBorders>
              <w:top w:val="single" w:sz="4" w:space="0" w:color="auto"/>
              <w:left w:val="nil"/>
              <w:bottom w:val="nil"/>
              <w:right w:val="nil"/>
            </w:tcBorders>
          </w:tcPr>
          <w:p w14:paraId="732C67E2"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r w:rsidRPr="004066B5">
              <w:rPr>
                <w:sz w:val="20"/>
                <w:szCs w:val="20"/>
                <w:vertAlign w:val="superscript"/>
              </w:rPr>
              <w:t>**</w:t>
            </w:r>
          </w:p>
        </w:tc>
        <w:tc>
          <w:tcPr>
            <w:tcW w:w="992" w:type="dxa"/>
            <w:tcBorders>
              <w:top w:val="single" w:sz="4" w:space="0" w:color="auto"/>
              <w:left w:val="nil"/>
              <w:bottom w:val="nil"/>
              <w:right w:val="nil"/>
            </w:tcBorders>
          </w:tcPr>
          <w:p w14:paraId="099A4111"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r w:rsidRPr="004066B5">
              <w:rPr>
                <w:sz w:val="20"/>
                <w:szCs w:val="20"/>
                <w:vertAlign w:val="superscript"/>
              </w:rPr>
              <w:t>**</w:t>
            </w:r>
          </w:p>
        </w:tc>
        <w:tc>
          <w:tcPr>
            <w:tcW w:w="991" w:type="dxa"/>
            <w:tcBorders>
              <w:top w:val="single" w:sz="4" w:space="0" w:color="auto"/>
              <w:left w:val="nil"/>
              <w:bottom w:val="nil"/>
              <w:right w:val="nil"/>
            </w:tcBorders>
          </w:tcPr>
          <w:p w14:paraId="7DBED54E"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r w:rsidRPr="004066B5">
              <w:rPr>
                <w:sz w:val="20"/>
                <w:szCs w:val="20"/>
                <w:vertAlign w:val="superscript"/>
              </w:rPr>
              <w:t>**</w:t>
            </w:r>
          </w:p>
        </w:tc>
        <w:tc>
          <w:tcPr>
            <w:tcW w:w="994" w:type="dxa"/>
            <w:tcBorders>
              <w:top w:val="single" w:sz="4" w:space="0" w:color="auto"/>
              <w:left w:val="nil"/>
              <w:bottom w:val="nil"/>
              <w:right w:val="nil"/>
            </w:tcBorders>
          </w:tcPr>
          <w:p w14:paraId="1D0A110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0</w:t>
            </w:r>
            <w:r w:rsidRPr="004066B5">
              <w:rPr>
                <w:sz w:val="20"/>
                <w:szCs w:val="20"/>
                <w:vertAlign w:val="superscript"/>
              </w:rPr>
              <w:t>*</w:t>
            </w:r>
          </w:p>
        </w:tc>
      </w:tr>
      <w:tr w:rsidR="00DD5F92" w:rsidRPr="004066B5" w14:paraId="7DDE3DBA" w14:textId="77777777" w:rsidTr="006524D0">
        <w:tc>
          <w:tcPr>
            <w:tcW w:w="3369" w:type="dxa"/>
            <w:tcBorders>
              <w:top w:val="nil"/>
              <w:left w:val="nil"/>
              <w:bottom w:val="nil"/>
              <w:right w:val="nil"/>
            </w:tcBorders>
          </w:tcPr>
          <w:p w14:paraId="55B84EFD" w14:textId="77777777" w:rsidR="00DD5F92" w:rsidRPr="004066B5" w:rsidRDefault="00DD5F92" w:rsidP="006524D0">
            <w:pPr>
              <w:widowControl w:val="0"/>
              <w:autoSpaceDE w:val="0"/>
              <w:autoSpaceDN w:val="0"/>
              <w:adjustRightInd w:val="0"/>
              <w:rPr>
                <w:sz w:val="20"/>
                <w:szCs w:val="20"/>
              </w:rPr>
            </w:pPr>
            <w:r w:rsidRPr="00B564EF">
              <w:rPr>
                <w:sz w:val="20"/>
                <w:szCs w:val="20"/>
              </w:rPr>
              <w:t>(positive)</w:t>
            </w:r>
          </w:p>
        </w:tc>
        <w:tc>
          <w:tcPr>
            <w:tcW w:w="992" w:type="dxa"/>
            <w:tcBorders>
              <w:top w:val="nil"/>
              <w:left w:val="nil"/>
              <w:bottom w:val="nil"/>
              <w:right w:val="nil"/>
            </w:tcBorders>
          </w:tcPr>
          <w:p w14:paraId="1ABB31E1"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1A7542C8"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1134" w:type="dxa"/>
            <w:tcBorders>
              <w:top w:val="nil"/>
              <w:left w:val="nil"/>
              <w:bottom w:val="nil"/>
              <w:right w:val="nil"/>
            </w:tcBorders>
          </w:tcPr>
          <w:p w14:paraId="1F8FB56B"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672F9DA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r w:rsidRPr="004066B5">
              <w:rPr>
                <w:sz w:val="20"/>
                <w:szCs w:val="20"/>
              </w:rPr>
              <w:t>)</w:t>
            </w:r>
          </w:p>
        </w:tc>
        <w:tc>
          <w:tcPr>
            <w:tcW w:w="991" w:type="dxa"/>
            <w:tcBorders>
              <w:top w:val="nil"/>
              <w:left w:val="nil"/>
              <w:bottom w:val="nil"/>
              <w:right w:val="nil"/>
            </w:tcBorders>
          </w:tcPr>
          <w:p w14:paraId="28BF794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4" w:type="dxa"/>
            <w:tcBorders>
              <w:top w:val="nil"/>
              <w:left w:val="nil"/>
              <w:bottom w:val="nil"/>
              <w:right w:val="nil"/>
            </w:tcBorders>
          </w:tcPr>
          <w:p w14:paraId="549BF3A1"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(0.01)</w:t>
            </w:r>
          </w:p>
        </w:tc>
      </w:tr>
      <w:tr w:rsidR="00DD5F92" w:rsidRPr="004066B5" w14:paraId="7224D300" w14:textId="77777777" w:rsidTr="006524D0">
        <w:tc>
          <w:tcPr>
            <w:tcW w:w="3369" w:type="dxa"/>
            <w:tcBorders>
              <w:top w:val="nil"/>
              <w:left w:val="nil"/>
              <w:bottom w:val="nil"/>
              <w:right w:val="nil"/>
            </w:tcBorders>
          </w:tcPr>
          <w:p w14:paraId="51F30B65"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74090139"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1880D841" w14:textId="77777777" w:rsidR="00DD5F92" w:rsidRPr="004066B5" w:rsidRDefault="00DD5F92" w:rsidP="006524D0">
            <w:pPr>
              <w:widowControl w:val="0"/>
              <w:autoSpaceDE w:val="0"/>
              <w:autoSpaceDN w:val="0"/>
              <w:adjustRightInd w:val="0"/>
              <w:rPr>
                <w:sz w:val="20"/>
                <w:szCs w:val="20"/>
              </w:rPr>
            </w:pPr>
          </w:p>
        </w:tc>
        <w:tc>
          <w:tcPr>
            <w:tcW w:w="1134" w:type="dxa"/>
            <w:tcBorders>
              <w:top w:val="nil"/>
              <w:left w:val="nil"/>
              <w:bottom w:val="nil"/>
              <w:right w:val="nil"/>
            </w:tcBorders>
          </w:tcPr>
          <w:p w14:paraId="21F4E27F"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4AA1F468" w14:textId="77777777" w:rsidR="00DD5F92" w:rsidRPr="004066B5" w:rsidRDefault="00DD5F92" w:rsidP="006524D0">
            <w:pPr>
              <w:widowControl w:val="0"/>
              <w:autoSpaceDE w:val="0"/>
              <w:autoSpaceDN w:val="0"/>
              <w:adjustRightInd w:val="0"/>
              <w:rPr>
                <w:sz w:val="20"/>
                <w:szCs w:val="20"/>
              </w:rPr>
            </w:pPr>
          </w:p>
        </w:tc>
        <w:tc>
          <w:tcPr>
            <w:tcW w:w="991" w:type="dxa"/>
            <w:tcBorders>
              <w:top w:val="nil"/>
              <w:left w:val="nil"/>
              <w:bottom w:val="nil"/>
              <w:right w:val="nil"/>
            </w:tcBorders>
          </w:tcPr>
          <w:p w14:paraId="422A248E" w14:textId="77777777" w:rsidR="00DD5F92" w:rsidRPr="004066B5" w:rsidRDefault="00DD5F92" w:rsidP="006524D0">
            <w:pPr>
              <w:widowControl w:val="0"/>
              <w:autoSpaceDE w:val="0"/>
              <w:autoSpaceDN w:val="0"/>
              <w:adjustRightInd w:val="0"/>
              <w:rPr>
                <w:sz w:val="20"/>
                <w:szCs w:val="20"/>
              </w:rPr>
            </w:pPr>
          </w:p>
        </w:tc>
        <w:tc>
          <w:tcPr>
            <w:tcW w:w="994" w:type="dxa"/>
            <w:tcBorders>
              <w:top w:val="nil"/>
              <w:left w:val="nil"/>
              <w:bottom w:val="nil"/>
              <w:right w:val="nil"/>
            </w:tcBorders>
          </w:tcPr>
          <w:p w14:paraId="65C92F34" w14:textId="77777777" w:rsidR="00DD5F92" w:rsidRPr="004066B5" w:rsidRDefault="00DD5F92" w:rsidP="006524D0">
            <w:pPr>
              <w:widowControl w:val="0"/>
              <w:autoSpaceDE w:val="0"/>
              <w:autoSpaceDN w:val="0"/>
              <w:adjustRightInd w:val="0"/>
              <w:rPr>
                <w:sz w:val="20"/>
                <w:szCs w:val="20"/>
              </w:rPr>
            </w:pPr>
          </w:p>
        </w:tc>
      </w:tr>
      <w:tr w:rsidR="00DD5F92" w:rsidRPr="004066B5" w14:paraId="516B57BF" w14:textId="77777777" w:rsidTr="006524D0">
        <w:tc>
          <w:tcPr>
            <w:tcW w:w="3369" w:type="dxa"/>
            <w:tcBorders>
              <w:top w:val="nil"/>
              <w:left w:val="nil"/>
              <w:bottom w:val="nil"/>
              <w:right w:val="nil"/>
            </w:tcBorders>
          </w:tcPr>
          <w:p w14:paraId="09BFA389" w14:textId="236854F3" w:rsidR="00DD5F92" w:rsidRDefault="00DD5F92" w:rsidP="006524D0">
            <w:pPr>
              <w:widowControl w:val="0"/>
              <w:autoSpaceDE w:val="0"/>
              <w:autoSpaceDN w:val="0"/>
              <w:adjustRightInd w:val="0"/>
              <w:rPr>
                <w:sz w:val="20"/>
                <w:szCs w:val="20"/>
              </w:rPr>
            </w:pPr>
            <w:r w:rsidRPr="00B564EF">
              <w:rPr>
                <w:sz w:val="20"/>
                <w:szCs w:val="20"/>
              </w:rPr>
              <w:t>Predictive expecta</w:t>
            </w:r>
            <w:r w:rsidR="00B96EC6">
              <w:rPr>
                <w:sz w:val="20"/>
                <w:szCs w:val="20"/>
              </w:rPr>
              <w:t>ncy</w:t>
            </w:r>
            <w:r w:rsidRPr="00B564EF">
              <w:rPr>
                <w:sz w:val="20"/>
                <w:szCs w:val="20"/>
              </w:rPr>
              <w:t xml:space="preserve"> violation </w:t>
            </w:r>
          </w:p>
        </w:tc>
        <w:tc>
          <w:tcPr>
            <w:tcW w:w="992" w:type="dxa"/>
            <w:tcBorders>
              <w:top w:val="nil"/>
              <w:left w:val="nil"/>
              <w:bottom w:val="nil"/>
              <w:right w:val="nil"/>
            </w:tcBorders>
          </w:tcPr>
          <w:p w14:paraId="17F16E0D"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2417B3CE"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r w:rsidRPr="004066B5">
              <w:rPr>
                <w:sz w:val="20"/>
                <w:szCs w:val="20"/>
                <w:vertAlign w:val="superscript"/>
              </w:rPr>
              <w:t>*</w:t>
            </w:r>
          </w:p>
        </w:tc>
        <w:tc>
          <w:tcPr>
            <w:tcW w:w="1134" w:type="dxa"/>
            <w:tcBorders>
              <w:top w:val="nil"/>
              <w:left w:val="nil"/>
              <w:bottom w:val="nil"/>
              <w:right w:val="nil"/>
            </w:tcBorders>
          </w:tcPr>
          <w:p w14:paraId="3C599976"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r w:rsidRPr="004066B5">
              <w:rPr>
                <w:sz w:val="20"/>
                <w:szCs w:val="20"/>
                <w:vertAlign w:val="superscript"/>
              </w:rPr>
              <w:t>+</w:t>
            </w:r>
          </w:p>
        </w:tc>
        <w:tc>
          <w:tcPr>
            <w:tcW w:w="992" w:type="dxa"/>
            <w:tcBorders>
              <w:top w:val="nil"/>
              <w:left w:val="nil"/>
              <w:bottom w:val="nil"/>
              <w:right w:val="nil"/>
            </w:tcBorders>
          </w:tcPr>
          <w:p w14:paraId="5461237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1" w:type="dxa"/>
            <w:tcBorders>
              <w:top w:val="nil"/>
              <w:left w:val="nil"/>
              <w:bottom w:val="nil"/>
              <w:right w:val="nil"/>
            </w:tcBorders>
          </w:tcPr>
          <w:p w14:paraId="2D9AD078"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r w:rsidRPr="004066B5">
              <w:rPr>
                <w:sz w:val="20"/>
                <w:szCs w:val="20"/>
                <w:vertAlign w:val="superscript"/>
              </w:rPr>
              <w:t>*</w:t>
            </w:r>
          </w:p>
        </w:tc>
        <w:tc>
          <w:tcPr>
            <w:tcW w:w="994" w:type="dxa"/>
            <w:tcBorders>
              <w:top w:val="nil"/>
              <w:left w:val="nil"/>
              <w:bottom w:val="nil"/>
              <w:right w:val="nil"/>
            </w:tcBorders>
          </w:tcPr>
          <w:p w14:paraId="273C5A92"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r>
      <w:tr w:rsidR="00DD5F92" w:rsidRPr="004066B5" w14:paraId="47CD0660" w14:textId="77777777" w:rsidTr="006524D0">
        <w:tc>
          <w:tcPr>
            <w:tcW w:w="3369" w:type="dxa"/>
            <w:tcBorders>
              <w:top w:val="nil"/>
              <w:left w:val="nil"/>
              <w:bottom w:val="nil"/>
              <w:right w:val="nil"/>
            </w:tcBorders>
          </w:tcPr>
          <w:p w14:paraId="1E1229E2" w14:textId="77777777" w:rsidR="00DD5F92" w:rsidRDefault="00DD5F92" w:rsidP="006524D0">
            <w:pPr>
              <w:widowControl w:val="0"/>
              <w:autoSpaceDE w:val="0"/>
              <w:autoSpaceDN w:val="0"/>
              <w:adjustRightInd w:val="0"/>
              <w:rPr>
                <w:sz w:val="20"/>
                <w:szCs w:val="20"/>
              </w:rPr>
            </w:pPr>
            <w:r w:rsidRPr="00B564EF">
              <w:rPr>
                <w:sz w:val="20"/>
                <w:szCs w:val="20"/>
              </w:rPr>
              <w:t>(negative)</w:t>
            </w:r>
          </w:p>
        </w:tc>
        <w:tc>
          <w:tcPr>
            <w:tcW w:w="992" w:type="dxa"/>
            <w:tcBorders>
              <w:top w:val="nil"/>
              <w:left w:val="nil"/>
              <w:bottom w:val="nil"/>
              <w:right w:val="nil"/>
            </w:tcBorders>
          </w:tcPr>
          <w:p w14:paraId="39DD815E"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01B8CAD2"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5</w:t>
            </w:r>
            <w:r w:rsidRPr="004066B5">
              <w:rPr>
                <w:sz w:val="20"/>
                <w:szCs w:val="20"/>
              </w:rPr>
              <w:t>)</w:t>
            </w:r>
          </w:p>
        </w:tc>
        <w:tc>
          <w:tcPr>
            <w:tcW w:w="1134" w:type="dxa"/>
            <w:tcBorders>
              <w:top w:val="nil"/>
              <w:left w:val="nil"/>
              <w:bottom w:val="nil"/>
              <w:right w:val="nil"/>
            </w:tcBorders>
          </w:tcPr>
          <w:p w14:paraId="29497B56"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9</w:t>
            </w:r>
            <w:r w:rsidRPr="004066B5">
              <w:rPr>
                <w:sz w:val="20"/>
                <w:szCs w:val="20"/>
              </w:rPr>
              <w:t>)</w:t>
            </w:r>
          </w:p>
        </w:tc>
        <w:tc>
          <w:tcPr>
            <w:tcW w:w="992" w:type="dxa"/>
            <w:tcBorders>
              <w:top w:val="nil"/>
              <w:left w:val="nil"/>
              <w:bottom w:val="nil"/>
              <w:right w:val="nil"/>
            </w:tcBorders>
          </w:tcPr>
          <w:p w14:paraId="030D49B2"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(0.11)</w:t>
            </w:r>
          </w:p>
        </w:tc>
        <w:tc>
          <w:tcPr>
            <w:tcW w:w="991" w:type="dxa"/>
            <w:tcBorders>
              <w:top w:val="nil"/>
              <w:left w:val="nil"/>
              <w:bottom w:val="nil"/>
              <w:right w:val="nil"/>
            </w:tcBorders>
          </w:tcPr>
          <w:p w14:paraId="2FD0E5A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(0.04)</w:t>
            </w:r>
          </w:p>
        </w:tc>
        <w:tc>
          <w:tcPr>
            <w:tcW w:w="994" w:type="dxa"/>
            <w:tcBorders>
              <w:top w:val="nil"/>
              <w:left w:val="nil"/>
              <w:bottom w:val="nil"/>
              <w:right w:val="nil"/>
            </w:tcBorders>
          </w:tcPr>
          <w:p w14:paraId="7C0786D8"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(0.16)</w:t>
            </w:r>
          </w:p>
        </w:tc>
      </w:tr>
      <w:tr w:rsidR="00DD5F92" w:rsidRPr="004066B5" w14:paraId="2116E23F" w14:textId="77777777" w:rsidTr="006524D0">
        <w:tc>
          <w:tcPr>
            <w:tcW w:w="3369" w:type="dxa"/>
            <w:tcBorders>
              <w:top w:val="nil"/>
              <w:left w:val="nil"/>
              <w:bottom w:val="nil"/>
              <w:right w:val="nil"/>
            </w:tcBorders>
          </w:tcPr>
          <w:p w14:paraId="1F7A7F19" w14:textId="77777777" w:rsidR="00DD5F92"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396A9CFA"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4A14F3D1"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20DA8054"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7979E377" w14:textId="77777777" w:rsidR="00DD5F92" w:rsidRPr="004066B5" w:rsidRDefault="00DD5F92" w:rsidP="006524D0">
            <w:pPr>
              <w:widowControl w:val="0"/>
              <w:autoSpaceDE w:val="0"/>
              <w:autoSpaceDN w:val="0"/>
              <w:adjustRightInd w:val="0"/>
              <w:jc w:val="center"/>
              <w:rPr>
                <w:sz w:val="20"/>
                <w:szCs w:val="20"/>
              </w:rPr>
            </w:pPr>
          </w:p>
        </w:tc>
        <w:tc>
          <w:tcPr>
            <w:tcW w:w="991" w:type="dxa"/>
            <w:tcBorders>
              <w:top w:val="nil"/>
              <w:left w:val="nil"/>
              <w:bottom w:val="nil"/>
              <w:right w:val="nil"/>
            </w:tcBorders>
          </w:tcPr>
          <w:p w14:paraId="54183AF9" w14:textId="77777777" w:rsidR="00DD5F92" w:rsidRPr="004066B5" w:rsidRDefault="00DD5F92" w:rsidP="006524D0">
            <w:pPr>
              <w:widowControl w:val="0"/>
              <w:autoSpaceDE w:val="0"/>
              <w:autoSpaceDN w:val="0"/>
              <w:adjustRightInd w:val="0"/>
              <w:jc w:val="center"/>
              <w:rPr>
                <w:sz w:val="20"/>
                <w:szCs w:val="20"/>
              </w:rPr>
            </w:pPr>
          </w:p>
        </w:tc>
        <w:tc>
          <w:tcPr>
            <w:tcW w:w="994" w:type="dxa"/>
            <w:tcBorders>
              <w:top w:val="nil"/>
              <w:left w:val="nil"/>
              <w:bottom w:val="nil"/>
              <w:right w:val="nil"/>
            </w:tcBorders>
          </w:tcPr>
          <w:p w14:paraId="409B4E47" w14:textId="77777777" w:rsidR="00DD5F92" w:rsidRPr="004066B5" w:rsidRDefault="00DD5F92" w:rsidP="006524D0">
            <w:pPr>
              <w:widowControl w:val="0"/>
              <w:autoSpaceDE w:val="0"/>
              <w:autoSpaceDN w:val="0"/>
              <w:adjustRightInd w:val="0"/>
              <w:jc w:val="center"/>
              <w:rPr>
                <w:sz w:val="20"/>
                <w:szCs w:val="20"/>
              </w:rPr>
            </w:pPr>
          </w:p>
        </w:tc>
      </w:tr>
      <w:tr w:rsidR="00DD5F92" w:rsidRPr="004066B5" w14:paraId="400B97E2" w14:textId="77777777" w:rsidTr="006524D0">
        <w:tc>
          <w:tcPr>
            <w:tcW w:w="3369" w:type="dxa"/>
            <w:tcBorders>
              <w:top w:val="nil"/>
              <w:left w:val="nil"/>
              <w:bottom w:val="nil"/>
              <w:right w:val="nil"/>
            </w:tcBorders>
          </w:tcPr>
          <w:p w14:paraId="05F2464F" w14:textId="11C1EE90" w:rsidR="00DD5F92" w:rsidRDefault="00DD5F92" w:rsidP="006524D0">
            <w:pPr>
              <w:widowControl w:val="0"/>
              <w:autoSpaceDE w:val="0"/>
              <w:autoSpaceDN w:val="0"/>
              <w:adjustRightInd w:val="0"/>
              <w:rPr>
                <w:sz w:val="20"/>
                <w:szCs w:val="20"/>
              </w:rPr>
            </w:pPr>
            <w:r w:rsidRPr="00B564EF">
              <w:rPr>
                <w:sz w:val="20"/>
                <w:szCs w:val="20"/>
              </w:rPr>
              <w:t>Prescriptive expecta</w:t>
            </w:r>
            <w:r w:rsidR="00B96EC6">
              <w:rPr>
                <w:sz w:val="20"/>
                <w:szCs w:val="20"/>
              </w:rPr>
              <w:t>ncy</w:t>
            </w:r>
            <w:r w:rsidRPr="00B564EF">
              <w:rPr>
                <w:sz w:val="20"/>
                <w:szCs w:val="20"/>
              </w:rPr>
              <w:t xml:space="preserve"> violation</w:t>
            </w:r>
          </w:p>
        </w:tc>
        <w:tc>
          <w:tcPr>
            <w:tcW w:w="992" w:type="dxa"/>
            <w:tcBorders>
              <w:top w:val="nil"/>
              <w:left w:val="nil"/>
              <w:bottom w:val="nil"/>
              <w:right w:val="nil"/>
            </w:tcBorders>
          </w:tcPr>
          <w:p w14:paraId="3A7FF9C0"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5A9D054D"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54E150E9"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-0.02</w:t>
            </w:r>
            <w:r w:rsidRPr="004066B5">
              <w:rPr>
                <w:sz w:val="20"/>
                <w:szCs w:val="20"/>
                <w:vertAlign w:val="superscript"/>
              </w:rPr>
              <w:t>***</w:t>
            </w:r>
          </w:p>
        </w:tc>
        <w:tc>
          <w:tcPr>
            <w:tcW w:w="992" w:type="dxa"/>
            <w:tcBorders>
              <w:top w:val="nil"/>
              <w:left w:val="nil"/>
              <w:bottom w:val="nil"/>
              <w:right w:val="nil"/>
            </w:tcBorders>
          </w:tcPr>
          <w:p w14:paraId="62E9D0BC" w14:textId="77777777" w:rsidR="00DD5F92" w:rsidRPr="004066B5" w:rsidRDefault="00DD5F92" w:rsidP="006524D0">
            <w:pPr>
              <w:widowControl w:val="0"/>
              <w:autoSpaceDE w:val="0"/>
              <w:autoSpaceDN w:val="0"/>
              <w:adjustRightInd w:val="0"/>
              <w:jc w:val="center"/>
              <w:rPr>
                <w:sz w:val="20"/>
                <w:szCs w:val="20"/>
              </w:rPr>
            </w:pPr>
          </w:p>
        </w:tc>
        <w:tc>
          <w:tcPr>
            <w:tcW w:w="991" w:type="dxa"/>
            <w:tcBorders>
              <w:top w:val="nil"/>
              <w:left w:val="nil"/>
              <w:bottom w:val="nil"/>
              <w:right w:val="nil"/>
            </w:tcBorders>
          </w:tcPr>
          <w:p w14:paraId="3EF9B12F" w14:textId="77777777" w:rsidR="00DD5F92" w:rsidRPr="004066B5" w:rsidRDefault="00DD5F92" w:rsidP="006524D0">
            <w:pPr>
              <w:widowControl w:val="0"/>
              <w:autoSpaceDE w:val="0"/>
              <w:autoSpaceDN w:val="0"/>
              <w:adjustRightInd w:val="0"/>
              <w:jc w:val="center"/>
              <w:rPr>
                <w:sz w:val="20"/>
                <w:szCs w:val="20"/>
              </w:rPr>
            </w:pPr>
          </w:p>
        </w:tc>
        <w:tc>
          <w:tcPr>
            <w:tcW w:w="994" w:type="dxa"/>
            <w:tcBorders>
              <w:top w:val="nil"/>
              <w:left w:val="nil"/>
              <w:bottom w:val="nil"/>
              <w:right w:val="nil"/>
            </w:tcBorders>
          </w:tcPr>
          <w:p w14:paraId="0C0F3FB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2</w:t>
            </w:r>
            <w:r w:rsidRPr="004066B5">
              <w:rPr>
                <w:sz w:val="20"/>
                <w:szCs w:val="20"/>
                <w:vertAlign w:val="superscript"/>
              </w:rPr>
              <w:t>***</w:t>
            </w:r>
          </w:p>
        </w:tc>
      </w:tr>
      <w:tr w:rsidR="00DD5F92" w:rsidRPr="004066B5" w14:paraId="15A2C2FC" w14:textId="77777777" w:rsidTr="006524D0">
        <w:tc>
          <w:tcPr>
            <w:tcW w:w="3369" w:type="dxa"/>
            <w:tcBorders>
              <w:top w:val="nil"/>
              <w:left w:val="nil"/>
              <w:bottom w:val="nil"/>
              <w:right w:val="nil"/>
            </w:tcBorders>
          </w:tcPr>
          <w:p w14:paraId="17CE9B7C" w14:textId="77777777" w:rsidR="00DD5F92" w:rsidRDefault="00DD5F92" w:rsidP="006524D0">
            <w:pPr>
              <w:widowControl w:val="0"/>
              <w:autoSpaceDE w:val="0"/>
              <w:autoSpaceDN w:val="0"/>
              <w:adjustRightInd w:val="0"/>
              <w:rPr>
                <w:sz w:val="20"/>
                <w:szCs w:val="20"/>
              </w:rPr>
            </w:pPr>
            <w:r w:rsidRPr="00B564EF">
              <w:rPr>
                <w:sz w:val="20"/>
                <w:szCs w:val="20"/>
              </w:rPr>
              <w:t>(past performance)</w:t>
            </w:r>
          </w:p>
        </w:tc>
        <w:tc>
          <w:tcPr>
            <w:tcW w:w="992" w:type="dxa"/>
            <w:tcBorders>
              <w:top w:val="nil"/>
              <w:left w:val="nil"/>
              <w:bottom w:val="nil"/>
              <w:right w:val="nil"/>
            </w:tcBorders>
          </w:tcPr>
          <w:p w14:paraId="6C2FAA7A"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7BAC00A1"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10A11980"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0F5C0477" w14:textId="77777777" w:rsidR="00DD5F92" w:rsidRPr="004066B5" w:rsidRDefault="00DD5F92" w:rsidP="006524D0">
            <w:pPr>
              <w:widowControl w:val="0"/>
              <w:autoSpaceDE w:val="0"/>
              <w:autoSpaceDN w:val="0"/>
              <w:adjustRightInd w:val="0"/>
              <w:jc w:val="center"/>
              <w:rPr>
                <w:sz w:val="20"/>
                <w:szCs w:val="20"/>
              </w:rPr>
            </w:pPr>
          </w:p>
        </w:tc>
        <w:tc>
          <w:tcPr>
            <w:tcW w:w="991" w:type="dxa"/>
            <w:tcBorders>
              <w:top w:val="nil"/>
              <w:left w:val="nil"/>
              <w:bottom w:val="nil"/>
              <w:right w:val="nil"/>
            </w:tcBorders>
          </w:tcPr>
          <w:p w14:paraId="58240F36" w14:textId="77777777" w:rsidR="00DD5F92" w:rsidRPr="004066B5" w:rsidRDefault="00DD5F92" w:rsidP="006524D0">
            <w:pPr>
              <w:widowControl w:val="0"/>
              <w:autoSpaceDE w:val="0"/>
              <w:autoSpaceDN w:val="0"/>
              <w:adjustRightInd w:val="0"/>
              <w:jc w:val="center"/>
              <w:rPr>
                <w:sz w:val="20"/>
                <w:szCs w:val="20"/>
              </w:rPr>
            </w:pPr>
          </w:p>
        </w:tc>
        <w:tc>
          <w:tcPr>
            <w:tcW w:w="994" w:type="dxa"/>
            <w:tcBorders>
              <w:top w:val="nil"/>
              <w:left w:val="nil"/>
              <w:bottom w:val="nil"/>
              <w:right w:val="nil"/>
            </w:tcBorders>
          </w:tcPr>
          <w:p w14:paraId="7A687D7B"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r>
      <w:tr w:rsidR="00DD5F92" w:rsidRPr="004066B5" w14:paraId="6D4E6055" w14:textId="77777777" w:rsidTr="006524D0">
        <w:tc>
          <w:tcPr>
            <w:tcW w:w="3369" w:type="dxa"/>
            <w:tcBorders>
              <w:top w:val="nil"/>
              <w:left w:val="nil"/>
              <w:bottom w:val="nil"/>
              <w:right w:val="nil"/>
            </w:tcBorders>
          </w:tcPr>
          <w:p w14:paraId="201EF539" w14:textId="77777777" w:rsidR="00DD5F92"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5EB23D9C"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76F26275"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4BB82C12"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737F9B42" w14:textId="77777777" w:rsidR="00DD5F92" w:rsidRPr="004066B5" w:rsidRDefault="00DD5F92" w:rsidP="006524D0">
            <w:pPr>
              <w:widowControl w:val="0"/>
              <w:autoSpaceDE w:val="0"/>
              <w:autoSpaceDN w:val="0"/>
              <w:adjustRightInd w:val="0"/>
              <w:jc w:val="center"/>
              <w:rPr>
                <w:sz w:val="20"/>
                <w:szCs w:val="20"/>
              </w:rPr>
            </w:pPr>
          </w:p>
        </w:tc>
        <w:tc>
          <w:tcPr>
            <w:tcW w:w="991" w:type="dxa"/>
            <w:tcBorders>
              <w:top w:val="nil"/>
              <w:left w:val="nil"/>
              <w:bottom w:val="nil"/>
              <w:right w:val="nil"/>
            </w:tcBorders>
          </w:tcPr>
          <w:p w14:paraId="01742253" w14:textId="77777777" w:rsidR="00DD5F92" w:rsidRPr="004066B5" w:rsidRDefault="00DD5F92" w:rsidP="006524D0">
            <w:pPr>
              <w:widowControl w:val="0"/>
              <w:autoSpaceDE w:val="0"/>
              <w:autoSpaceDN w:val="0"/>
              <w:adjustRightInd w:val="0"/>
              <w:jc w:val="center"/>
              <w:rPr>
                <w:sz w:val="20"/>
                <w:szCs w:val="20"/>
              </w:rPr>
            </w:pPr>
          </w:p>
        </w:tc>
        <w:tc>
          <w:tcPr>
            <w:tcW w:w="994" w:type="dxa"/>
            <w:tcBorders>
              <w:top w:val="nil"/>
              <w:left w:val="nil"/>
              <w:bottom w:val="nil"/>
              <w:right w:val="nil"/>
            </w:tcBorders>
          </w:tcPr>
          <w:p w14:paraId="5F557AA1" w14:textId="77777777" w:rsidR="00DD5F92" w:rsidRPr="004066B5" w:rsidRDefault="00DD5F92" w:rsidP="006524D0">
            <w:pPr>
              <w:widowControl w:val="0"/>
              <w:autoSpaceDE w:val="0"/>
              <w:autoSpaceDN w:val="0"/>
              <w:adjustRightInd w:val="0"/>
              <w:jc w:val="center"/>
              <w:rPr>
                <w:sz w:val="20"/>
                <w:szCs w:val="20"/>
              </w:rPr>
            </w:pPr>
          </w:p>
        </w:tc>
      </w:tr>
      <w:tr w:rsidR="00DD5F92" w:rsidRPr="004066B5" w14:paraId="75B56DB8" w14:textId="77777777" w:rsidTr="006524D0">
        <w:tc>
          <w:tcPr>
            <w:tcW w:w="3369" w:type="dxa"/>
            <w:tcBorders>
              <w:top w:val="nil"/>
              <w:left w:val="nil"/>
              <w:bottom w:val="nil"/>
              <w:right w:val="nil"/>
            </w:tcBorders>
          </w:tcPr>
          <w:p w14:paraId="72D28D1E" w14:textId="35F55F44" w:rsidR="00DD5F92" w:rsidRDefault="00DD5F92" w:rsidP="006524D0">
            <w:pPr>
              <w:widowControl w:val="0"/>
              <w:autoSpaceDE w:val="0"/>
              <w:autoSpaceDN w:val="0"/>
              <w:adjustRightInd w:val="0"/>
              <w:rPr>
                <w:sz w:val="20"/>
                <w:szCs w:val="20"/>
              </w:rPr>
            </w:pPr>
            <w:r w:rsidRPr="00B564EF">
              <w:rPr>
                <w:sz w:val="20"/>
                <w:szCs w:val="20"/>
              </w:rPr>
              <w:t>Prescriptive expecta</w:t>
            </w:r>
            <w:r w:rsidR="00B96EC6">
              <w:rPr>
                <w:sz w:val="20"/>
                <w:szCs w:val="20"/>
              </w:rPr>
              <w:t>ncy</w:t>
            </w:r>
            <w:r w:rsidRPr="00B564EF">
              <w:rPr>
                <w:sz w:val="20"/>
                <w:szCs w:val="20"/>
              </w:rPr>
              <w:t xml:space="preserve"> violation </w:t>
            </w:r>
          </w:p>
        </w:tc>
        <w:tc>
          <w:tcPr>
            <w:tcW w:w="992" w:type="dxa"/>
            <w:tcBorders>
              <w:top w:val="nil"/>
              <w:left w:val="nil"/>
              <w:bottom w:val="nil"/>
              <w:right w:val="nil"/>
            </w:tcBorders>
          </w:tcPr>
          <w:p w14:paraId="127CBC00"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56450877"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3162AD79"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31A5D88B"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-0.02</w:t>
            </w:r>
            <w:r w:rsidRPr="004066B5">
              <w:rPr>
                <w:sz w:val="20"/>
                <w:szCs w:val="20"/>
                <w:vertAlign w:val="superscript"/>
              </w:rPr>
              <w:t>***</w:t>
            </w:r>
          </w:p>
        </w:tc>
        <w:tc>
          <w:tcPr>
            <w:tcW w:w="991" w:type="dxa"/>
            <w:tcBorders>
              <w:top w:val="nil"/>
              <w:left w:val="nil"/>
              <w:bottom w:val="nil"/>
              <w:right w:val="nil"/>
            </w:tcBorders>
          </w:tcPr>
          <w:p w14:paraId="42712151" w14:textId="77777777" w:rsidR="00DD5F92" w:rsidRPr="004066B5" w:rsidRDefault="00DD5F92" w:rsidP="006524D0">
            <w:pPr>
              <w:widowControl w:val="0"/>
              <w:autoSpaceDE w:val="0"/>
              <w:autoSpaceDN w:val="0"/>
              <w:adjustRightInd w:val="0"/>
              <w:jc w:val="center"/>
              <w:rPr>
                <w:sz w:val="20"/>
                <w:szCs w:val="20"/>
              </w:rPr>
            </w:pPr>
          </w:p>
        </w:tc>
        <w:tc>
          <w:tcPr>
            <w:tcW w:w="994" w:type="dxa"/>
            <w:tcBorders>
              <w:top w:val="nil"/>
              <w:left w:val="nil"/>
              <w:bottom w:val="nil"/>
              <w:right w:val="nil"/>
            </w:tcBorders>
          </w:tcPr>
          <w:p w14:paraId="0917EB95"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2</w:t>
            </w:r>
            <w:r w:rsidRPr="004066B5">
              <w:rPr>
                <w:sz w:val="20"/>
                <w:szCs w:val="20"/>
                <w:vertAlign w:val="superscript"/>
              </w:rPr>
              <w:t>***</w:t>
            </w:r>
          </w:p>
        </w:tc>
      </w:tr>
      <w:tr w:rsidR="00DD5F92" w:rsidRPr="004066B5" w14:paraId="7A241ADA" w14:textId="77777777" w:rsidTr="006524D0">
        <w:tc>
          <w:tcPr>
            <w:tcW w:w="3369" w:type="dxa"/>
            <w:tcBorders>
              <w:top w:val="nil"/>
              <w:left w:val="nil"/>
              <w:bottom w:val="nil"/>
              <w:right w:val="nil"/>
            </w:tcBorders>
          </w:tcPr>
          <w:p w14:paraId="4C3F2DB2" w14:textId="77777777" w:rsidR="00DD5F92" w:rsidRDefault="00DD5F92" w:rsidP="006524D0">
            <w:pPr>
              <w:widowControl w:val="0"/>
              <w:autoSpaceDE w:val="0"/>
              <w:autoSpaceDN w:val="0"/>
              <w:adjustRightInd w:val="0"/>
              <w:rPr>
                <w:sz w:val="20"/>
                <w:szCs w:val="20"/>
              </w:rPr>
            </w:pPr>
            <w:r>
              <w:rPr>
                <w:rFonts w:hint="eastAsia"/>
                <w:sz w:val="20"/>
                <w:szCs w:val="20"/>
              </w:rPr>
              <w:t>(peer comparisons)</w:t>
            </w:r>
          </w:p>
        </w:tc>
        <w:tc>
          <w:tcPr>
            <w:tcW w:w="992" w:type="dxa"/>
            <w:tcBorders>
              <w:top w:val="nil"/>
              <w:left w:val="nil"/>
              <w:bottom w:val="nil"/>
              <w:right w:val="nil"/>
            </w:tcBorders>
          </w:tcPr>
          <w:p w14:paraId="2EC8D743"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69F6F7C2"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428BC630"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073EEAD2"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1" w:type="dxa"/>
            <w:tcBorders>
              <w:top w:val="nil"/>
              <w:left w:val="nil"/>
              <w:bottom w:val="nil"/>
              <w:right w:val="nil"/>
            </w:tcBorders>
          </w:tcPr>
          <w:p w14:paraId="13C3236D" w14:textId="77777777" w:rsidR="00DD5F92" w:rsidRPr="004066B5" w:rsidRDefault="00DD5F92" w:rsidP="006524D0">
            <w:pPr>
              <w:widowControl w:val="0"/>
              <w:autoSpaceDE w:val="0"/>
              <w:autoSpaceDN w:val="0"/>
              <w:adjustRightInd w:val="0"/>
              <w:jc w:val="center"/>
              <w:rPr>
                <w:sz w:val="20"/>
                <w:szCs w:val="20"/>
              </w:rPr>
            </w:pPr>
          </w:p>
        </w:tc>
        <w:tc>
          <w:tcPr>
            <w:tcW w:w="994" w:type="dxa"/>
            <w:tcBorders>
              <w:top w:val="nil"/>
              <w:left w:val="nil"/>
              <w:bottom w:val="nil"/>
              <w:right w:val="nil"/>
            </w:tcBorders>
          </w:tcPr>
          <w:p w14:paraId="4032DBB9"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r>
      <w:tr w:rsidR="00DD5F92" w:rsidRPr="004066B5" w14:paraId="58FDA1B0" w14:textId="77777777" w:rsidTr="006524D0">
        <w:tc>
          <w:tcPr>
            <w:tcW w:w="3369" w:type="dxa"/>
            <w:tcBorders>
              <w:top w:val="nil"/>
              <w:left w:val="nil"/>
              <w:bottom w:val="nil"/>
              <w:right w:val="nil"/>
            </w:tcBorders>
          </w:tcPr>
          <w:p w14:paraId="56270472" w14:textId="77777777" w:rsidR="00DD5F92"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31E26EF1"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56C6F21C"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2942FEDB"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0A37D381" w14:textId="77777777" w:rsidR="00DD5F92" w:rsidRPr="004066B5" w:rsidRDefault="00DD5F92" w:rsidP="006524D0">
            <w:pPr>
              <w:widowControl w:val="0"/>
              <w:autoSpaceDE w:val="0"/>
              <w:autoSpaceDN w:val="0"/>
              <w:adjustRightInd w:val="0"/>
              <w:jc w:val="center"/>
              <w:rPr>
                <w:sz w:val="20"/>
                <w:szCs w:val="20"/>
              </w:rPr>
            </w:pPr>
          </w:p>
        </w:tc>
        <w:tc>
          <w:tcPr>
            <w:tcW w:w="991" w:type="dxa"/>
            <w:tcBorders>
              <w:top w:val="nil"/>
              <w:left w:val="nil"/>
              <w:bottom w:val="nil"/>
              <w:right w:val="nil"/>
            </w:tcBorders>
          </w:tcPr>
          <w:p w14:paraId="1AB9BB55" w14:textId="77777777" w:rsidR="00DD5F92" w:rsidRPr="004066B5" w:rsidRDefault="00DD5F92" w:rsidP="006524D0">
            <w:pPr>
              <w:widowControl w:val="0"/>
              <w:autoSpaceDE w:val="0"/>
              <w:autoSpaceDN w:val="0"/>
              <w:adjustRightInd w:val="0"/>
              <w:jc w:val="center"/>
              <w:rPr>
                <w:sz w:val="20"/>
                <w:szCs w:val="20"/>
              </w:rPr>
            </w:pPr>
          </w:p>
        </w:tc>
        <w:tc>
          <w:tcPr>
            <w:tcW w:w="994" w:type="dxa"/>
            <w:tcBorders>
              <w:top w:val="nil"/>
              <w:left w:val="nil"/>
              <w:bottom w:val="nil"/>
              <w:right w:val="nil"/>
            </w:tcBorders>
          </w:tcPr>
          <w:p w14:paraId="62545995" w14:textId="77777777" w:rsidR="00DD5F92" w:rsidRPr="004066B5" w:rsidRDefault="00DD5F92" w:rsidP="006524D0">
            <w:pPr>
              <w:widowControl w:val="0"/>
              <w:autoSpaceDE w:val="0"/>
              <w:autoSpaceDN w:val="0"/>
              <w:adjustRightInd w:val="0"/>
              <w:jc w:val="center"/>
              <w:rPr>
                <w:sz w:val="20"/>
                <w:szCs w:val="20"/>
              </w:rPr>
            </w:pPr>
          </w:p>
        </w:tc>
      </w:tr>
      <w:tr w:rsidR="00DD5F92" w:rsidRPr="004066B5" w14:paraId="528E2598" w14:textId="77777777" w:rsidTr="006524D0">
        <w:tc>
          <w:tcPr>
            <w:tcW w:w="3369" w:type="dxa"/>
            <w:tcBorders>
              <w:top w:val="nil"/>
              <w:left w:val="nil"/>
              <w:bottom w:val="nil"/>
              <w:right w:val="nil"/>
            </w:tcBorders>
          </w:tcPr>
          <w:p w14:paraId="1530C0BF" w14:textId="00ECFD15" w:rsidR="00DD5F92" w:rsidRDefault="00DD5F92" w:rsidP="006524D0">
            <w:pPr>
              <w:widowControl w:val="0"/>
              <w:autoSpaceDE w:val="0"/>
              <w:autoSpaceDN w:val="0"/>
              <w:adjustRightInd w:val="0"/>
              <w:rPr>
                <w:sz w:val="20"/>
                <w:szCs w:val="20"/>
              </w:rPr>
            </w:pPr>
            <w:r>
              <w:rPr>
                <w:rFonts w:hint="eastAsia"/>
                <w:sz w:val="20"/>
                <w:szCs w:val="20"/>
              </w:rPr>
              <w:t>Prospective expecta</w:t>
            </w:r>
            <w:r w:rsidR="00B96EC6">
              <w:rPr>
                <w:sz w:val="20"/>
                <w:szCs w:val="20"/>
              </w:rPr>
              <w:t>ncy</w:t>
            </w:r>
            <w:r>
              <w:rPr>
                <w:rFonts w:hint="eastAsia"/>
                <w:sz w:val="20"/>
                <w:szCs w:val="20"/>
              </w:rPr>
              <w:t xml:space="preserve"> violation</w:t>
            </w:r>
          </w:p>
        </w:tc>
        <w:tc>
          <w:tcPr>
            <w:tcW w:w="992" w:type="dxa"/>
            <w:tcBorders>
              <w:top w:val="nil"/>
              <w:left w:val="nil"/>
              <w:bottom w:val="nil"/>
              <w:right w:val="nil"/>
            </w:tcBorders>
          </w:tcPr>
          <w:p w14:paraId="0A5F10C5"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7C12FD93"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7F96F074"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5C937C50" w14:textId="77777777" w:rsidR="00DD5F92" w:rsidRPr="004066B5" w:rsidRDefault="00DD5F92" w:rsidP="006524D0">
            <w:pPr>
              <w:widowControl w:val="0"/>
              <w:autoSpaceDE w:val="0"/>
              <w:autoSpaceDN w:val="0"/>
              <w:adjustRightInd w:val="0"/>
              <w:jc w:val="center"/>
              <w:rPr>
                <w:sz w:val="20"/>
                <w:szCs w:val="20"/>
              </w:rPr>
            </w:pPr>
          </w:p>
        </w:tc>
        <w:tc>
          <w:tcPr>
            <w:tcW w:w="991" w:type="dxa"/>
            <w:tcBorders>
              <w:top w:val="nil"/>
              <w:left w:val="nil"/>
              <w:bottom w:val="nil"/>
              <w:right w:val="nil"/>
            </w:tcBorders>
          </w:tcPr>
          <w:p w14:paraId="2114F1BD"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0.21</w:t>
            </w:r>
            <w:r w:rsidRPr="004066B5">
              <w:rPr>
                <w:sz w:val="20"/>
                <w:szCs w:val="20"/>
                <w:vertAlign w:val="superscript"/>
              </w:rPr>
              <w:t>***</w:t>
            </w:r>
          </w:p>
        </w:tc>
        <w:tc>
          <w:tcPr>
            <w:tcW w:w="994" w:type="dxa"/>
            <w:tcBorders>
              <w:top w:val="nil"/>
              <w:left w:val="nil"/>
              <w:bottom w:val="nil"/>
              <w:right w:val="nil"/>
            </w:tcBorders>
          </w:tcPr>
          <w:p w14:paraId="3B8AAFFC"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0.20</w:t>
            </w:r>
            <w:r w:rsidRPr="004066B5">
              <w:rPr>
                <w:sz w:val="20"/>
                <w:szCs w:val="20"/>
                <w:vertAlign w:val="superscript"/>
              </w:rPr>
              <w:t>***</w:t>
            </w:r>
          </w:p>
        </w:tc>
      </w:tr>
      <w:tr w:rsidR="00DD5F92" w:rsidRPr="004066B5" w14:paraId="6D748ECD" w14:textId="77777777" w:rsidTr="006524D0">
        <w:tc>
          <w:tcPr>
            <w:tcW w:w="3369" w:type="dxa"/>
            <w:tcBorders>
              <w:top w:val="nil"/>
              <w:left w:val="nil"/>
              <w:bottom w:val="nil"/>
              <w:right w:val="nil"/>
            </w:tcBorders>
          </w:tcPr>
          <w:p w14:paraId="32452A43" w14:textId="77777777" w:rsidR="00DD5F92"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2273115A"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336D6856"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07487F64"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034BD222" w14:textId="77777777" w:rsidR="00DD5F92" w:rsidRPr="004066B5" w:rsidRDefault="00DD5F92" w:rsidP="006524D0">
            <w:pPr>
              <w:widowControl w:val="0"/>
              <w:autoSpaceDE w:val="0"/>
              <w:autoSpaceDN w:val="0"/>
              <w:adjustRightInd w:val="0"/>
              <w:jc w:val="center"/>
              <w:rPr>
                <w:sz w:val="20"/>
                <w:szCs w:val="20"/>
              </w:rPr>
            </w:pPr>
          </w:p>
        </w:tc>
        <w:tc>
          <w:tcPr>
            <w:tcW w:w="991" w:type="dxa"/>
            <w:tcBorders>
              <w:top w:val="nil"/>
              <w:left w:val="nil"/>
              <w:bottom w:val="nil"/>
              <w:right w:val="nil"/>
            </w:tcBorders>
          </w:tcPr>
          <w:p w14:paraId="0EC91BAD"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4" w:type="dxa"/>
            <w:tcBorders>
              <w:top w:val="nil"/>
              <w:left w:val="nil"/>
              <w:bottom w:val="nil"/>
              <w:right w:val="nil"/>
            </w:tcBorders>
          </w:tcPr>
          <w:p w14:paraId="54376D9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r>
      <w:tr w:rsidR="00DD5F92" w:rsidRPr="004066B5" w14:paraId="72D6ED5B" w14:textId="77777777" w:rsidTr="006524D0">
        <w:tc>
          <w:tcPr>
            <w:tcW w:w="3369" w:type="dxa"/>
            <w:tcBorders>
              <w:top w:val="nil"/>
              <w:left w:val="nil"/>
              <w:bottom w:val="nil"/>
              <w:right w:val="nil"/>
            </w:tcBorders>
          </w:tcPr>
          <w:p w14:paraId="2B9730DB" w14:textId="77777777" w:rsidR="00DD5F92"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623A0810"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67544B17"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27D1A62C"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30E0A048" w14:textId="77777777" w:rsidR="00DD5F92" w:rsidRPr="004066B5" w:rsidRDefault="00DD5F92" w:rsidP="006524D0">
            <w:pPr>
              <w:widowControl w:val="0"/>
              <w:autoSpaceDE w:val="0"/>
              <w:autoSpaceDN w:val="0"/>
              <w:adjustRightInd w:val="0"/>
              <w:jc w:val="center"/>
              <w:rPr>
                <w:sz w:val="20"/>
                <w:szCs w:val="20"/>
              </w:rPr>
            </w:pPr>
          </w:p>
        </w:tc>
        <w:tc>
          <w:tcPr>
            <w:tcW w:w="991" w:type="dxa"/>
            <w:tcBorders>
              <w:top w:val="nil"/>
              <w:left w:val="nil"/>
              <w:bottom w:val="nil"/>
              <w:right w:val="nil"/>
            </w:tcBorders>
          </w:tcPr>
          <w:p w14:paraId="3471A9C5" w14:textId="77777777" w:rsidR="00DD5F92" w:rsidRPr="004066B5" w:rsidRDefault="00DD5F92" w:rsidP="006524D0">
            <w:pPr>
              <w:widowControl w:val="0"/>
              <w:autoSpaceDE w:val="0"/>
              <w:autoSpaceDN w:val="0"/>
              <w:adjustRightInd w:val="0"/>
              <w:jc w:val="center"/>
              <w:rPr>
                <w:sz w:val="20"/>
                <w:szCs w:val="20"/>
              </w:rPr>
            </w:pPr>
          </w:p>
        </w:tc>
        <w:tc>
          <w:tcPr>
            <w:tcW w:w="994" w:type="dxa"/>
            <w:tcBorders>
              <w:top w:val="nil"/>
              <w:left w:val="nil"/>
              <w:bottom w:val="nil"/>
              <w:right w:val="nil"/>
            </w:tcBorders>
          </w:tcPr>
          <w:p w14:paraId="078ACC94" w14:textId="77777777" w:rsidR="00DD5F92" w:rsidRPr="004066B5" w:rsidRDefault="00DD5F92" w:rsidP="006524D0">
            <w:pPr>
              <w:widowControl w:val="0"/>
              <w:autoSpaceDE w:val="0"/>
              <w:autoSpaceDN w:val="0"/>
              <w:adjustRightInd w:val="0"/>
              <w:jc w:val="center"/>
              <w:rPr>
                <w:sz w:val="20"/>
                <w:szCs w:val="20"/>
              </w:rPr>
            </w:pPr>
          </w:p>
        </w:tc>
      </w:tr>
      <w:tr w:rsidR="00DD5F92" w:rsidRPr="004066B5" w14:paraId="1A91B641" w14:textId="77777777" w:rsidTr="006524D0">
        <w:tc>
          <w:tcPr>
            <w:tcW w:w="3369" w:type="dxa"/>
            <w:tcBorders>
              <w:top w:val="nil"/>
              <w:left w:val="nil"/>
              <w:bottom w:val="nil"/>
              <w:right w:val="nil"/>
            </w:tcBorders>
          </w:tcPr>
          <w:p w14:paraId="751BDE2D" w14:textId="77777777" w:rsidR="00DD5F92" w:rsidRDefault="00DD5F92" w:rsidP="006524D0">
            <w:pPr>
              <w:widowControl w:val="0"/>
              <w:autoSpaceDE w:val="0"/>
              <w:autoSpaceDN w:val="0"/>
              <w:adjustRightInd w:val="0"/>
              <w:rPr>
                <w:sz w:val="20"/>
                <w:szCs w:val="20"/>
              </w:rPr>
            </w:pPr>
            <w:r>
              <w:rPr>
                <w:rFonts w:hint="eastAsia"/>
                <w:sz w:val="20"/>
                <w:szCs w:val="20"/>
              </w:rPr>
              <w:t>Firm performance</w:t>
            </w:r>
          </w:p>
        </w:tc>
        <w:tc>
          <w:tcPr>
            <w:tcW w:w="992" w:type="dxa"/>
            <w:tcBorders>
              <w:top w:val="nil"/>
              <w:left w:val="nil"/>
              <w:bottom w:val="nil"/>
              <w:right w:val="nil"/>
            </w:tcBorders>
          </w:tcPr>
          <w:p w14:paraId="492761D8"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06E16F9E"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1134" w:type="dxa"/>
            <w:tcBorders>
              <w:top w:val="nil"/>
              <w:left w:val="nil"/>
              <w:bottom w:val="nil"/>
              <w:right w:val="nil"/>
            </w:tcBorders>
          </w:tcPr>
          <w:p w14:paraId="1183B33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047E8B37"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1" w:type="dxa"/>
            <w:tcBorders>
              <w:top w:val="nil"/>
              <w:left w:val="nil"/>
              <w:bottom w:val="nil"/>
              <w:right w:val="nil"/>
            </w:tcBorders>
          </w:tcPr>
          <w:p w14:paraId="05AF6EBD"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4" w:type="dxa"/>
            <w:tcBorders>
              <w:top w:val="nil"/>
              <w:left w:val="nil"/>
              <w:bottom w:val="nil"/>
              <w:right w:val="nil"/>
            </w:tcBorders>
          </w:tcPr>
          <w:p w14:paraId="3637ED27"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r>
      <w:tr w:rsidR="00DD5F92" w:rsidRPr="004066B5" w14:paraId="1C327AB0" w14:textId="77777777" w:rsidTr="006524D0">
        <w:tc>
          <w:tcPr>
            <w:tcW w:w="3369" w:type="dxa"/>
            <w:tcBorders>
              <w:top w:val="nil"/>
              <w:left w:val="nil"/>
              <w:bottom w:val="nil"/>
              <w:right w:val="nil"/>
            </w:tcBorders>
          </w:tcPr>
          <w:p w14:paraId="6309A138" w14:textId="77777777" w:rsidR="00DD5F92"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037AD7BC"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(0.3</w:t>
            </w:r>
            <w:r>
              <w:rPr>
                <w:rFonts w:hint="eastAsia"/>
                <w:sz w:val="20"/>
                <w:szCs w:val="20"/>
              </w:rPr>
              <w:t>3</w:t>
            </w:r>
            <w:r w:rsidRPr="004066B5">
              <w:rPr>
                <w:sz w:val="20"/>
                <w:szCs w:val="20"/>
              </w:rPr>
              <w:t>)</w:t>
            </w:r>
          </w:p>
        </w:tc>
        <w:tc>
          <w:tcPr>
            <w:tcW w:w="992" w:type="dxa"/>
            <w:tcBorders>
              <w:top w:val="nil"/>
              <w:left w:val="nil"/>
              <w:bottom w:val="nil"/>
              <w:right w:val="nil"/>
            </w:tcBorders>
          </w:tcPr>
          <w:p w14:paraId="1AB2FA7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(0.42)</w:t>
            </w:r>
          </w:p>
        </w:tc>
        <w:tc>
          <w:tcPr>
            <w:tcW w:w="1134" w:type="dxa"/>
            <w:tcBorders>
              <w:top w:val="nil"/>
              <w:left w:val="nil"/>
              <w:bottom w:val="nil"/>
              <w:right w:val="nil"/>
            </w:tcBorders>
          </w:tcPr>
          <w:p w14:paraId="5F3FD01E"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(0.5</w:t>
            </w:r>
            <w:r>
              <w:rPr>
                <w:rFonts w:hint="eastAsia"/>
                <w:sz w:val="20"/>
                <w:szCs w:val="20"/>
              </w:rPr>
              <w:t>7</w:t>
            </w:r>
            <w:r w:rsidRPr="004066B5">
              <w:rPr>
                <w:sz w:val="20"/>
                <w:szCs w:val="20"/>
              </w:rPr>
              <w:t>)</w:t>
            </w:r>
          </w:p>
        </w:tc>
        <w:tc>
          <w:tcPr>
            <w:tcW w:w="992" w:type="dxa"/>
            <w:tcBorders>
              <w:top w:val="nil"/>
              <w:left w:val="nil"/>
              <w:bottom w:val="nil"/>
              <w:right w:val="nil"/>
            </w:tcBorders>
          </w:tcPr>
          <w:p w14:paraId="2E1FF8C6"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(0.49)</w:t>
            </w:r>
          </w:p>
        </w:tc>
        <w:tc>
          <w:tcPr>
            <w:tcW w:w="991" w:type="dxa"/>
            <w:tcBorders>
              <w:top w:val="nil"/>
              <w:left w:val="nil"/>
              <w:bottom w:val="nil"/>
              <w:right w:val="nil"/>
            </w:tcBorders>
          </w:tcPr>
          <w:p w14:paraId="1B9790A9"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(0.3</w:t>
            </w:r>
            <w:r>
              <w:rPr>
                <w:rFonts w:hint="eastAsia"/>
                <w:sz w:val="20"/>
                <w:szCs w:val="20"/>
              </w:rPr>
              <w:t>4</w:t>
            </w:r>
            <w:r w:rsidRPr="004066B5">
              <w:rPr>
                <w:sz w:val="20"/>
                <w:szCs w:val="20"/>
              </w:rPr>
              <w:t>)</w:t>
            </w:r>
          </w:p>
        </w:tc>
        <w:tc>
          <w:tcPr>
            <w:tcW w:w="994" w:type="dxa"/>
            <w:tcBorders>
              <w:top w:val="nil"/>
              <w:left w:val="nil"/>
              <w:bottom w:val="nil"/>
              <w:right w:val="nil"/>
            </w:tcBorders>
          </w:tcPr>
          <w:p w14:paraId="209556DF"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(0.5</w:t>
            </w:r>
            <w:r>
              <w:rPr>
                <w:rFonts w:hint="eastAsia"/>
                <w:sz w:val="20"/>
                <w:szCs w:val="20"/>
              </w:rPr>
              <w:t>2</w:t>
            </w:r>
            <w:r w:rsidRPr="004066B5">
              <w:rPr>
                <w:sz w:val="20"/>
                <w:szCs w:val="20"/>
              </w:rPr>
              <w:t>)</w:t>
            </w:r>
          </w:p>
        </w:tc>
      </w:tr>
      <w:tr w:rsidR="00DD5F92" w:rsidRPr="004066B5" w14:paraId="4C732790" w14:textId="77777777" w:rsidTr="006524D0">
        <w:tc>
          <w:tcPr>
            <w:tcW w:w="3369" w:type="dxa"/>
            <w:tcBorders>
              <w:top w:val="nil"/>
              <w:left w:val="nil"/>
              <w:bottom w:val="nil"/>
              <w:right w:val="nil"/>
            </w:tcBorders>
          </w:tcPr>
          <w:p w14:paraId="579964F6" w14:textId="77777777" w:rsidR="00DD5F92"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32C325F5"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0393F3C3" w14:textId="77777777" w:rsidR="00DD5F92" w:rsidRPr="004066B5" w:rsidRDefault="00DD5F92" w:rsidP="006524D0">
            <w:pPr>
              <w:widowControl w:val="0"/>
              <w:autoSpaceDE w:val="0"/>
              <w:autoSpaceDN w:val="0"/>
              <w:adjustRightInd w:val="0"/>
              <w:jc w:val="center"/>
              <w:rPr>
                <w:sz w:val="20"/>
                <w:szCs w:val="20"/>
              </w:rPr>
            </w:pPr>
          </w:p>
        </w:tc>
        <w:tc>
          <w:tcPr>
            <w:tcW w:w="1134" w:type="dxa"/>
            <w:tcBorders>
              <w:top w:val="nil"/>
              <w:left w:val="nil"/>
              <w:bottom w:val="nil"/>
              <w:right w:val="nil"/>
            </w:tcBorders>
          </w:tcPr>
          <w:p w14:paraId="5DFB2574" w14:textId="77777777" w:rsidR="00DD5F92" w:rsidRPr="004066B5" w:rsidRDefault="00DD5F92" w:rsidP="006524D0">
            <w:pPr>
              <w:widowControl w:val="0"/>
              <w:autoSpaceDE w:val="0"/>
              <w:autoSpaceDN w:val="0"/>
              <w:adjustRightInd w:val="0"/>
              <w:jc w:val="center"/>
              <w:rPr>
                <w:sz w:val="20"/>
                <w:szCs w:val="20"/>
              </w:rPr>
            </w:pPr>
          </w:p>
        </w:tc>
        <w:tc>
          <w:tcPr>
            <w:tcW w:w="992" w:type="dxa"/>
            <w:tcBorders>
              <w:top w:val="nil"/>
              <w:left w:val="nil"/>
              <w:bottom w:val="nil"/>
              <w:right w:val="nil"/>
            </w:tcBorders>
          </w:tcPr>
          <w:p w14:paraId="06D8B407" w14:textId="77777777" w:rsidR="00DD5F92" w:rsidRPr="004066B5" w:rsidRDefault="00DD5F92" w:rsidP="006524D0">
            <w:pPr>
              <w:widowControl w:val="0"/>
              <w:autoSpaceDE w:val="0"/>
              <w:autoSpaceDN w:val="0"/>
              <w:adjustRightInd w:val="0"/>
              <w:jc w:val="center"/>
              <w:rPr>
                <w:sz w:val="20"/>
                <w:szCs w:val="20"/>
              </w:rPr>
            </w:pPr>
          </w:p>
        </w:tc>
        <w:tc>
          <w:tcPr>
            <w:tcW w:w="991" w:type="dxa"/>
            <w:tcBorders>
              <w:top w:val="nil"/>
              <w:left w:val="nil"/>
              <w:bottom w:val="nil"/>
              <w:right w:val="nil"/>
            </w:tcBorders>
          </w:tcPr>
          <w:p w14:paraId="427F1EB3" w14:textId="77777777" w:rsidR="00DD5F92" w:rsidRPr="004066B5" w:rsidRDefault="00DD5F92" w:rsidP="006524D0">
            <w:pPr>
              <w:widowControl w:val="0"/>
              <w:autoSpaceDE w:val="0"/>
              <w:autoSpaceDN w:val="0"/>
              <w:adjustRightInd w:val="0"/>
              <w:jc w:val="center"/>
              <w:rPr>
                <w:sz w:val="20"/>
                <w:szCs w:val="20"/>
              </w:rPr>
            </w:pPr>
          </w:p>
        </w:tc>
        <w:tc>
          <w:tcPr>
            <w:tcW w:w="994" w:type="dxa"/>
            <w:tcBorders>
              <w:top w:val="nil"/>
              <w:left w:val="nil"/>
              <w:bottom w:val="nil"/>
              <w:right w:val="nil"/>
            </w:tcBorders>
          </w:tcPr>
          <w:p w14:paraId="21C98EAC" w14:textId="77777777" w:rsidR="00DD5F92" w:rsidRPr="004066B5" w:rsidRDefault="00DD5F92" w:rsidP="006524D0">
            <w:pPr>
              <w:widowControl w:val="0"/>
              <w:autoSpaceDE w:val="0"/>
              <w:autoSpaceDN w:val="0"/>
              <w:adjustRightInd w:val="0"/>
              <w:jc w:val="center"/>
              <w:rPr>
                <w:sz w:val="20"/>
                <w:szCs w:val="20"/>
              </w:rPr>
            </w:pPr>
          </w:p>
        </w:tc>
      </w:tr>
      <w:tr w:rsidR="00DD5F92" w:rsidRPr="004066B5" w14:paraId="6F4CC0DB" w14:textId="77777777" w:rsidTr="006524D0">
        <w:tc>
          <w:tcPr>
            <w:tcW w:w="3369" w:type="dxa"/>
            <w:tcBorders>
              <w:top w:val="nil"/>
              <w:left w:val="nil"/>
              <w:bottom w:val="nil"/>
              <w:right w:val="nil"/>
            </w:tcBorders>
          </w:tcPr>
          <w:p w14:paraId="78C1994C" w14:textId="77777777" w:rsidR="00DD5F92" w:rsidRPr="004066B5" w:rsidRDefault="00DD5F92" w:rsidP="006524D0">
            <w:pPr>
              <w:widowControl w:val="0"/>
              <w:autoSpaceDE w:val="0"/>
              <w:autoSpaceDN w:val="0"/>
              <w:adjustRightInd w:val="0"/>
              <w:rPr>
                <w:sz w:val="20"/>
                <w:szCs w:val="20"/>
              </w:rPr>
            </w:pPr>
            <w:r>
              <w:rPr>
                <w:rFonts w:hint="eastAsia"/>
                <w:sz w:val="20"/>
                <w:szCs w:val="20"/>
              </w:rPr>
              <w:t>High reputation</w:t>
            </w:r>
          </w:p>
        </w:tc>
        <w:tc>
          <w:tcPr>
            <w:tcW w:w="992" w:type="dxa"/>
            <w:tcBorders>
              <w:top w:val="nil"/>
              <w:left w:val="nil"/>
              <w:bottom w:val="nil"/>
              <w:right w:val="nil"/>
            </w:tcBorders>
          </w:tcPr>
          <w:p w14:paraId="3622FE95"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778D6B46"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1134" w:type="dxa"/>
            <w:tcBorders>
              <w:top w:val="nil"/>
              <w:left w:val="nil"/>
              <w:bottom w:val="nil"/>
              <w:right w:val="nil"/>
            </w:tcBorders>
          </w:tcPr>
          <w:p w14:paraId="075951C5"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08A2B76E"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1" w:type="dxa"/>
            <w:tcBorders>
              <w:top w:val="nil"/>
              <w:left w:val="nil"/>
              <w:bottom w:val="nil"/>
              <w:right w:val="nil"/>
            </w:tcBorders>
          </w:tcPr>
          <w:p w14:paraId="6563A7A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4" w:type="dxa"/>
            <w:tcBorders>
              <w:top w:val="nil"/>
              <w:left w:val="nil"/>
              <w:bottom w:val="nil"/>
              <w:right w:val="nil"/>
            </w:tcBorders>
          </w:tcPr>
          <w:p w14:paraId="3B240125"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r>
      <w:tr w:rsidR="00DD5F92" w:rsidRPr="004066B5" w14:paraId="5722127F" w14:textId="77777777" w:rsidTr="006524D0">
        <w:tc>
          <w:tcPr>
            <w:tcW w:w="3369" w:type="dxa"/>
            <w:tcBorders>
              <w:top w:val="nil"/>
              <w:left w:val="nil"/>
              <w:bottom w:val="nil"/>
              <w:right w:val="nil"/>
            </w:tcBorders>
          </w:tcPr>
          <w:p w14:paraId="6E8F7848"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11066390"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(0.58)</w:t>
            </w:r>
          </w:p>
        </w:tc>
        <w:tc>
          <w:tcPr>
            <w:tcW w:w="992" w:type="dxa"/>
            <w:tcBorders>
              <w:top w:val="nil"/>
              <w:left w:val="nil"/>
              <w:bottom w:val="nil"/>
              <w:right w:val="nil"/>
            </w:tcBorders>
          </w:tcPr>
          <w:p w14:paraId="3D26331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(0.6</w:t>
            </w:r>
            <w:r>
              <w:rPr>
                <w:rFonts w:hint="eastAsia"/>
                <w:sz w:val="20"/>
                <w:szCs w:val="20"/>
              </w:rPr>
              <w:t>5</w:t>
            </w:r>
            <w:r w:rsidRPr="004066B5">
              <w:rPr>
                <w:sz w:val="20"/>
                <w:szCs w:val="20"/>
              </w:rPr>
              <w:t>)</w:t>
            </w:r>
          </w:p>
        </w:tc>
        <w:tc>
          <w:tcPr>
            <w:tcW w:w="1134" w:type="dxa"/>
            <w:tcBorders>
              <w:top w:val="nil"/>
              <w:left w:val="nil"/>
              <w:bottom w:val="nil"/>
              <w:right w:val="nil"/>
            </w:tcBorders>
          </w:tcPr>
          <w:p w14:paraId="7D83313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(0.47)</w:t>
            </w:r>
          </w:p>
        </w:tc>
        <w:tc>
          <w:tcPr>
            <w:tcW w:w="992" w:type="dxa"/>
            <w:tcBorders>
              <w:top w:val="nil"/>
              <w:left w:val="nil"/>
              <w:bottom w:val="nil"/>
              <w:right w:val="nil"/>
            </w:tcBorders>
          </w:tcPr>
          <w:p w14:paraId="2D047489"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(0.6</w:t>
            </w:r>
            <w:r>
              <w:rPr>
                <w:rFonts w:hint="eastAsia"/>
                <w:sz w:val="20"/>
                <w:szCs w:val="20"/>
              </w:rPr>
              <w:t>4</w:t>
            </w:r>
            <w:r w:rsidRPr="004066B5">
              <w:rPr>
                <w:sz w:val="20"/>
                <w:szCs w:val="20"/>
              </w:rPr>
              <w:t>)</w:t>
            </w:r>
          </w:p>
        </w:tc>
        <w:tc>
          <w:tcPr>
            <w:tcW w:w="991" w:type="dxa"/>
            <w:tcBorders>
              <w:top w:val="nil"/>
              <w:left w:val="nil"/>
              <w:bottom w:val="nil"/>
              <w:right w:val="nil"/>
            </w:tcBorders>
          </w:tcPr>
          <w:p w14:paraId="1EF765FE"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(0.6</w:t>
            </w:r>
            <w:r>
              <w:rPr>
                <w:rFonts w:hint="eastAsia"/>
                <w:sz w:val="20"/>
                <w:szCs w:val="20"/>
              </w:rPr>
              <w:t>5</w:t>
            </w:r>
            <w:r w:rsidRPr="004066B5">
              <w:rPr>
                <w:sz w:val="20"/>
                <w:szCs w:val="20"/>
              </w:rPr>
              <w:t>)</w:t>
            </w:r>
          </w:p>
        </w:tc>
        <w:tc>
          <w:tcPr>
            <w:tcW w:w="994" w:type="dxa"/>
            <w:tcBorders>
              <w:top w:val="nil"/>
              <w:left w:val="nil"/>
              <w:bottom w:val="nil"/>
              <w:right w:val="nil"/>
            </w:tcBorders>
          </w:tcPr>
          <w:p w14:paraId="141079EC"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(0.49)</w:t>
            </w:r>
          </w:p>
        </w:tc>
      </w:tr>
      <w:tr w:rsidR="00DD5F92" w:rsidRPr="004066B5" w14:paraId="3DF7733B" w14:textId="77777777" w:rsidTr="006524D0">
        <w:tc>
          <w:tcPr>
            <w:tcW w:w="3369" w:type="dxa"/>
            <w:tcBorders>
              <w:top w:val="nil"/>
              <w:left w:val="nil"/>
              <w:bottom w:val="nil"/>
              <w:right w:val="nil"/>
            </w:tcBorders>
          </w:tcPr>
          <w:p w14:paraId="512C8214"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33872158"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6216EBE8" w14:textId="77777777" w:rsidR="00DD5F92" w:rsidRPr="004066B5" w:rsidRDefault="00DD5F92" w:rsidP="006524D0">
            <w:pPr>
              <w:widowControl w:val="0"/>
              <w:autoSpaceDE w:val="0"/>
              <w:autoSpaceDN w:val="0"/>
              <w:adjustRightInd w:val="0"/>
              <w:rPr>
                <w:sz w:val="20"/>
                <w:szCs w:val="20"/>
              </w:rPr>
            </w:pPr>
          </w:p>
        </w:tc>
        <w:tc>
          <w:tcPr>
            <w:tcW w:w="1134" w:type="dxa"/>
            <w:tcBorders>
              <w:top w:val="nil"/>
              <w:left w:val="nil"/>
              <w:bottom w:val="nil"/>
              <w:right w:val="nil"/>
            </w:tcBorders>
          </w:tcPr>
          <w:p w14:paraId="2465134D"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54A239A7" w14:textId="77777777" w:rsidR="00DD5F92" w:rsidRPr="004066B5" w:rsidRDefault="00DD5F92" w:rsidP="006524D0">
            <w:pPr>
              <w:widowControl w:val="0"/>
              <w:autoSpaceDE w:val="0"/>
              <w:autoSpaceDN w:val="0"/>
              <w:adjustRightInd w:val="0"/>
              <w:rPr>
                <w:sz w:val="20"/>
                <w:szCs w:val="20"/>
              </w:rPr>
            </w:pPr>
          </w:p>
        </w:tc>
        <w:tc>
          <w:tcPr>
            <w:tcW w:w="991" w:type="dxa"/>
            <w:tcBorders>
              <w:top w:val="nil"/>
              <w:left w:val="nil"/>
              <w:bottom w:val="nil"/>
              <w:right w:val="nil"/>
            </w:tcBorders>
          </w:tcPr>
          <w:p w14:paraId="6E8A9CD9" w14:textId="77777777" w:rsidR="00DD5F92" w:rsidRPr="004066B5" w:rsidRDefault="00DD5F92" w:rsidP="006524D0">
            <w:pPr>
              <w:widowControl w:val="0"/>
              <w:autoSpaceDE w:val="0"/>
              <w:autoSpaceDN w:val="0"/>
              <w:adjustRightInd w:val="0"/>
              <w:rPr>
                <w:sz w:val="20"/>
                <w:szCs w:val="20"/>
              </w:rPr>
            </w:pPr>
          </w:p>
        </w:tc>
        <w:tc>
          <w:tcPr>
            <w:tcW w:w="994" w:type="dxa"/>
            <w:tcBorders>
              <w:top w:val="nil"/>
              <w:left w:val="nil"/>
              <w:bottom w:val="nil"/>
              <w:right w:val="nil"/>
            </w:tcBorders>
          </w:tcPr>
          <w:p w14:paraId="56B02139" w14:textId="77777777" w:rsidR="00DD5F92" w:rsidRPr="004066B5" w:rsidRDefault="00DD5F92" w:rsidP="006524D0">
            <w:pPr>
              <w:widowControl w:val="0"/>
              <w:autoSpaceDE w:val="0"/>
              <w:autoSpaceDN w:val="0"/>
              <w:adjustRightInd w:val="0"/>
              <w:rPr>
                <w:sz w:val="20"/>
                <w:szCs w:val="20"/>
              </w:rPr>
            </w:pPr>
          </w:p>
        </w:tc>
      </w:tr>
      <w:tr w:rsidR="00DD5F92" w:rsidRPr="004066B5" w14:paraId="50CCC97C" w14:textId="77777777" w:rsidTr="006524D0">
        <w:tc>
          <w:tcPr>
            <w:tcW w:w="3369" w:type="dxa"/>
            <w:tcBorders>
              <w:top w:val="nil"/>
              <w:left w:val="nil"/>
              <w:bottom w:val="nil"/>
              <w:right w:val="nil"/>
            </w:tcBorders>
          </w:tcPr>
          <w:p w14:paraId="590C6B02" w14:textId="77777777" w:rsidR="00DD5F92" w:rsidRPr="004066B5" w:rsidRDefault="00DD5F92" w:rsidP="006524D0">
            <w:pPr>
              <w:widowControl w:val="0"/>
              <w:autoSpaceDE w:val="0"/>
              <w:autoSpaceDN w:val="0"/>
              <w:adjustRightInd w:val="0"/>
              <w:rPr>
                <w:sz w:val="20"/>
                <w:szCs w:val="20"/>
              </w:rPr>
            </w:pPr>
            <w:r>
              <w:rPr>
                <w:rFonts w:hint="eastAsia"/>
                <w:sz w:val="20"/>
                <w:szCs w:val="20"/>
              </w:rPr>
              <w:t>Institutional investor ownership</w:t>
            </w:r>
          </w:p>
        </w:tc>
        <w:tc>
          <w:tcPr>
            <w:tcW w:w="992" w:type="dxa"/>
            <w:tcBorders>
              <w:top w:val="nil"/>
              <w:left w:val="nil"/>
              <w:bottom w:val="nil"/>
              <w:right w:val="nil"/>
            </w:tcBorders>
          </w:tcPr>
          <w:p w14:paraId="4C721DFE"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c>
          <w:tcPr>
            <w:tcW w:w="992" w:type="dxa"/>
            <w:tcBorders>
              <w:top w:val="nil"/>
              <w:left w:val="nil"/>
              <w:bottom w:val="nil"/>
              <w:right w:val="nil"/>
            </w:tcBorders>
          </w:tcPr>
          <w:p w14:paraId="50F57330"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c>
          <w:tcPr>
            <w:tcW w:w="1134" w:type="dxa"/>
            <w:tcBorders>
              <w:top w:val="nil"/>
              <w:left w:val="nil"/>
              <w:bottom w:val="nil"/>
              <w:right w:val="nil"/>
            </w:tcBorders>
          </w:tcPr>
          <w:p w14:paraId="7350D113"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c>
          <w:tcPr>
            <w:tcW w:w="992" w:type="dxa"/>
            <w:tcBorders>
              <w:top w:val="nil"/>
              <w:left w:val="nil"/>
              <w:bottom w:val="nil"/>
              <w:right w:val="nil"/>
            </w:tcBorders>
          </w:tcPr>
          <w:p w14:paraId="7E71C188"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c>
          <w:tcPr>
            <w:tcW w:w="991" w:type="dxa"/>
            <w:tcBorders>
              <w:top w:val="nil"/>
              <w:left w:val="nil"/>
              <w:bottom w:val="nil"/>
              <w:right w:val="nil"/>
            </w:tcBorders>
          </w:tcPr>
          <w:p w14:paraId="6D1A738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c>
          <w:tcPr>
            <w:tcW w:w="994" w:type="dxa"/>
            <w:tcBorders>
              <w:top w:val="nil"/>
              <w:left w:val="nil"/>
              <w:bottom w:val="nil"/>
              <w:right w:val="nil"/>
            </w:tcBorders>
          </w:tcPr>
          <w:p w14:paraId="2ACE8B8F"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r>
      <w:tr w:rsidR="00DD5F92" w:rsidRPr="004066B5" w14:paraId="05D88A30" w14:textId="77777777" w:rsidTr="006524D0">
        <w:tc>
          <w:tcPr>
            <w:tcW w:w="3369" w:type="dxa"/>
            <w:tcBorders>
              <w:top w:val="nil"/>
              <w:left w:val="nil"/>
              <w:bottom w:val="nil"/>
              <w:right w:val="nil"/>
            </w:tcBorders>
          </w:tcPr>
          <w:p w14:paraId="5B5A8066"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39FCA78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(0.40)</w:t>
            </w:r>
          </w:p>
        </w:tc>
        <w:tc>
          <w:tcPr>
            <w:tcW w:w="992" w:type="dxa"/>
            <w:tcBorders>
              <w:top w:val="nil"/>
              <w:left w:val="nil"/>
              <w:bottom w:val="nil"/>
              <w:right w:val="nil"/>
            </w:tcBorders>
          </w:tcPr>
          <w:p w14:paraId="2CB434D9"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(0.26)</w:t>
            </w:r>
          </w:p>
        </w:tc>
        <w:tc>
          <w:tcPr>
            <w:tcW w:w="1134" w:type="dxa"/>
            <w:tcBorders>
              <w:top w:val="nil"/>
              <w:left w:val="nil"/>
              <w:bottom w:val="nil"/>
              <w:right w:val="nil"/>
            </w:tcBorders>
          </w:tcPr>
          <w:p w14:paraId="185C28E6"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(0.41)</w:t>
            </w:r>
          </w:p>
        </w:tc>
        <w:tc>
          <w:tcPr>
            <w:tcW w:w="992" w:type="dxa"/>
            <w:tcBorders>
              <w:top w:val="nil"/>
              <w:left w:val="nil"/>
              <w:bottom w:val="nil"/>
              <w:right w:val="nil"/>
            </w:tcBorders>
          </w:tcPr>
          <w:p w14:paraId="2299BEA5"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(0.2</w:t>
            </w:r>
            <w:r>
              <w:rPr>
                <w:rFonts w:hint="eastAsia"/>
                <w:sz w:val="20"/>
                <w:szCs w:val="20"/>
              </w:rPr>
              <w:t>5</w:t>
            </w:r>
            <w:r w:rsidRPr="004066B5">
              <w:rPr>
                <w:sz w:val="20"/>
                <w:szCs w:val="20"/>
              </w:rPr>
              <w:t>)</w:t>
            </w:r>
          </w:p>
        </w:tc>
        <w:tc>
          <w:tcPr>
            <w:tcW w:w="991" w:type="dxa"/>
            <w:tcBorders>
              <w:top w:val="nil"/>
              <w:left w:val="nil"/>
              <w:bottom w:val="nil"/>
              <w:right w:val="nil"/>
            </w:tcBorders>
          </w:tcPr>
          <w:p w14:paraId="7F339787"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(0.2</w:t>
            </w:r>
            <w:r>
              <w:rPr>
                <w:rFonts w:hint="eastAsia"/>
                <w:sz w:val="20"/>
                <w:szCs w:val="20"/>
              </w:rPr>
              <w:t>5</w:t>
            </w:r>
            <w:r w:rsidRPr="004066B5">
              <w:rPr>
                <w:sz w:val="20"/>
                <w:szCs w:val="20"/>
              </w:rPr>
              <w:t>)</w:t>
            </w:r>
          </w:p>
        </w:tc>
        <w:tc>
          <w:tcPr>
            <w:tcW w:w="994" w:type="dxa"/>
            <w:tcBorders>
              <w:top w:val="nil"/>
              <w:left w:val="nil"/>
              <w:bottom w:val="nil"/>
              <w:right w:val="nil"/>
            </w:tcBorders>
          </w:tcPr>
          <w:p w14:paraId="7949233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(0.35)</w:t>
            </w:r>
          </w:p>
        </w:tc>
      </w:tr>
      <w:tr w:rsidR="00DD5F92" w:rsidRPr="004066B5" w14:paraId="7D91749A" w14:textId="77777777" w:rsidTr="006524D0">
        <w:tc>
          <w:tcPr>
            <w:tcW w:w="3369" w:type="dxa"/>
            <w:tcBorders>
              <w:top w:val="nil"/>
              <w:left w:val="nil"/>
              <w:bottom w:val="nil"/>
              <w:right w:val="nil"/>
            </w:tcBorders>
          </w:tcPr>
          <w:p w14:paraId="5F3A167F"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527DF5C7"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454AC5DC" w14:textId="77777777" w:rsidR="00DD5F92" w:rsidRPr="004066B5" w:rsidRDefault="00DD5F92" w:rsidP="006524D0">
            <w:pPr>
              <w:widowControl w:val="0"/>
              <w:autoSpaceDE w:val="0"/>
              <w:autoSpaceDN w:val="0"/>
              <w:adjustRightInd w:val="0"/>
              <w:rPr>
                <w:sz w:val="20"/>
                <w:szCs w:val="20"/>
              </w:rPr>
            </w:pPr>
          </w:p>
        </w:tc>
        <w:tc>
          <w:tcPr>
            <w:tcW w:w="1134" w:type="dxa"/>
            <w:tcBorders>
              <w:top w:val="nil"/>
              <w:left w:val="nil"/>
              <w:bottom w:val="nil"/>
              <w:right w:val="nil"/>
            </w:tcBorders>
          </w:tcPr>
          <w:p w14:paraId="60955858"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5C6B167D" w14:textId="77777777" w:rsidR="00DD5F92" w:rsidRPr="004066B5" w:rsidRDefault="00DD5F92" w:rsidP="006524D0">
            <w:pPr>
              <w:widowControl w:val="0"/>
              <w:autoSpaceDE w:val="0"/>
              <w:autoSpaceDN w:val="0"/>
              <w:adjustRightInd w:val="0"/>
              <w:rPr>
                <w:sz w:val="20"/>
                <w:szCs w:val="20"/>
              </w:rPr>
            </w:pPr>
          </w:p>
        </w:tc>
        <w:tc>
          <w:tcPr>
            <w:tcW w:w="991" w:type="dxa"/>
            <w:tcBorders>
              <w:top w:val="nil"/>
              <w:left w:val="nil"/>
              <w:bottom w:val="nil"/>
              <w:right w:val="nil"/>
            </w:tcBorders>
          </w:tcPr>
          <w:p w14:paraId="134A902E" w14:textId="77777777" w:rsidR="00DD5F92" w:rsidRPr="004066B5" w:rsidRDefault="00DD5F92" w:rsidP="006524D0">
            <w:pPr>
              <w:widowControl w:val="0"/>
              <w:autoSpaceDE w:val="0"/>
              <w:autoSpaceDN w:val="0"/>
              <w:adjustRightInd w:val="0"/>
              <w:rPr>
                <w:sz w:val="20"/>
                <w:szCs w:val="20"/>
              </w:rPr>
            </w:pPr>
          </w:p>
        </w:tc>
        <w:tc>
          <w:tcPr>
            <w:tcW w:w="994" w:type="dxa"/>
            <w:tcBorders>
              <w:top w:val="nil"/>
              <w:left w:val="nil"/>
              <w:bottom w:val="nil"/>
              <w:right w:val="nil"/>
            </w:tcBorders>
          </w:tcPr>
          <w:p w14:paraId="2E89F53A" w14:textId="77777777" w:rsidR="00DD5F92" w:rsidRPr="004066B5" w:rsidRDefault="00DD5F92" w:rsidP="006524D0">
            <w:pPr>
              <w:widowControl w:val="0"/>
              <w:autoSpaceDE w:val="0"/>
              <w:autoSpaceDN w:val="0"/>
              <w:adjustRightInd w:val="0"/>
              <w:rPr>
                <w:sz w:val="20"/>
                <w:szCs w:val="20"/>
              </w:rPr>
            </w:pPr>
          </w:p>
        </w:tc>
      </w:tr>
      <w:tr w:rsidR="00DD5F92" w:rsidRPr="004066B5" w14:paraId="71DAEEFD" w14:textId="77777777" w:rsidTr="006524D0">
        <w:tc>
          <w:tcPr>
            <w:tcW w:w="3369" w:type="dxa"/>
            <w:tcBorders>
              <w:top w:val="nil"/>
              <w:left w:val="nil"/>
              <w:bottom w:val="nil"/>
              <w:right w:val="nil"/>
            </w:tcBorders>
          </w:tcPr>
          <w:p w14:paraId="50334389" w14:textId="77777777" w:rsidR="00DD5F92" w:rsidRPr="004066B5" w:rsidRDefault="00DD5F92" w:rsidP="006524D0">
            <w:pPr>
              <w:widowControl w:val="0"/>
              <w:autoSpaceDE w:val="0"/>
              <w:autoSpaceDN w:val="0"/>
              <w:adjustRightInd w:val="0"/>
              <w:rPr>
                <w:sz w:val="20"/>
                <w:szCs w:val="20"/>
              </w:rPr>
            </w:pPr>
            <w:r>
              <w:rPr>
                <w:rFonts w:hint="eastAsia"/>
                <w:sz w:val="20"/>
                <w:szCs w:val="20"/>
              </w:rPr>
              <w:t>Managerial guidance</w:t>
            </w:r>
          </w:p>
        </w:tc>
        <w:tc>
          <w:tcPr>
            <w:tcW w:w="992" w:type="dxa"/>
            <w:tcBorders>
              <w:top w:val="nil"/>
              <w:left w:val="nil"/>
              <w:bottom w:val="nil"/>
              <w:right w:val="nil"/>
            </w:tcBorders>
          </w:tcPr>
          <w:p w14:paraId="59B2C7E5"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c>
          <w:tcPr>
            <w:tcW w:w="992" w:type="dxa"/>
            <w:tcBorders>
              <w:top w:val="nil"/>
              <w:left w:val="nil"/>
              <w:bottom w:val="nil"/>
              <w:right w:val="nil"/>
            </w:tcBorders>
          </w:tcPr>
          <w:p w14:paraId="3AAB6FF6"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1134" w:type="dxa"/>
            <w:tcBorders>
              <w:top w:val="nil"/>
              <w:left w:val="nil"/>
              <w:bottom w:val="nil"/>
              <w:right w:val="nil"/>
            </w:tcBorders>
          </w:tcPr>
          <w:p w14:paraId="5DF30D0D"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c>
          <w:tcPr>
            <w:tcW w:w="992" w:type="dxa"/>
            <w:tcBorders>
              <w:top w:val="nil"/>
              <w:left w:val="nil"/>
              <w:bottom w:val="nil"/>
              <w:right w:val="nil"/>
            </w:tcBorders>
          </w:tcPr>
          <w:p w14:paraId="5048A003"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1" w:type="dxa"/>
            <w:tcBorders>
              <w:top w:val="nil"/>
              <w:left w:val="nil"/>
              <w:bottom w:val="nil"/>
              <w:right w:val="nil"/>
            </w:tcBorders>
          </w:tcPr>
          <w:p w14:paraId="0D2F6956"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4" w:type="dxa"/>
            <w:tcBorders>
              <w:top w:val="nil"/>
              <w:left w:val="nil"/>
              <w:bottom w:val="nil"/>
              <w:right w:val="nil"/>
            </w:tcBorders>
          </w:tcPr>
          <w:p w14:paraId="6EE8BE56"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r>
      <w:tr w:rsidR="00DD5F92" w:rsidRPr="004066B5" w14:paraId="4DB6E224" w14:textId="77777777" w:rsidTr="006524D0">
        <w:tc>
          <w:tcPr>
            <w:tcW w:w="3369" w:type="dxa"/>
            <w:tcBorders>
              <w:top w:val="nil"/>
              <w:left w:val="nil"/>
              <w:bottom w:val="nil"/>
              <w:right w:val="nil"/>
            </w:tcBorders>
          </w:tcPr>
          <w:p w14:paraId="770F4296"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1F7A7D3D"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(0.13)</w:t>
            </w:r>
          </w:p>
        </w:tc>
        <w:tc>
          <w:tcPr>
            <w:tcW w:w="992" w:type="dxa"/>
            <w:tcBorders>
              <w:top w:val="nil"/>
              <w:left w:val="nil"/>
              <w:bottom w:val="nil"/>
              <w:right w:val="nil"/>
            </w:tcBorders>
          </w:tcPr>
          <w:p w14:paraId="392353AB"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(0.1</w:t>
            </w:r>
            <w:r>
              <w:rPr>
                <w:rFonts w:hint="eastAsia"/>
                <w:sz w:val="20"/>
                <w:szCs w:val="20"/>
              </w:rPr>
              <w:t>4</w:t>
            </w:r>
            <w:r w:rsidRPr="004066B5">
              <w:rPr>
                <w:sz w:val="20"/>
                <w:szCs w:val="20"/>
              </w:rPr>
              <w:t>)</w:t>
            </w:r>
          </w:p>
        </w:tc>
        <w:tc>
          <w:tcPr>
            <w:tcW w:w="1134" w:type="dxa"/>
            <w:tcBorders>
              <w:top w:val="nil"/>
              <w:left w:val="nil"/>
              <w:bottom w:val="nil"/>
              <w:right w:val="nil"/>
            </w:tcBorders>
          </w:tcPr>
          <w:p w14:paraId="1B4D9E0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(0.1</w:t>
            </w:r>
            <w:r>
              <w:rPr>
                <w:rFonts w:hint="eastAsia"/>
                <w:sz w:val="20"/>
                <w:szCs w:val="20"/>
              </w:rPr>
              <w:t>2</w:t>
            </w:r>
            <w:r w:rsidRPr="004066B5">
              <w:rPr>
                <w:sz w:val="20"/>
                <w:szCs w:val="20"/>
              </w:rPr>
              <w:t>)</w:t>
            </w:r>
          </w:p>
        </w:tc>
        <w:tc>
          <w:tcPr>
            <w:tcW w:w="992" w:type="dxa"/>
            <w:tcBorders>
              <w:top w:val="nil"/>
              <w:left w:val="nil"/>
              <w:bottom w:val="nil"/>
              <w:right w:val="nil"/>
            </w:tcBorders>
          </w:tcPr>
          <w:p w14:paraId="0BB4B416"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(0.20)</w:t>
            </w:r>
          </w:p>
        </w:tc>
        <w:tc>
          <w:tcPr>
            <w:tcW w:w="991" w:type="dxa"/>
            <w:tcBorders>
              <w:top w:val="nil"/>
              <w:left w:val="nil"/>
              <w:bottom w:val="nil"/>
              <w:right w:val="nil"/>
            </w:tcBorders>
          </w:tcPr>
          <w:p w14:paraId="2E6D6A4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(0.1</w:t>
            </w:r>
            <w:r>
              <w:rPr>
                <w:rFonts w:hint="eastAsia"/>
                <w:sz w:val="20"/>
                <w:szCs w:val="20"/>
              </w:rPr>
              <w:t>8</w:t>
            </w:r>
            <w:r w:rsidRPr="004066B5">
              <w:rPr>
                <w:sz w:val="20"/>
                <w:szCs w:val="20"/>
              </w:rPr>
              <w:t>)</w:t>
            </w:r>
          </w:p>
        </w:tc>
        <w:tc>
          <w:tcPr>
            <w:tcW w:w="994" w:type="dxa"/>
            <w:tcBorders>
              <w:top w:val="nil"/>
              <w:left w:val="nil"/>
              <w:bottom w:val="nil"/>
              <w:right w:val="nil"/>
            </w:tcBorders>
          </w:tcPr>
          <w:p w14:paraId="3693587F"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(0.20)</w:t>
            </w:r>
          </w:p>
        </w:tc>
      </w:tr>
      <w:tr w:rsidR="00DD5F92" w:rsidRPr="004066B5" w14:paraId="1AD1C8D6" w14:textId="77777777" w:rsidTr="006524D0">
        <w:tc>
          <w:tcPr>
            <w:tcW w:w="3369" w:type="dxa"/>
            <w:tcBorders>
              <w:top w:val="nil"/>
              <w:left w:val="nil"/>
              <w:bottom w:val="nil"/>
              <w:right w:val="nil"/>
            </w:tcBorders>
          </w:tcPr>
          <w:p w14:paraId="7C0E6F64"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50D45A3F"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7D96F3BB" w14:textId="77777777" w:rsidR="00DD5F92" w:rsidRPr="004066B5" w:rsidRDefault="00DD5F92" w:rsidP="006524D0">
            <w:pPr>
              <w:widowControl w:val="0"/>
              <w:autoSpaceDE w:val="0"/>
              <w:autoSpaceDN w:val="0"/>
              <w:adjustRightInd w:val="0"/>
              <w:rPr>
                <w:sz w:val="20"/>
                <w:szCs w:val="20"/>
              </w:rPr>
            </w:pPr>
          </w:p>
        </w:tc>
        <w:tc>
          <w:tcPr>
            <w:tcW w:w="1134" w:type="dxa"/>
            <w:tcBorders>
              <w:top w:val="nil"/>
              <w:left w:val="nil"/>
              <w:bottom w:val="nil"/>
              <w:right w:val="nil"/>
            </w:tcBorders>
          </w:tcPr>
          <w:p w14:paraId="23114CC3"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69BAAA2E" w14:textId="77777777" w:rsidR="00DD5F92" w:rsidRPr="004066B5" w:rsidRDefault="00DD5F92" w:rsidP="006524D0">
            <w:pPr>
              <w:widowControl w:val="0"/>
              <w:autoSpaceDE w:val="0"/>
              <w:autoSpaceDN w:val="0"/>
              <w:adjustRightInd w:val="0"/>
              <w:rPr>
                <w:sz w:val="20"/>
                <w:szCs w:val="20"/>
              </w:rPr>
            </w:pPr>
          </w:p>
        </w:tc>
        <w:tc>
          <w:tcPr>
            <w:tcW w:w="991" w:type="dxa"/>
            <w:tcBorders>
              <w:top w:val="nil"/>
              <w:left w:val="nil"/>
              <w:bottom w:val="nil"/>
              <w:right w:val="nil"/>
            </w:tcBorders>
          </w:tcPr>
          <w:p w14:paraId="391FA2A5" w14:textId="77777777" w:rsidR="00DD5F92" w:rsidRPr="004066B5" w:rsidRDefault="00DD5F92" w:rsidP="006524D0">
            <w:pPr>
              <w:widowControl w:val="0"/>
              <w:autoSpaceDE w:val="0"/>
              <w:autoSpaceDN w:val="0"/>
              <w:adjustRightInd w:val="0"/>
              <w:rPr>
                <w:sz w:val="20"/>
                <w:szCs w:val="20"/>
              </w:rPr>
            </w:pPr>
          </w:p>
        </w:tc>
        <w:tc>
          <w:tcPr>
            <w:tcW w:w="994" w:type="dxa"/>
            <w:tcBorders>
              <w:top w:val="nil"/>
              <w:left w:val="nil"/>
              <w:bottom w:val="nil"/>
              <w:right w:val="nil"/>
            </w:tcBorders>
          </w:tcPr>
          <w:p w14:paraId="0DAF580E" w14:textId="77777777" w:rsidR="00DD5F92" w:rsidRPr="004066B5" w:rsidRDefault="00DD5F92" w:rsidP="006524D0">
            <w:pPr>
              <w:widowControl w:val="0"/>
              <w:autoSpaceDE w:val="0"/>
              <w:autoSpaceDN w:val="0"/>
              <w:adjustRightInd w:val="0"/>
              <w:rPr>
                <w:sz w:val="20"/>
                <w:szCs w:val="20"/>
              </w:rPr>
            </w:pPr>
          </w:p>
        </w:tc>
      </w:tr>
      <w:tr w:rsidR="00DD5F92" w:rsidRPr="004066B5" w14:paraId="0D5C9348" w14:textId="77777777" w:rsidTr="006524D0">
        <w:tc>
          <w:tcPr>
            <w:tcW w:w="3369" w:type="dxa"/>
            <w:tcBorders>
              <w:top w:val="nil"/>
              <w:left w:val="nil"/>
              <w:bottom w:val="nil"/>
              <w:right w:val="nil"/>
            </w:tcBorders>
          </w:tcPr>
          <w:p w14:paraId="7D12729C" w14:textId="77777777" w:rsidR="00DD5F92" w:rsidRPr="004066B5" w:rsidRDefault="00DD5F92" w:rsidP="006524D0">
            <w:pPr>
              <w:widowControl w:val="0"/>
              <w:autoSpaceDE w:val="0"/>
              <w:autoSpaceDN w:val="0"/>
              <w:adjustRightInd w:val="0"/>
              <w:rPr>
                <w:sz w:val="20"/>
                <w:szCs w:val="20"/>
              </w:rPr>
            </w:pPr>
            <w:r>
              <w:rPr>
                <w:sz w:val="20"/>
                <w:szCs w:val="20"/>
              </w:rPr>
              <w:t>A</w:t>
            </w:r>
            <w:r>
              <w:rPr>
                <w:rFonts w:hint="eastAsia"/>
                <w:sz w:val="20"/>
                <w:szCs w:val="20"/>
              </w:rPr>
              <w:t>nalyst coverage</w:t>
            </w:r>
          </w:p>
        </w:tc>
        <w:tc>
          <w:tcPr>
            <w:tcW w:w="992" w:type="dxa"/>
            <w:tcBorders>
              <w:top w:val="nil"/>
              <w:left w:val="nil"/>
              <w:bottom w:val="nil"/>
              <w:right w:val="nil"/>
            </w:tcBorders>
          </w:tcPr>
          <w:p w14:paraId="47C3C5B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3C846E1F"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1134" w:type="dxa"/>
            <w:tcBorders>
              <w:top w:val="nil"/>
              <w:left w:val="nil"/>
              <w:bottom w:val="nil"/>
              <w:right w:val="nil"/>
            </w:tcBorders>
          </w:tcPr>
          <w:p w14:paraId="3F816C09"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631A67C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1" w:type="dxa"/>
            <w:tcBorders>
              <w:top w:val="nil"/>
              <w:left w:val="nil"/>
              <w:bottom w:val="nil"/>
              <w:right w:val="nil"/>
            </w:tcBorders>
          </w:tcPr>
          <w:p w14:paraId="070BA385"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4" w:type="dxa"/>
            <w:tcBorders>
              <w:top w:val="nil"/>
              <w:left w:val="nil"/>
              <w:bottom w:val="nil"/>
              <w:right w:val="nil"/>
            </w:tcBorders>
          </w:tcPr>
          <w:p w14:paraId="648CEC92"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r>
      <w:tr w:rsidR="00DD5F92" w:rsidRPr="004066B5" w14:paraId="616E4074" w14:textId="77777777" w:rsidTr="006524D0">
        <w:tc>
          <w:tcPr>
            <w:tcW w:w="3369" w:type="dxa"/>
            <w:tcBorders>
              <w:top w:val="nil"/>
              <w:left w:val="nil"/>
              <w:bottom w:val="nil"/>
              <w:right w:val="nil"/>
            </w:tcBorders>
          </w:tcPr>
          <w:p w14:paraId="338AD666"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704FC518"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(0.75)</w:t>
            </w:r>
          </w:p>
        </w:tc>
        <w:tc>
          <w:tcPr>
            <w:tcW w:w="992" w:type="dxa"/>
            <w:tcBorders>
              <w:top w:val="nil"/>
              <w:left w:val="nil"/>
              <w:bottom w:val="nil"/>
              <w:right w:val="nil"/>
            </w:tcBorders>
          </w:tcPr>
          <w:p w14:paraId="3F4912D8"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(0.9</w:t>
            </w:r>
            <w:r>
              <w:rPr>
                <w:rFonts w:hint="eastAsia"/>
                <w:sz w:val="20"/>
                <w:szCs w:val="20"/>
              </w:rPr>
              <w:t>6</w:t>
            </w:r>
            <w:r w:rsidRPr="004066B5">
              <w:rPr>
                <w:sz w:val="20"/>
                <w:szCs w:val="20"/>
              </w:rPr>
              <w:t>)</w:t>
            </w:r>
          </w:p>
        </w:tc>
        <w:tc>
          <w:tcPr>
            <w:tcW w:w="1134" w:type="dxa"/>
            <w:tcBorders>
              <w:top w:val="nil"/>
              <w:left w:val="nil"/>
              <w:bottom w:val="nil"/>
              <w:right w:val="nil"/>
            </w:tcBorders>
          </w:tcPr>
          <w:p w14:paraId="7164BC50"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(0.88)</w:t>
            </w:r>
          </w:p>
        </w:tc>
        <w:tc>
          <w:tcPr>
            <w:tcW w:w="992" w:type="dxa"/>
            <w:tcBorders>
              <w:top w:val="nil"/>
              <w:left w:val="nil"/>
              <w:bottom w:val="nil"/>
              <w:right w:val="nil"/>
            </w:tcBorders>
          </w:tcPr>
          <w:p w14:paraId="40992CB8"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(0.94)</w:t>
            </w:r>
          </w:p>
        </w:tc>
        <w:tc>
          <w:tcPr>
            <w:tcW w:w="991" w:type="dxa"/>
            <w:tcBorders>
              <w:top w:val="nil"/>
              <w:left w:val="nil"/>
              <w:bottom w:val="nil"/>
              <w:right w:val="nil"/>
            </w:tcBorders>
          </w:tcPr>
          <w:p w14:paraId="4F5558CC"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w:t>
            </w:r>
            <w:r>
              <w:rPr>
                <w:rFonts w:hint="eastAsia"/>
                <w:sz w:val="20"/>
                <w:szCs w:val="20"/>
              </w:rPr>
              <w:t>80</w:t>
            </w:r>
            <w:r w:rsidRPr="004066B5">
              <w:rPr>
                <w:sz w:val="20"/>
                <w:szCs w:val="20"/>
              </w:rPr>
              <w:t>)</w:t>
            </w:r>
          </w:p>
        </w:tc>
        <w:tc>
          <w:tcPr>
            <w:tcW w:w="994" w:type="dxa"/>
            <w:tcBorders>
              <w:top w:val="nil"/>
              <w:left w:val="nil"/>
              <w:bottom w:val="nil"/>
              <w:right w:val="nil"/>
            </w:tcBorders>
          </w:tcPr>
          <w:p w14:paraId="183C6EAA"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(0.742</w:t>
            </w:r>
          </w:p>
        </w:tc>
      </w:tr>
      <w:tr w:rsidR="00DD5F92" w:rsidRPr="004066B5" w14:paraId="436E822F" w14:textId="77777777" w:rsidTr="006524D0">
        <w:tc>
          <w:tcPr>
            <w:tcW w:w="3369" w:type="dxa"/>
            <w:tcBorders>
              <w:top w:val="nil"/>
              <w:left w:val="nil"/>
              <w:bottom w:val="nil"/>
              <w:right w:val="nil"/>
            </w:tcBorders>
          </w:tcPr>
          <w:p w14:paraId="5DAB9408"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1A5AD458"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2990FADA" w14:textId="77777777" w:rsidR="00DD5F92" w:rsidRPr="004066B5" w:rsidRDefault="00DD5F92" w:rsidP="006524D0">
            <w:pPr>
              <w:widowControl w:val="0"/>
              <w:autoSpaceDE w:val="0"/>
              <w:autoSpaceDN w:val="0"/>
              <w:adjustRightInd w:val="0"/>
              <w:rPr>
                <w:sz w:val="20"/>
                <w:szCs w:val="20"/>
              </w:rPr>
            </w:pPr>
          </w:p>
        </w:tc>
        <w:tc>
          <w:tcPr>
            <w:tcW w:w="1134" w:type="dxa"/>
            <w:tcBorders>
              <w:top w:val="nil"/>
              <w:left w:val="nil"/>
              <w:bottom w:val="nil"/>
              <w:right w:val="nil"/>
            </w:tcBorders>
          </w:tcPr>
          <w:p w14:paraId="39F45097"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6CC49110" w14:textId="77777777" w:rsidR="00DD5F92" w:rsidRPr="004066B5" w:rsidRDefault="00DD5F92" w:rsidP="006524D0">
            <w:pPr>
              <w:widowControl w:val="0"/>
              <w:autoSpaceDE w:val="0"/>
              <w:autoSpaceDN w:val="0"/>
              <w:adjustRightInd w:val="0"/>
              <w:rPr>
                <w:sz w:val="20"/>
                <w:szCs w:val="20"/>
              </w:rPr>
            </w:pPr>
          </w:p>
        </w:tc>
        <w:tc>
          <w:tcPr>
            <w:tcW w:w="991" w:type="dxa"/>
            <w:tcBorders>
              <w:top w:val="nil"/>
              <w:left w:val="nil"/>
              <w:bottom w:val="nil"/>
              <w:right w:val="nil"/>
            </w:tcBorders>
          </w:tcPr>
          <w:p w14:paraId="4BFDF558" w14:textId="77777777" w:rsidR="00DD5F92" w:rsidRPr="004066B5" w:rsidRDefault="00DD5F92" w:rsidP="006524D0">
            <w:pPr>
              <w:widowControl w:val="0"/>
              <w:autoSpaceDE w:val="0"/>
              <w:autoSpaceDN w:val="0"/>
              <w:adjustRightInd w:val="0"/>
              <w:rPr>
                <w:sz w:val="20"/>
                <w:szCs w:val="20"/>
              </w:rPr>
            </w:pPr>
          </w:p>
        </w:tc>
        <w:tc>
          <w:tcPr>
            <w:tcW w:w="994" w:type="dxa"/>
            <w:tcBorders>
              <w:top w:val="nil"/>
              <w:left w:val="nil"/>
              <w:bottom w:val="nil"/>
              <w:right w:val="nil"/>
            </w:tcBorders>
          </w:tcPr>
          <w:p w14:paraId="68BA0569" w14:textId="77777777" w:rsidR="00DD5F92" w:rsidRPr="004066B5" w:rsidRDefault="00DD5F92" w:rsidP="006524D0">
            <w:pPr>
              <w:widowControl w:val="0"/>
              <w:autoSpaceDE w:val="0"/>
              <w:autoSpaceDN w:val="0"/>
              <w:adjustRightInd w:val="0"/>
              <w:rPr>
                <w:sz w:val="20"/>
                <w:szCs w:val="20"/>
              </w:rPr>
            </w:pPr>
          </w:p>
        </w:tc>
      </w:tr>
      <w:tr w:rsidR="00DD5F92" w:rsidRPr="004066B5" w14:paraId="2D618CC2" w14:textId="77777777" w:rsidTr="006524D0">
        <w:tc>
          <w:tcPr>
            <w:tcW w:w="3369" w:type="dxa"/>
            <w:tcBorders>
              <w:top w:val="nil"/>
              <w:left w:val="nil"/>
              <w:bottom w:val="nil"/>
              <w:right w:val="nil"/>
            </w:tcBorders>
          </w:tcPr>
          <w:p w14:paraId="01851447" w14:textId="77777777" w:rsidR="00DD5F92" w:rsidRPr="004066B5" w:rsidRDefault="00DD5F92" w:rsidP="006524D0">
            <w:pPr>
              <w:widowControl w:val="0"/>
              <w:autoSpaceDE w:val="0"/>
              <w:autoSpaceDN w:val="0"/>
              <w:adjustRightInd w:val="0"/>
              <w:rPr>
                <w:sz w:val="20"/>
                <w:szCs w:val="20"/>
              </w:rPr>
            </w:pPr>
            <w:r>
              <w:rPr>
                <w:rFonts w:hint="eastAsia"/>
                <w:sz w:val="20"/>
                <w:szCs w:val="20"/>
              </w:rPr>
              <w:t>Estimate dispersion</w:t>
            </w:r>
          </w:p>
        </w:tc>
        <w:tc>
          <w:tcPr>
            <w:tcW w:w="992" w:type="dxa"/>
            <w:tcBorders>
              <w:top w:val="nil"/>
              <w:left w:val="nil"/>
              <w:bottom w:val="nil"/>
              <w:right w:val="nil"/>
            </w:tcBorders>
          </w:tcPr>
          <w:p w14:paraId="69679B0B"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46B3D821"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1134" w:type="dxa"/>
            <w:tcBorders>
              <w:top w:val="nil"/>
              <w:left w:val="nil"/>
              <w:bottom w:val="nil"/>
              <w:right w:val="nil"/>
            </w:tcBorders>
          </w:tcPr>
          <w:p w14:paraId="7C7734D7"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0433078E"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1" w:type="dxa"/>
            <w:tcBorders>
              <w:top w:val="nil"/>
              <w:left w:val="nil"/>
              <w:bottom w:val="nil"/>
              <w:right w:val="nil"/>
            </w:tcBorders>
          </w:tcPr>
          <w:p w14:paraId="34B59858"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4" w:type="dxa"/>
            <w:tcBorders>
              <w:top w:val="nil"/>
              <w:left w:val="nil"/>
              <w:bottom w:val="nil"/>
              <w:right w:val="nil"/>
            </w:tcBorders>
          </w:tcPr>
          <w:p w14:paraId="35A245EE"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r>
      <w:tr w:rsidR="00DD5F92" w:rsidRPr="004066B5" w14:paraId="2FC94CE6" w14:textId="77777777" w:rsidTr="006524D0">
        <w:tc>
          <w:tcPr>
            <w:tcW w:w="3369" w:type="dxa"/>
            <w:tcBorders>
              <w:top w:val="nil"/>
              <w:left w:val="nil"/>
              <w:bottom w:val="nil"/>
              <w:right w:val="nil"/>
            </w:tcBorders>
          </w:tcPr>
          <w:p w14:paraId="1261CB64"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4CC477CB"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(0.61)</w:t>
            </w:r>
          </w:p>
        </w:tc>
        <w:tc>
          <w:tcPr>
            <w:tcW w:w="992" w:type="dxa"/>
            <w:tcBorders>
              <w:top w:val="nil"/>
              <w:left w:val="nil"/>
              <w:bottom w:val="nil"/>
              <w:right w:val="nil"/>
            </w:tcBorders>
          </w:tcPr>
          <w:p w14:paraId="283496FE"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(0.4</w:t>
            </w:r>
            <w:r>
              <w:rPr>
                <w:rFonts w:hint="eastAsia"/>
                <w:sz w:val="20"/>
                <w:szCs w:val="20"/>
              </w:rPr>
              <w:t>6</w:t>
            </w:r>
            <w:r w:rsidRPr="004066B5">
              <w:rPr>
                <w:sz w:val="20"/>
                <w:szCs w:val="20"/>
              </w:rPr>
              <w:t>)</w:t>
            </w:r>
          </w:p>
        </w:tc>
        <w:tc>
          <w:tcPr>
            <w:tcW w:w="1134" w:type="dxa"/>
            <w:tcBorders>
              <w:top w:val="nil"/>
              <w:left w:val="nil"/>
              <w:bottom w:val="nil"/>
              <w:right w:val="nil"/>
            </w:tcBorders>
          </w:tcPr>
          <w:p w14:paraId="04914580"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(0.87)</w:t>
            </w:r>
          </w:p>
        </w:tc>
        <w:tc>
          <w:tcPr>
            <w:tcW w:w="992" w:type="dxa"/>
            <w:tcBorders>
              <w:top w:val="nil"/>
              <w:left w:val="nil"/>
              <w:bottom w:val="nil"/>
              <w:right w:val="nil"/>
            </w:tcBorders>
          </w:tcPr>
          <w:p w14:paraId="5423EDF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(0.18)</w:t>
            </w:r>
          </w:p>
        </w:tc>
        <w:tc>
          <w:tcPr>
            <w:tcW w:w="991" w:type="dxa"/>
            <w:tcBorders>
              <w:top w:val="nil"/>
              <w:left w:val="nil"/>
              <w:bottom w:val="nil"/>
              <w:right w:val="nil"/>
            </w:tcBorders>
          </w:tcPr>
          <w:p w14:paraId="016C9B29"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(0.4</w:t>
            </w:r>
            <w:r>
              <w:rPr>
                <w:rFonts w:hint="eastAsia"/>
                <w:sz w:val="20"/>
                <w:szCs w:val="20"/>
              </w:rPr>
              <w:t>4</w:t>
            </w:r>
            <w:r w:rsidRPr="004066B5">
              <w:rPr>
                <w:sz w:val="20"/>
                <w:szCs w:val="20"/>
              </w:rPr>
              <w:t>)</w:t>
            </w:r>
          </w:p>
        </w:tc>
        <w:tc>
          <w:tcPr>
            <w:tcW w:w="994" w:type="dxa"/>
            <w:tcBorders>
              <w:top w:val="nil"/>
              <w:left w:val="nil"/>
              <w:bottom w:val="nil"/>
              <w:right w:val="nil"/>
            </w:tcBorders>
          </w:tcPr>
          <w:p w14:paraId="3E892E7D"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(0.4</w:t>
            </w:r>
            <w:r>
              <w:rPr>
                <w:rFonts w:hint="eastAsia"/>
                <w:sz w:val="20"/>
                <w:szCs w:val="20"/>
              </w:rPr>
              <w:t>6</w:t>
            </w:r>
            <w:r w:rsidRPr="004066B5">
              <w:rPr>
                <w:sz w:val="20"/>
                <w:szCs w:val="20"/>
              </w:rPr>
              <w:t>)</w:t>
            </w:r>
          </w:p>
        </w:tc>
      </w:tr>
      <w:tr w:rsidR="00DD5F92" w:rsidRPr="004066B5" w14:paraId="30BB4777" w14:textId="77777777" w:rsidTr="006524D0">
        <w:tc>
          <w:tcPr>
            <w:tcW w:w="3369" w:type="dxa"/>
            <w:tcBorders>
              <w:top w:val="nil"/>
              <w:left w:val="nil"/>
              <w:bottom w:val="nil"/>
              <w:right w:val="nil"/>
            </w:tcBorders>
          </w:tcPr>
          <w:p w14:paraId="5897F08A"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57F3C7EE"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3E49E195" w14:textId="77777777" w:rsidR="00DD5F92" w:rsidRPr="004066B5" w:rsidRDefault="00DD5F92" w:rsidP="006524D0">
            <w:pPr>
              <w:widowControl w:val="0"/>
              <w:autoSpaceDE w:val="0"/>
              <w:autoSpaceDN w:val="0"/>
              <w:adjustRightInd w:val="0"/>
              <w:rPr>
                <w:sz w:val="20"/>
                <w:szCs w:val="20"/>
              </w:rPr>
            </w:pPr>
          </w:p>
        </w:tc>
        <w:tc>
          <w:tcPr>
            <w:tcW w:w="1134" w:type="dxa"/>
            <w:tcBorders>
              <w:top w:val="nil"/>
              <w:left w:val="nil"/>
              <w:bottom w:val="nil"/>
              <w:right w:val="nil"/>
            </w:tcBorders>
          </w:tcPr>
          <w:p w14:paraId="335FEF17"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026416A8" w14:textId="77777777" w:rsidR="00DD5F92" w:rsidRPr="004066B5" w:rsidRDefault="00DD5F92" w:rsidP="006524D0">
            <w:pPr>
              <w:widowControl w:val="0"/>
              <w:autoSpaceDE w:val="0"/>
              <w:autoSpaceDN w:val="0"/>
              <w:adjustRightInd w:val="0"/>
              <w:rPr>
                <w:sz w:val="20"/>
                <w:szCs w:val="20"/>
              </w:rPr>
            </w:pPr>
          </w:p>
        </w:tc>
        <w:tc>
          <w:tcPr>
            <w:tcW w:w="991" w:type="dxa"/>
            <w:tcBorders>
              <w:top w:val="nil"/>
              <w:left w:val="nil"/>
              <w:bottom w:val="nil"/>
              <w:right w:val="nil"/>
            </w:tcBorders>
          </w:tcPr>
          <w:p w14:paraId="54C5E194" w14:textId="77777777" w:rsidR="00DD5F92" w:rsidRPr="004066B5" w:rsidRDefault="00DD5F92" w:rsidP="006524D0">
            <w:pPr>
              <w:widowControl w:val="0"/>
              <w:autoSpaceDE w:val="0"/>
              <w:autoSpaceDN w:val="0"/>
              <w:adjustRightInd w:val="0"/>
              <w:rPr>
                <w:sz w:val="20"/>
                <w:szCs w:val="20"/>
              </w:rPr>
            </w:pPr>
          </w:p>
        </w:tc>
        <w:tc>
          <w:tcPr>
            <w:tcW w:w="994" w:type="dxa"/>
            <w:tcBorders>
              <w:top w:val="nil"/>
              <w:left w:val="nil"/>
              <w:bottom w:val="nil"/>
              <w:right w:val="nil"/>
            </w:tcBorders>
          </w:tcPr>
          <w:p w14:paraId="466BCD99" w14:textId="77777777" w:rsidR="00DD5F92" w:rsidRPr="004066B5" w:rsidRDefault="00DD5F92" w:rsidP="006524D0">
            <w:pPr>
              <w:widowControl w:val="0"/>
              <w:autoSpaceDE w:val="0"/>
              <w:autoSpaceDN w:val="0"/>
              <w:adjustRightInd w:val="0"/>
              <w:rPr>
                <w:sz w:val="20"/>
                <w:szCs w:val="20"/>
              </w:rPr>
            </w:pPr>
          </w:p>
        </w:tc>
      </w:tr>
      <w:tr w:rsidR="00DD5F92" w:rsidRPr="004066B5" w14:paraId="7255F797" w14:textId="77777777" w:rsidTr="006524D0">
        <w:tc>
          <w:tcPr>
            <w:tcW w:w="3369" w:type="dxa"/>
            <w:tcBorders>
              <w:top w:val="nil"/>
              <w:left w:val="nil"/>
              <w:bottom w:val="nil"/>
              <w:right w:val="nil"/>
            </w:tcBorders>
          </w:tcPr>
          <w:p w14:paraId="1BB174C1" w14:textId="77777777" w:rsidR="00DD5F92" w:rsidRPr="004066B5" w:rsidRDefault="00DD5F92" w:rsidP="006524D0">
            <w:pPr>
              <w:widowControl w:val="0"/>
              <w:autoSpaceDE w:val="0"/>
              <w:autoSpaceDN w:val="0"/>
              <w:adjustRightInd w:val="0"/>
              <w:rPr>
                <w:sz w:val="20"/>
                <w:szCs w:val="20"/>
              </w:rPr>
            </w:pPr>
            <w:r>
              <w:rPr>
                <w:rFonts w:hint="eastAsia"/>
                <w:sz w:val="20"/>
                <w:szCs w:val="20"/>
              </w:rPr>
              <w:t>Financial restatements</w:t>
            </w:r>
          </w:p>
        </w:tc>
        <w:tc>
          <w:tcPr>
            <w:tcW w:w="992" w:type="dxa"/>
            <w:tcBorders>
              <w:top w:val="nil"/>
              <w:left w:val="nil"/>
              <w:bottom w:val="nil"/>
              <w:right w:val="nil"/>
            </w:tcBorders>
          </w:tcPr>
          <w:p w14:paraId="01D8BF66"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733350C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1134" w:type="dxa"/>
            <w:tcBorders>
              <w:top w:val="nil"/>
              <w:left w:val="nil"/>
              <w:bottom w:val="nil"/>
              <w:right w:val="nil"/>
            </w:tcBorders>
          </w:tcPr>
          <w:p w14:paraId="12AE6F90"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48FA9132"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1" w:type="dxa"/>
            <w:tcBorders>
              <w:top w:val="nil"/>
              <w:left w:val="nil"/>
              <w:bottom w:val="nil"/>
              <w:right w:val="nil"/>
            </w:tcBorders>
          </w:tcPr>
          <w:p w14:paraId="4FA1199C"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4" w:type="dxa"/>
            <w:tcBorders>
              <w:top w:val="nil"/>
              <w:left w:val="nil"/>
              <w:bottom w:val="nil"/>
              <w:right w:val="nil"/>
            </w:tcBorders>
          </w:tcPr>
          <w:p w14:paraId="72604578"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r>
      <w:tr w:rsidR="00DD5F92" w:rsidRPr="004066B5" w14:paraId="2443A83E" w14:textId="77777777" w:rsidTr="006524D0">
        <w:tc>
          <w:tcPr>
            <w:tcW w:w="3369" w:type="dxa"/>
            <w:tcBorders>
              <w:top w:val="nil"/>
              <w:left w:val="nil"/>
              <w:bottom w:val="nil"/>
              <w:right w:val="nil"/>
            </w:tcBorders>
          </w:tcPr>
          <w:p w14:paraId="67084461"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43342610"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(0.92)</w:t>
            </w:r>
          </w:p>
        </w:tc>
        <w:tc>
          <w:tcPr>
            <w:tcW w:w="992" w:type="dxa"/>
            <w:tcBorders>
              <w:top w:val="nil"/>
              <w:left w:val="nil"/>
              <w:bottom w:val="nil"/>
              <w:right w:val="nil"/>
            </w:tcBorders>
          </w:tcPr>
          <w:p w14:paraId="42A51213"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(0.87)</w:t>
            </w:r>
          </w:p>
        </w:tc>
        <w:tc>
          <w:tcPr>
            <w:tcW w:w="1134" w:type="dxa"/>
            <w:tcBorders>
              <w:top w:val="nil"/>
              <w:left w:val="nil"/>
              <w:bottom w:val="nil"/>
              <w:right w:val="nil"/>
            </w:tcBorders>
          </w:tcPr>
          <w:p w14:paraId="51B329B5"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(0.9</w:t>
            </w:r>
            <w:r>
              <w:rPr>
                <w:rFonts w:hint="eastAsia"/>
                <w:sz w:val="20"/>
                <w:szCs w:val="20"/>
              </w:rPr>
              <w:t>7</w:t>
            </w:r>
            <w:r w:rsidRPr="004066B5">
              <w:rPr>
                <w:sz w:val="20"/>
                <w:szCs w:val="20"/>
              </w:rPr>
              <w:t>)</w:t>
            </w:r>
          </w:p>
        </w:tc>
        <w:tc>
          <w:tcPr>
            <w:tcW w:w="992" w:type="dxa"/>
            <w:tcBorders>
              <w:top w:val="nil"/>
              <w:left w:val="nil"/>
              <w:bottom w:val="nil"/>
              <w:right w:val="nil"/>
            </w:tcBorders>
          </w:tcPr>
          <w:p w14:paraId="6153F78B"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(0.71)</w:t>
            </w:r>
          </w:p>
        </w:tc>
        <w:tc>
          <w:tcPr>
            <w:tcW w:w="991" w:type="dxa"/>
            <w:tcBorders>
              <w:top w:val="nil"/>
              <w:left w:val="nil"/>
              <w:bottom w:val="nil"/>
              <w:right w:val="nil"/>
            </w:tcBorders>
          </w:tcPr>
          <w:p w14:paraId="6D4C73D3"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(0.8</w:t>
            </w:r>
            <w:r>
              <w:rPr>
                <w:rFonts w:hint="eastAsia"/>
                <w:sz w:val="20"/>
                <w:szCs w:val="20"/>
              </w:rPr>
              <w:t>9</w:t>
            </w:r>
            <w:r w:rsidRPr="004066B5">
              <w:rPr>
                <w:sz w:val="20"/>
                <w:szCs w:val="20"/>
              </w:rPr>
              <w:t>)</w:t>
            </w:r>
          </w:p>
        </w:tc>
        <w:tc>
          <w:tcPr>
            <w:tcW w:w="994" w:type="dxa"/>
            <w:tcBorders>
              <w:top w:val="nil"/>
              <w:left w:val="nil"/>
              <w:bottom w:val="nil"/>
              <w:right w:val="nil"/>
            </w:tcBorders>
          </w:tcPr>
          <w:p w14:paraId="290447CF"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(0.89)</w:t>
            </w:r>
          </w:p>
        </w:tc>
      </w:tr>
      <w:tr w:rsidR="00DD5F92" w:rsidRPr="004066B5" w14:paraId="5ED87982" w14:textId="77777777" w:rsidTr="006524D0">
        <w:tc>
          <w:tcPr>
            <w:tcW w:w="3369" w:type="dxa"/>
            <w:tcBorders>
              <w:top w:val="nil"/>
              <w:left w:val="nil"/>
              <w:bottom w:val="nil"/>
              <w:right w:val="nil"/>
            </w:tcBorders>
          </w:tcPr>
          <w:p w14:paraId="529A1668"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7C5A8359"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376DD8EE" w14:textId="77777777" w:rsidR="00DD5F92" w:rsidRPr="004066B5" w:rsidRDefault="00DD5F92" w:rsidP="006524D0">
            <w:pPr>
              <w:widowControl w:val="0"/>
              <w:autoSpaceDE w:val="0"/>
              <w:autoSpaceDN w:val="0"/>
              <w:adjustRightInd w:val="0"/>
              <w:rPr>
                <w:sz w:val="20"/>
                <w:szCs w:val="20"/>
              </w:rPr>
            </w:pPr>
          </w:p>
        </w:tc>
        <w:tc>
          <w:tcPr>
            <w:tcW w:w="1134" w:type="dxa"/>
            <w:tcBorders>
              <w:top w:val="nil"/>
              <w:left w:val="nil"/>
              <w:bottom w:val="nil"/>
              <w:right w:val="nil"/>
            </w:tcBorders>
          </w:tcPr>
          <w:p w14:paraId="0C27F602"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nil"/>
              <w:right w:val="nil"/>
            </w:tcBorders>
          </w:tcPr>
          <w:p w14:paraId="74157281" w14:textId="77777777" w:rsidR="00DD5F92" w:rsidRPr="004066B5" w:rsidRDefault="00DD5F92" w:rsidP="006524D0">
            <w:pPr>
              <w:widowControl w:val="0"/>
              <w:autoSpaceDE w:val="0"/>
              <w:autoSpaceDN w:val="0"/>
              <w:adjustRightInd w:val="0"/>
              <w:rPr>
                <w:sz w:val="20"/>
                <w:szCs w:val="20"/>
              </w:rPr>
            </w:pPr>
          </w:p>
        </w:tc>
        <w:tc>
          <w:tcPr>
            <w:tcW w:w="991" w:type="dxa"/>
            <w:tcBorders>
              <w:top w:val="nil"/>
              <w:left w:val="nil"/>
              <w:bottom w:val="nil"/>
              <w:right w:val="nil"/>
            </w:tcBorders>
          </w:tcPr>
          <w:p w14:paraId="75D6BF83" w14:textId="77777777" w:rsidR="00DD5F92" w:rsidRPr="004066B5" w:rsidRDefault="00DD5F92" w:rsidP="006524D0">
            <w:pPr>
              <w:widowControl w:val="0"/>
              <w:autoSpaceDE w:val="0"/>
              <w:autoSpaceDN w:val="0"/>
              <w:adjustRightInd w:val="0"/>
              <w:rPr>
                <w:sz w:val="20"/>
                <w:szCs w:val="20"/>
              </w:rPr>
            </w:pPr>
          </w:p>
        </w:tc>
        <w:tc>
          <w:tcPr>
            <w:tcW w:w="994" w:type="dxa"/>
            <w:tcBorders>
              <w:top w:val="nil"/>
              <w:left w:val="nil"/>
              <w:bottom w:val="nil"/>
              <w:right w:val="nil"/>
            </w:tcBorders>
          </w:tcPr>
          <w:p w14:paraId="4A7E0025" w14:textId="77777777" w:rsidR="00DD5F92" w:rsidRPr="004066B5" w:rsidRDefault="00DD5F92" w:rsidP="006524D0">
            <w:pPr>
              <w:widowControl w:val="0"/>
              <w:autoSpaceDE w:val="0"/>
              <w:autoSpaceDN w:val="0"/>
              <w:adjustRightInd w:val="0"/>
              <w:rPr>
                <w:sz w:val="20"/>
                <w:szCs w:val="20"/>
              </w:rPr>
            </w:pPr>
          </w:p>
        </w:tc>
      </w:tr>
      <w:tr w:rsidR="00DD5F92" w:rsidRPr="004066B5" w14:paraId="4999941E" w14:textId="77777777" w:rsidTr="006524D0">
        <w:tc>
          <w:tcPr>
            <w:tcW w:w="3369" w:type="dxa"/>
            <w:tcBorders>
              <w:top w:val="nil"/>
              <w:left w:val="nil"/>
              <w:bottom w:val="nil"/>
              <w:right w:val="nil"/>
            </w:tcBorders>
          </w:tcPr>
          <w:p w14:paraId="31BA69E9" w14:textId="77777777" w:rsidR="00DD5F92" w:rsidRPr="004066B5" w:rsidRDefault="00DD5F92" w:rsidP="006524D0">
            <w:pPr>
              <w:widowControl w:val="0"/>
              <w:autoSpaceDE w:val="0"/>
              <w:autoSpaceDN w:val="0"/>
              <w:adjustRightInd w:val="0"/>
              <w:rPr>
                <w:sz w:val="20"/>
                <w:szCs w:val="20"/>
              </w:rPr>
            </w:pPr>
            <w:r>
              <w:rPr>
                <w:rFonts w:hint="eastAsia"/>
                <w:sz w:val="20"/>
                <w:szCs w:val="20"/>
              </w:rPr>
              <w:t>Constant</w:t>
            </w:r>
          </w:p>
        </w:tc>
        <w:tc>
          <w:tcPr>
            <w:tcW w:w="992" w:type="dxa"/>
            <w:tcBorders>
              <w:top w:val="nil"/>
              <w:left w:val="nil"/>
              <w:bottom w:val="nil"/>
              <w:right w:val="nil"/>
            </w:tcBorders>
          </w:tcPr>
          <w:p w14:paraId="577DE8E2"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c>
          <w:tcPr>
            <w:tcW w:w="992" w:type="dxa"/>
            <w:tcBorders>
              <w:top w:val="nil"/>
              <w:left w:val="nil"/>
              <w:bottom w:val="nil"/>
              <w:right w:val="nil"/>
            </w:tcBorders>
          </w:tcPr>
          <w:p w14:paraId="145C0CC2"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w:t>
            </w:r>
            <w:r>
              <w:rPr>
                <w:rFonts w:hint="eastAsia"/>
                <w:sz w:val="20"/>
                <w:szCs w:val="20"/>
              </w:rPr>
              <w:t>01</w:t>
            </w:r>
          </w:p>
        </w:tc>
        <w:tc>
          <w:tcPr>
            <w:tcW w:w="1134" w:type="dxa"/>
            <w:tcBorders>
              <w:top w:val="nil"/>
              <w:left w:val="nil"/>
              <w:bottom w:val="nil"/>
              <w:right w:val="nil"/>
            </w:tcBorders>
          </w:tcPr>
          <w:p w14:paraId="2A621C1C"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2" w:type="dxa"/>
            <w:tcBorders>
              <w:top w:val="nil"/>
              <w:left w:val="nil"/>
              <w:bottom w:val="nil"/>
              <w:right w:val="nil"/>
            </w:tcBorders>
          </w:tcPr>
          <w:p w14:paraId="10DD2967"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0.00</w:t>
            </w:r>
          </w:p>
        </w:tc>
        <w:tc>
          <w:tcPr>
            <w:tcW w:w="991" w:type="dxa"/>
            <w:tcBorders>
              <w:top w:val="nil"/>
              <w:left w:val="nil"/>
              <w:bottom w:val="nil"/>
              <w:right w:val="nil"/>
            </w:tcBorders>
          </w:tcPr>
          <w:p w14:paraId="0F8A15FC"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c>
          <w:tcPr>
            <w:tcW w:w="994" w:type="dxa"/>
            <w:tcBorders>
              <w:top w:val="nil"/>
              <w:left w:val="nil"/>
              <w:bottom w:val="nil"/>
              <w:right w:val="nil"/>
            </w:tcBorders>
          </w:tcPr>
          <w:p w14:paraId="3F7A158D"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0.0</w:t>
            </w:r>
            <w:r>
              <w:rPr>
                <w:rFonts w:hint="eastAsia"/>
                <w:sz w:val="20"/>
                <w:szCs w:val="20"/>
              </w:rPr>
              <w:t>1</w:t>
            </w:r>
          </w:p>
        </w:tc>
      </w:tr>
      <w:tr w:rsidR="00DD5F92" w:rsidRPr="004066B5" w14:paraId="6E6F23C9" w14:textId="77777777" w:rsidTr="006524D0">
        <w:tc>
          <w:tcPr>
            <w:tcW w:w="3369" w:type="dxa"/>
            <w:tcBorders>
              <w:top w:val="nil"/>
              <w:left w:val="nil"/>
              <w:bottom w:val="single" w:sz="4" w:space="0" w:color="auto"/>
              <w:right w:val="nil"/>
            </w:tcBorders>
          </w:tcPr>
          <w:p w14:paraId="23D43132" w14:textId="77777777" w:rsidR="00DD5F92" w:rsidRPr="004066B5" w:rsidRDefault="00DD5F92" w:rsidP="006524D0">
            <w:pPr>
              <w:widowControl w:val="0"/>
              <w:autoSpaceDE w:val="0"/>
              <w:autoSpaceDN w:val="0"/>
              <w:adjustRightInd w:val="0"/>
              <w:rPr>
                <w:sz w:val="20"/>
                <w:szCs w:val="20"/>
              </w:rPr>
            </w:pPr>
          </w:p>
        </w:tc>
        <w:tc>
          <w:tcPr>
            <w:tcW w:w="992" w:type="dxa"/>
            <w:tcBorders>
              <w:top w:val="nil"/>
              <w:left w:val="nil"/>
              <w:bottom w:val="single" w:sz="4" w:space="0" w:color="auto"/>
              <w:right w:val="nil"/>
            </w:tcBorders>
          </w:tcPr>
          <w:p w14:paraId="1E700D07"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(0.4</w:t>
            </w:r>
            <w:r>
              <w:rPr>
                <w:rFonts w:hint="eastAsia"/>
                <w:sz w:val="20"/>
                <w:szCs w:val="20"/>
              </w:rPr>
              <w:t>1</w:t>
            </w:r>
            <w:r w:rsidRPr="004066B5">
              <w:rPr>
                <w:sz w:val="20"/>
                <w:szCs w:val="20"/>
              </w:rPr>
              <w:t>)</w:t>
            </w:r>
          </w:p>
        </w:tc>
        <w:tc>
          <w:tcPr>
            <w:tcW w:w="992" w:type="dxa"/>
            <w:tcBorders>
              <w:top w:val="nil"/>
              <w:left w:val="nil"/>
              <w:bottom w:val="single" w:sz="4" w:space="0" w:color="auto"/>
              <w:right w:val="nil"/>
            </w:tcBorders>
          </w:tcPr>
          <w:p w14:paraId="4BB0926B"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(0.3</w:t>
            </w:r>
            <w:r>
              <w:rPr>
                <w:rFonts w:hint="eastAsia"/>
                <w:sz w:val="20"/>
                <w:szCs w:val="20"/>
              </w:rPr>
              <w:t>4</w:t>
            </w:r>
            <w:r w:rsidRPr="004066B5">
              <w:rPr>
                <w:sz w:val="20"/>
                <w:szCs w:val="20"/>
              </w:rPr>
              <w:t>)</w:t>
            </w:r>
          </w:p>
        </w:tc>
        <w:tc>
          <w:tcPr>
            <w:tcW w:w="1134" w:type="dxa"/>
            <w:tcBorders>
              <w:top w:val="nil"/>
              <w:left w:val="nil"/>
              <w:bottom w:val="single" w:sz="4" w:space="0" w:color="auto"/>
              <w:right w:val="nil"/>
            </w:tcBorders>
          </w:tcPr>
          <w:p w14:paraId="4FEDFAA5"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(0.58)</w:t>
            </w:r>
          </w:p>
        </w:tc>
        <w:tc>
          <w:tcPr>
            <w:tcW w:w="992" w:type="dxa"/>
            <w:tcBorders>
              <w:top w:val="nil"/>
              <w:left w:val="nil"/>
              <w:bottom w:val="single" w:sz="4" w:space="0" w:color="auto"/>
              <w:right w:val="nil"/>
            </w:tcBorders>
          </w:tcPr>
          <w:p w14:paraId="77B57BBB"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(0.87)</w:t>
            </w:r>
          </w:p>
        </w:tc>
        <w:tc>
          <w:tcPr>
            <w:tcW w:w="991" w:type="dxa"/>
            <w:tcBorders>
              <w:top w:val="nil"/>
              <w:left w:val="nil"/>
              <w:bottom w:val="single" w:sz="4" w:space="0" w:color="auto"/>
              <w:right w:val="nil"/>
            </w:tcBorders>
          </w:tcPr>
          <w:p w14:paraId="0858B570"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(0.24)</w:t>
            </w:r>
          </w:p>
        </w:tc>
        <w:tc>
          <w:tcPr>
            <w:tcW w:w="994" w:type="dxa"/>
            <w:tcBorders>
              <w:top w:val="nil"/>
              <w:left w:val="nil"/>
              <w:bottom w:val="single" w:sz="4" w:space="0" w:color="auto"/>
              <w:right w:val="nil"/>
            </w:tcBorders>
          </w:tcPr>
          <w:p w14:paraId="4E3550F2"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(0.3</w:t>
            </w:r>
            <w:r>
              <w:rPr>
                <w:rFonts w:hint="eastAsia"/>
                <w:sz w:val="20"/>
                <w:szCs w:val="20"/>
              </w:rPr>
              <w:t>3</w:t>
            </w:r>
            <w:r w:rsidRPr="004066B5">
              <w:rPr>
                <w:sz w:val="20"/>
                <w:szCs w:val="20"/>
              </w:rPr>
              <w:t>)</w:t>
            </w:r>
          </w:p>
        </w:tc>
      </w:tr>
      <w:tr w:rsidR="00DD5F92" w:rsidRPr="004066B5" w14:paraId="4A7BBFD9" w14:textId="77777777" w:rsidTr="006524D0">
        <w:tc>
          <w:tcPr>
            <w:tcW w:w="3369" w:type="dxa"/>
            <w:tcBorders>
              <w:top w:val="nil"/>
              <w:left w:val="nil"/>
              <w:bottom w:val="nil"/>
              <w:right w:val="nil"/>
            </w:tcBorders>
          </w:tcPr>
          <w:p w14:paraId="38BCC7FC" w14:textId="77777777" w:rsidR="00DD5F92" w:rsidRPr="004066B5" w:rsidRDefault="00DD5F92" w:rsidP="006524D0">
            <w:pPr>
              <w:widowControl w:val="0"/>
              <w:autoSpaceDE w:val="0"/>
              <w:autoSpaceDN w:val="0"/>
              <w:adjustRightInd w:val="0"/>
              <w:rPr>
                <w:sz w:val="20"/>
                <w:szCs w:val="20"/>
              </w:rPr>
            </w:pPr>
            <w:r w:rsidRPr="004066B5">
              <w:rPr>
                <w:i/>
                <w:iCs/>
                <w:sz w:val="20"/>
                <w:szCs w:val="20"/>
              </w:rPr>
              <w:t>N</w:t>
            </w:r>
          </w:p>
        </w:tc>
        <w:tc>
          <w:tcPr>
            <w:tcW w:w="992" w:type="dxa"/>
            <w:tcBorders>
              <w:top w:val="nil"/>
              <w:left w:val="nil"/>
              <w:bottom w:val="nil"/>
              <w:right w:val="nil"/>
            </w:tcBorders>
          </w:tcPr>
          <w:p w14:paraId="3D50F307"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4752</w:t>
            </w:r>
          </w:p>
        </w:tc>
        <w:tc>
          <w:tcPr>
            <w:tcW w:w="992" w:type="dxa"/>
            <w:tcBorders>
              <w:top w:val="nil"/>
              <w:left w:val="nil"/>
              <w:bottom w:val="nil"/>
              <w:right w:val="nil"/>
            </w:tcBorders>
          </w:tcPr>
          <w:p w14:paraId="65881D45"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4752</w:t>
            </w:r>
          </w:p>
        </w:tc>
        <w:tc>
          <w:tcPr>
            <w:tcW w:w="1134" w:type="dxa"/>
            <w:tcBorders>
              <w:top w:val="nil"/>
              <w:left w:val="nil"/>
              <w:bottom w:val="nil"/>
              <w:right w:val="nil"/>
            </w:tcBorders>
          </w:tcPr>
          <w:p w14:paraId="31D7D61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4752</w:t>
            </w:r>
          </w:p>
        </w:tc>
        <w:tc>
          <w:tcPr>
            <w:tcW w:w="992" w:type="dxa"/>
            <w:tcBorders>
              <w:top w:val="nil"/>
              <w:left w:val="nil"/>
              <w:bottom w:val="nil"/>
              <w:right w:val="nil"/>
            </w:tcBorders>
          </w:tcPr>
          <w:p w14:paraId="403C9A54"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4752</w:t>
            </w:r>
          </w:p>
        </w:tc>
        <w:tc>
          <w:tcPr>
            <w:tcW w:w="991" w:type="dxa"/>
            <w:tcBorders>
              <w:top w:val="nil"/>
              <w:left w:val="nil"/>
              <w:bottom w:val="nil"/>
              <w:right w:val="nil"/>
            </w:tcBorders>
          </w:tcPr>
          <w:p w14:paraId="6FF952EB"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4752</w:t>
            </w:r>
          </w:p>
        </w:tc>
        <w:tc>
          <w:tcPr>
            <w:tcW w:w="994" w:type="dxa"/>
            <w:tcBorders>
              <w:top w:val="nil"/>
              <w:left w:val="nil"/>
              <w:bottom w:val="nil"/>
              <w:right w:val="nil"/>
            </w:tcBorders>
          </w:tcPr>
          <w:p w14:paraId="4AEEE95F" w14:textId="77777777" w:rsidR="00DD5F92" w:rsidRPr="004066B5" w:rsidRDefault="00DD5F92" w:rsidP="006524D0">
            <w:pPr>
              <w:widowControl w:val="0"/>
              <w:autoSpaceDE w:val="0"/>
              <w:autoSpaceDN w:val="0"/>
              <w:adjustRightInd w:val="0"/>
              <w:jc w:val="center"/>
              <w:rPr>
                <w:sz w:val="20"/>
                <w:szCs w:val="20"/>
              </w:rPr>
            </w:pPr>
            <w:r w:rsidRPr="004066B5">
              <w:rPr>
                <w:sz w:val="20"/>
                <w:szCs w:val="20"/>
              </w:rPr>
              <w:t>4752</w:t>
            </w:r>
          </w:p>
        </w:tc>
      </w:tr>
      <w:tr w:rsidR="00DD5F92" w:rsidRPr="004066B5" w14:paraId="69FF63E5" w14:textId="77777777" w:rsidTr="006524D0">
        <w:tc>
          <w:tcPr>
            <w:tcW w:w="3369" w:type="dxa"/>
            <w:tcBorders>
              <w:top w:val="nil"/>
              <w:left w:val="nil"/>
              <w:bottom w:val="nil"/>
              <w:right w:val="nil"/>
            </w:tcBorders>
          </w:tcPr>
          <w:p w14:paraId="087BB59C" w14:textId="77777777" w:rsidR="00DD5F92" w:rsidRPr="00B564EF" w:rsidRDefault="00DD5F92" w:rsidP="006524D0">
            <w:pPr>
              <w:widowControl w:val="0"/>
              <w:autoSpaceDE w:val="0"/>
              <w:autoSpaceDN w:val="0"/>
              <w:adjustRightInd w:val="0"/>
              <w:rPr>
                <w:i/>
                <w:iCs/>
                <w:sz w:val="20"/>
                <w:szCs w:val="20"/>
              </w:rPr>
            </w:pPr>
            <w:r w:rsidRPr="00B564EF">
              <w:rPr>
                <w:i/>
                <w:iCs/>
                <w:sz w:val="20"/>
                <w:szCs w:val="20"/>
              </w:rPr>
              <w:t>Within R</w:t>
            </w:r>
            <w:r w:rsidRPr="00B564EF">
              <w:rPr>
                <w:i/>
                <w:iCs/>
                <w:sz w:val="20"/>
                <w:szCs w:val="20"/>
                <w:vertAlign w:val="superscript"/>
              </w:rPr>
              <w:t>2</w:t>
            </w:r>
          </w:p>
        </w:tc>
        <w:tc>
          <w:tcPr>
            <w:tcW w:w="992" w:type="dxa"/>
            <w:tcBorders>
              <w:top w:val="nil"/>
              <w:left w:val="nil"/>
              <w:bottom w:val="nil"/>
              <w:right w:val="nil"/>
            </w:tcBorders>
          </w:tcPr>
          <w:p w14:paraId="0CF2E9FB"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0.00</w:t>
            </w:r>
          </w:p>
        </w:tc>
        <w:tc>
          <w:tcPr>
            <w:tcW w:w="992" w:type="dxa"/>
            <w:tcBorders>
              <w:top w:val="nil"/>
              <w:left w:val="nil"/>
              <w:bottom w:val="nil"/>
              <w:right w:val="nil"/>
            </w:tcBorders>
          </w:tcPr>
          <w:p w14:paraId="5E070086"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0.01</w:t>
            </w:r>
          </w:p>
        </w:tc>
        <w:tc>
          <w:tcPr>
            <w:tcW w:w="1134" w:type="dxa"/>
            <w:tcBorders>
              <w:top w:val="nil"/>
              <w:left w:val="nil"/>
              <w:bottom w:val="nil"/>
              <w:right w:val="nil"/>
            </w:tcBorders>
          </w:tcPr>
          <w:p w14:paraId="4DABF350"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0.04</w:t>
            </w:r>
          </w:p>
        </w:tc>
        <w:tc>
          <w:tcPr>
            <w:tcW w:w="992" w:type="dxa"/>
            <w:tcBorders>
              <w:top w:val="nil"/>
              <w:left w:val="nil"/>
              <w:bottom w:val="nil"/>
              <w:right w:val="nil"/>
            </w:tcBorders>
          </w:tcPr>
          <w:p w14:paraId="58A22DB6"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0.04</w:t>
            </w:r>
          </w:p>
        </w:tc>
        <w:tc>
          <w:tcPr>
            <w:tcW w:w="991" w:type="dxa"/>
            <w:tcBorders>
              <w:top w:val="nil"/>
              <w:left w:val="nil"/>
              <w:bottom w:val="nil"/>
              <w:right w:val="nil"/>
            </w:tcBorders>
          </w:tcPr>
          <w:p w14:paraId="60C07D4D"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0.02</w:t>
            </w:r>
          </w:p>
        </w:tc>
        <w:tc>
          <w:tcPr>
            <w:tcW w:w="994" w:type="dxa"/>
            <w:tcBorders>
              <w:top w:val="nil"/>
              <w:left w:val="nil"/>
              <w:bottom w:val="nil"/>
              <w:right w:val="nil"/>
            </w:tcBorders>
          </w:tcPr>
          <w:p w14:paraId="5393D92D"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0.07</w:t>
            </w:r>
          </w:p>
        </w:tc>
      </w:tr>
      <w:tr w:rsidR="00DD5F92" w:rsidRPr="004066B5" w14:paraId="710C7476" w14:textId="77777777" w:rsidTr="006524D0">
        <w:tc>
          <w:tcPr>
            <w:tcW w:w="3369" w:type="dxa"/>
            <w:tcBorders>
              <w:top w:val="nil"/>
              <w:left w:val="nil"/>
              <w:bottom w:val="nil"/>
              <w:right w:val="nil"/>
            </w:tcBorders>
          </w:tcPr>
          <w:p w14:paraId="05A82C26" w14:textId="77777777" w:rsidR="00DD5F92" w:rsidRPr="00B564EF" w:rsidRDefault="00DD5F92" w:rsidP="006524D0">
            <w:pPr>
              <w:widowControl w:val="0"/>
              <w:autoSpaceDE w:val="0"/>
              <w:autoSpaceDN w:val="0"/>
              <w:adjustRightInd w:val="0"/>
              <w:rPr>
                <w:i/>
                <w:iCs/>
                <w:sz w:val="20"/>
                <w:szCs w:val="20"/>
              </w:rPr>
            </w:pPr>
            <w:r w:rsidRPr="00B564EF">
              <w:rPr>
                <w:i/>
                <w:iCs/>
                <w:sz w:val="20"/>
                <w:szCs w:val="20"/>
              </w:rPr>
              <w:t>Between R</w:t>
            </w:r>
            <w:r w:rsidRPr="00B564EF">
              <w:rPr>
                <w:i/>
                <w:iCs/>
                <w:sz w:val="20"/>
                <w:szCs w:val="20"/>
                <w:vertAlign w:val="superscript"/>
              </w:rPr>
              <w:t>2</w:t>
            </w:r>
          </w:p>
        </w:tc>
        <w:tc>
          <w:tcPr>
            <w:tcW w:w="992" w:type="dxa"/>
            <w:tcBorders>
              <w:top w:val="nil"/>
              <w:left w:val="nil"/>
              <w:bottom w:val="nil"/>
              <w:right w:val="nil"/>
            </w:tcBorders>
          </w:tcPr>
          <w:p w14:paraId="1FB26D1F"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0.00</w:t>
            </w:r>
          </w:p>
        </w:tc>
        <w:tc>
          <w:tcPr>
            <w:tcW w:w="992" w:type="dxa"/>
            <w:tcBorders>
              <w:top w:val="nil"/>
              <w:left w:val="nil"/>
              <w:bottom w:val="nil"/>
              <w:right w:val="nil"/>
            </w:tcBorders>
          </w:tcPr>
          <w:p w14:paraId="1B110466"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0.02</w:t>
            </w:r>
          </w:p>
        </w:tc>
        <w:tc>
          <w:tcPr>
            <w:tcW w:w="1134" w:type="dxa"/>
            <w:tcBorders>
              <w:top w:val="nil"/>
              <w:left w:val="nil"/>
              <w:bottom w:val="nil"/>
              <w:right w:val="nil"/>
            </w:tcBorders>
          </w:tcPr>
          <w:p w14:paraId="76E27120"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0.05</w:t>
            </w:r>
          </w:p>
        </w:tc>
        <w:tc>
          <w:tcPr>
            <w:tcW w:w="992" w:type="dxa"/>
            <w:tcBorders>
              <w:top w:val="nil"/>
              <w:left w:val="nil"/>
              <w:bottom w:val="nil"/>
              <w:right w:val="nil"/>
            </w:tcBorders>
          </w:tcPr>
          <w:p w14:paraId="681AE20B"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0.05</w:t>
            </w:r>
          </w:p>
        </w:tc>
        <w:tc>
          <w:tcPr>
            <w:tcW w:w="991" w:type="dxa"/>
            <w:tcBorders>
              <w:top w:val="nil"/>
              <w:left w:val="nil"/>
              <w:bottom w:val="nil"/>
              <w:right w:val="nil"/>
            </w:tcBorders>
          </w:tcPr>
          <w:p w14:paraId="6A5E9EEE"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0.02</w:t>
            </w:r>
          </w:p>
        </w:tc>
        <w:tc>
          <w:tcPr>
            <w:tcW w:w="994" w:type="dxa"/>
            <w:tcBorders>
              <w:top w:val="nil"/>
              <w:left w:val="nil"/>
              <w:bottom w:val="nil"/>
              <w:right w:val="nil"/>
            </w:tcBorders>
          </w:tcPr>
          <w:p w14:paraId="4B03EF9F"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0.09</w:t>
            </w:r>
          </w:p>
        </w:tc>
      </w:tr>
      <w:tr w:rsidR="00DD5F92" w:rsidRPr="004066B5" w14:paraId="14B828F9" w14:textId="77777777" w:rsidTr="006524D0">
        <w:tc>
          <w:tcPr>
            <w:tcW w:w="3369" w:type="dxa"/>
            <w:tcBorders>
              <w:top w:val="nil"/>
              <w:left w:val="nil"/>
              <w:bottom w:val="single" w:sz="4" w:space="0" w:color="auto"/>
              <w:right w:val="nil"/>
            </w:tcBorders>
          </w:tcPr>
          <w:p w14:paraId="05DCBA92" w14:textId="77777777" w:rsidR="00DD5F92" w:rsidRPr="00B564EF" w:rsidRDefault="00DD5F92" w:rsidP="006524D0">
            <w:pPr>
              <w:widowControl w:val="0"/>
              <w:autoSpaceDE w:val="0"/>
              <w:autoSpaceDN w:val="0"/>
              <w:adjustRightInd w:val="0"/>
              <w:rPr>
                <w:i/>
                <w:iCs/>
                <w:sz w:val="20"/>
                <w:szCs w:val="20"/>
              </w:rPr>
            </w:pPr>
            <w:r w:rsidRPr="00B564EF">
              <w:rPr>
                <w:i/>
                <w:iCs/>
                <w:sz w:val="20"/>
                <w:szCs w:val="20"/>
              </w:rPr>
              <w:t>Overall R</w:t>
            </w:r>
            <w:r w:rsidRPr="00B564EF">
              <w:rPr>
                <w:i/>
                <w:iCs/>
                <w:sz w:val="20"/>
                <w:szCs w:val="20"/>
                <w:vertAlign w:val="superscript"/>
              </w:rPr>
              <w:t>2</w:t>
            </w:r>
          </w:p>
        </w:tc>
        <w:tc>
          <w:tcPr>
            <w:tcW w:w="992" w:type="dxa"/>
            <w:tcBorders>
              <w:top w:val="nil"/>
              <w:left w:val="nil"/>
              <w:bottom w:val="single" w:sz="4" w:space="0" w:color="auto"/>
              <w:right w:val="nil"/>
            </w:tcBorders>
          </w:tcPr>
          <w:p w14:paraId="7FEE357F"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0.00</w:t>
            </w:r>
          </w:p>
        </w:tc>
        <w:tc>
          <w:tcPr>
            <w:tcW w:w="992" w:type="dxa"/>
            <w:tcBorders>
              <w:top w:val="nil"/>
              <w:left w:val="nil"/>
              <w:bottom w:val="single" w:sz="4" w:space="0" w:color="auto"/>
              <w:right w:val="nil"/>
            </w:tcBorders>
          </w:tcPr>
          <w:p w14:paraId="70874DC2"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0.01</w:t>
            </w:r>
          </w:p>
        </w:tc>
        <w:tc>
          <w:tcPr>
            <w:tcW w:w="1134" w:type="dxa"/>
            <w:tcBorders>
              <w:top w:val="nil"/>
              <w:left w:val="nil"/>
              <w:bottom w:val="single" w:sz="4" w:space="0" w:color="auto"/>
              <w:right w:val="nil"/>
            </w:tcBorders>
          </w:tcPr>
          <w:p w14:paraId="11BEF8CD"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0.04</w:t>
            </w:r>
          </w:p>
        </w:tc>
        <w:tc>
          <w:tcPr>
            <w:tcW w:w="992" w:type="dxa"/>
            <w:tcBorders>
              <w:top w:val="nil"/>
              <w:left w:val="nil"/>
              <w:bottom w:val="single" w:sz="4" w:space="0" w:color="auto"/>
              <w:right w:val="nil"/>
            </w:tcBorders>
          </w:tcPr>
          <w:p w14:paraId="665B848C"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0.04</w:t>
            </w:r>
          </w:p>
        </w:tc>
        <w:tc>
          <w:tcPr>
            <w:tcW w:w="991" w:type="dxa"/>
            <w:tcBorders>
              <w:top w:val="nil"/>
              <w:left w:val="nil"/>
              <w:bottom w:val="single" w:sz="4" w:space="0" w:color="auto"/>
              <w:right w:val="nil"/>
            </w:tcBorders>
          </w:tcPr>
          <w:p w14:paraId="5FF8D1EA"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0.02</w:t>
            </w:r>
          </w:p>
        </w:tc>
        <w:tc>
          <w:tcPr>
            <w:tcW w:w="994" w:type="dxa"/>
            <w:tcBorders>
              <w:top w:val="nil"/>
              <w:left w:val="nil"/>
              <w:bottom w:val="single" w:sz="4" w:space="0" w:color="auto"/>
              <w:right w:val="nil"/>
            </w:tcBorders>
          </w:tcPr>
          <w:p w14:paraId="6799DCCA" w14:textId="77777777" w:rsidR="00DD5F92" w:rsidRPr="004066B5" w:rsidRDefault="00DD5F92" w:rsidP="006524D0">
            <w:pPr>
              <w:widowControl w:val="0"/>
              <w:autoSpaceDE w:val="0"/>
              <w:autoSpaceDN w:val="0"/>
              <w:adjustRightInd w:val="0"/>
              <w:jc w:val="center"/>
              <w:rPr>
                <w:sz w:val="20"/>
                <w:szCs w:val="20"/>
              </w:rPr>
            </w:pPr>
            <w:r>
              <w:rPr>
                <w:rFonts w:hint="eastAsia"/>
                <w:sz w:val="20"/>
                <w:szCs w:val="20"/>
              </w:rPr>
              <w:t>0.07</w:t>
            </w:r>
          </w:p>
        </w:tc>
      </w:tr>
    </w:tbl>
    <w:p w14:paraId="779DE47D" w14:textId="77777777" w:rsidR="002D3311" w:rsidRDefault="002D3311" w:rsidP="002D3311">
      <w:pPr>
        <w:widowControl w:val="0"/>
        <w:autoSpaceDE w:val="0"/>
        <w:autoSpaceDN w:val="0"/>
        <w:adjustRightInd w:val="0"/>
        <w:rPr>
          <w:sz w:val="20"/>
          <w:szCs w:val="20"/>
        </w:rPr>
      </w:pPr>
      <w:r>
        <w:rPr>
          <w:i/>
          <w:iCs/>
          <w:sz w:val="20"/>
          <w:szCs w:val="20"/>
        </w:rPr>
        <w:t>p</w:t>
      </w:r>
      <w:r>
        <w:rPr>
          <w:sz w:val="20"/>
          <w:szCs w:val="20"/>
        </w:rPr>
        <w:t>-values in parentheses</w:t>
      </w:r>
    </w:p>
    <w:bookmarkEnd w:id="45"/>
    <w:p w14:paraId="38C06B93" w14:textId="77777777" w:rsidR="00DD5F92" w:rsidRDefault="00DD5F92" w:rsidP="00DD5F92">
      <w:pPr>
        <w:widowControl w:val="0"/>
        <w:autoSpaceDE w:val="0"/>
        <w:autoSpaceDN w:val="0"/>
        <w:adjustRightInd w:val="0"/>
        <w:rPr>
          <w:sz w:val="20"/>
          <w:szCs w:val="20"/>
        </w:rPr>
      </w:pPr>
      <w:r>
        <w:rPr>
          <w:sz w:val="20"/>
          <w:szCs w:val="20"/>
          <w:vertAlign w:val="superscript"/>
        </w:rPr>
        <w:t>+</w:t>
      </w:r>
      <w:r>
        <w:rPr>
          <w:sz w:val="20"/>
          <w:szCs w:val="20"/>
        </w:rPr>
        <w:t xml:space="preserve"> </w:t>
      </w:r>
      <w:r>
        <w:rPr>
          <w:i/>
          <w:iCs/>
          <w:sz w:val="20"/>
          <w:szCs w:val="20"/>
        </w:rPr>
        <w:t>p</w:t>
      </w:r>
      <w:r>
        <w:rPr>
          <w:sz w:val="20"/>
          <w:szCs w:val="20"/>
        </w:rPr>
        <w:t xml:space="preserve"> &lt; 0.10</w:t>
      </w:r>
    </w:p>
    <w:p w14:paraId="4499FB42" w14:textId="77777777" w:rsidR="00DD5F92" w:rsidRDefault="00DD5F92" w:rsidP="00DD5F92">
      <w:pPr>
        <w:widowControl w:val="0"/>
        <w:autoSpaceDE w:val="0"/>
        <w:autoSpaceDN w:val="0"/>
        <w:adjustRightInd w:val="0"/>
        <w:rPr>
          <w:sz w:val="20"/>
          <w:szCs w:val="20"/>
        </w:rPr>
      </w:pPr>
      <w:r>
        <w:rPr>
          <w:sz w:val="20"/>
          <w:szCs w:val="20"/>
          <w:vertAlign w:val="superscript"/>
        </w:rPr>
        <w:t>*</w:t>
      </w:r>
      <w:r>
        <w:rPr>
          <w:sz w:val="20"/>
          <w:szCs w:val="20"/>
        </w:rPr>
        <w:t xml:space="preserve"> </w:t>
      </w:r>
      <w:r>
        <w:rPr>
          <w:i/>
          <w:iCs/>
          <w:sz w:val="20"/>
          <w:szCs w:val="20"/>
        </w:rPr>
        <w:t>p</w:t>
      </w:r>
      <w:r>
        <w:rPr>
          <w:sz w:val="20"/>
          <w:szCs w:val="20"/>
        </w:rPr>
        <w:t xml:space="preserve"> &lt; 0.05</w:t>
      </w:r>
    </w:p>
    <w:p w14:paraId="7710EDFD" w14:textId="77777777" w:rsidR="00DD5F92" w:rsidRDefault="00DD5F92" w:rsidP="00DD5F92">
      <w:pPr>
        <w:widowControl w:val="0"/>
        <w:autoSpaceDE w:val="0"/>
        <w:autoSpaceDN w:val="0"/>
        <w:adjustRightInd w:val="0"/>
        <w:rPr>
          <w:sz w:val="20"/>
          <w:szCs w:val="20"/>
        </w:rPr>
      </w:pPr>
      <w:r>
        <w:rPr>
          <w:sz w:val="20"/>
          <w:szCs w:val="20"/>
          <w:vertAlign w:val="superscript"/>
        </w:rPr>
        <w:t>**</w:t>
      </w:r>
      <w:r>
        <w:rPr>
          <w:sz w:val="20"/>
          <w:szCs w:val="20"/>
        </w:rPr>
        <w:t xml:space="preserve"> </w:t>
      </w:r>
      <w:r>
        <w:rPr>
          <w:i/>
          <w:iCs/>
          <w:sz w:val="20"/>
          <w:szCs w:val="20"/>
        </w:rPr>
        <w:t>p</w:t>
      </w:r>
      <w:r>
        <w:rPr>
          <w:sz w:val="20"/>
          <w:szCs w:val="20"/>
        </w:rPr>
        <w:t xml:space="preserve"> &lt; 0.01</w:t>
      </w:r>
    </w:p>
    <w:p w14:paraId="028DD10E" w14:textId="1B3BE52A" w:rsidR="007F599B" w:rsidRPr="00196AA5" w:rsidRDefault="00DD5F92" w:rsidP="00196AA5">
      <w:pPr>
        <w:widowControl w:val="0"/>
        <w:autoSpaceDE w:val="0"/>
        <w:autoSpaceDN w:val="0"/>
        <w:adjustRightInd w:val="0"/>
        <w:rPr>
          <w:sz w:val="20"/>
          <w:szCs w:val="20"/>
        </w:rPr>
      </w:pPr>
      <w:r>
        <w:rPr>
          <w:sz w:val="20"/>
          <w:szCs w:val="20"/>
          <w:vertAlign w:val="superscript"/>
        </w:rPr>
        <w:t>***</w:t>
      </w:r>
      <w:r>
        <w:rPr>
          <w:sz w:val="20"/>
          <w:szCs w:val="20"/>
        </w:rPr>
        <w:t xml:space="preserve"> </w:t>
      </w:r>
      <w:r>
        <w:rPr>
          <w:i/>
          <w:iCs/>
          <w:sz w:val="20"/>
          <w:szCs w:val="20"/>
        </w:rPr>
        <w:t>p</w:t>
      </w:r>
      <w:r>
        <w:rPr>
          <w:sz w:val="20"/>
          <w:szCs w:val="20"/>
        </w:rPr>
        <w:t xml:space="preserve"> &lt; 0.001</w:t>
      </w:r>
    </w:p>
    <w:p w14:paraId="20A525D1" w14:textId="4C62BA31" w:rsidR="001A6791" w:rsidRDefault="001A6791" w:rsidP="001A6791">
      <w:pPr>
        <w:widowControl w:val="0"/>
        <w:autoSpaceDE w:val="0"/>
        <w:autoSpaceDN w:val="0"/>
        <w:adjustRightInd w:val="0"/>
        <w:jc w:val="center"/>
        <w:rPr>
          <w:b/>
          <w:bCs/>
        </w:rPr>
      </w:pPr>
      <w:r w:rsidRPr="00FB3488">
        <w:rPr>
          <w:b/>
          <w:bCs/>
        </w:rPr>
        <w:lastRenderedPageBreak/>
        <w:t>APPENDIX</w:t>
      </w:r>
      <w:r>
        <w:rPr>
          <w:rFonts w:hint="eastAsia"/>
          <w:b/>
          <w:bCs/>
        </w:rPr>
        <w:t xml:space="preserve"> A</w:t>
      </w:r>
      <w:r w:rsidRPr="00FB3488">
        <w:rPr>
          <w:b/>
          <w:bCs/>
        </w:rPr>
        <w:t>. ADDITIONAL TABLES</w:t>
      </w:r>
      <w:r>
        <w:rPr>
          <w:rFonts w:hint="eastAsia"/>
          <w:b/>
          <w:bCs/>
        </w:rPr>
        <w:t xml:space="preserve"> AND FIGURES</w:t>
      </w:r>
    </w:p>
    <w:p w14:paraId="41A70746" w14:textId="1BCFB779" w:rsidR="00531108" w:rsidRDefault="002F59E7" w:rsidP="00531108">
      <w:pPr>
        <w:spacing w:before="240" w:after="120"/>
        <w:rPr>
          <w:b/>
          <w:bCs/>
        </w:rPr>
      </w:pPr>
      <w:r>
        <w:rPr>
          <w:b/>
          <w:bCs/>
        </w:rPr>
        <w:t>TABLE A</w:t>
      </w:r>
      <w:r w:rsidR="00823E7F">
        <w:rPr>
          <w:b/>
          <w:bCs/>
        </w:rPr>
        <w:t>1</w:t>
      </w:r>
      <w:r>
        <w:rPr>
          <w:b/>
          <w:bCs/>
        </w:rPr>
        <w:t>. I</w:t>
      </w:r>
      <w:r w:rsidRPr="002F59E7">
        <w:rPr>
          <w:b/>
          <w:bCs/>
        </w:rPr>
        <w:t xml:space="preserve">mpact </w:t>
      </w:r>
      <w:r>
        <w:rPr>
          <w:b/>
          <w:bCs/>
        </w:rPr>
        <w:t>T</w:t>
      </w:r>
      <w:r w:rsidRPr="002F59E7">
        <w:rPr>
          <w:b/>
          <w:bCs/>
        </w:rPr>
        <w:t xml:space="preserve">hreshold of a </w:t>
      </w:r>
      <w:r>
        <w:rPr>
          <w:b/>
          <w:bCs/>
        </w:rPr>
        <w:t>C</w:t>
      </w:r>
      <w:r w:rsidRPr="002F59E7">
        <w:rPr>
          <w:b/>
          <w:bCs/>
        </w:rPr>
        <w:t xml:space="preserve">onfounding </w:t>
      </w:r>
      <w:r>
        <w:rPr>
          <w:b/>
          <w:bCs/>
        </w:rPr>
        <w:t>V</w:t>
      </w:r>
      <w:r w:rsidRPr="002F59E7">
        <w:rPr>
          <w:b/>
          <w:bCs/>
        </w:rPr>
        <w:t>ariable (ITCV)</w:t>
      </w:r>
      <w:r>
        <w:rPr>
          <w:b/>
          <w:bCs/>
        </w:rPr>
        <w:t xml:space="preserve"> Test</w:t>
      </w:r>
    </w:p>
    <w:tbl>
      <w:tblPr>
        <w:tblStyle w:val="TableGrid"/>
        <w:tblW w:w="0" w:type="auto"/>
        <w:tblLook w:val="04A0" w:firstRow="1" w:lastRow="0" w:firstColumn="1" w:lastColumn="0" w:noHBand="0" w:noVBand="1"/>
      </w:tblPr>
      <w:tblGrid>
        <w:gridCol w:w="2263"/>
        <w:gridCol w:w="1843"/>
        <w:gridCol w:w="1843"/>
        <w:gridCol w:w="1701"/>
        <w:gridCol w:w="1700"/>
      </w:tblGrid>
      <w:tr w:rsidR="002F59E7" w14:paraId="42A2A75D" w14:textId="77777777" w:rsidTr="00992309">
        <w:tc>
          <w:tcPr>
            <w:tcW w:w="2263" w:type="dxa"/>
          </w:tcPr>
          <w:p w14:paraId="2754EE5F" w14:textId="123F5CDB" w:rsidR="002F59E7" w:rsidRPr="002F59E7" w:rsidRDefault="002F59E7" w:rsidP="002F59E7">
            <w:pPr>
              <w:rPr>
                <w:b/>
                <w:bCs/>
                <w:sz w:val="20"/>
                <w:szCs w:val="20"/>
              </w:rPr>
            </w:pPr>
            <w:r w:rsidRPr="002F59E7">
              <w:rPr>
                <w:b/>
                <w:bCs/>
                <w:sz w:val="20"/>
                <w:szCs w:val="20"/>
              </w:rPr>
              <w:t>Control variable with the highest correlations</w:t>
            </w:r>
          </w:p>
        </w:tc>
        <w:tc>
          <w:tcPr>
            <w:tcW w:w="1843" w:type="dxa"/>
          </w:tcPr>
          <w:p w14:paraId="00498131" w14:textId="65385193" w:rsidR="002F59E7" w:rsidRPr="002F59E7" w:rsidRDefault="002F59E7" w:rsidP="002F59E7">
            <w:pPr>
              <w:rPr>
                <w:b/>
                <w:bCs/>
                <w:sz w:val="20"/>
                <w:szCs w:val="20"/>
              </w:rPr>
            </w:pPr>
            <w:r w:rsidRPr="002F59E7">
              <w:rPr>
                <w:b/>
                <w:bCs/>
                <w:sz w:val="20"/>
                <w:szCs w:val="20"/>
              </w:rPr>
              <w:t>Partial correlation with DV</w:t>
            </w:r>
          </w:p>
        </w:tc>
        <w:tc>
          <w:tcPr>
            <w:tcW w:w="1843" w:type="dxa"/>
          </w:tcPr>
          <w:p w14:paraId="1EEDDDA4" w14:textId="24CCBCEA" w:rsidR="002F59E7" w:rsidRPr="002F59E7" w:rsidRDefault="002F59E7" w:rsidP="002F59E7">
            <w:pPr>
              <w:rPr>
                <w:b/>
                <w:bCs/>
                <w:sz w:val="20"/>
                <w:szCs w:val="20"/>
              </w:rPr>
            </w:pPr>
            <w:r w:rsidRPr="002F59E7">
              <w:rPr>
                <w:b/>
                <w:bCs/>
                <w:sz w:val="20"/>
                <w:szCs w:val="20"/>
              </w:rPr>
              <w:t xml:space="preserve">Partial correlation with IV </w:t>
            </w:r>
          </w:p>
        </w:tc>
        <w:tc>
          <w:tcPr>
            <w:tcW w:w="1701" w:type="dxa"/>
          </w:tcPr>
          <w:p w14:paraId="329BAD60" w14:textId="77777777" w:rsidR="002F59E7" w:rsidRDefault="002F59E7" w:rsidP="002F59E7">
            <w:pPr>
              <w:rPr>
                <w:b/>
                <w:bCs/>
                <w:sz w:val="20"/>
                <w:szCs w:val="20"/>
              </w:rPr>
            </w:pPr>
            <w:r w:rsidRPr="002F59E7">
              <w:rPr>
                <w:b/>
                <w:bCs/>
                <w:sz w:val="20"/>
                <w:szCs w:val="20"/>
              </w:rPr>
              <w:t>Test statistics</w:t>
            </w:r>
          </w:p>
          <w:p w14:paraId="265C8FD5" w14:textId="1956F8A5" w:rsidR="00992309" w:rsidRPr="002F59E7" w:rsidRDefault="00992309" w:rsidP="002F59E7">
            <w:pPr>
              <w:rPr>
                <w:b/>
                <w:bCs/>
                <w:sz w:val="20"/>
                <w:szCs w:val="20"/>
              </w:rPr>
            </w:pPr>
            <w:r>
              <w:rPr>
                <w:b/>
                <w:bCs/>
                <w:sz w:val="20"/>
                <w:szCs w:val="20"/>
              </w:rPr>
              <w:t>(absolute value)</w:t>
            </w:r>
          </w:p>
        </w:tc>
        <w:tc>
          <w:tcPr>
            <w:tcW w:w="1700" w:type="dxa"/>
          </w:tcPr>
          <w:p w14:paraId="2F9ADF71" w14:textId="77777777" w:rsidR="00D225EA" w:rsidRDefault="002F59E7" w:rsidP="002F59E7">
            <w:pPr>
              <w:rPr>
                <w:b/>
                <w:bCs/>
                <w:sz w:val="20"/>
                <w:szCs w:val="20"/>
              </w:rPr>
            </w:pPr>
            <w:r w:rsidRPr="002F59E7">
              <w:rPr>
                <w:b/>
                <w:bCs/>
                <w:sz w:val="20"/>
                <w:szCs w:val="20"/>
              </w:rPr>
              <w:t xml:space="preserve">ITCV </w:t>
            </w:r>
          </w:p>
          <w:p w14:paraId="4806A988" w14:textId="7B187778" w:rsidR="002F59E7" w:rsidRPr="002F59E7" w:rsidRDefault="00D225EA" w:rsidP="002F59E7">
            <w:pPr>
              <w:rPr>
                <w:b/>
                <w:bCs/>
                <w:sz w:val="20"/>
                <w:szCs w:val="20"/>
              </w:rPr>
            </w:pPr>
            <w:r>
              <w:rPr>
                <w:b/>
                <w:bCs/>
                <w:sz w:val="20"/>
                <w:szCs w:val="20"/>
              </w:rPr>
              <w:t>(absolute value)</w:t>
            </w:r>
          </w:p>
        </w:tc>
      </w:tr>
      <w:tr w:rsidR="002F59E7" w14:paraId="5F9F76E8" w14:textId="77777777" w:rsidTr="00992309">
        <w:tc>
          <w:tcPr>
            <w:tcW w:w="2263" w:type="dxa"/>
          </w:tcPr>
          <w:p w14:paraId="67C1C4F6" w14:textId="090C1893" w:rsidR="002F59E7" w:rsidRDefault="00992309" w:rsidP="002F59E7">
            <w:pPr>
              <w:rPr>
                <w:sz w:val="20"/>
                <w:szCs w:val="20"/>
              </w:rPr>
            </w:pPr>
            <w:r>
              <w:rPr>
                <w:rFonts w:hint="eastAsia"/>
                <w:sz w:val="20"/>
                <w:szCs w:val="20"/>
              </w:rPr>
              <w:t>High reputation</w:t>
            </w:r>
          </w:p>
          <w:p w14:paraId="74FB7645" w14:textId="39104571" w:rsidR="00D225EA" w:rsidRPr="00D225EA" w:rsidRDefault="00D225EA" w:rsidP="002F59E7">
            <w:pPr>
              <w:rPr>
                <w:sz w:val="20"/>
                <w:szCs w:val="20"/>
              </w:rPr>
            </w:pPr>
            <w:r>
              <w:rPr>
                <w:sz w:val="20"/>
                <w:szCs w:val="20"/>
              </w:rPr>
              <w:t>(H1: Model 3 in Table 2)</w:t>
            </w:r>
          </w:p>
        </w:tc>
        <w:tc>
          <w:tcPr>
            <w:tcW w:w="1843" w:type="dxa"/>
          </w:tcPr>
          <w:p w14:paraId="6DF52CF3" w14:textId="11B8BFF2" w:rsidR="002F59E7" w:rsidRPr="00D225EA" w:rsidRDefault="00992309" w:rsidP="002F59E7">
            <w:pPr>
              <w:rPr>
                <w:sz w:val="20"/>
                <w:szCs w:val="20"/>
              </w:rPr>
            </w:pPr>
            <w:r>
              <w:rPr>
                <w:rFonts w:hint="eastAsia"/>
                <w:sz w:val="20"/>
                <w:szCs w:val="20"/>
              </w:rPr>
              <w:t>-0.011</w:t>
            </w:r>
          </w:p>
        </w:tc>
        <w:tc>
          <w:tcPr>
            <w:tcW w:w="1843" w:type="dxa"/>
          </w:tcPr>
          <w:p w14:paraId="71CA5817" w14:textId="78DB86E7" w:rsidR="002F59E7" w:rsidRPr="00D225EA" w:rsidRDefault="00992309" w:rsidP="002F59E7">
            <w:pPr>
              <w:rPr>
                <w:sz w:val="20"/>
                <w:szCs w:val="20"/>
              </w:rPr>
            </w:pPr>
            <w:r>
              <w:rPr>
                <w:rFonts w:hint="eastAsia"/>
                <w:sz w:val="20"/>
                <w:szCs w:val="20"/>
              </w:rPr>
              <w:t>-0.024</w:t>
            </w:r>
          </w:p>
        </w:tc>
        <w:tc>
          <w:tcPr>
            <w:tcW w:w="1701" w:type="dxa"/>
          </w:tcPr>
          <w:p w14:paraId="7AA26742" w14:textId="2DD626D8" w:rsidR="002F59E7" w:rsidRPr="00D225EA" w:rsidRDefault="00D225EA" w:rsidP="002F59E7">
            <w:pPr>
              <w:rPr>
                <w:sz w:val="20"/>
                <w:szCs w:val="20"/>
              </w:rPr>
            </w:pPr>
            <w:r>
              <w:rPr>
                <w:sz w:val="20"/>
                <w:szCs w:val="20"/>
              </w:rPr>
              <w:t>0.0</w:t>
            </w:r>
            <w:r w:rsidR="00992309">
              <w:rPr>
                <w:rFonts w:hint="eastAsia"/>
                <w:sz w:val="20"/>
                <w:szCs w:val="20"/>
              </w:rPr>
              <w:t>16</w:t>
            </w:r>
          </w:p>
        </w:tc>
        <w:tc>
          <w:tcPr>
            <w:tcW w:w="1700" w:type="dxa"/>
          </w:tcPr>
          <w:p w14:paraId="43604763" w14:textId="46D6E083" w:rsidR="002F59E7" w:rsidRPr="00D225EA" w:rsidRDefault="00D225EA" w:rsidP="002F59E7">
            <w:pPr>
              <w:rPr>
                <w:sz w:val="20"/>
                <w:szCs w:val="20"/>
              </w:rPr>
            </w:pPr>
            <w:r>
              <w:rPr>
                <w:sz w:val="20"/>
                <w:szCs w:val="20"/>
              </w:rPr>
              <w:t>0.38</w:t>
            </w:r>
            <w:r w:rsidR="00992309">
              <w:rPr>
                <w:rFonts w:hint="eastAsia"/>
                <w:sz w:val="20"/>
                <w:szCs w:val="20"/>
              </w:rPr>
              <w:t>0</w:t>
            </w:r>
          </w:p>
        </w:tc>
      </w:tr>
      <w:tr w:rsidR="00992309" w14:paraId="0AFC69D6" w14:textId="77777777" w:rsidTr="00992309">
        <w:tc>
          <w:tcPr>
            <w:tcW w:w="2263" w:type="dxa"/>
          </w:tcPr>
          <w:p w14:paraId="76AAD604" w14:textId="77777777" w:rsidR="00992309" w:rsidRDefault="00992309" w:rsidP="00992309">
            <w:pPr>
              <w:rPr>
                <w:sz w:val="20"/>
                <w:szCs w:val="20"/>
              </w:rPr>
            </w:pPr>
            <w:r w:rsidRPr="00D225EA">
              <w:rPr>
                <w:sz w:val="20"/>
                <w:szCs w:val="20"/>
              </w:rPr>
              <w:t>Managerial Guidance</w:t>
            </w:r>
          </w:p>
          <w:p w14:paraId="03A1893D" w14:textId="77773ADB" w:rsidR="00992309" w:rsidRPr="00D225EA" w:rsidRDefault="00992309" w:rsidP="00992309">
            <w:pPr>
              <w:rPr>
                <w:sz w:val="20"/>
                <w:szCs w:val="20"/>
              </w:rPr>
            </w:pPr>
            <w:r>
              <w:rPr>
                <w:sz w:val="20"/>
                <w:szCs w:val="20"/>
              </w:rPr>
              <w:t>(H2: Model 4 in Table 2)</w:t>
            </w:r>
          </w:p>
        </w:tc>
        <w:tc>
          <w:tcPr>
            <w:tcW w:w="1843" w:type="dxa"/>
          </w:tcPr>
          <w:p w14:paraId="671A8C4D" w14:textId="1B3EB67B" w:rsidR="00992309" w:rsidRPr="00D225EA" w:rsidRDefault="00B87C2F" w:rsidP="00992309">
            <w:pPr>
              <w:rPr>
                <w:sz w:val="20"/>
                <w:szCs w:val="20"/>
              </w:rPr>
            </w:pPr>
            <w:r>
              <w:rPr>
                <w:rFonts w:hint="eastAsia"/>
                <w:sz w:val="20"/>
                <w:szCs w:val="20"/>
              </w:rPr>
              <w:t>0.024</w:t>
            </w:r>
          </w:p>
        </w:tc>
        <w:tc>
          <w:tcPr>
            <w:tcW w:w="1843" w:type="dxa"/>
          </w:tcPr>
          <w:p w14:paraId="00854715" w14:textId="2064ECAC" w:rsidR="00992309" w:rsidRPr="00D225EA" w:rsidRDefault="00B87C2F" w:rsidP="00992309">
            <w:pPr>
              <w:rPr>
                <w:sz w:val="20"/>
                <w:szCs w:val="20"/>
              </w:rPr>
            </w:pPr>
            <w:r>
              <w:rPr>
                <w:rFonts w:hint="eastAsia"/>
                <w:sz w:val="20"/>
                <w:szCs w:val="20"/>
              </w:rPr>
              <w:t>-0.018</w:t>
            </w:r>
          </w:p>
        </w:tc>
        <w:tc>
          <w:tcPr>
            <w:tcW w:w="1701" w:type="dxa"/>
          </w:tcPr>
          <w:p w14:paraId="1404B3B1" w14:textId="3A3C4861" w:rsidR="00992309" w:rsidRPr="00D225EA" w:rsidRDefault="00992309" w:rsidP="00992309">
            <w:pPr>
              <w:rPr>
                <w:sz w:val="20"/>
                <w:szCs w:val="20"/>
              </w:rPr>
            </w:pPr>
            <w:r>
              <w:rPr>
                <w:sz w:val="20"/>
                <w:szCs w:val="20"/>
              </w:rPr>
              <w:t>0.0</w:t>
            </w:r>
            <w:r>
              <w:rPr>
                <w:rFonts w:hint="eastAsia"/>
                <w:sz w:val="20"/>
                <w:szCs w:val="20"/>
              </w:rPr>
              <w:t>21</w:t>
            </w:r>
          </w:p>
        </w:tc>
        <w:tc>
          <w:tcPr>
            <w:tcW w:w="1700" w:type="dxa"/>
          </w:tcPr>
          <w:p w14:paraId="136E5696" w14:textId="74966DF0" w:rsidR="00992309" w:rsidRPr="00D225EA" w:rsidRDefault="00992309" w:rsidP="00992309">
            <w:pPr>
              <w:rPr>
                <w:sz w:val="20"/>
                <w:szCs w:val="20"/>
              </w:rPr>
            </w:pPr>
            <w:r>
              <w:rPr>
                <w:sz w:val="20"/>
                <w:szCs w:val="20"/>
              </w:rPr>
              <w:t>0.38</w:t>
            </w:r>
            <w:r>
              <w:rPr>
                <w:rFonts w:hint="eastAsia"/>
                <w:sz w:val="20"/>
                <w:szCs w:val="20"/>
              </w:rPr>
              <w:t>0</w:t>
            </w:r>
          </w:p>
        </w:tc>
      </w:tr>
      <w:tr w:rsidR="002F59E7" w14:paraId="115EE403" w14:textId="77777777" w:rsidTr="00992309">
        <w:tc>
          <w:tcPr>
            <w:tcW w:w="2263" w:type="dxa"/>
          </w:tcPr>
          <w:p w14:paraId="4F5746AA" w14:textId="77777777" w:rsidR="00D225EA" w:rsidRDefault="00D225EA" w:rsidP="00D225EA">
            <w:pPr>
              <w:rPr>
                <w:sz w:val="20"/>
                <w:szCs w:val="20"/>
              </w:rPr>
            </w:pPr>
            <w:r w:rsidRPr="00D225EA">
              <w:rPr>
                <w:sz w:val="20"/>
                <w:szCs w:val="20"/>
              </w:rPr>
              <w:t>Managerial Guidance</w:t>
            </w:r>
          </w:p>
          <w:p w14:paraId="1074EE74" w14:textId="0E81B764" w:rsidR="002F59E7" w:rsidRPr="00D225EA" w:rsidRDefault="00D225EA" w:rsidP="00D225EA">
            <w:pPr>
              <w:rPr>
                <w:sz w:val="20"/>
                <w:szCs w:val="20"/>
              </w:rPr>
            </w:pPr>
            <w:r>
              <w:rPr>
                <w:sz w:val="20"/>
                <w:szCs w:val="20"/>
              </w:rPr>
              <w:t>(H3: Model 5 in Table 2)</w:t>
            </w:r>
          </w:p>
        </w:tc>
        <w:tc>
          <w:tcPr>
            <w:tcW w:w="1843" w:type="dxa"/>
          </w:tcPr>
          <w:p w14:paraId="70ECA0B5" w14:textId="7EF20184" w:rsidR="002F59E7" w:rsidRPr="00D225EA" w:rsidRDefault="00D225EA" w:rsidP="002F59E7">
            <w:pPr>
              <w:rPr>
                <w:sz w:val="20"/>
                <w:szCs w:val="20"/>
              </w:rPr>
            </w:pPr>
            <w:r>
              <w:rPr>
                <w:sz w:val="20"/>
                <w:szCs w:val="20"/>
              </w:rPr>
              <w:t>0.0</w:t>
            </w:r>
            <w:r w:rsidR="00B87C2F">
              <w:rPr>
                <w:rFonts w:hint="eastAsia"/>
                <w:sz w:val="20"/>
                <w:szCs w:val="20"/>
              </w:rPr>
              <w:t>24</w:t>
            </w:r>
          </w:p>
        </w:tc>
        <w:tc>
          <w:tcPr>
            <w:tcW w:w="1843" w:type="dxa"/>
          </w:tcPr>
          <w:p w14:paraId="40DE29AA" w14:textId="6EF49BA3" w:rsidR="002F59E7" w:rsidRPr="00D225EA" w:rsidRDefault="00D225EA" w:rsidP="002F59E7">
            <w:pPr>
              <w:rPr>
                <w:sz w:val="20"/>
                <w:szCs w:val="20"/>
              </w:rPr>
            </w:pPr>
            <w:r>
              <w:rPr>
                <w:sz w:val="20"/>
                <w:szCs w:val="20"/>
              </w:rPr>
              <w:t>0.0</w:t>
            </w:r>
            <w:r w:rsidR="00B87C2F">
              <w:rPr>
                <w:rFonts w:hint="eastAsia"/>
                <w:sz w:val="20"/>
                <w:szCs w:val="20"/>
              </w:rPr>
              <w:t>41</w:t>
            </w:r>
          </w:p>
        </w:tc>
        <w:tc>
          <w:tcPr>
            <w:tcW w:w="1701" w:type="dxa"/>
          </w:tcPr>
          <w:p w14:paraId="25F14231" w14:textId="13F00166" w:rsidR="002F59E7" w:rsidRPr="00D225EA" w:rsidRDefault="00D225EA" w:rsidP="002F59E7">
            <w:pPr>
              <w:rPr>
                <w:sz w:val="20"/>
                <w:szCs w:val="20"/>
              </w:rPr>
            </w:pPr>
            <w:r>
              <w:rPr>
                <w:sz w:val="20"/>
                <w:szCs w:val="20"/>
              </w:rPr>
              <w:t>0.03</w:t>
            </w:r>
            <w:r w:rsidR="00EB0A61">
              <w:rPr>
                <w:sz w:val="20"/>
                <w:szCs w:val="20"/>
              </w:rPr>
              <w:t>1</w:t>
            </w:r>
          </w:p>
        </w:tc>
        <w:tc>
          <w:tcPr>
            <w:tcW w:w="1700" w:type="dxa"/>
          </w:tcPr>
          <w:p w14:paraId="338506B4" w14:textId="0841DF67" w:rsidR="002F59E7" w:rsidRPr="00D225EA" w:rsidRDefault="00D225EA" w:rsidP="002F59E7">
            <w:pPr>
              <w:rPr>
                <w:sz w:val="20"/>
                <w:szCs w:val="20"/>
              </w:rPr>
            </w:pPr>
            <w:r>
              <w:rPr>
                <w:sz w:val="20"/>
                <w:szCs w:val="20"/>
              </w:rPr>
              <w:t>0.</w:t>
            </w:r>
            <w:r w:rsidR="00992309">
              <w:rPr>
                <w:rFonts w:hint="eastAsia"/>
                <w:sz w:val="20"/>
                <w:szCs w:val="20"/>
              </w:rPr>
              <w:t>243</w:t>
            </w:r>
          </w:p>
        </w:tc>
      </w:tr>
    </w:tbl>
    <w:p w14:paraId="33212464" w14:textId="7F008B51" w:rsidR="00823E7F" w:rsidRDefault="00823E7F" w:rsidP="00823E7F">
      <w:pPr>
        <w:widowControl w:val="0"/>
        <w:autoSpaceDE w:val="0"/>
        <w:autoSpaceDN w:val="0"/>
        <w:adjustRightInd w:val="0"/>
        <w:spacing w:before="240"/>
      </w:pPr>
      <w:r>
        <w:rPr>
          <w:b/>
          <w:bCs/>
        </w:rPr>
        <w:t xml:space="preserve">TABLE A2. </w:t>
      </w:r>
      <w:r w:rsidRPr="00664478">
        <w:t xml:space="preserve">Confounding </w:t>
      </w:r>
      <w:r>
        <w:t>E</w:t>
      </w:r>
      <w:r w:rsidRPr="00664478">
        <w:t xml:space="preserve">vents </w:t>
      </w:r>
      <w:r>
        <w:t>L</w:t>
      </w:r>
      <w:r w:rsidRPr="00664478">
        <w:t>ist</w:t>
      </w:r>
    </w:p>
    <w:tbl>
      <w:tblPr>
        <w:tblStyle w:val="TableGrid"/>
        <w:tblW w:w="0" w:type="auto"/>
        <w:tblLook w:val="04A0" w:firstRow="1" w:lastRow="0" w:firstColumn="1" w:lastColumn="0" w:noHBand="0" w:noVBand="1"/>
      </w:tblPr>
      <w:tblGrid>
        <w:gridCol w:w="4505"/>
        <w:gridCol w:w="4505"/>
      </w:tblGrid>
      <w:tr w:rsidR="00823E7F" w:rsidRPr="005C5193" w14:paraId="722F85DF" w14:textId="77777777" w:rsidTr="006524D0">
        <w:tc>
          <w:tcPr>
            <w:tcW w:w="4505" w:type="dxa"/>
          </w:tcPr>
          <w:p w14:paraId="197DEF7D" w14:textId="77777777" w:rsidR="00823E7F" w:rsidRPr="005C5193" w:rsidRDefault="00823E7F" w:rsidP="006524D0">
            <w:pPr>
              <w:widowControl w:val="0"/>
              <w:autoSpaceDE w:val="0"/>
              <w:autoSpaceDN w:val="0"/>
              <w:adjustRightInd w:val="0"/>
              <w:rPr>
                <w:b/>
                <w:bCs/>
                <w:sz w:val="20"/>
                <w:szCs w:val="20"/>
              </w:rPr>
            </w:pPr>
            <w:r w:rsidRPr="005C5193">
              <w:rPr>
                <w:b/>
                <w:bCs/>
                <w:sz w:val="20"/>
                <w:szCs w:val="20"/>
              </w:rPr>
              <w:t>Events</w:t>
            </w:r>
          </w:p>
        </w:tc>
        <w:tc>
          <w:tcPr>
            <w:tcW w:w="4505" w:type="dxa"/>
          </w:tcPr>
          <w:p w14:paraId="0F595C1D" w14:textId="77777777" w:rsidR="00823E7F" w:rsidRPr="005C5193" w:rsidRDefault="00823E7F" w:rsidP="006524D0">
            <w:pPr>
              <w:widowControl w:val="0"/>
              <w:autoSpaceDE w:val="0"/>
              <w:autoSpaceDN w:val="0"/>
              <w:adjustRightInd w:val="0"/>
              <w:rPr>
                <w:b/>
                <w:bCs/>
                <w:sz w:val="20"/>
                <w:szCs w:val="20"/>
              </w:rPr>
            </w:pPr>
            <w:r w:rsidRPr="005C5193">
              <w:rPr>
                <w:b/>
                <w:bCs/>
                <w:sz w:val="20"/>
                <w:szCs w:val="20"/>
              </w:rPr>
              <w:t>Keywords</w:t>
            </w:r>
          </w:p>
        </w:tc>
      </w:tr>
      <w:tr w:rsidR="00823E7F" w:rsidRPr="005C5193" w14:paraId="177EC10B" w14:textId="77777777" w:rsidTr="006524D0">
        <w:tc>
          <w:tcPr>
            <w:tcW w:w="4505" w:type="dxa"/>
          </w:tcPr>
          <w:p w14:paraId="242FA4D7" w14:textId="77777777" w:rsidR="00823E7F" w:rsidRPr="005C5193" w:rsidRDefault="00823E7F" w:rsidP="006524D0">
            <w:pPr>
              <w:widowControl w:val="0"/>
              <w:autoSpaceDE w:val="0"/>
              <w:autoSpaceDN w:val="0"/>
              <w:adjustRightInd w:val="0"/>
              <w:rPr>
                <w:sz w:val="20"/>
                <w:szCs w:val="20"/>
              </w:rPr>
            </w:pPr>
            <w:r w:rsidRPr="005C5193">
              <w:rPr>
                <w:color w:val="242424"/>
                <w:sz w:val="20"/>
                <w:szCs w:val="20"/>
                <w:bdr w:val="none" w:sz="0" w:space="0" w:color="auto" w:frame="1"/>
              </w:rPr>
              <w:t>Establishing a joint venture</w:t>
            </w:r>
          </w:p>
        </w:tc>
        <w:tc>
          <w:tcPr>
            <w:tcW w:w="4505" w:type="dxa"/>
          </w:tcPr>
          <w:p w14:paraId="52D38413" w14:textId="77777777" w:rsidR="00823E7F" w:rsidRPr="005C5193" w:rsidRDefault="00823E7F" w:rsidP="006524D0">
            <w:pPr>
              <w:widowControl w:val="0"/>
              <w:autoSpaceDE w:val="0"/>
              <w:autoSpaceDN w:val="0"/>
              <w:adjustRightInd w:val="0"/>
              <w:rPr>
                <w:sz w:val="20"/>
                <w:szCs w:val="20"/>
              </w:rPr>
            </w:pPr>
            <w:r w:rsidRPr="005C5193">
              <w:rPr>
                <w:sz w:val="20"/>
                <w:szCs w:val="20"/>
              </w:rPr>
              <w:t>“Joint venture”</w:t>
            </w:r>
          </w:p>
        </w:tc>
      </w:tr>
      <w:tr w:rsidR="00823E7F" w:rsidRPr="005C5193" w14:paraId="1A26E47C" w14:textId="77777777" w:rsidTr="006524D0">
        <w:tc>
          <w:tcPr>
            <w:tcW w:w="4505" w:type="dxa"/>
          </w:tcPr>
          <w:p w14:paraId="74C08B4D" w14:textId="77777777" w:rsidR="00823E7F" w:rsidRPr="005C5193" w:rsidRDefault="00823E7F" w:rsidP="006524D0">
            <w:pPr>
              <w:widowControl w:val="0"/>
              <w:autoSpaceDE w:val="0"/>
              <w:autoSpaceDN w:val="0"/>
              <w:adjustRightInd w:val="0"/>
              <w:rPr>
                <w:sz w:val="20"/>
                <w:szCs w:val="20"/>
              </w:rPr>
            </w:pPr>
            <w:r w:rsidRPr="005C5193">
              <w:rPr>
                <w:color w:val="242424"/>
                <w:sz w:val="20"/>
                <w:szCs w:val="20"/>
                <w:bdr w:val="none" w:sz="0" w:space="0" w:color="auto" w:frame="1"/>
              </w:rPr>
              <w:t>Forming alliances in sales, technology, and production</w:t>
            </w:r>
          </w:p>
        </w:tc>
        <w:tc>
          <w:tcPr>
            <w:tcW w:w="4505" w:type="dxa"/>
          </w:tcPr>
          <w:p w14:paraId="19ACEDAE" w14:textId="77777777" w:rsidR="00823E7F" w:rsidRPr="005C5193" w:rsidRDefault="00823E7F" w:rsidP="006524D0">
            <w:pPr>
              <w:widowControl w:val="0"/>
              <w:autoSpaceDE w:val="0"/>
              <w:autoSpaceDN w:val="0"/>
              <w:adjustRightInd w:val="0"/>
              <w:rPr>
                <w:sz w:val="20"/>
                <w:szCs w:val="20"/>
              </w:rPr>
            </w:pPr>
            <w:r w:rsidRPr="005C5193">
              <w:rPr>
                <w:sz w:val="20"/>
                <w:szCs w:val="20"/>
              </w:rPr>
              <w:t>“Alliances”</w:t>
            </w:r>
          </w:p>
        </w:tc>
      </w:tr>
      <w:tr w:rsidR="00823E7F" w:rsidRPr="005C5193" w14:paraId="28D52704" w14:textId="77777777" w:rsidTr="006524D0">
        <w:tc>
          <w:tcPr>
            <w:tcW w:w="4505" w:type="dxa"/>
          </w:tcPr>
          <w:p w14:paraId="61182C55" w14:textId="77777777" w:rsidR="00823E7F" w:rsidRPr="005C5193" w:rsidRDefault="00823E7F" w:rsidP="006524D0">
            <w:pPr>
              <w:widowControl w:val="0"/>
              <w:autoSpaceDE w:val="0"/>
              <w:autoSpaceDN w:val="0"/>
              <w:adjustRightInd w:val="0"/>
              <w:rPr>
                <w:sz w:val="20"/>
                <w:szCs w:val="20"/>
              </w:rPr>
            </w:pPr>
            <w:r w:rsidRPr="005C5193">
              <w:rPr>
                <w:color w:val="242424"/>
                <w:sz w:val="20"/>
                <w:szCs w:val="20"/>
                <w:bdr w:val="none" w:sz="0" w:space="0" w:color="auto" w:frame="1"/>
              </w:rPr>
              <w:t>Establishing a new company</w:t>
            </w:r>
          </w:p>
        </w:tc>
        <w:tc>
          <w:tcPr>
            <w:tcW w:w="4505" w:type="dxa"/>
          </w:tcPr>
          <w:p w14:paraId="77699710" w14:textId="77777777" w:rsidR="00823E7F" w:rsidRPr="005C5193" w:rsidRDefault="00823E7F" w:rsidP="006524D0">
            <w:pPr>
              <w:widowControl w:val="0"/>
              <w:autoSpaceDE w:val="0"/>
              <w:autoSpaceDN w:val="0"/>
              <w:adjustRightInd w:val="0"/>
              <w:rPr>
                <w:sz w:val="20"/>
                <w:szCs w:val="20"/>
              </w:rPr>
            </w:pPr>
            <w:r w:rsidRPr="005C5193">
              <w:rPr>
                <w:sz w:val="20"/>
                <w:szCs w:val="20"/>
              </w:rPr>
              <w:t>“New company”</w:t>
            </w:r>
          </w:p>
        </w:tc>
      </w:tr>
      <w:tr w:rsidR="00823E7F" w:rsidRPr="005C5193" w14:paraId="0AFDEA52" w14:textId="77777777" w:rsidTr="006524D0">
        <w:tc>
          <w:tcPr>
            <w:tcW w:w="4505" w:type="dxa"/>
          </w:tcPr>
          <w:p w14:paraId="14469501" w14:textId="77777777" w:rsidR="00823E7F" w:rsidRPr="005C5193" w:rsidRDefault="00823E7F" w:rsidP="006524D0">
            <w:pPr>
              <w:widowControl w:val="0"/>
              <w:autoSpaceDE w:val="0"/>
              <w:autoSpaceDN w:val="0"/>
              <w:adjustRightInd w:val="0"/>
              <w:rPr>
                <w:sz w:val="20"/>
                <w:szCs w:val="20"/>
              </w:rPr>
            </w:pPr>
            <w:r w:rsidRPr="005C5193">
              <w:rPr>
                <w:color w:val="242424"/>
                <w:sz w:val="20"/>
                <w:szCs w:val="20"/>
                <w:bdr w:val="none" w:sz="0" w:space="0" w:color="auto" w:frame="1"/>
              </w:rPr>
              <w:t>Entering a new business</w:t>
            </w:r>
          </w:p>
        </w:tc>
        <w:tc>
          <w:tcPr>
            <w:tcW w:w="4505" w:type="dxa"/>
          </w:tcPr>
          <w:p w14:paraId="72CF04F4" w14:textId="77777777" w:rsidR="00823E7F" w:rsidRPr="005C5193" w:rsidRDefault="00823E7F" w:rsidP="006524D0">
            <w:pPr>
              <w:widowControl w:val="0"/>
              <w:autoSpaceDE w:val="0"/>
              <w:autoSpaceDN w:val="0"/>
              <w:adjustRightInd w:val="0"/>
              <w:rPr>
                <w:sz w:val="20"/>
                <w:szCs w:val="20"/>
              </w:rPr>
            </w:pPr>
            <w:r w:rsidRPr="005C5193">
              <w:rPr>
                <w:sz w:val="20"/>
                <w:szCs w:val="20"/>
              </w:rPr>
              <w:t>“New business”</w:t>
            </w:r>
          </w:p>
        </w:tc>
      </w:tr>
      <w:tr w:rsidR="00823E7F" w:rsidRPr="005C5193" w14:paraId="7DB395ED" w14:textId="77777777" w:rsidTr="006524D0">
        <w:tc>
          <w:tcPr>
            <w:tcW w:w="4505" w:type="dxa"/>
          </w:tcPr>
          <w:p w14:paraId="4A1311FF" w14:textId="77777777" w:rsidR="00823E7F" w:rsidRPr="005C5193" w:rsidRDefault="00823E7F" w:rsidP="006524D0">
            <w:pPr>
              <w:widowControl w:val="0"/>
              <w:autoSpaceDE w:val="0"/>
              <w:autoSpaceDN w:val="0"/>
              <w:adjustRightInd w:val="0"/>
              <w:rPr>
                <w:sz w:val="20"/>
                <w:szCs w:val="20"/>
              </w:rPr>
            </w:pPr>
            <w:r w:rsidRPr="005C5193">
              <w:rPr>
                <w:color w:val="242424"/>
                <w:sz w:val="20"/>
                <w:szCs w:val="20"/>
                <w:bdr w:val="none" w:sz="0" w:space="0" w:color="auto" w:frame="1"/>
              </w:rPr>
              <w:t>Strengthening an existing business</w:t>
            </w:r>
          </w:p>
        </w:tc>
        <w:tc>
          <w:tcPr>
            <w:tcW w:w="4505" w:type="dxa"/>
          </w:tcPr>
          <w:p w14:paraId="58A6450B" w14:textId="77777777" w:rsidR="00823E7F" w:rsidRPr="005C5193" w:rsidRDefault="00823E7F" w:rsidP="006524D0">
            <w:pPr>
              <w:widowControl w:val="0"/>
              <w:autoSpaceDE w:val="0"/>
              <w:autoSpaceDN w:val="0"/>
              <w:adjustRightInd w:val="0"/>
              <w:rPr>
                <w:sz w:val="20"/>
                <w:szCs w:val="20"/>
              </w:rPr>
            </w:pPr>
            <w:r w:rsidRPr="005C5193">
              <w:rPr>
                <w:sz w:val="20"/>
                <w:szCs w:val="20"/>
              </w:rPr>
              <w:t>“Strengthen business”</w:t>
            </w:r>
          </w:p>
        </w:tc>
      </w:tr>
      <w:tr w:rsidR="00823E7F" w:rsidRPr="005C5193" w14:paraId="5C834D62" w14:textId="77777777" w:rsidTr="006524D0">
        <w:tc>
          <w:tcPr>
            <w:tcW w:w="4505" w:type="dxa"/>
          </w:tcPr>
          <w:p w14:paraId="6D8BAA9E" w14:textId="77777777" w:rsidR="00823E7F" w:rsidRPr="005C5193" w:rsidRDefault="00823E7F" w:rsidP="006524D0">
            <w:pPr>
              <w:widowControl w:val="0"/>
              <w:autoSpaceDE w:val="0"/>
              <w:autoSpaceDN w:val="0"/>
              <w:adjustRightInd w:val="0"/>
              <w:rPr>
                <w:sz w:val="20"/>
                <w:szCs w:val="20"/>
              </w:rPr>
            </w:pPr>
            <w:r w:rsidRPr="005C5193">
              <w:rPr>
                <w:color w:val="242424"/>
                <w:sz w:val="20"/>
                <w:szCs w:val="20"/>
                <w:bdr w:val="none" w:sz="0" w:space="0" w:color="auto" w:frame="1"/>
              </w:rPr>
              <w:t>Undertaking liquidation, settlement, reorganization, etc.</w:t>
            </w:r>
          </w:p>
        </w:tc>
        <w:tc>
          <w:tcPr>
            <w:tcW w:w="4505" w:type="dxa"/>
          </w:tcPr>
          <w:p w14:paraId="221D639D" w14:textId="77777777" w:rsidR="00823E7F" w:rsidRPr="005C5193" w:rsidRDefault="00823E7F" w:rsidP="006524D0">
            <w:pPr>
              <w:widowControl w:val="0"/>
              <w:autoSpaceDE w:val="0"/>
              <w:autoSpaceDN w:val="0"/>
              <w:adjustRightInd w:val="0"/>
              <w:rPr>
                <w:sz w:val="20"/>
                <w:szCs w:val="20"/>
              </w:rPr>
            </w:pPr>
            <w:r w:rsidRPr="005C5193">
              <w:rPr>
                <w:sz w:val="20"/>
                <w:szCs w:val="20"/>
              </w:rPr>
              <w:t>“Liquidation” or “settlement” or “reorganization”</w:t>
            </w:r>
          </w:p>
        </w:tc>
      </w:tr>
      <w:tr w:rsidR="00823E7F" w:rsidRPr="005C5193" w14:paraId="61491696" w14:textId="77777777" w:rsidTr="006524D0">
        <w:tc>
          <w:tcPr>
            <w:tcW w:w="4505" w:type="dxa"/>
          </w:tcPr>
          <w:p w14:paraId="343C9027" w14:textId="77777777" w:rsidR="00823E7F" w:rsidRPr="005C5193" w:rsidRDefault="00823E7F" w:rsidP="006524D0">
            <w:pPr>
              <w:widowControl w:val="0"/>
              <w:autoSpaceDE w:val="0"/>
              <w:autoSpaceDN w:val="0"/>
              <w:adjustRightInd w:val="0"/>
              <w:rPr>
                <w:sz w:val="20"/>
                <w:szCs w:val="20"/>
              </w:rPr>
            </w:pPr>
            <w:r w:rsidRPr="005C5193">
              <w:rPr>
                <w:color w:val="242424"/>
                <w:sz w:val="20"/>
                <w:szCs w:val="20"/>
                <w:bdr w:val="none" w:sz="0" w:space="0" w:color="auto" w:frame="1"/>
              </w:rPr>
              <w:t>Closing an existing business</w:t>
            </w:r>
          </w:p>
        </w:tc>
        <w:tc>
          <w:tcPr>
            <w:tcW w:w="4505" w:type="dxa"/>
          </w:tcPr>
          <w:p w14:paraId="1273030F" w14:textId="77777777" w:rsidR="00823E7F" w:rsidRPr="005C5193" w:rsidRDefault="00823E7F" w:rsidP="006524D0">
            <w:pPr>
              <w:widowControl w:val="0"/>
              <w:autoSpaceDE w:val="0"/>
              <w:autoSpaceDN w:val="0"/>
              <w:adjustRightInd w:val="0"/>
              <w:rPr>
                <w:sz w:val="20"/>
                <w:szCs w:val="20"/>
              </w:rPr>
            </w:pPr>
            <w:r w:rsidRPr="005C5193">
              <w:rPr>
                <w:sz w:val="20"/>
                <w:szCs w:val="20"/>
              </w:rPr>
              <w:t>“Close business”</w:t>
            </w:r>
          </w:p>
        </w:tc>
      </w:tr>
      <w:tr w:rsidR="00823E7F" w:rsidRPr="005C5193" w14:paraId="4413877F" w14:textId="77777777" w:rsidTr="006524D0">
        <w:tc>
          <w:tcPr>
            <w:tcW w:w="4505" w:type="dxa"/>
          </w:tcPr>
          <w:p w14:paraId="4BF464EA"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bdr w:val="none" w:sz="0" w:space="0" w:color="auto" w:frame="1"/>
              </w:rPr>
              <w:t>Downsizing an existing business</w:t>
            </w:r>
          </w:p>
        </w:tc>
        <w:tc>
          <w:tcPr>
            <w:tcW w:w="4505" w:type="dxa"/>
          </w:tcPr>
          <w:p w14:paraId="79D0387A" w14:textId="77777777" w:rsidR="00823E7F" w:rsidRPr="005C5193" w:rsidRDefault="00823E7F" w:rsidP="006524D0">
            <w:pPr>
              <w:widowControl w:val="0"/>
              <w:autoSpaceDE w:val="0"/>
              <w:autoSpaceDN w:val="0"/>
              <w:adjustRightInd w:val="0"/>
              <w:rPr>
                <w:sz w:val="20"/>
                <w:szCs w:val="20"/>
              </w:rPr>
            </w:pPr>
            <w:r w:rsidRPr="005C5193">
              <w:rPr>
                <w:sz w:val="20"/>
                <w:szCs w:val="20"/>
              </w:rPr>
              <w:t>“Downsizing”</w:t>
            </w:r>
          </w:p>
        </w:tc>
      </w:tr>
      <w:tr w:rsidR="00823E7F" w:rsidRPr="005C5193" w14:paraId="371FD463" w14:textId="77777777" w:rsidTr="006524D0">
        <w:tc>
          <w:tcPr>
            <w:tcW w:w="4505" w:type="dxa"/>
          </w:tcPr>
          <w:p w14:paraId="3C41F19F"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bdr w:val="none" w:sz="0" w:space="0" w:color="auto" w:frame="1"/>
              </w:rPr>
              <w:t>Canceling or postponing a plan</w:t>
            </w:r>
          </w:p>
        </w:tc>
        <w:tc>
          <w:tcPr>
            <w:tcW w:w="4505" w:type="dxa"/>
          </w:tcPr>
          <w:p w14:paraId="48DF3C79" w14:textId="77777777" w:rsidR="00823E7F" w:rsidRPr="005C5193" w:rsidRDefault="00823E7F" w:rsidP="006524D0">
            <w:pPr>
              <w:widowControl w:val="0"/>
              <w:autoSpaceDE w:val="0"/>
              <w:autoSpaceDN w:val="0"/>
              <w:adjustRightInd w:val="0"/>
              <w:rPr>
                <w:sz w:val="20"/>
                <w:szCs w:val="20"/>
              </w:rPr>
            </w:pPr>
            <w:r w:rsidRPr="005C5193">
              <w:rPr>
                <w:sz w:val="20"/>
                <w:szCs w:val="20"/>
              </w:rPr>
              <w:t>“Canceling” or “postponing”</w:t>
            </w:r>
          </w:p>
        </w:tc>
      </w:tr>
      <w:tr w:rsidR="00823E7F" w:rsidRPr="005C5193" w14:paraId="251C24A7" w14:textId="77777777" w:rsidTr="006524D0">
        <w:tc>
          <w:tcPr>
            <w:tcW w:w="4505" w:type="dxa"/>
          </w:tcPr>
          <w:p w14:paraId="5B23990E"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bdr w:val="none" w:sz="0" w:space="0" w:color="auto" w:frame="1"/>
              </w:rPr>
              <w:t>Participating as a minority shareholder</w:t>
            </w:r>
          </w:p>
        </w:tc>
        <w:tc>
          <w:tcPr>
            <w:tcW w:w="4505" w:type="dxa"/>
          </w:tcPr>
          <w:p w14:paraId="7FB385AC" w14:textId="77777777" w:rsidR="00823E7F" w:rsidRPr="005C5193" w:rsidRDefault="00823E7F" w:rsidP="006524D0">
            <w:pPr>
              <w:widowControl w:val="0"/>
              <w:autoSpaceDE w:val="0"/>
              <w:autoSpaceDN w:val="0"/>
              <w:adjustRightInd w:val="0"/>
              <w:rPr>
                <w:sz w:val="20"/>
                <w:szCs w:val="20"/>
              </w:rPr>
            </w:pPr>
            <w:r w:rsidRPr="005C5193">
              <w:rPr>
                <w:sz w:val="20"/>
                <w:szCs w:val="20"/>
              </w:rPr>
              <w:t>“Participate” and “minority shareholder”</w:t>
            </w:r>
          </w:p>
        </w:tc>
      </w:tr>
      <w:tr w:rsidR="00823E7F" w:rsidRPr="005C5193" w14:paraId="02DD651F" w14:textId="77777777" w:rsidTr="006524D0">
        <w:tc>
          <w:tcPr>
            <w:tcW w:w="4505" w:type="dxa"/>
          </w:tcPr>
          <w:p w14:paraId="43B6D63C"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bdr w:val="none" w:sz="0" w:space="0" w:color="auto" w:frame="1"/>
              </w:rPr>
              <w:t>Purchasing additional shares after acquiring a 50 percent stake</w:t>
            </w:r>
          </w:p>
        </w:tc>
        <w:tc>
          <w:tcPr>
            <w:tcW w:w="4505" w:type="dxa"/>
          </w:tcPr>
          <w:p w14:paraId="5845A525" w14:textId="77777777" w:rsidR="00823E7F" w:rsidRPr="005C5193" w:rsidRDefault="00823E7F" w:rsidP="006524D0">
            <w:pPr>
              <w:widowControl w:val="0"/>
              <w:autoSpaceDE w:val="0"/>
              <w:autoSpaceDN w:val="0"/>
              <w:adjustRightInd w:val="0"/>
              <w:rPr>
                <w:sz w:val="20"/>
                <w:szCs w:val="20"/>
              </w:rPr>
            </w:pPr>
            <w:r w:rsidRPr="005C5193">
              <w:rPr>
                <w:sz w:val="20"/>
                <w:szCs w:val="20"/>
              </w:rPr>
              <w:t>“Purchase shares”</w:t>
            </w:r>
          </w:p>
        </w:tc>
      </w:tr>
      <w:tr w:rsidR="00823E7F" w:rsidRPr="005C5193" w14:paraId="5A464A27" w14:textId="77777777" w:rsidTr="006524D0">
        <w:tc>
          <w:tcPr>
            <w:tcW w:w="4505" w:type="dxa"/>
          </w:tcPr>
          <w:p w14:paraId="027D003A"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bdr w:val="none" w:sz="0" w:space="0" w:color="auto" w:frame="1"/>
              </w:rPr>
              <w:t>Acquiring assets</w:t>
            </w:r>
          </w:p>
        </w:tc>
        <w:tc>
          <w:tcPr>
            <w:tcW w:w="4505" w:type="dxa"/>
          </w:tcPr>
          <w:p w14:paraId="107E59C3" w14:textId="77777777" w:rsidR="00823E7F" w:rsidRPr="005C5193" w:rsidRDefault="00823E7F" w:rsidP="006524D0">
            <w:pPr>
              <w:widowControl w:val="0"/>
              <w:autoSpaceDE w:val="0"/>
              <w:autoSpaceDN w:val="0"/>
              <w:adjustRightInd w:val="0"/>
              <w:rPr>
                <w:sz w:val="20"/>
                <w:szCs w:val="20"/>
              </w:rPr>
            </w:pPr>
            <w:r w:rsidRPr="005C5193">
              <w:rPr>
                <w:sz w:val="20"/>
                <w:szCs w:val="20"/>
              </w:rPr>
              <w:t>“Acquire assets”</w:t>
            </w:r>
          </w:p>
        </w:tc>
      </w:tr>
      <w:tr w:rsidR="00823E7F" w:rsidRPr="005C5193" w14:paraId="4232ABBF" w14:textId="77777777" w:rsidTr="006524D0">
        <w:tc>
          <w:tcPr>
            <w:tcW w:w="4505" w:type="dxa"/>
          </w:tcPr>
          <w:p w14:paraId="559794D9"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bdr w:val="none" w:sz="0" w:space="0" w:color="auto" w:frame="1"/>
              </w:rPr>
              <w:t>Merg</w:t>
            </w:r>
            <w:r>
              <w:rPr>
                <w:color w:val="242424"/>
                <w:sz w:val="20"/>
                <w:szCs w:val="20"/>
                <w:bdr w:val="none" w:sz="0" w:space="0" w:color="auto" w:frame="1"/>
              </w:rPr>
              <w:t>er</w:t>
            </w:r>
          </w:p>
        </w:tc>
        <w:tc>
          <w:tcPr>
            <w:tcW w:w="4505" w:type="dxa"/>
          </w:tcPr>
          <w:p w14:paraId="333638ED" w14:textId="77777777" w:rsidR="00823E7F" w:rsidRPr="005C5193" w:rsidRDefault="00823E7F" w:rsidP="006524D0">
            <w:pPr>
              <w:widowControl w:val="0"/>
              <w:autoSpaceDE w:val="0"/>
              <w:autoSpaceDN w:val="0"/>
              <w:adjustRightInd w:val="0"/>
              <w:rPr>
                <w:sz w:val="20"/>
                <w:szCs w:val="20"/>
              </w:rPr>
            </w:pPr>
            <w:r w:rsidRPr="005C5193">
              <w:rPr>
                <w:sz w:val="20"/>
                <w:szCs w:val="20"/>
              </w:rPr>
              <w:t>“Merg</w:t>
            </w:r>
            <w:r>
              <w:rPr>
                <w:sz w:val="20"/>
                <w:szCs w:val="20"/>
              </w:rPr>
              <w:t>er</w:t>
            </w:r>
            <w:r w:rsidRPr="005C5193">
              <w:rPr>
                <w:sz w:val="20"/>
                <w:szCs w:val="20"/>
              </w:rPr>
              <w:t>”</w:t>
            </w:r>
          </w:p>
        </w:tc>
      </w:tr>
      <w:tr w:rsidR="00823E7F" w:rsidRPr="005C5193" w14:paraId="3393ADB6" w14:textId="77777777" w:rsidTr="006524D0">
        <w:tc>
          <w:tcPr>
            <w:tcW w:w="4505" w:type="dxa"/>
          </w:tcPr>
          <w:p w14:paraId="2CF39B73"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bdr w:val="none" w:sz="0" w:space="0" w:color="auto" w:frame="1"/>
              </w:rPr>
              <w:t xml:space="preserve">Acquisition </w:t>
            </w:r>
          </w:p>
        </w:tc>
        <w:tc>
          <w:tcPr>
            <w:tcW w:w="4505" w:type="dxa"/>
          </w:tcPr>
          <w:p w14:paraId="189F552F" w14:textId="77777777" w:rsidR="00823E7F" w:rsidRPr="005C5193" w:rsidRDefault="00823E7F" w:rsidP="006524D0">
            <w:pPr>
              <w:widowControl w:val="0"/>
              <w:autoSpaceDE w:val="0"/>
              <w:autoSpaceDN w:val="0"/>
              <w:adjustRightInd w:val="0"/>
              <w:rPr>
                <w:sz w:val="20"/>
                <w:szCs w:val="20"/>
              </w:rPr>
            </w:pPr>
            <w:r w:rsidRPr="005C5193">
              <w:rPr>
                <w:sz w:val="20"/>
                <w:szCs w:val="20"/>
              </w:rPr>
              <w:t>“Acquisition”</w:t>
            </w:r>
          </w:p>
        </w:tc>
      </w:tr>
      <w:tr w:rsidR="00823E7F" w:rsidRPr="005C5193" w14:paraId="3943B7AD" w14:textId="77777777" w:rsidTr="006524D0">
        <w:tc>
          <w:tcPr>
            <w:tcW w:w="4505" w:type="dxa"/>
          </w:tcPr>
          <w:p w14:paraId="437BFD74"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rPr>
              <w:t>Product announcement</w:t>
            </w:r>
          </w:p>
        </w:tc>
        <w:tc>
          <w:tcPr>
            <w:tcW w:w="4505" w:type="dxa"/>
          </w:tcPr>
          <w:p w14:paraId="06B718EC" w14:textId="77777777" w:rsidR="00823E7F" w:rsidRPr="005C5193" w:rsidRDefault="00823E7F" w:rsidP="006524D0">
            <w:pPr>
              <w:widowControl w:val="0"/>
              <w:autoSpaceDE w:val="0"/>
              <w:autoSpaceDN w:val="0"/>
              <w:adjustRightInd w:val="0"/>
              <w:rPr>
                <w:sz w:val="20"/>
                <w:szCs w:val="20"/>
              </w:rPr>
            </w:pPr>
            <w:r w:rsidRPr="005C5193">
              <w:rPr>
                <w:sz w:val="20"/>
                <w:szCs w:val="20"/>
              </w:rPr>
              <w:t>“Product announcement”</w:t>
            </w:r>
          </w:p>
        </w:tc>
      </w:tr>
      <w:tr w:rsidR="00823E7F" w:rsidRPr="005C5193" w14:paraId="45730A48" w14:textId="77777777" w:rsidTr="006524D0">
        <w:tc>
          <w:tcPr>
            <w:tcW w:w="4505" w:type="dxa"/>
          </w:tcPr>
          <w:p w14:paraId="75EA4C8C"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rPr>
              <w:t>Expansion</w:t>
            </w:r>
          </w:p>
        </w:tc>
        <w:tc>
          <w:tcPr>
            <w:tcW w:w="4505" w:type="dxa"/>
          </w:tcPr>
          <w:p w14:paraId="38879BDC" w14:textId="77777777" w:rsidR="00823E7F" w:rsidRPr="005C5193" w:rsidRDefault="00823E7F" w:rsidP="006524D0">
            <w:pPr>
              <w:widowControl w:val="0"/>
              <w:autoSpaceDE w:val="0"/>
              <w:autoSpaceDN w:val="0"/>
              <w:adjustRightInd w:val="0"/>
              <w:rPr>
                <w:sz w:val="20"/>
                <w:szCs w:val="20"/>
              </w:rPr>
            </w:pPr>
            <w:r w:rsidRPr="005C5193">
              <w:rPr>
                <w:sz w:val="20"/>
                <w:szCs w:val="20"/>
              </w:rPr>
              <w:t>“Expansion”</w:t>
            </w:r>
          </w:p>
        </w:tc>
      </w:tr>
      <w:tr w:rsidR="00823E7F" w:rsidRPr="005C5193" w14:paraId="6A503A94" w14:textId="77777777" w:rsidTr="006524D0">
        <w:tc>
          <w:tcPr>
            <w:tcW w:w="4505" w:type="dxa"/>
          </w:tcPr>
          <w:p w14:paraId="695E514F"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rPr>
              <w:t>Layoffs</w:t>
            </w:r>
          </w:p>
        </w:tc>
        <w:tc>
          <w:tcPr>
            <w:tcW w:w="4505" w:type="dxa"/>
          </w:tcPr>
          <w:p w14:paraId="626225C7" w14:textId="77777777" w:rsidR="00823E7F" w:rsidRPr="005C5193" w:rsidRDefault="00823E7F" w:rsidP="006524D0">
            <w:pPr>
              <w:widowControl w:val="0"/>
              <w:autoSpaceDE w:val="0"/>
              <w:autoSpaceDN w:val="0"/>
              <w:adjustRightInd w:val="0"/>
              <w:rPr>
                <w:sz w:val="20"/>
                <w:szCs w:val="20"/>
              </w:rPr>
            </w:pPr>
            <w:r w:rsidRPr="005C5193">
              <w:rPr>
                <w:sz w:val="20"/>
                <w:szCs w:val="20"/>
              </w:rPr>
              <w:t>“Layoff”</w:t>
            </w:r>
          </w:p>
        </w:tc>
      </w:tr>
      <w:tr w:rsidR="00823E7F" w:rsidRPr="005C5193" w14:paraId="2BAD7CF4" w14:textId="77777777" w:rsidTr="006524D0">
        <w:tc>
          <w:tcPr>
            <w:tcW w:w="4505" w:type="dxa"/>
          </w:tcPr>
          <w:p w14:paraId="22E42033"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rPr>
              <w:t>Succession</w:t>
            </w:r>
          </w:p>
        </w:tc>
        <w:tc>
          <w:tcPr>
            <w:tcW w:w="4505" w:type="dxa"/>
          </w:tcPr>
          <w:p w14:paraId="24B4159A" w14:textId="77777777" w:rsidR="00823E7F" w:rsidRPr="005C5193" w:rsidRDefault="00823E7F" w:rsidP="006524D0">
            <w:pPr>
              <w:widowControl w:val="0"/>
              <w:autoSpaceDE w:val="0"/>
              <w:autoSpaceDN w:val="0"/>
              <w:adjustRightInd w:val="0"/>
              <w:rPr>
                <w:sz w:val="20"/>
                <w:szCs w:val="20"/>
              </w:rPr>
            </w:pPr>
            <w:r w:rsidRPr="005C5193">
              <w:rPr>
                <w:sz w:val="20"/>
                <w:szCs w:val="20"/>
              </w:rPr>
              <w:t>“Succession”</w:t>
            </w:r>
          </w:p>
        </w:tc>
      </w:tr>
      <w:tr w:rsidR="00823E7F" w:rsidRPr="005C5193" w14:paraId="52D67D44" w14:textId="77777777" w:rsidTr="006524D0">
        <w:tc>
          <w:tcPr>
            <w:tcW w:w="4505" w:type="dxa"/>
          </w:tcPr>
          <w:p w14:paraId="399F6579"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rPr>
              <w:t>Retirement</w:t>
            </w:r>
          </w:p>
        </w:tc>
        <w:tc>
          <w:tcPr>
            <w:tcW w:w="4505" w:type="dxa"/>
          </w:tcPr>
          <w:p w14:paraId="33049BB7" w14:textId="77777777" w:rsidR="00823E7F" w:rsidRPr="005C5193" w:rsidRDefault="00823E7F" w:rsidP="006524D0">
            <w:pPr>
              <w:widowControl w:val="0"/>
              <w:autoSpaceDE w:val="0"/>
              <w:autoSpaceDN w:val="0"/>
              <w:adjustRightInd w:val="0"/>
              <w:rPr>
                <w:sz w:val="20"/>
                <w:szCs w:val="20"/>
              </w:rPr>
            </w:pPr>
            <w:r w:rsidRPr="005C5193">
              <w:rPr>
                <w:sz w:val="20"/>
                <w:szCs w:val="20"/>
              </w:rPr>
              <w:t>“Retirement”</w:t>
            </w:r>
          </w:p>
        </w:tc>
      </w:tr>
      <w:tr w:rsidR="00823E7F" w:rsidRPr="005C5193" w14:paraId="60EBA51D" w14:textId="77777777" w:rsidTr="006524D0">
        <w:tc>
          <w:tcPr>
            <w:tcW w:w="4505" w:type="dxa"/>
          </w:tcPr>
          <w:p w14:paraId="099085FA"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rPr>
              <w:t>Spinoff</w:t>
            </w:r>
          </w:p>
        </w:tc>
        <w:tc>
          <w:tcPr>
            <w:tcW w:w="4505" w:type="dxa"/>
          </w:tcPr>
          <w:p w14:paraId="08708D5C" w14:textId="77777777" w:rsidR="00823E7F" w:rsidRPr="005C5193" w:rsidRDefault="00823E7F" w:rsidP="006524D0">
            <w:pPr>
              <w:widowControl w:val="0"/>
              <w:autoSpaceDE w:val="0"/>
              <w:autoSpaceDN w:val="0"/>
              <w:adjustRightInd w:val="0"/>
              <w:rPr>
                <w:sz w:val="20"/>
                <w:szCs w:val="20"/>
              </w:rPr>
            </w:pPr>
            <w:r w:rsidRPr="005C5193">
              <w:rPr>
                <w:sz w:val="20"/>
                <w:szCs w:val="20"/>
              </w:rPr>
              <w:t>“Spinoff”</w:t>
            </w:r>
          </w:p>
        </w:tc>
      </w:tr>
      <w:tr w:rsidR="00823E7F" w:rsidRPr="005C5193" w14:paraId="32AF4BAC" w14:textId="77777777" w:rsidTr="006524D0">
        <w:tc>
          <w:tcPr>
            <w:tcW w:w="4505" w:type="dxa"/>
          </w:tcPr>
          <w:p w14:paraId="4B2A2732"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rPr>
              <w:t>Compensation/pay announcements</w:t>
            </w:r>
          </w:p>
        </w:tc>
        <w:tc>
          <w:tcPr>
            <w:tcW w:w="4505" w:type="dxa"/>
          </w:tcPr>
          <w:p w14:paraId="2B2E84F4" w14:textId="77777777" w:rsidR="00823E7F" w:rsidRPr="005C5193" w:rsidRDefault="00823E7F" w:rsidP="006524D0">
            <w:pPr>
              <w:widowControl w:val="0"/>
              <w:autoSpaceDE w:val="0"/>
              <w:autoSpaceDN w:val="0"/>
              <w:adjustRightInd w:val="0"/>
              <w:rPr>
                <w:sz w:val="20"/>
                <w:szCs w:val="20"/>
              </w:rPr>
            </w:pPr>
            <w:r w:rsidRPr="005C5193">
              <w:rPr>
                <w:sz w:val="20"/>
                <w:szCs w:val="20"/>
              </w:rPr>
              <w:t>“Compensation” or “pay announcement”</w:t>
            </w:r>
          </w:p>
        </w:tc>
      </w:tr>
      <w:tr w:rsidR="00823E7F" w:rsidRPr="005C5193" w14:paraId="3CF8891C" w14:textId="77777777" w:rsidTr="006524D0">
        <w:tc>
          <w:tcPr>
            <w:tcW w:w="4505" w:type="dxa"/>
          </w:tcPr>
          <w:p w14:paraId="09F6E6D2"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rPr>
              <w:t>Restatement</w:t>
            </w:r>
          </w:p>
        </w:tc>
        <w:tc>
          <w:tcPr>
            <w:tcW w:w="4505" w:type="dxa"/>
          </w:tcPr>
          <w:p w14:paraId="6001B7E4" w14:textId="77777777" w:rsidR="00823E7F" w:rsidRPr="005C5193" w:rsidRDefault="00823E7F" w:rsidP="006524D0">
            <w:pPr>
              <w:widowControl w:val="0"/>
              <w:autoSpaceDE w:val="0"/>
              <w:autoSpaceDN w:val="0"/>
              <w:adjustRightInd w:val="0"/>
              <w:rPr>
                <w:sz w:val="20"/>
                <w:szCs w:val="20"/>
              </w:rPr>
            </w:pPr>
            <w:r w:rsidRPr="005C5193">
              <w:rPr>
                <w:sz w:val="20"/>
                <w:szCs w:val="20"/>
              </w:rPr>
              <w:t>“Restatement”</w:t>
            </w:r>
          </w:p>
        </w:tc>
      </w:tr>
      <w:tr w:rsidR="00823E7F" w:rsidRPr="005C5193" w14:paraId="0845CB7E" w14:textId="77777777" w:rsidTr="006524D0">
        <w:tc>
          <w:tcPr>
            <w:tcW w:w="4505" w:type="dxa"/>
          </w:tcPr>
          <w:p w14:paraId="25B0C480"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rPr>
              <w:t>Scandal</w:t>
            </w:r>
          </w:p>
        </w:tc>
        <w:tc>
          <w:tcPr>
            <w:tcW w:w="4505" w:type="dxa"/>
          </w:tcPr>
          <w:p w14:paraId="096F275D" w14:textId="77777777" w:rsidR="00823E7F" w:rsidRPr="005C5193" w:rsidRDefault="00823E7F" w:rsidP="006524D0">
            <w:pPr>
              <w:widowControl w:val="0"/>
              <w:autoSpaceDE w:val="0"/>
              <w:autoSpaceDN w:val="0"/>
              <w:adjustRightInd w:val="0"/>
              <w:rPr>
                <w:sz w:val="20"/>
                <w:szCs w:val="20"/>
              </w:rPr>
            </w:pPr>
            <w:r w:rsidRPr="005C5193">
              <w:rPr>
                <w:sz w:val="20"/>
                <w:szCs w:val="20"/>
              </w:rPr>
              <w:t>“Scandal”</w:t>
            </w:r>
          </w:p>
        </w:tc>
      </w:tr>
      <w:tr w:rsidR="00823E7F" w:rsidRPr="005C5193" w14:paraId="33E00368" w14:textId="77777777" w:rsidTr="006524D0">
        <w:tc>
          <w:tcPr>
            <w:tcW w:w="4505" w:type="dxa"/>
          </w:tcPr>
          <w:p w14:paraId="789C56CB" w14:textId="77777777" w:rsidR="00823E7F" w:rsidRPr="005C5193" w:rsidRDefault="00823E7F" w:rsidP="006524D0">
            <w:pPr>
              <w:widowControl w:val="0"/>
              <w:autoSpaceDE w:val="0"/>
              <w:autoSpaceDN w:val="0"/>
              <w:adjustRightInd w:val="0"/>
              <w:rPr>
                <w:color w:val="242424"/>
                <w:sz w:val="20"/>
                <w:szCs w:val="20"/>
                <w:bdr w:val="none" w:sz="0" w:space="0" w:color="auto" w:frame="1"/>
              </w:rPr>
            </w:pPr>
            <w:r w:rsidRPr="005C5193">
              <w:rPr>
                <w:color w:val="242424"/>
                <w:sz w:val="20"/>
                <w:szCs w:val="20"/>
              </w:rPr>
              <w:t>Lawsuit</w:t>
            </w:r>
          </w:p>
        </w:tc>
        <w:tc>
          <w:tcPr>
            <w:tcW w:w="4505" w:type="dxa"/>
          </w:tcPr>
          <w:p w14:paraId="20BAA887" w14:textId="77777777" w:rsidR="00823E7F" w:rsidRPr="005C5193" w:rsidRDefault="00823E7F" w:rsidP="006524D0">
            <w:pPr>
              <w:widowControl w:val="0"/>
              <w:autoSpaceDE w:val="0"/>
              <w:autoSpaceDN w:val="0"/>
              <w:adjustRightInd w:val="0"/>
              <w:rPr>
                <w:sz w:val="20"/>
                <w:szCs w:val="20"/>
              </w:rPr>
            </w:pPr>
            <w:r w:rsidRPr="005C5193">
              <w:rPr>
                <w:sz w:val="20"/>
                <w:szCs w:val="20"/>
              </w:rPr>
              <w:t>“Lawsuit”</w:t>
            </w:r>
          </w:p>
        </w:tc>
      </w:tr>
    </w:tbl>
    <w:p w14:paraId="7FB9D800" w14:textId="06EAB9AC" w:rsidR="00531108" w:rsidRPr="00823E7F" w:rsidRDefault="00823E7F" w:rsidP="00823E7F">
      <w:pPr>
        <w:widowControl w:val="0"/>
        <w:autoSpaceDE w:val="0"/>
        <w:autoSpaceDN w:val="0"/>
        <w:adjustRightInd w:val="0"/>
        <w:rPr>
          <w:i/>
          <w:iCs/>
          <w:sz w:val="20"/>
          <w:szCs w:val="20"/>
        </w:rPr>
      </w:pPr>
      <w:r w:rsidRPr="000144D3">
        <w:rPr>
          <w:i/>
          <w:iCs/>
          <w:sz w:val="20"/>
          <w:szCs w:val="20"/>
        </w:rPr>
        <w:t>Note: All keywords included various forms</w:t>
      </w:r>
      <w:r>
        <w:rPr>
          <w:i/>
          <w:iCs/>
          <w:sz w:val="20"/>
          <w:szCs w:val="20"/>
        </w:rPr>
        <w:t xml:space="preserve"> and permutations, such as different verb tenses</w:t>
      </w:r>
      <w:r>
        <w:rPr>
          <w:rFonts w:hint="eastAsia"/>
          <w:i/>
          <w:iCs/>
          <w:sz w:val="20"/>
          <w:szCs w:val="20"/>
        </w:rPr>
        <w:t>.</w:t>
      </w:r>
    </w:p>
    <w:p w14:paraId="132F578C" w14:textId="77777777" w:rsidR="00823E7F" w:rsidRDefault="00823E7F" w:rsidP="00B00E5A">
      <w:pPr>
        <w:spacing w:before="240" w:after="120"/>
        <w:rPr>
          <w:b/>
          <w:bCs/>
        </w:rPr>
      </w:pPr>
    </w:p>
    <w:p w14:paraId="63F4A9E0" w14:textId="77777777" w:rsidR="00823E7F" w:rsidRDefault="00823E7F" w:rsidP="00B00E5A">
      <w:pPr>
        <w:spacing w:before="240" w:after="120"/>
        <w:rPr>
          <w:b/>
          <w:bCs/>
        </w:rPr>
      </w:pPr>
    </w:p>
    <w:p w14:paraId="1588B36D" w14:textId="77777777" w:rsidR="00823E7F" w:rsidRDefault="00823E7F" w:rsidP="00B00E5A">
      <w:pPr>
        <w:spacing w:before="240" w:after="120"/>
        <w:rPr>
          <w:b/>
          <w:bCs/>
        </w:rPr>
      </w:pPr>
    </w:p>
    <w:p w14:paraId="26DD6A06" w14:textId="77777777" w:rsidR="00823E7F" w:rsidRDefault="00823E7F" w:rsidP="00B00E5A">
      <w:pPr>
        <w:spacing w:before="240" w:after="120"/>
        <w:rPr>
          <w:b/>
          <w:bCs/>
        </w:rPr>
      </w:pPr>
    </w:p>
    <w:p w14:paraId="6DCCA997" w14:textId="77777777" w:rsidR="00823E7F" w:rsidRDefault="00823E7F" w:rsidP="00B00E5A">
      <w:pPr>
        <w:spacing w:before="240" w:after="120"/>
        <w:rPr>
          <w:b/>
          <w:bCs/>
        </w:rPr>
      </w:pPr>
    </w:p>
    <w:p w14:paraId="6869C432" w14:textId="57F05727" w:rsidR="00B00E5A" w:rsidRDefault="00B00E5A" w:rsidP="00B00E5A">
      <w:pPr>
        <w:spacing w:before="240" w:after="120"/>
        <w:rPr>
          <w:b/>
          <w:bCs/>
        </w:rPr>
      </w:pPr>
      <w:r>
        <w:rPr>
          <w:b/>
          <w:bCs/>
        </w:rPr>
        <w:lastRenderedPageBreak/>
        <w:t>TABLE A</w:t>
      </w:r>
      <w:r w:rsidR="00823E7F">
        <w:rPr>
          <w:b/>
          <w:bCs/>
        </w:rPr>
        <w:t>3</w:t>
      </w:r>
      <w:r>
        <w:rPr>
          <w:b/>
          <w:bCs/>
        </w:rPr>
        <w:t xml:space="preserve">. </w:t>
      </w:r>
      <w:r w:rsidRPr="00B00E5A">
        <w:rPr>
          <w:b/>
          <w:bCs/>
        </w:rPr>
        <w:t xml:space="preserve">Correlations between </w:t>
      </w:r>
      <w:r>
        <w:rPr>
          <w:b/>
          <w:bCs/>
        </w:rPr>
        <w:t>C</w:t>
      </w:r>
      <w:r w:rsidRPr="00B00E5A">
        <w:rPr>
          <w:b/>
          <w:bCs/>
        </w:rPr>
        <w:t xml:space="preserve">ontinuous </w:t>
      </w:r>
      <w:r>
        <w:rPr>
          <w:b/>
          <w:bCs/>
        </w:rPr>
        <w:t>P</w:t>
      </w:r>
      <w:r w:rsidRPr="00B00E5A">
        <w:rPr>
          <w:b/>
          <w:bCs/>
        </w:rPr>
        <w:t xml:space="preserve">rescriptive </w:t>
      </w:r>
      <w:r>
        <w:rPr>
          <w:b/>
          <w:bCs/>
        </w:rPr>
        <w:t>E</w:t>
      </w:r>
      <w:r w:rsidRPr="00B00E5A">
        <w:rPr>
          <w:b/>
          <w:bCs/>
        </w:rPr>
        <w:t>xpecta</w:t>
      </w:r>
      <w:r w:rsidR="00B96EC6">
        <w:rPr>
          <w:b/>
          <w:bCs/>
        </w:rPr>
        <w:t>ncy</w:t>
      </w:r>
      <w:r w:rsidRPr="00B00E5A">
        <w:rPr>
          <w:b/>
          <w:bCs/>
        </w:rPr>
        <w:t xml:space="preserve"> </w:t>
      </w:r>
      <w:r>
        <w:rPr>
          <w:b/>
          <w:bCs/>
        </w:rPr>
        <w:t>V</w:t>
      </w:r>
      <w:r w:rsidRPr="00B00E5A">
        <w:rPr>
          <w:b/>
          <w:bCs/>
        </w:rPr>
        <w:t xml:space="preserve">iolations and </w:t>
      </w:r>
      <w:r>
        <w:rPr>
          <w:b/>
          <w:bCs/>
        </w:rPr>
        <w:t>Other K</w:t>
      </w:r>
      <w:r w:rsidRPr="00B00E5A">
        <w:rPr>
          <w:b/>
          <w:bCs/>
        </w:rPr>
        <w:t xml:space="preserve">ey </w:t>
      </w:r>
      <w:r>
        <w:rPr>
          <w:b/>
          <w:bCs/>
        </w:rPr>
        <w:t>V</w:t>
      </w:r>
      <w:r w:rsidRPr="00B00E5A">
        <w:rPr>
          <w:b/>
          <w:bCs/>
        </w:rPr>
        <w:t>ariables</w:t>
      </w:r>
    </w:p>
    <w:tbl>
      <w:tblPr>
        <w:tblW w:w="0" w:type="auto"/>
        <w:tblLayout w:type="fixed"/>
        <w:tblLook w:val="0000" w:firstRow="0" w:lastRow="0" w:firstColumn="0" w:lastColumn="0" w:noHBand="0" w:noVBand="0"/>
      </w:tblPr>
      <w:tblGrid>
        <w:gridCol w:w="4644"/>
        <w:gridCol w:w="709"/>
        <w:gridCol w:w="709"/>
        <w:gridCol w:w="709"/>
        <w:gridCol w:w="708"/>
        <w:gridCol w:w="709"/>
        <w:gridCol w:w="709"/>
        <w:gridCol w:w="567"/>
      </w:tblGrid>
      <w:tr w:rsidR="00B00E5A" w:rsidRPr="003502AE" w14:paraId="33F85CFD" w14:textId="77777777" w:rsidTr="006524D0">
        <w:tc>
          <w:tcPr>
            <w:tcW w:w="4644" w:type="dxa"/>
            <w:tcBorders>
              <w:top w:val="single" w:sz="4" w:space="0" w:color="auto"/>
              <w:left w:val="nil"/>
              <w:bottom w:val="single" w:sz="6" w:space="0" w:color="auto"/>
              <w:right w:val="nil"/>
            </w:tcBorders>
          </w:tcPr>
          <w:p w14:paraId="404DFC9B" w14:textId="77777777" w:rsidR="00B00E5A" w:rsidRPr="003502AE" w:rsidRDefault="00B00E5A" w:rsidP="006524D0">
            <w:pPr>
              <w:widowControl w:val="0"/>
              <w:autoSpaceDE w:val="0"/>
              <w:autoSpaceDN w:val="0"/>
              <w:adjustRightInd w:val="0"/>
              <w:rPr>
                <w:b/>
                <w:bCs/>
                <w:sz w:val="20"/>
                <w:szCs w:val="20"/>
              </w:rPr>
            </w:pPr>
            <w:r w:rsidRPr="003502AE">
              <w:rPr>
                <w:b/>
                <w:bCs/>
                <w:sz w:val="20"/>
                <w:szCs w:val="20"/>
              </w:rPr>
              <w:t>Variables</w:t>
            </w:r>
          </w:p>
        </w:tc>
        <w:tc>
          <w:tcPr>
            <w:tcW w:w="709" w:type="dxa"/>
            <w:tcBorders>
              <w:top w:val="single" w:sz="4" w:space="0" w:color="auto"/>
              <w:left w:val="nil"/>
              <w:bottom w:val="single" w:sz="6" w:space="0" w:color="auto"/>
              <w:right w:val="nil"/>
            </w:tcBorders>
          </w:tcPr>
          <w:p w14:paraId="0AE0AB64" w14:textId="77777777" w:rsidR="00B00E5A" w:rsidRPr="003502AE" w:rsidRDefault="00B00E5A" w:rsidP="006524D0">
            <w:pPr>
              <w:widowControl w:val="0"/>
              <w:autoSpaceDE w:val="0"/>
              <w:autoSpaceDN w:val="0"/>
              <w:adjustRightInd w:val="0"/>
              <w:jc w:val="right"/>
              <w:rPr>
                <w:b/>
                <w:bCs/>
                <w:sz w:val="20"/>
                <w:szCs w:val="20"/>
              </w:rPr>
            </w:pPr>
            <w:r w:rsidRPr="003502AE">
              <w:rPr>
                <w:b/>
                <w:bCs/>
                <w:sz w:val="20"/>
                <w:szCs w:val="20"/>
              </w:rPr>
              <w:t>(1)</w:t>
            </w:r>
          </w:p>
        </w:tc>
        <w:tc>
          <w:tcPr>
            <w:tcW w:w="709" w:type="dxa"/>
            <w:tcBorders>
              <w:top w:val="single" w:sz="4" w:space="0" w:color="auto"/>
              <w:left w:val="nil"/>
              <w:bottom w:val="single" w:sz="6" w:space="0" w:color="auto"/>
              <w:right w:val="nil"/>
            </w:tcBorders>
          </w:tcPr>
          <w:p w14:paraId="681BD013" w14:textId="77777777" w:rsidR="00B00E5A" w:rsidRPr="003502AE" w:rsidRDefault="00B00E5A" w:rsidP="006524D0">
            <w:pPr>
              <w:widowControl w:val="0"/>
              <w:autoSpaceDE w:val="0"/>
              <w:autoSpaceDN w:val="0"/>
              <w:adjustRightInd w:val="0"/>
              <w:jc w:val="right"/>
              <w:rPr>
                <w:b/>
                <w:bCs/>
                <w:sz w:val="20"/>
                <w:szCs w:val="20"/>
              </w:rPr>
            </w:pPr>
            <w:r w:rsidRPr="003502AE">
              <w:rPr>
                <w:b/>
                <w:bCs/>
                <w:sz w:val="20"/>
                <w:szCs w:val="20"/>
              </w:rPr>
              <w:t>(2)</w:t>
            </w:r>
          </w:p>
        </w:tc>
        <w:tc>
          <w:tcPr>
            <w:tcW w:w="709" w:type="dxa"/>
            <w:tcBorders>
              <w:top w:val="single" w:sz="4" w:space="0" w:color="auto"/>
              <w:left w:val="nil"/>
              <w:bottom w:val="single" w:sz="6" w:space="0" w:color="auto"/>
              <w:right w:val="nil"/>
            </w:tcBorders>
          </w:tcPr>
          <w:p w14:paraId="0E0A6450" w14:textId="77777777" w:rsidR="00B00E5A" w:rsidRPr="003502AE" w:rsidRDefault="00B00E5A" w:rsidP="006524D0">
            <w:pPr>
              <w:widowControl w:val="0"/>
              <w:autoSpaceDE w:val="0"/>
              <w:autoSpaceDN w:val="0"/>
              <w:adjustRightInd w:val="0"/>
              <w:jc w:val="right"/>
              <w:rPr>
                <w:b/>
                <w:bCs/>
                <w:sz w:val="20"/>
                <w:szCs w:val="20"/>
              </w:rPr>
            </w:pPr>
            <w:r w:rsidRPr="003502AE">
              <w:rPr>
                <w:b/>
                <w:bCs/>
                <w:sz w:val="20"/>
                <w:szCs w:val="20"/>
              </w:rPr>
              <w:t>(3)</w:t>
            </w:r>
          </w:p>
        </w:tc>
        <w:tc>
          <w:tcPr>
            <w:tcW w:w="708" w:type="dxa"/>
            <w:tcBorders>
              <w:top w:val="single" w:sz="4" w:space="0" w:color="auto"/>
              <w:left w:val="nil"/>
              <w:bottom w:val="single" w:sz="6" w:space="0" w:color="auto"/>
              <w:right w:val="nil"/>
            </w:tcBorders>
          </w:tcPr>
          <w:p w14:paraId="3FB70AC2" w14:textId="77777777" w:rsidR="00B00E5A" w:rsidRPr="003502AE" w:rsidRDefault="00B00E5A" w:rsidP="006524D0">
            <w:pPr>
              <w:widowControl w:val="0"/>
              <w:autoSpaceDE w:val="0"/>
              <w:autoSpaceDN w:val="0"/>
              <w:adjustRightInd w:val="0"/>
              <w:jc w:val="right"/>
              <w:rPr>
                <w:b/>
                <w:bCs/>
                <w:sz w:val="20"/>
                <w:szCs w:val="20"/>
              </w:rPr>
            </w:pPr>
            <w:r w:rsidRPr="003502AE">
              <w:rPr>
                <w:b/>
                <w:bCs/>
                <w:sz w:val="20"/>
                <w:szCs w:val="20"/>
              </w:rPr>
              <w:t>(4)</w:t>
            </w:r>
          </w:p>
        </w:tc>
        <w:tc>
          <w:tcPr>
            <w:tcW w:w="709" w:type="dxa"/>
            <w:tcBorders>
              <w:top w:val="single" w:sz="4" w:space="0" w:color="auto"/>
              <w:left w:val="nil"/>
              <w:bottom w:val="single" w:sz="6" w:space="0" w:color="auto"/>
              <w:right w:val="nil"/>
            </w:tcBorders>
          </w:tcPr>
          <w:p w14:paraId="6C248911" w14:textId="77777777" w:rsidR="00B00E5A" w:rsidRPr="003502AE" w:rsidRDefault="00B00E5A" w:rsidP="006524D0">
            <w:pPr>
              <w:widowControl w:val="0"/>
              <w:autoSpaceDE w:val="0"/>
              <w:autoSpaceDN w:val="0"/>
              <w:adjustRightInd w:val="0"/>
              <w:jc w:val="right"/>
              <w:rPr>
                <w:b/>
                <w:bCs/>
                <w:sz w:val="20"/>
                <w:szCs w:val="20"/>
              </w:rPr>
            </w:pPr>
            <w:r w:rsidRPr="003502AE">
              <w:rPr>
                <w:b/>
                <w:bCs/>
                <w:sz w:val="20"/>
                <w:szCs w:val="20"/>
              </w:rPr>
              <w:t>(5)</w:t>
            </w:r>
          </w:p>
        </w:tc>
        <w:tc>
          <w:tcPr>
            <w:tcW w:w="709" w:type="dxa"/>
            <w:tcBorders>
              <w:top w:val="single" w:sz="4" w:space="0" w:color="auto"/>
              <w:left w:val="nil"/>
              <w:bottom w:val="single" w:sz="6" w:space="0" w:color="auto"/>
              <w:right w:val="nil"/>
            </w:tcBorders>
          </w:tcPr>
          <w:p w14:paraId="50AB5426" w14:textId="77777777" w:rsidR="00B00E5A" w:rsidRPr="003502AE" w:rsidRDefault="00B00E5A" w:rsidP="006524D0">
            <w:pPr>
              <w:widowControl w:val="0"/>
              <w:autoSpaceDE w:val="0"/>
              <w:autoSpaceDN w:val="0"/>
              <w:adjustRightInd w:val="0"/>
              <w:jc w:val="right"/>
              <w:rPr>
                <w:b/>
                <w:bCs/>
                <w:sz w:val="20"/>
                <w:szCs w:val="20"/>
              </w:rPr>
            </w:pPr>
            <w:r w:rsidRPr="003502AE">
              <w:rPr>
                <w:b/>
                <w:bCs/>
                <w:sz w:val="20"/>
                <w:szCs w:val="20"/>
              </w:rPr>
              <w:t>(6)</w:t>
            </w:r>
          </w:p>
        </w:tc>
        <w:tc>
          <w:tcPr>
            <w:tcW w:w="567" w:type="dxa"/>
            <w:tcBorders>
              <w:top w:val="single" w:sz="4" w:space="0" w:color="auto"/>
              <w:left w:val="nil"/>
              <w:bottom w:val="single" w:sz="6" w:space="0" w:color="auto"/>
              <w:right w:val="nil"/>
            </w:tcBorders>
          </w:tcPr>
          <w:p w14:paraId="57C82320" w14:textId="77777777" w:rsidR="00B00E5A" w:rsidRPr="003502AE" w:rsidRDefault="00B00E5A" w:rsidP="006524D0">
            <w:pPr>
              <w:widowControl w:val="0"/>
              <w:autoSpaceDE w:val="0"/>
              <w:autoSpaceDN w:val="0"/>
              <w:adjustRightInd w:val="0"/>
              <w:jc w:val="right"/>
              <w:rPr>
                <w:b/>
                <w:bCs/>
                <w:sz w:val="20"/>
                <w:szCs w:val="20"/>
              </w:rPr>
            </w:pPr>
            <w:r w:rsidRPr="003502AE">
              <w:rPr>
                <w:b/>
                <w:bCs/>
                <w:sz w:val="20"/>
                <w:szCs w:val="20"/>
              </w:rPr>
              <w:t>(7)</w:t>
            </w:r>
          </w:p>
        </w:tc>
      </w:tr>
      <w:tr w:rsidR="00B00E5A" w:rsidRPr="003502AE" w14:paraId="51A9BA1C" w14:textId="77777777" w:rsidTr="006524D0">
        <w:tc>
          <w:tcPr>
            <w:tcW w:w="4644" w:type="dxa"/>
            <w:tcBorders>
              <w:top w:val="nil"/>
              <w:left w:val="nil"/>
              <w:bottom w:val="nil"/>
              <w:right w:val="nil"/>
            </w:tcBorders>
          </w:tcPr>
          <w:p w14:paraId="5A1431FF" w14:textId="73F1C6D6" w:rsidR="00B00E5A" w:rsidRPr="003502AE" w:rsidRDefault="00B00E5A" w:rsidP="006524D0">
            <w:pPr>
              <w:widowControl w:val="0"/>
              <w:autoSpaceDE w:val="0"/>
              <w:autoSpaceDN w:val="0"/>
              <w:adjustRightInd w:val="0"/>
              <w:rPr>
                <w:sz w:val="20"/>
                <w:szCs w:val="20"/>
              </w:rPr>
            </w:pPr>
            <w:r w:rsidRPr="003502AE">
              <w:rPr>
                <w:sz w:val="20"/>
                <w:szCs w:val="20"/>
              </w:rPr>
              <w:t xml:space="preserve">(1) </w:t>
            </w:r>
            <w:r>
              <w:rPr>
                <w:sz w:val="20"/>
                <w:szCs w:val="20"/>
              </w:rPr>
              <w:t>Predictive expecta</w:t>
            </w:r>
            <w:r w:rsidR="00B96EC6">
              <w:rPr>
                <w:sz w:val="20"/>
                <w:szCs w:val="20"/>
              </w:rPr>
              <w:t>ncy</w:t>
            </w:r>
            <w:r>
              <w:rPr>
                <w:sz w:val="20"/>
                <w:szCs w:val="20"/>
              </w:rPr>
              <w:t xml:space="preserve"> violation (positive)</w:t>
            </w:r>
          </w:p>
        </w:tc>
        <w:tc>
          <w:tcPr>
            <w:tcW w:w="709" w:type="dxa"/>
            <w:tcBorders>
              <w:top w:val="nil"/>
              <w:left w:val="nil"/>
              <w:bottom w:val="nil"/>
              <w:right w:val="nil"/>
            </w:tcBorders>
          </w:tcPr>
          <w:p w14:paraId="53CEE68B"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1.00</w:t>
            </w:r>
          </w:p>
        </w:tc>
        <w:tc>
          <w:tcPr>
            <w:tcW w:w="709" w:type="dxa"/>
            <w:tcBorders>
              <w:top w:val="nil"/>
              <w:left w:val="nil"/>
              <w:bottom w:val="nil"/>
              <w:right w:val="nil"/>
            </w:tcBorders>
          </w:tcPr>
          <w:p w14:paraId="436F3358" w14:textId="77777777" w:rsidR="00B00E5A" w:rsidRPr="003502AE" w:rsidRDefault="00B00E5A" w:rsidP="006524D0">
            <w:pPr>
              <w:widowControl w:val="0"/>
              <w:autoSpaceDE w:val="0"/>
              <w:autoSpaceDN w:val="0"/>
              <w:adjustRightInd w:val="0"/>
              <w:jc w:val="right"/>
              <w:rPr>
                <w:sz w:val="20"/>
                <w:szCs w:val="20"/>
              </w:rPr>
            </w:pPr>
          </w:p>
        </w:tc>
        <w:tc>
          <w:tcPr>
            <w:tcW w:w="709" w:type="dxa"/>
            <w:tcBorders>
              <w:top w:val="nil"/>
              <w:left w:val="nil"/>
              <w:bottom w:val="nil"/>
              <w:right w:val="nil"/>
            </w:tcBorders>
          </w:tcPr>
          <w:p w14:paraId="1C119070" w14:textId="77777777" w:rsidR="00B00E5A" w:rsidRPr="003502AE" w:rsidRDefault="00B00E5A" w:rsidP="006524D0">
            <w:pPr>
              <w:widowControl w:val="0"/>
              <w:autoSpaceDE w:val="0"/>
              <w:autoSpaceDN w:val="0"/>
              <w:adjustRightInd w:val="0"/>
              <w:jc w:val="right"/>
              <w:rPr>
                <w:sz w:val="20"/>
                <w:szCs w:val="20"/>
              </w:rPr>
            </w:pPr>
          </w:p>
        </w:tc>
        <w:tc>
          <w:tcPr>
            <w:tcW w:w="708" w:type="dxa"/>
            <w:tcBorders>
              <w:top w:val="nil"/>
              <w:left w:val="nil"/>
              <w:bottom w:val="nil"/>
              <w:right w:val="nil"/>
            </w:tcBorders>
          </w:tcPr>
          <w:p w14:paraId="68DEC784" w14:textId="77777777" w:rsidR="00B00E5A" w:rsidRPr="003502AE" w:rsidRDefault="00B00E5A" w:rsidP="006524D0">
            <w:pPr>
              <w:widowControl w:val="0"/>
              <w:autoSpaceDE w:val="0"/>
              <w:autoSpaceDN w:val="0"/>
              <w:adjustRightInd w:val="0"/>
              <w:jc w:val="right"/>
              <w:rPr>
                <w:sz w:val="20"/>
                <w:szCs w:val="20"/>
              </w:rPr>
            </w:pPr>
          </w:p>
        </w:tc>
        <w:tc>
          <w:tcPr>
            <w:tcW w:w="709" w:type="dxa"/>
            <w:tcBorders>
              <w:top w:val="nil"/>
              <w:left w:val="nil"/>
              <w:bottom w:val="nil"/>
              <w:right w:val="nil"/>
            </w:tcBorders>
          </w:tcPr>
          <w:p w14:paraId="459900F3" w14:textId="77777777" w:rsidR="00B00E5A" w:rsidRPr="003502AE" w:rsidRDefault="00B00E5A" w:rsidP="006524D0">
            <w:pPr>
              <w:widowControl w:val="0"/>
              <w:autoSpaceDE w:val="0"/>
              <w:autoSpaceDN w:val="0"/>
              <w:adjustRightInd w:val="0"/>
              <w:jc w:val="right"/>
              <w:rPr>
                <w:sz w:val="20"/>
                <w:szCs w:val="20"/>
              </w:rPr>
            </w:pPr>
          </w:p>
        </w:tc>
        <w:tc>
          <w:tcPr>
            <w:tcW w:w="709" w:type="dxa"/>
            <w:tcBorders>
              <w:top w:val="nil"/>
              <w:left w:val="nil"/>
              <w:bottom w:val="nil"/>
              <w:right w:val="nil"/>
            </w:tcBorders>
          </w:tcPr>
          <w:p w14:paraId="19C636A2" w14:textId="77777777" w:rsidR="00B00E5A" w:rsidRPr="003502AE" w:rsidRDefault="00B00E5A" w:rsidP="006524D0">
            <w:pPr>
              <w:widowControl w:val="0"/>
              <w:autoSpaceDE w:val="0"/>
              <w:autoSpaceDN w:val="0"/>
              <w:adjustRightInd w:val="0"/>
              <w:jc w:val="right"/>
              <w:rPr>
                <w:sz w:val="20"/>
                <w:szCs w:val="20"/>
              </w:rPr>
            </w:pPr>
          </w:p>
        </w:tc>
        <w:tc>
          <w:tcPr>
            <w:tcW w:w="567" w:type="dxa"/>
            <w:tcBorders>
              <w:top w:val="nil"/>
              <w:left w:val="nil"/>
              <w:bottom w:val="nil"/>
              <w:right w:val="nil"/>
            </w:tcBorders>
          </w:tcPr>
          <w:p w14:paraId="642A9BD9" w14:textId="77777777" w:rsidR="00B00E5A" w:rsidRPr="003502AE" w:rsidRDefault="00B00E5A" w:rsidP="006524D0">
            <w:pPr>
              <w:widowControl w:val="0"/>
              <w:autoSpaceDE w:val="0"/>
              <w:autoSpaceDN w:val="0"/>
              <w:adjustRightInd w:val="0"/>
              <w:jc w:val="right"/>
              <w:rPr>
                <w:sz w:val="20"/>
                <w:szCs w:val="20"/>
              </w:rPr>
            </w:pPr>
          </w:p>
        </w:tc>
      </w:tr>
      <w:tr w:rsidR="00B00E5A" w:rsidRPr="003502AE" w14:paraId="0C1598E3" w14:textId="77777777" w:rsidTr="006524D0">
        <w:tc>
          <w:tcPr>
            <w:tcW w:w="4644" w:type="dxa"/>
            <w:tcBorders>
              <w:top w:val="nil"/>
              <w:left w:val="nil"/>
              <w:bottom w:val="nil"/>
              <w:right w:val="nil"/>
            </w:tcBorders>
          </w:tcPr>
          <w:p w14:paraId="77559BAF" w14:textId="42E1D186" w:rsidR="00B00E5A" w:rsidRPr="003502AE" w:rsidRDefault="00B00E5A" w:rsidP="006524D0">
            <w:pPr>
              <w:widowControl w:val="0"/>
              <w:autoSpaceDE w:val="0"/>
              <w:autoSpaceDN w:val="0"/>
              <w:adjustRightInd w:val="0"/>
              <w:rPr>
                <w:sz w:val="20"/>
                <w:szCs w:val="20"/>
              </w:rPr>
            </w:pPr>
            <w:r w:rsidRPr="003502AE">
              <w:rPr>
                <w:sz w:val="20"/>
                <w:szCs w:val="20"/>
              </w:rPr>
              <w:t xml:space="preserve">(2) </w:t>
            </w:r>
            <w:r>
              <w:rPr>
                <w:sz w:val="20"/>
                <w:szCs w:val="20"/>
              </w:rPr>
              <w:t>Predictive expecta</w:t>
            </w:r>
            <w:r w:rsidR="00B96EC6">
              <w:rPr>
                <w:sz w:val="20"/>
                <w:szCs w:val="20"/>
              </w:rPr>
              <w:t>ncy</w:t>
            </w:r>
            <w:r>
              <w:rPr>
                <w:sz w:val="20"/>
                <w:szCs w:val="20"/>
              </w:rPr>
              <w:t xml:space="preserve"> violation (negative)</w:t>
            </w:r>
          </w:p>
        </w:tc>
        <w:tc>
          <w:tcPr>
            <w:tcW w:w="709" w:type="dxa"/>
            <w:tcBorders>
              <w:top w:val="nil"/>
              <w:left w:val="nil"/>
              <w:bottom w:val="nil"/>
              <w:right w:val="nil"/>
            </w:tcBorders>
          </w:tcPr>
          <w:p w14:paraId="2A428EC6"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-0.01</w:t>
            </w:r>
          </w:p>
        </w:tc>
        <w:tc>
          <w:tcPr>
            <w:tcW w:w="709" w:type="dxa"/>
            <w:tcBorders>
              <w:top w:val="nil"/>
              <w:left w:val="nil"/>
              <w:bottom w:val="nil"/>
              <w:right w:val="nil"/>
            </w:tcBorders>
          </w:tcPr>
          <w:p w14:paraId="566C01B1"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1.00</w:t>
            </w:r>
          </w:p>
        </w:tc>
        <w:tc>
          <w:tcPr>
            <w:tcW w:w="709" w:type="dxa"/>
            <w:tcBorders>
              <w:top w:val="nil"/>
              <w:left w:val="nil"/>
              <w:bottom w:val="nil"/>
              <w:right w:val="nil"/>
            </w:tcBorders>
          </w:tcPr>
          <w:p w14:paraId="0889D33F" w14:textId="77777777" w:rsidR="00B00E5A" w:rsidRPr="003502AE" w:rsidRDefault="00B00E5A" w:rsidP="006524D0">
            <w:pPr>
              <w:widowControl w:val="0"/>
              <w:autoSpaceDE w:val="0"/>
              <w:autoSpaceDN w:val="0"/>
              <w:adjustRightInd w:val="0"/>
              <w:jc w:val="right"/>
              <w:rPr>
                <w:sz w:val="20"/>
                <w:szCs w:val="20"/>
              </w:rPr>
            </w:pPr>
          </w:p>
        </w:tc>
        <w:tc>
          <w:tcPr>
            <w:tcW w:w="708" w:type="dxa"/>
            <w:tcBorders>
              <w:top w:val="nil"/>
              <w:left w:val="nil"/>
              <w:bottom w:val="nil"/>
              <w:right w:val="nil"/>
            </w:tcBorders>
          </w:tcPr>
          <w:p w14:paraId="2A79D99A" w14:textId="77777777" w:rsidR="00B00E5A" w:rsidRPr="003502AE" w:rsidRDefault="00B00E5A" w:rsidP="006524D0">
            <w:pPr>
              <w:widowControl w:val="0"/>
              <w:autoSpaceDE w:val="0"/>
              <w:autoSpaceDN w:val="0"/>
              <w:adjustRightInd w:val="0"/>
              <w:jc w:val="right"/>
              <w:rPr>
                <w:sz w:val="20"/>
                <w:szCs w:val="20"/>
              </w:rPr>
            </w:pPr>
          </w:p>
        </w:tc>
        <w:tc>
          <w:tcPr>
            <w:tcW w:w="709" w:type="dxa"/>
            <w:tcBorders>
              <w:top w:val="nil"/>
              <w:left w:val="nil"/>
              <w:bottom w:val="nil"/>
              <w:right w:val="nil"/>
            </w:tcBorders>
          </w:tcPr>
          <w:p w14:paraId="1F9DA7E3" w14:textId="77777777" w:rsidR="00B00E5A" w:rsidRPr="003502AE" w:rsidRDefault="00B00E5A" w:rsidP="006524D0">
            <w:pPr>
              <w:widowControl w:val="0"/>
              <w:autoSpaceDE w:val="0"/>
              <w:autoSpaceDN w:val="0"/>
              <w:adjustRightInd w:val="0"/>
              <w:jc w:val="right"/>
              <w:rPr>
                <w:sz w:val="20"/>
                <w:szCs w:val="20"/>
              </w:rPr>
            </w:pPr>
          </w:p>
        </w:tc>
        <w:tc>
          <w:tcPr>
            <w:tcW w:w="709" w:type="dxa"/>
            <w:tcBorders>
              <w:top w:val="nil"/>
              <w:left w:val="nil"/>
              <w:bottom w:val="nil"/>
              <w:right w:val="nil"/>
            </w:tcBorders>
          </w:tcPr>
          <w:p w14:paraId="7E3E791E" w14:textId="77777777" w:rsidR="00B00E5A" w:rsidRPr="003502AE" w:rsidRDefault="00B00E5A" w:rsidP="006524D0">
            <w:pPr>
              <w:widowControl w:val="0"/>
              <w:autoSpaceDE w:val="0"/>
              <w:autoSpaceDN w:val="0"/>
              <w:adjustRightInd w:val="0"/>
              <w:jc w:val="right"/>
              <w:rPr>
                <w:sz w:val="20"/>
                <w:szCs w:val="20"/>
              </w:rPr>
            </w:pPr>
          </w:p>
        </w:tc>
        <w:tc>
          <w:tcPr>
            <w:tcW w:w="567" w:type="dxa"/>
            <w:tcBorders>
              <w:top w:val="nil"/>
              <w:left w:val="nil"/>
              <w:bottom w:val="nil"/>
              <w:right w:val="nil"/>
            </w:tcBorders>
          </w:tcPr>
          <w:p w14:paraId="3DB962F1" w14:textId="77777777" w:rsidR="00B00E5A" w:rsidRPr="003502AE" w:rsidRDefault="00B00E5A" w:rsidP="006524D0">
            <w:pPr>
              <w:widowControl w:val="0"/>
              <w:autoSpaceDE w:val="0"/>
              <w:autoSpaceDN w:val="0"/>
              <w:adjustRightInd w:val="0"/>
              <w:jc w:val="right"/>
              <w:rPr>
                <w:sz w:val="20"/>
                <w:szCs w:val="20"/>
              </w:rPr>
            </w:pPr>
          </w:p>
        </w:tc>
      </w:tr>
      <w:tr w:rsidR="00B00E5A" w:rsidRPr="003502AE" w14:paraId="5B36DB51" w14:textId="77777777" w:rsidTr="006524D0">
        <w:tc>
          <w:tcPr>
            <w:tcW w:w="4644" w:type="dxa"/>
            <w:tcBorders>
              <w:top w:val="nil"/>
              <w:left w:val="nil"/>
              <w:bottom w:val="nil"/>
              <w:right w:val="nil"/>
            </w:tcBorders>
          </w:tcPr>
          <w:p w14:paraId="3396EE12" w14:textId="2CF9B892" w:rsidR="00B00E5A" w:rsidRPr="003502AE" w:rsidRDefault="00B00E5A" w:rsidP="006524D0">
            <w:pPr>
              <w:widowControl w:val="0"/>
              <w:autoSpaceDE w:val="0"/>
              <w:autoSpaceDN w:val="0"/>
              <w:adjustRightInd w:val="0"/>
              <w:rPr>
                <w:sz w:val="20"/>
                <w:szCs w:val="20"/>
              </w:rPr>
            </w:pPr>
            <w:r w:rsidRPr="003502AE">
              <w:rPr>
                <w:sz w:val="20"/>
                <w:szCs w:val="20"/>
              </w:rPr>
              <w:t xml:space="preserve">(3) </w:t>
            </w:r>
            <w:r>
              <w:rPr>
                <w:sz w:val="20"/>
                <w:szCs w:val="20"/>
              </w:rPr>
              <w:t>Prescriptive expecta</w:t>
            </w:r>
            <w:r w:rsidR="00B96EC6">
              <w:rPr>
                <w:sz w:val="20"/>
                <w:szCs w:val="20"/>
              </w:rPr>
              <w:t>ncy</w:t>
            </w:r>
            <w:r>
              <w:rPr>
                <w:sz w:val="20"/>
                <w:szCs w:val="20"/>
              </w:rPr>
              <w:t xml:space="preserve"> violation (past performance: difference)</w:t>
            </w:r>
          </w:p>
        </w:tc>
        <w:tc>
          <w:tcPr>
            <w:tcW w:w="709" w:type="dxa"/>
            <w:tcBorders>
              <w:top w:val="nil"/>
              <w:left w:val="nil"/>
              <w:bottom w:val="nil"/>
              <w:right w:val="nil"/>
            </w:tcBorders>
          </w:tcPr>
          <w:p w14:paraId="4037E575"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-0.3</w:t>
            </w:r>
            <w:r>
              <w:rPr>
                <w:sz w:val="20"/>
                <w:szCs w:val="20"/>
              </w:rPr>
              <w:t>7</w:t>
            </w:r>
          </w:p>
        </w:tc>
        <w:tc>
          <w:tcPr>
            <w:tcW w:w="709" w:type="dxa"/>
            <w:tcBorders>
              <w:top w:val="nil"/>
              <w:left w:val="nil"/>
              <w:bottom w:val="nil"/>
              <w:right w:val="nil"/>
            </w:tcBorders>
          </w:tcPr>
          <w:p w14:paraId="3B6A86D5"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0.3</w:t>
            </w:r>
            <w:r>
              <w:rPr>
                <w:sz w:val="20"/>
                <w:szCs w:val="20"/>
              </w:rPr>
              <w:t>1</w:t>
            </w:r>
          </w:p>
        </w:tc>
        <w:tc>
          <w:tcPr>
            <w:tcW w:w="709" w:type="dxa"/>
            <w:tcBorders>
              <w:top w:val="nil"/>
              <w:left w:val="nil"/>
              <w:bottom w:val="nil"/>
              <w:right w:val="nil"/>
            </w:tcBorders>
          </w:tcPr>
          <w:p w14:paraId="00C35E3E"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1.00</w:t>
            </w:r>
          </w:p>
        </w:tc>
        <w:tc>
          <w:tcPr>
            <w:tcW w:w="708" w:type="dxa"/>
            <w:tcBorders>
              <w:top w:val="nil"/>
              <w:left w:val="nil"/>
              <w:bottom w:val="nil"/>
              <w:right w:val="nil"/>
            </w:tcBorders>
          </w:tcPr>
          <w:p w14:paraId="6203213A" w14:textId="77777777" w:rsidR="00B00E5A" w:rsidRPr="003502AE" w:rsidRDefault="00B00E5A" w:rsidP="006524D0">
            <w:pPr>
              <w:widowControl w:val="0"/>
              <w:autoSpaceDE w:val="0"/>
              <w:autoSpaceDN w:val="0"/>
              <w:adjustRightInd w:val="0"/>
              <w:jc w:val="right"/>
              <w:rPr>
                <w:sz w:val="20"/>
                <w:szCs w:val="20"/>
              </w:rPr>
            </w:pPr>
          </w:p>
        </w:tc>
        <w:tc>
          <w:tcPr>
            <w:tcW w:w="709" w:type="dxa"/>
            <w:tcBorders>
              <w:top w:val="nil"/>
              <w:left w:val="nil"/>
              <w:bottom w:val="nil"/>
              <w:right w:val="nil"/>
            </w:tcBorders>
          </w:tcPr>
          <w:p w14:paraId="2D1E8A76" w14:textId="77777777" w:rsidR="00B00E5A" w:rsidRPr="003502AE" w:rsidRDefault="00B00E5A" w:rsidP="006524D0">
            <w:pPr>
              <w:widowControl w:val="0"/>
              <w:autoSpaceDE w:val="0"/>
              <w:autoSpaceDN w:val="0"/>
              <w:adjustRightInd w:val="0"/>
              <w:jc w:val="right"/>
              <w:rPr>
                <w:sz w:val="20"/>
                <w:szCs w:val="20"/>
              </w:rPr>
            </w:pPr>
          </w:p>
        </w:tc>
        <w:tc>
          <w:tcPr>
            <w:tcW w:w="709" w:type="dxa"/>
            <w:tcBorders>
              <w:top w:val="nil"/>
              <w:left w:val="nil"/>
              <w:bottom w:val="nil"/>
              <w:right w:val="nil"/>
            </w:tcBorders>
          </w:tcPr>
          <w:p w14:paraId="07B28E63" w14:textId="77777777" w:rsidR="00B00E5A" w:rsidRPr="003502AE" w:rsidRDefault="00B00E5A" w:rsidP="006524D0">
            <w:pPr>
              <w:widowControl w:val="0"/>
              <w:autoSpaceDE w:val="0"/>
              <w:autoSpaceDN w:val="0"/>
              <w:adjustRightInd w:val="0"/>
              <w:jc w:val="right"/>
              <w:rPr>
                <w:sz w:val="20"/>
                <w:szCs w:val="20"/>
              </w:rPr>
            </w:pPr>
          </w:p>
        </w:tc>
        <w:tc>
          <w:tcPr>
            <w:tcW w:w="567" w:type="dxa"/>
            <w:tcBorders>
              <w:top w:val="nil"/>
              <w:left w:val="nil"/>
              <w:bottom w:val="nil"/>
              <w:right w:val="nil"/>
            </w:tcBorders>
          </w:tcPr>
          <w:p w14:paraId="680D244F" w14:textId="77777777" w:rsidR="00B00E5A" w:rsidRPr="003502AE" w:rsidRDefault="00B00E5A" w:rsidP="006524D0">
            <w:pPr>
              <w:widowControl w:val="0"/>
              <w:autoSpaceDE w:val="0"/>
              <w:autoSpaceDN w:val="0"/>
              <w:adjustRightInd w:val="0"/>
              <w:jc w:val="right"/>
              <w:rPr>
                <w:sz w:val="20"/>
                <w:szCs w:val="20"/>
              </w:rPr>
            </w:pPr>
          </w:p>
        </w:tc>
      </w:tr>
      <w:tr w:rsidR="00B00E5A" w:rsidRPr="003502AE" w14:paraId="64FF0C95" w14:textId="77777777" w:rsidTr="006524D0">
        <w:tc>
          <w:tcPr>
            <w:tcW w:w="4644" w:type="dxa"/>
            <w:tcBorders>
              <w:top w:val="nil"/>
              <w:left w:val="nil"/>
              <w:bottom w:val="nil"/>
              <w:right w:val="nil"/>
            </w:tcBorders>
          </w:tcPr>
          <w:p w14:paraId="62888C7D" w14:textId="29971F59" w:rsidR="00B00E5A" w:rsidRPr="003502AE" w:rsidRDefault="00B00E5A" w:rsidP="006524D0">
            <w:pPr>
              <w:widowControl w:val="0"/>
              <w:autoSpaceDE w:val="0"/>
              <w:autoSpaceDN w:val="0"/>
              <w:adjustRightInd w:val="0"/>
              <w:rPr>
                <w:sz w:val="20"/>
                <w:szCs w:val="20"/>
              </w:rPr>
            </w:pPr>
            <w:r w:rsidRPr="003502AE">
              <w:rPr>
                <w:sz w:val="20"/>
                <w:szCs w:val="20"/>
              </w:rPr>
              <w:t xml:space="preserve">(4) </w:t>
            </w:r>
            <w:r>
              <w:rPr>
                <w:sz w:val="20"/>
                <w:szCs w:val="20"/>
              </w:rPr>
              <w:t>Prescriptive expecta</w:t>
            </w:r>
            <w:r w:rsidR="00B96EC6">
              <w:rPr>
                <w:sz w:val="20"/>
                <w:szCs w:val="20"/>
              </w:rPr>
              <w:t>ncy</w:t>
            </w:r>
            <w:r>
              <w:rPr>
                <w:sz w:val="20"/>
                <w:szCs w:val="20"/>
              </w:rPr>
              <w:t xml:space="preserve"> violation (past performance: percentage difference)</w:t>
            </w:r>
          </w:p>
        </w:tc>
        <w:tc>
          <w:tcPr>
            <w:tcW w:w="709" w:type="dxa"/>
            <w:tcBorders>
              <w:top w:val="nil"/>
              <w:left w:val="nil"/>
              <w:bottom w:val="nil"/>
              <w:right w:val="nil"/>
            </w:tcBorders>
          </w:tcPr>
          <w:p w14:paraId="2B827DFD"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-0.31</w:t>
            </w:r>
          </w:p>
        </w:tc>
        <w:tc>
          <w:tcPr>
            <w:tcW w:w="709" w:type="dxa"/>
            <w:tcBorders>
              <w:top w:val="nil"/>
              <w:left w:val="nil"/>
              <w:bottom w:val="nil"/>
              <w:right w:val="nil"/>
            </w:tcBorders>
          </w:tcPr>
          <w:p w14:paraId="48281FF0"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0.14</w:t>
            </w:r>
          </w:p>
        </w:tc>
        <w:tc>
          <w:tcPr>
            <w:tcW w:w="709" w:type="dxa"/>
            <w:tcBorders>
              <w:top w:val="nil"/>
              <w:left w:val="nil"/>
              <w:bottom w:val="nil"/>
              <w:right w:val="nil"/>
            </w:tcBorders>
          </w:tcPr>
          <w:p w14:paraId="465E0989"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0.4</w:t>
            </w:r>
            <w:r>
              <w:rPr>
                <w:sz w:val="20"/>
                <w:szCs w:val="20"/>
              </w:rPr>
              <w:t>8</w:t>
            </w:r>
          </w:p>
        </w:tc>
        <w:tc>
          <w:tcPr>
            <w:tcW w:w="708" w:type="dxa"/>
            <w:tcBorders>
              <w:top w:val="nil"/>
              <w:left w:val="nil"/>
              <w:bottom w:val="nil"/>
              <w:right w:val="nil"/>
            </w:tcBorders>
          </w:tcPr>
          <w:p w14:paraId="20A0B453"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1.00</w:t>
            </w:r>
          </w:p>
        </w:tc>
        <w:tc>
          <w:tcPr>
            <w:tcW w:w="709" w:type="dxa"/>
            <w:tcBorders>
              <w:top w:val="nil"/>
              <w:left w:val="nil"/>
              <w:bottom w:val="nil"/>
              <w:right w:val="nil"/>
            </w:tcBorders>
          </w:tcPr>
          <w:p w14:paraId="503288AD" w14:textId="77777777" w:rsidR="00B00E5A" w:rsidRPr="003502AE" w:rsidRDefault="00B00E5A" w:rsidP="006524D0">
            <w:pPr>
              <w:widowControl w:val="0"/>
              <w:autoSpaceDE w:val="0"/>
              <w:autoSpaceDN w:val="0"/>
              <w:adjustRightInd w:val="0"/>
              <w:jc w:val="right"/>
              <w:rPr>
                <w:sz w:val="20"/>
                <w:szCs w:val="20"/>
              </w:rPr>
            </w:pPr>
          </w:p>
        </w:tc>
        <w:tc>
          <w:tcPr>
            <w:tcW w:w="709" w:type="dxa"/>
            <w:tcBorders>
              <w:top w:val="nil"/>
              <w:left w:val="nil"/>
              <w:bottom w:val="nil"/>
              <w:right w:val="nil"/>
            </w:tcBorders>
          </w:tcPr>
          <w:p w14:paraId="3DB23B5A" w14:textId="77777777" w:rsidR="00B00E5A" w:rsidRPr="003502AE" w:rsidRDefault="00B00E5A" w:rsidP="006524D0">
            <w:pPr>
              <w:widowControl w:val="0"/>
              <w:autoSpaceDE w:val="0"/>
              <w:autoSpaceDN w:val="0"/>
              <w:adjustRightInd w:val="0"/>
              <w:jc w:val="right"/>
              <w:rPr>
                <w:sz w:val="20"/>
                <w:szCs w:val="20"/>
              </w:rPr>
            </w:pPr>
          </w:p>
        </w:tc>
        <w:tc>
          <w:tcPr>
            <w:tcW w:w="567" w:type="dxa"/>
            <w:tcBorders>
              <w:top w:val="nil"/>
              <w:left w:val="nil"/>
              <w:bottom w:val="nil"/>
              <w:right w:val="nil"/>
            </w:tcBorders>
          </w:tcPr>
          <w:p w14:paraId="799BB1C0" w14:textId="77777777" w:rsidR="00B00E5A" w:rsidRPr="003502AE" w:rsidRDefault="00B00E5A" w:rsidP="006524D0">
            <w:pPr>
              <w:widowControl w:val="0"/>
              <w:autoSpaceDE w:val="0"/>
              <w:autoSpaceDN w:val="0"/>
              <w:adjustRightInd w:val="0"/>
              <w:jc w:val="right"/>
              <w:rPr>
                <w:sz w:val="20"/>
                <w:szCs w:val="20"/>
              </w:rPr>
            </w:pPr>
          </w:p>
        </w:tc>
      </w:tr>
      <w:tr w:rsidR="00B00E5A" w:rsidRPr="003502AE" w14:paraId="16265D01" w14:textId="77777777" w:rsidTr="006524D0">
        <w:tc>
          <w:tcPr>
            <w:tcW w:w="4644" w:type="dxa"/>
            <w:tcBorders>
              <w:top w:val="nil"/>
              <w:left w:val="nil"/>
              <w:bottom w:val="nil"/>
              <w:right w:val="nil"/>
            </w:tcBorders>
          </w:tcPr>
          <w:p w14:paraId="27929775" w14:textId="0D7C308B" w:rsidR="00B00E5A" w:rsidRPr="003502AE" w:rsidRDefault="00B00E5A" w:rsidP="006524D0">
            <w:pPr>
              <w:widowControl w:val="0"/>
              <w:autoSpaceDE w:val="0"/>
              <w:autoSpaceDN w:val="0"/>
              <w:adjustRightInd w:val="0"/>
              <w:rPr>
                <w:sz w:val="20"/>
                <w:szCs w:val="20"/>
              </w:rPr>
            </w:pPr>
            <w:r w:rsidRPr="003502AE">
              <w:rPr>
                <w:sz w:val="20"/>
                <w:szCs w:val="20"/>
              </w:rPr>
              <w:t xml:space="preserve">(5) </w:t>
            </w:r>
            <w:r>
              <w:rPr>
                <w:sz w:val="20"/>
                <w:szCs w:val="20"/>
              </w:rPr>
              <w:t>Prescriptive expecta</w:t>
            </w:r>
            <w:r w:rsidR="00B96EC6">
              <w:rPr>
                <w:sz w:val="20"/>
                <w:szCs w:val="20"/>
              </w:rPr>
              <w:t>ncy</w:t>
            </w:r>
            <w:r>
              <w:rPr>
                <w:sz w:val="20"/>
                <w:szCs w:val="20"/>
              </w:rPr>
              <w:t xml:space="preserve"> violation (peer comparisons: difference)</w:t>
            </w:r>
          </w:p>
        </w:tc>
        <w:tc>
          <w:tcPr>
            <w:tcW w:w="709" w:type="dxa"/>
            <w:tcBorders>
              <w:top w:val="nil"/>
              <w:left w:val="nil"/>
              <w:bottom w:val="nil"/>
              <w:right w:val="nil"/>
            </w:tcBorders>
          </w:tcPr>
          <w:p w14:paraId="3DC9297D"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-0.40</w:t>
            </w:r>
          </w:p>
        </w:tc>
        <w:tc>
          <w:tcPr>
            <w:tcW w:w="709" w:type="dxa"/>
            <w:tcBorders>
              <w:top w:val="nil"/>
              <w:left w:val="nil"/>
              <w:bottom w:val="nil"/>
              <w:right w:val="nil"/>
            </w:tcBorders>
          </w:tcPr>
          <w:p w14:paraId="69496CE9"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0.3</w:t>
            </w:r>
            <w:r>
              <w:rPr>
                <w:sz w:val="20"/>
                <w:szCs w:val="20"/>
              </w:rPr>
              <w:t>3</w:t>
            </w:r>
          </w:p>
        </w:tc>
        <w:tc>
          <w:tcPr>
            <w:tcW w:w="709" w:type="dxa"/>
            <w:tcBorders>
              <w:top w:val="nil"/>
              <w:left w:val="nil"/>
              <w:bottom w:val="nil"/>
              <w:right w:val="nil"/>
            </w:tcBorders>
          </w:tcPr>
          <w:p w14:paraId="40E411F1"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0.49</w:t>
            </w:r>
          </w:p>
        </w:tc>
        <w:tc>
          <w:tcPr>
            <w:tcW w:w="708" w:type="dxa"/>
            <w:tcBorders>
              <w:top w:val="nil"/>
              <w:left w:val="nil"/>
              <w:bottom w:val="nil"/>
              <w:right w:val="nil"/>
            </w:tcBorders>
          </w:tcPr>
          <w:p w14:paraId="08912897"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w:t>
            </w:r>
            <w:r>
              <w:rPr>
                <w:sz w:val="20"/>
                <w:szCs w:val="20"/>
              </w:rPr>
              <w:t>40</w:t>
            </w:r>
          </w:p>
        </w:tc>
        <w:tc>
          <w:tcPr>
            <w:tcW w:w="709" w:type="dxa"/>
            <w:tcBorders>
              <w:top w:val="nil"/>
              <w:left w:val="nil"/>
              <w:bottom w:val="nil"/>
              <w:right w:val="nil"/>
            </w:tcBorders>
          </w:tcPr>
          <w:p w14:paraId="43CEDAC2"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1.00</w:t>
            </w:r>
          </w:p>
        </w:tc>
        <w:tc>
          <w:tcPr>
            <w:tcW w:w="709" w:type="dxa"/>
            <w:tcBorders>
              <w:top w:val="nil"/>
              <w:left w:val="nil"/>
              <w:bottom w:val="nil"/>
              <w:right w:val="nil"/>
            </w:tcBorders>
          </w:tcPr>
          <w:p w14:paraId="71AB1D44" w14:textId="77777777" w:rsidR="00B00E5A" w:rsidRPr="003502AE" w:rsidRDefault="00B00E5A" w:rsidP="006524D0">
            <w:pPr>
              <w:widowControl w:val="0"/>
              <w:autoSpaceDE w:val="0"/>
              <w:autoSpaceDN w:val="0"/>
              <w:adjustRightInd w:val="0"/>
              <w:jc w:val="right"/>
              <w:rPr>
                <w:sz w:val="20"/>
                <w:szCs w:val="20"/>
              </w:rPr>
            </w:pPr>
          </w:p>
        </w:tc>
        <w:tc>
          <w:tcPr>
            <w:tcW w:w="567" w:type="dxa"/>
            <w:tcBorders>
              <w:top w:val="nil"/>
              <w:left w:val="nil"/>
              <w:bottom w:val="nil"/>
              <w:right w:val="nil"/>
            </w:tcBorders>
          </w:tcPr>
          <w:p w14:paraId="4C8E9CE8" w14:textId="77777777" w:rsidR="00B00E5A" w:rsidRPr="003502AE" w:rsidRDefault="00B00E5A" w:rsidP="006524D0">
            <w:pPr>
              <w:widowControl w:val="0"/>
              <w:autoSpaceDE w:val="0"/>
              <w:autoSpaceDN w:val="0"/>
              <w:adjustRightInd w:val="0"/>
              <w:jc w:val="right"/>
              <w:rPr>
                <w:sz w:val="20"/>
                <w:szCs w:val="20"/>
              </w:rPr>
            </w:pPr>
          </w:p>
        </w:tc>
      </w:tr>
      <w:tr w:rsidR="00B00E5A" w:rsidRPr="003502AE" w14:paraId="3ED88548" w14:textId="77777777" w:rsidTr="006524D0">
        <w:tc>
          <w:tcPr>
            <w:tcW w:w="4644" w:type="dxa"/>
            <w:tcBorders>
              <w:top w:val="nil"/>
              <w:left w:val="nil"/>
              <w:bottom w:val="nil"/>
              <w:right w:val="nil"/>
            </w:tcBorders>
          </w:tcPr>
          <w:p w14:paraId="58CAB858" w14:textId="5B073DD2" w:rsidR="00B00E5A" w:rsidRPr="003502AE" w:rsidRDefault="00B00E5A" w:rsidP="006524D0">
            <w:pPr>
              <w:widowControl w:val="0"/>
              <w:autoSpaceDE w:val="0"/>
              <w:autoSpaceDN w:val="0"/>
              <w:adjustRightInd w:val="0"/>
              <w:rPr>
                <w:sz w:val="20"/>
                <w:szCs w:val="20"/>
              </w:rPr>
            </w:pPr>
            <w:r w:rsidRPr="003502AE">
              <w:rPr>
                <w:sz w:val="20"/>
                <w:szCs w:val="20"/>
              </w:rPr>
              <w:t xml:space="preserve">(6) </w:t>
            </w:r>
            <w:r>
              <w:rPr>
                <w:sz w:val="20"/>
                <w:szCs w:val="20"/>
              </w:rPr>
              <w:t>Prescriptive expecta</w:t>
            </w:r>
            <w:r w:rsidR="00B96EC6">
              <w:rPr>
                <w:sz w:val="20"/>
                <w:szCs w:val="20"/>
              </w:rPr>
              <w:t>ncy</w:t>
            </w:r>
            <w:r>
              <w:rPr>
                <w:sz w:val="20"/>
                <w:szCs w:val="20"/>
              </w:rPr>
              <w:t xml:space="preserve"> violation (peer comparisons: percentage difference)</w:t>
            </w:r>
          </w:p>
        </w:tc>
        <w:tc>
          <w:tcPr>
            <w:tcW w:w="709" w:type="dxa"/>
            <w:tcBorders>
              <w:top w:val="nil"/>
              <w:left w:val="nil"/>
              <w:bottom w:val="nil"/>
              <w:right w:val="nil"/>
            </w:tcBorders>
          </w:tcPr>
          <w:p w14:paraId="740EDEA8"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-0.41</w:t>
            </w:r>
          </w:p>
        </w:tc>
        <w:tc>
          <w:tcPr>
            <w:tcW w:w="709" w:type="dxa"/>
            <w:tcBorders>
              <w:top w:val="nil"/>
              <w:left w:val="nil"/>
              <w:bottom w:val="nil"/>
              <w:right w:val="nil"/>
            </w:tcBorders>
          </w:tcPr>
          <w:p w14:paraId="7980D94D"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0.2</w:t>
            </w:r>
            <w:r>
              <w:rPr>
                <w:sz w:val="20"/>
                <w:szCs w:val="20"/>
              </w:rPr>
              <w:t>3</w:t>
            </w:r>
          </w:p>
        </w:tc>
        <w:tc>
          <w:tcPr>
            <w:tcW w:w="709" w:type="dxa"/>
            <w:tcBorders>
              <w:top w:val="nil"/>
              <w:left w:val="nil"/>
              <w:bottom w:val="nil"/>
              <w:right w:val="nil"/>
            </w:tcBorders>
          </w:tcPr>
          <w:p w14:paraId="5F1D4BFE"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0.42</w:t>
            </w:r>
          </w:p>
        </w:tc>
        <w:tc>
          <w:tcPr>
            <w:tcW w:w="708" w:type="dxa"/>
            <w:tcBorders>
              <w:top w:val="nil"/>
              <w:left w:val="nil"/>
              <w:bottom w:val="nil"/>
              <w:right w:val="nil"/>
            </w:tcBorders>
          </w:tcPr>
          <w:p w14:paraId="01F93435"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0.4</w:t>
            </w:r>
            <w:r>
              <w:rPr>
                <w:sz w:val="20"/>
                <w:szCs w:val="20"/>
              </w:rPr>
              <w:t>5</w:t>
            </w:r>
          </w:p>
        </w:tc>
        <w:tc>
          <w:tcPr>
            <w:tcW w:w="709" w:type="dxa"/>
            <w:tcBorders>
              <w:top w:val="nil"/>
              <w:left w:val="nil"/>
              <w:bottom w:val="nil"/>
              <w:right w:val="nil"/>
            </w:tcBorders>
          </w:tcPr>
          <w:p w14:paraId="50547C11"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0.60</w:t>
            </w:r>
          </w:p>
        </w:tc>
        <w:tc>
          <w:tcPr>
            <w:tcW w:w="709" w:type="dxa"/>
            <w:tcBorders>
              <w:top w:val="nil"/>
              <w:left w:val="nil"/>
              <w:bottom w:val="nil"/>
              <w:right w:val="nil"/>
            </w:tcBorders>
          </w:tcPr>
          <w:p w14:paraId="54287577"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1.00</w:t>
            </w:r>
          </w:p>
        </w:tc>
        <w:tc>
          <w:tcPr>
            <w:tcW w:w="567" w:type="dxa"/>
            <w:tcBorders>
              <w:top w:val="nil"/>
              <w:left w:val="nil"/>
              <w:bottom w:val="nil"/>
              <w:right w:val="nil"/>
            </w:tcBorders>
          </w:tcPr>
          <w:p w14:paraId="2F2F262E" w14:textId="77777777" w:rsidR="00B00E5A" w:rsidRPr="003502AE" w:rsidRDefault="00B00E5A" w:rsidP="006524D0">
            <w:pPr>
              <w:widowControl w:val="0"/>
              <w:autoSpaceDE w:val="0"/>
              <w:autoSpaceDN w:val="0"/>
              <w:adjustRightInd w:val="0"/>
              <w:jc w:val="right"/>
              <w:rPr>
                <w:sz w:val="20"/>
                <w:szCs w:val="20"/>
              </w:rPr>
            </w:pPr>
          </w:p>
        </w:tc>
      </w:tr>
      <w:tr w:rsidR="00B00E5A" w:rsidRPr="003502AE" w14:paraId="1DA695CD" w14:textId="77777777" w:rsidTr="006524D0">
        <w:tc>
          <w:tcPr>
            <w:tcW w:w="4644" w:type="dxa"/>
            <w:tcBorders>
              <w:top w:val="nil"/>
              <w:left w:val="nil"/>
              <w:bottom w:val="nil"/>
              <w:right w:val="nil"/>
            </w:tcBorders>
          </w:tcPr>
          <w:p w14:paraId="137DFB71" w14:textId="4F60FAE5" w:rsidR="00B00E5A" w:rsidRPr="003502AE" w:rsidRDefault="00B00E5A" w:rsidP="006524D0">
            <w:pPr>
              <w:widowControl w:val="0"/>
              <w:autoSpaceDE w:val="0"/>
              <w:autoSpaceDN w:val="0"/>
              <w:adjustRightInd w:val="0"/>
              <w:rPr>
                <w:sz w:val="20"/>
                <w:szCs w:val="20"/>
              </w:rPr>
            </w:pPr>
            <w:r w:rsidRPr="003502AE">
              <w:rPr>
                <w:sz w:val="20"/>
                <w:szCs w:val="20"/>
              </w:rPr>
              <w:t xml:space="preserve">(7) </w:t>
            </w:r>
            <w:r>
              <w:rPr>
                <w:sz w:val="20"/>
                <w:szCs w:val="20"/>
              </w:rPr>
              <w:t>Prospective expecta</w:t>
            </w:r>
            <w:r w:rsidR="00B96EC6">
              <w:rPr>
                <w:sz w:val="20"/>
                <w:szCs w:val="20"/>
              </w:rPr>
              <w:t>ncy</w:t>
            </w:r>
            <w:r>
              <w:rPr>
                <w:sz w:val="20"/>
                <w:szCs w:val="20"/>
              </w:rPr>
              <w:t xml:space="preserve"> violation</w:t>
            </w:r>
          </w:p>
        </w:tc>
        <w:tc>
          <w:tcPr>
            <w:tcW w:w="709" w:type="dxa"/>
            <w:tcBorders>
              <w:top w:val="nil"/>
              <w:left w:val="nil"/>
              <w:bottom w:val="nil"/>
              <w:right w:val="nil"/>
            </w:tcBorders>
          </w:tcPr>
          <w:p w14:paraId="6323E12F"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0.00</w:t>
            </w:r>
          </w:p>
        </w:tc>
        <w:tc>
          <w:tcPr>
            <w:tcW w:w="709" w:type="dxa"/>
            <w:tcBorders>
              <w:top w:val="nil"/>
              <w:left w:val="nil"/>
              <w:bottom w:val="nil"/>
              <w:right w:val="nil"/>
            </w:tcBorders>
          </w:tcPr>
          <w:p w14:paraId="7282BEAF"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-0.00</w:t>
            </w:r>
          </w:p>
        </w:tc>
        <w:tc>
          <w:tcPr>
            <w:tcW w:w="709" w:type="dxa"/>
            <w:tcBorders>
              <w:top w:val="nil"/>
              <w:left w:val="nil"/>
              <w:bottom w:val="nil"/>
              <w:right w:val="nil"/>
            </w:tcBorders>
          </w:tcPr>
          <w:p w14:paraId="1CDA2E05"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-0.0</w:t>
            </w:r>
            <w:r>
              <w:rPr>
                <w:sz w:val="20"/>
                <w:szCs w:val="20"/>
              </w:rPr>
              <w:t>1</w:t>
            </w:r>
          </w:p>
        </w:tc>
        <w:tc>
          <w:tcPr>
            <w:tcW w:w="708" w:type="dxa"/>
            <w:tcBorders>
              <w:top w:val="nil"/>
              <w:left w:val="nil"/>
              <w:bottom w:val="nil"/>
              <w:right w:val="nil"/>
            </w:tcBorders>
          </w:tcPr>
          <w:p w14:paraId="792445C3"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-0.02</w:t>
            </w:r>
          </w:p>
        </w:tc>
        <w:tc>
          <w:tcPr>
            <w:tcW w:w="709" w:type="dxa"/>
            <w:tcBorders>
              <w:top w:val="nil"/>
              <w:left w:val="nil"/>
              <w:bottom w:val="nil"/>
              <w:right w:val="nil"/>
            </w:tcBorders>
          </w:tcPr>
          <w:p w14:paraId="7F9542C5"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-0.01</w:t>
            </w:r>
          </w:p>
        </w:tc>
        <w:tc>
          <w:tcPr>
            <w:tcW w:w="709" w:type="dxa"/>
            <w:tcBorders>
              <w:top w:val="nil"/>
              <w:left w:val="nil"/>
              <w:bottom w:val="nil"/>
              <w:right w:val="nil"/>
            </w:tcBorders>
          </w:tcPr>
          <w:p w14:paraId="1C2F865D"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-0.03</w:t>
            </w:r>
          </w:p>
        </w:tc>
        <w:tc>
          <w:tcPr>
            <w:tcW w:w="567" w:type="dxa"/>
            <w:tcBorders>
              <w:top w:val="nil"/>
              <w:left w:val="nil"/>
              <w:bottom w:val="nil"/>
              <w:right w:val="nil"/>
            </w:tcBorders>
          </w:tcPr>
          <w:p w14:paraId="66426EEE" w14:textId="77777777" w:rsidR="00B00E5A" w:rsidRPr="003502AE" w:rsidRDefault="00B00E5A" w:rsidP="006524D0">
            <w:pPr>
              <w:widowControl w:val="0"/>
              <w:autoSpaceDE w:val="0"/>
              <w:autoSpaceDN w:val="0"/>
              <w:adjustRightInd w:val="0"/>
              <w:jc w:val="right"/>
              <w:rPr>
                <w:sz w:val="20"/>
                <w:szCs w:val="20"/>
              </w:rPr>
            </w:pPr>
            <w:r w:rsidRPr="003502AE">
              <w:rPr>
                <w:sz w:val="20"/>
                <w:szCs w:val="20"/>
              </w:rPr>
              <w:t>1.00</w:t>
            </w:r>
          </w:p>
        </w:tc>
      </w:tr>
      <w:tr w:rsidR="00B00E5A" w:rsidRPr="003502AE" w14:paraId="5D3A3A34" w14:textId="77777777" w:rsidTr="006524D0">
        <w:tc>
          <w:tcPr>
            <w:tcW w:w="9464" w:type="dxa"/>
            <w:gridSpan w:val="8"/>
            <w:tcBorders>
              <w:top w:val="single" w:sz="6" w:space="0" w:color="auto"/>
              <w:left w:val="nil"/>
              <w:bottom w:val="nil"/>
              <w:right w:val="nil"/>
            </w:tcBorders>
          </w:tcPr>
          <w:p w14:paraId="1ACD9E2F" w14:textId="77777777" w:rsidR="00B00E5A" w:rsidRPr="003502AE" w:rsidRDefault="00B00E5A" w:rsidP="006524D0">
            <w:pPr>
              <w:widowControl w:val="0"/>
              <w:autoSpaceDE w:val="0"/>
              <w:autoSpaceDN w:val="0"/>
              <w:adjustRightInd w:val="0"/>
              <w:rPr>
                <w:sz w:val="20"/>
                <w:szCs w:val="20"/>
              </w:rPr>
            </w:pPr>
          </w:p>
        </w:tc>
      </w:tr>
    </w:tbl>
    <w:p w14:paraId="5877802E" w14:textId="0421EB86" w:rsidR="00531108" w:rsidRDefault="00531108" w:rsidP="00B00E5A">
      <w:pPr>
        <w:spacing w:after="160" w:line="278" w:lineRule="auto"/>
        <w:rPr>
          <w:b/>
          <w:bCs/>
        </w:rPr>
      </w:pPr>
      <w:r>
        <w:rPr>
          <w:b/>
          <w:bCs/>
        </w:rPr>
        <w:t>Figure A</w:t>
      </w:r>
      <w:r w:rsidR="00685C0F">
        <w:rPr>
          <w:rFonts w:hint="eastAsia"/>
          <w:b/>
          <w:bCs/>
        </w:rPr>
        <w:t>1</w:t>
      </w:r>
      <w:r>
        <w:rPr>
          <w:b/>
          <w:bCs/>
        </w:rPr>
        <w:t xml:space="preserve">. </w:t>
      </w:r>
      <w:r w:rsidRPr="007E5637">
        <w:rPr>
          <w:b/>
          <w:bCs/>
        </w:rPr>
        <w:t xml:space="preserve">Marginal effects of </w:t>
      </w:r>
      <w:r>
        <w:rPr>
          <w:b/>
          <w:bCs/>
        </w:rPr>
        <w:t>prescriptive expecta</w:t>
      </w:r>
      <w:r w:rsidR="00B96EC6">
        <w:rPr>
          <w:b/>
          <w:bCs/>
        </w:rPr>
        <w:t>ncy</w:t>
      </w:r>
      <w:r>
        <w:rPr>
          <w:b/>
          <w:bCs/>
        </w:rPr>
        <w:t xml:space="preserve"> violation (peer </w:t>
      </w:r>
      <w:r w:rsidR="00012026">
        <w:rPr>
          <w:b/>
          <w:bCs/>
        </w:rPr>
        <w:t>comparison</w:t>
      </w:r>
      <w:r>
        <w:rPr>
          <w:b/>
          <w:bCs/>
        </w:rPr>
        <w:t>)</w:t>
      </w:r>
      <w:r w:rsidRPr="007E5637">
        <w:rPr>
          <w:b/>
          <w:bCs/>
        </w:rPr>
        <w:t xml:space="preserve"> </w:t>
      </w:r>
      <w:r>
        <w:rPr>
          <w:b/>
          <w:bCs/>
        </w:rPr>
        <w:t xml:space="preserve">moderated by </w:t>
      </w:r>
      <w:r w:rsidR="00012026">
        <w:rPr>
          <w:b/>
          <w:bCs/>
        </w:rPr>
        <w:t xml:space="preserve">average </w:t>
      </w:r>
      <w:r>
        <w:rPr>
          <w:b/>
          <w:bCs/>
        </w:rPr>
        <w:t>institutional investor portfolio size</w:t>
      </w:r>
    </w:p>
    <w:p w14:paraId="756FD738" w14:textId="6162E7B2" w:rsidR="00531108" w:rsidRDefault="00685C0F" w:rsidP="00531108">
      <w:pPr>
        <w:spacing w:before="240" w:after="120"/>
        <w:jc w:val="center"/>
        <w:rPr>
          <w:b/>
          <w:bCs/>
        </w:rPr>
      </w:pPr>
      <w:r w:rsidRPr="00685C0F">
        <w:rPr>
          <w:b/>
          <w:bCs/>
          <w:noProof/>
        </w:rPr>
        <w:drawing>
          <wp:inline distT="0" distB="0" distL="0" distR="0" wp14:anchorId="2A5F9266" wp14:editId="3BF87355">
            <wp:extent cx="4597200" cy="2757600"/>
            <wp:effectExtent l="0" t="0" r="635" b="0"/>
            <wp:docPr id="916238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238650" name=""/>
                    <pic:cNvPicPr/>
                  </pic:nvPicPr>
                  <pic:blipFill>
                    <a:blip r:embed="rId12"/>
                    <a:stretch>
                      <a:fillRect/>
                    </a:stretch>
                  </pic:blipFill>
                  <pic:spPr>
                    <a:xfrm>
                      <a:off x="0" y="0"/>
                      <a:ext cx="4597200" cy="2757600"/>
                    </a:xfrm>
                    <a:prstGeom prst="rect">
                      <a:avLst/>
                    </a:prstGeom>
                  </pic:spPr>
                </pic:pic>
              </a:graphicData>
            </a:graphic>
          </wp:inline>
        </w:drawing>
      </w:r>
    </w:p>
    <w:p w14:paraId="34BD2D16" w14:textId="2012B8ED" w:rsidR="00531108" w:rsidRDefault="00531108" w:rsidP="002B3587">
      <w:pPr>
        <w:spacing w:before="240" w:after="120"/>
        <w:jc w:val="both"/>
        <w:rPr>
          <w:sz w:val="20"/>
          <w:szCs w:val="20"/>
        </w:rPr>
      </w:pPr>
      <w:r w:rsidRPr="00E43D28">
        <w:rPr>
          <w:i/>
          <w:iCs/>
          <w:sz w:val="20"/>
          <w:szCs w:val="20"/>
        </w:rPr>
        <w:t>Note</w:t>
      </w:r>
      <w:r w:rsidRPr="00E43D28">
        <w:rPr>
          <w:rFonts w:hint="eastAsia"/>
          <w:sz w:val="20"/>
          <w:szCs w:val="20"/>
        </w:rPr>
        <w:t>: Confidence intervals were constructed at the 9</w:t>
      </w:r>
      <w:r w:rsidR="00012026">
        <w:rPr>
          <w:sz w:val="20"/>
          <w:szCs w:val="20"/>
        </w:rPr>
        <w:t>0</w:t>
      </w:r>
      <w:r w:rsidRPr="00E43D28">
        <w:rPr>
          <w:rFonts w:hint="eastAsia"/>
          <w:sz w:val="20"/>
          <w:szCs w:val="20"/>
        </w:rPr>
        <w:t xml:space="preserve">% level in the figure. </w:t>
      </w:r>
      <w:r w:rsidRPr="00E43D28">
        <w:rPr>
          <w:sz w:val="20"/>
          <w:szCs w:val="20"/>
        </w:rPr>
        <w:t>To mitigate the impact of extreme values, we cap</w:t>
      </w:r>
      <w:r w:rsidRPr="00E43D28">
        <w:rPr>
          <w:rFonts w:hint="eastAsia"/>
          <w:sz w:val="20"/>
          <w:szCs w:val="20"/>
        </w:rPr>
        <w:t>ped</w:t>
      </w:r>
      <w:r w:rsidRPr="00E43D28">
        <w:rPr>
          <w:sz w:val="20"/>
          <w:szCs w:val="20"/>
        </w:rPr>
        <w:t xml:space="preserve"> the minimum value </w:t>
      </w:r>
      <w:r>
        <w:rPr>
          <w:sz w:val="20"/>
          <w:szCs w:val="20"/>
        </w:rPr>
        <w:t xml:space="preserve">of institutional investor portfolio size </w:t>
      </w:r>
      <w:r w:rsidRPr="00E43D28">
        <w:rPr>
          <w:sz w:val="20"/>
          <w:szCs w:val="20"/>
        </w:rPr>
        <w:t>in the figure at the 1</w:t>
      </w:r>
      <w:r w:rsidRPr="00E43D28">
        <w:rPr>
          <w:sz w:val="20"/>
          <w:szCs w:val="20"/>
          <w:vertAlign w:val="superscript"/>
        </w:rPr>
        <w:t>st</w:t>
      </w:r>
      <w:r w:rsidRPr="00E43D28">
        <w:rPr>
          <w:sz w:val="20"/>
          <w:szCs w:val="20"/>
        </w:rPr>
        <w:t xml:space="preserve"> percentile and the maximum value in the figure at the 99</w:t>
      </w:r>
      <w:r w:rsidRPr="00E43D28">
        <w:rPr>
          <w:sz w:val="20"/>
          <w:szCs w:val="20"/>
          <w:vertAlign w:val="superscript"/>
        </w:rPr>
        <w:t>th</w:t>
      </w:r>
      <w:r w:rsidRPr="00E43D28">
        <w:rPr>
          <w:sz w:val="20"/>
          <w:szCs w:val="20"/>
        </w:rPr>
        <w:t xml:space="preserve"> percentile.</w:t>
      </w:r>
    </w:p>
    <w:p w14:paraId="3A6342E9" w14:textId="7D51EAA6" w:rsidR="00A07199" w:rsidRDefault="00A07199">
      <w:pPr>
        <w:spacing w:after="160" w:line="278" w:lineRule="auto"/>
        <w:rPr>
          <w:sz w:val="20"/>
          <w:szCs w:val="20"/>
        </w:rPr>
      </w:pPr>
      <w:r>
        <w:rPr>
          <w:sz w:val="20"/>
          <w:szCs w:val="20"/>
        </w:rPr>
        <w:br w:type="page"/>
      </w:r>
    </w:p>
    <w:p w14:paraId="4AA3CDFA" w14:textId="4765B433" w:rsidR="00151979" w:rsidRDefault="00C405E7" w:rsidP="00151979">
      <w:pPr>
        <w:spacing w:before="240" w:after="120"/>
        <w:rPr>
          <w:sz w:val="20"/>
          <w:szCs w:val="20"/>
        </w:rPr>
      </w:pPr>
      <w:r w:rsidRPr="00C405E7">
        <w:rPr>
          <w:b/>
          <w:bCs/>
          <w:sz w:val="20"/>
          <w:szCs w:val="20"/>
        </w:rPr>
        <w:lastRenderedPageBreak/>
        <w:t>Yuri Mishina</w:t>
      </w:r>
      <w:r>
        <w:rPr>
          <w:sz w:val="20"/>
          <w:szCs w:val="20"/>
        </w:rPr>
        <w:t xml:space="preserve"> (y.mishina@imperial.ac.uk)</w:t>
      </w:r>
      <w:r w:rsidRPr="00C405E7">
        <w:t xml:space="preserve"> </w:t>
      </w:r>
      <w:r w:rsidRPr="00C405E7">
        <w:rPr>
          <w:sz w:val="20"/>
          <w:szCs w:val="20"/>
        </w:rPr>
        <w:t>is an associate professor of organisational behaviour and strategy in the Department of Management and Entrepreneurship at Imperial Business School</w:t>
      </w:r>
      <w:r>
        <w:rPr>
          <w:sz w:val="20"/>
          <w:szCs w:val="20"/>
        </w:rPr>
        <w:t xml:space="preserve"> and an </w:t>
      </w:r>
      <w:r w:rsidRPr="00C405E7">
        <w:rPr>
          <w:sz w:val="20"/>
          <w:szCs w:val="20"/>
        </w:rPr>
        <w:t>International Research Fellow</w:t>
      </w:r>
      <w:r>
        <w:rPr>
          <w:sz w:val="20"/>
          <w:szCs w:val="20"/>
        </w:rPr>
        <w:t xml:space="preserve"> of the</w:t>
      </w:r>
      <w:r w:rsidRPr="00C405E7">
        <w:rPr>
          <w:sz w:val="20"/>
          <w:szCs w:val="20"/>
        </w:rPr>
        <w:t xml:space="preserve"> Oxford University Centre for Corporate Reputation</w:t>
      </w:r>
      <w:r>
        <w:rPr>
          <w:sz w:val="20"/>
          <w:szCs w:val="20"/>
        </w:rPr>
        <w:t xml:space="preserve">. </w:t>
      </w:r>
      <w:r w:rsidRPr="00C405E7">
        <w:rPr>
          <w:sz w:val="20"/>
          <w:szCs w:val="20"/>
        </w:rPr>
        <w:t>His research examines how top management team and stakeholder belief systems influence a firm’s strategic choices and outcomes.</w:t>
      </w:r>
    </w:p>
    <w:p w14:paraId="41892ED5" w14:textId="33A5FCA9" w:rsidR="00036723" w:rsidRDefault="00036723" w:rsidP="00151979">
      <w:pPr>
        <w:spacing w:before="240" w:after="120"/>
        <w:rPr>
          <w:sz w:val="20"/>
          <w:szCs w:val="20"/>
        </w:rPr>
      </w:pPr>
      <w:r w:rsidRPr="00036723">
        <w:rPr>
          <w:b/>
          <w:bCs/>
          <w:sz w:val="20"/>
          <w:szCs w:val="20"/>
        </w:rPr>
        <w:t>Maxine Yu</w:t>
      </w:r>
      <w:r w:rsidRPr="00036723">
        <w:rPr>
          <w:sz w:val="20"/>
          <w:szCs w:val="20"/>
        </w:rPr>
        <w:t xml:space="preserve"> (maxine.yu@neoma-bs.fr) is an assistant professor of strategy and entrepreneurship at NEOMA Business School. She received her PhD from Imperial Business School. Her research focuses on how social evaluations shape organizational decisions and outcomes, with a particular emphasis on negative events and actions.</w:t>
      </w:r>
    </w:p>
    <w:p w14:paraId="2D75A2B0" w14:textId="53FB71E2" w:rsidR="00036723" w:rsidRPr="002B3587" w:rsidRDefault="001D2F95" w:rsidP="00151979">
      <w:pPr>
        <w:spacing w:before="240" w:after="120"/>
        <w:rPr>
          <w:sz w:val="20"/>
          <w:szCs w:val="20"/>
        </w:rPr>
      </w:pPr>
      <w:r w:rsidRPr="001D2F95">
        <w:rPr>
          <w:b/>
          <w:bCs/>
          <w:sz w:val="20"/>
          <w:szCs w:val="20"/>
        </w:rPr>
        <w:t>David Gomulya, PhD</w:t>
      </w:r>
      <w:r w:rsidRPr="001D2F95">
        <w:rPr>
          <w:sz w:val="20"/>
          <w:szCs w:val="20"/>
        </w:rPr>
        <w:t xml:space="preserve"> (dgomulya@smu.edu.sg) is an Associate Professor of Strategy and Entrepreneurship at the Singapore Management University. His research centers on strategy, entrepreneurship, and organizations. His research aims to address major challenges that confront society in the foreseeable future: the sustainability and creation of opportunities through responsible business practices and entrepreneurship.</w:t>
      </w:r>
    </w:p>
    <w:sectPr w:rsidR="00036723" w:rsidRPr="002B3587" w:rsidSect="00B10202">
      <w:pgSz w:w="12240" w:h="15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131FA" w14:textId="77777777" w:rsidR="000C754C" w:rsidRDefault="000C754C" w:rsidP="00FF6053">
      <w:r>
        <w:separator/>
      </w:r>
    </w:p>
  </w:endnote>
  <w:endnote w:type="continuationSeparator" w:id="0">
    <w:p w14:paraId="7EDEE0DF" w14:textId="77777777" w:rsidR="000C754C" w:rsidRDefault="000C754C" w:rsidP="00FF6053">
      <w:r>
        <w:continuationSeparator/>
      </w:r>
    </w:p>
  </w:endnote>
  <w:endnote w:type="continuationNotice" w:id="1">
    <w:p w14:paraId="275FCCA9" w14:textId="77777777" w:rsidR="000C754C" w:rsidRDefault="000C75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Yu Gothic"/>
    <w:panose1 w:val="020B0604020202020204"/>
    <w:charset w:val="80"/>
    <w:family w:val="auto"/>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0434402"/>
      <w:docPartObj>
        <w:docPartGallery w:val="Page Numbers (Bottom of Page)"/>
        <w:docPartUnique/>
      </w:docPartObj>
    </w:sdtPr>
    <w:sdtContent>
      <w:p w14:paraId="2CDEE411" w14:textId="1A026C76" w:rsidR="0058511B" w:rsidRDefault="0058511B" w:rsidP="00732D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B6FB98" w14:textId="77777777" w:rsidR="0058511B" w:rsidRDefault="0058511B" w:rsidP="004A64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E72FF" w14:textId="77777777" w:rsidR="0058511B" w:rsidRPr="00671480" w:rsidRDefault="0058511B" w:rsidP="006714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E6C4F" w14:textId="77777777" w:rsidR="000C754C" w:rsidRDefault="000C754C" w:rsidP="00FF6053">
      <w:r>
        <w:separator/>
      </w:r>
    </w:p>
  </w:footnote>
  <w:footnote w:type="continuationSeparator" w:id="0">
    <w:p w14:paraId="3DB7539A" w14:textId="77777777" w:rsidR="000C754C" w:rsidRDefault="000C754C" w:rsidP="00FF6053">
      <w:r>
        <w:continuationSeparator/>
      </w:r>
    </w:p>
  </w:footnote>
  <w:footnote w:type="continuationNotice" w:id="1">
    <w:p w14:paraId="053304FE" w14:textId="77777777" w:rsidR="000C754C" w:rsidRDefault="000C754C"/>
  </w:footnote>
  <w:footnote w:id="2">
    <w:p w14:paraId="6586D920" w14:textId="697E450B" w:rsidR="00F7077D" w:rsidRDefault="00F7077D">
      <w:pPr>
        <w:pStyle w:val="FootnoteText"/>
      </w:pPr>
      <w:r>
        <w:rPr>
          <w:rStyle w:val="FootnoteReference"/>
        </w:rPr>
        <w:footnoteRef/>
      </w:r>
      <w:r>
        <w:t xml:space="preserve"> </w:t>
      </w:r>
      <w:r w:rsidRPr="00F22801">
        <w:rPr>
          <w:rFonts w:ascii="Times New Roman" w:hAnsi="Times New Roman" w:cs="Times New Roman"/>
        </w:rPr>
        <w:t xml:space="preserve">Although called expectancy violations theory, even Burgoon, its originator, seems to use the terms expectancy and expectations </w:t>
      </w:r>
      <w:proofErr w:type="gramStart"/>
      <w:r w:rsidRPr="00F22801">
        <w:rPr>
          <w:rFonts w:ascii="Times New Roman" w:hAnsi="Times New Roman" w:cs="Times New Roman"/>
        </w:rPr>
        <w:t>more or less interchangeably</w:t>
      </w:r>
      <w:proofErr w:type="gramEnd"/>
      <w:r w:rsidRPr="00F22801">
        <w:rPr>
          <w:rFonts w:ascii="Times New Roman" w:hAnsi="Times New Roman" w:cs="Times New Roman"/>
        </w:rPr>
        <w:t xml:space="preserve">. For example, the title of one of her articles we cite is “Interpersonal </w:t>
      </w:r>
      <w:r w:rsidRPr="00557C93">
        <w:rPr>
          <w:rFonts w:ascii="Times New Roman" w:hAnsi="Times New Roman" w:cs="Times New Roman"/>
          <w:i/>
          <w:iCs/>
        </w:rPr>
        <w:t>expectations</w:t>
      </w:r>
      <w:r w:rsidRPr="00F22801">
        <w:rPr>
          <w:rFonts w:ascii="Times New Roman" w:hAnsi="Times New Roman" w:cs="Times New Roman"/>
        </w:rPr>
        <w:t xml:space="preserve">, expectancy violations, and emotional communication” (Burgoon, 1993; emphasis added), and writes in another that “Expectancy violations theory (EVT; Burgoon, 1993; Burgoon &amp; Jones, 1976) is an interpersonal communication theory that makes the counterintuitive claim that violations of expectations are sometimes preferable to confirmations of expectations,” (Burgoon, 2015, p. 1) and that “Unmet expectations are </w:t>
      </w:r>
      <w:r w:rsidRPr="00557C93">
        <w:rPr>
          <w:rFonts w:ascii="Times New Roman" w:hAnsi="Times New Roman" w:cs="Times New Roman"/>
          <w:i/>
          <w:iCs/>
        </w:rPr>
        <w:t>expectancy violations</w:t>
      </w:r>
      <w:r w:rsidRPr="00F22801">
        <w:rPr>
          <w:rFonts w:ascii="Times New Roman" w:hAnsi="Times New Roman" w:cs="Times New Roman"/>
        </w:rPr>
        <w:t xml:space="preserve">; met expectations are </w:t>
      </w:r>
      <w:r w:rsidRPr="00557C93">
        <w:rPr>
          <w:rFonts w:ascii="Times New Roman" w:hAnsi="Times New Roman" w:cs="Times New Roman"/>
          <w:i/>
          <w:iCs/>
        </w:rPr>
        <w:t>expectancy confirmations</w:t>
      </w:r>
      <w:r w:rsidRPr="00F22801">
        <w:rPr>
          <w:rFonts w:ascii="Times New Roman" w:hAnsi="Times New Roman" w:cs="Times New Roman"/>
        </w:rPr>
        <w:t xml:space="preserve">” (2015, p. 3; emphasis in original). We thus refer to the theory as expectancy violations theory </w:t>
      </w:r>
      <w:r w:rsidR="00EC3959">
        <w:rPr>
          <w:rFonts w:ascii="Times New Roman" w:hAnsi="Times New Roman" w:cs="Times New Roman" w:hint="eastAsia"/>
        </w:rPr>
        <w:t xml:space="preserve">and unmet expectations as expectancy violations, </w:t>
      </w:r>
      <w:r w:rsidRPr="00F22801">
        <w:rPr>
          <w:rFonts w:ascii="Times New Roman" w:hAnsi="Times New Roman" w:cs="Times New Roman"/>
        </w:rPr>
        <w:t xml:space="preserve">but otherwise use the term expectations since that is more common in </w:t>
      </w:r>
      <w:r>
        <w:rPr>
          <w:rFonts w:ascii="Times New Roman" w:hAnsi="Times New Roman" w:cs="Times New Roman"/>
        </w:rPr>
        <w:t>the macro</w:t>
      </w:r>
      <w:r w:rsidR="002A3052">
        <w:rPr>
          <w:rFonts w:ascii="Times New Roman" w:hAnsi="Times New Roman" w:cs="Times New Roman"/>
        </w:rPr>
        <w:t>-</w:t>
      </w:r>
      <w:r>
        <w:rPr>
          <w:rFonts w:ascii="Times New Roman" w:hAnsi="Times New Roman" w:cs="Times New Roman"/>
        </w:rPr>
        <w:t>organizational</w:t>
      </w:r>
      <w:r w:rsidRPr="00F22801">
        <w:rPr>
          <w:rFonts w:ascii="Times New Roman" w:hAnsi="Times New Roman" w:cs="Times New Roman"/>
        </w:rPr>
        <w:t xml:space="preserve"> literature.</w:t>
      </w:r>
    </w:p>
  </w:footnote>
  <w:footnote w:id="3">
    <w:p w14:paraId="4BBE603B" w14:textId="77777777" w:rsidR="001F08B1" w:rsidRDefault="001F08B1" w:rsidP="001F08B1">
      <w:pPr>
        <w:pStyle w:val="FootnoteText"/>
      </w:pPr>
      <w:r>
        <w:rPr>
          <w:rStyle w:val="FootnoteReference"/>
        </w:rPr>
        <w:footnoteRef/>
      </w:r>
      <w:r>
        <w:t xml:space="preserve"> </w:t>
      </w:r>
      <w:r>
        <w:rPr>
          <w:rFonts w:ascii="Times New Roman" w:hAnsi="Times New Roman" w:cs="Times New Roman"/>
        </w:rPr>
        <w:t>We use the terms “behaviors” and “activities” interchangeably when referring to firm actions.</w:t>
      </w:r>
      <w:r w:rsidRPr="00891E62">
        <w:rPr>
          <w:rFonts w:ascii="Times New Roman" w:hAnsi="Times New Roman" w:cs="Times New Roman"/>
        </w:rPr>
        <w:t xml:space="preserve"> While the term </w:t>
      </w:r>
      <w:r>
        <w:rPr>
          <w:rFonts w:ascii="Times New Roman" w:hAnsi="Times New Roman" w:cs="Times New Roman"/>
        </w:rPr>
        <w:t>“</w:t>
      </w:r>
      <w:r w:rsidRPr="00891E62">
        <w:rPr>
          <w:rFonts w:ascii="Times New Roman" w:hAnsi="Times New Roman" w:cs="Times New Roman"/>
        </w:rPr>
        <w:t>behavior</w:t>
      </w:r>
      <w:r>
        <w:rPr>
          <w:rFonts w:ascii="Times New Roman" w:hAnsi="Times New Roman" w:cs="Times New Roman"/>
        </w:rPr>
        <w:t>”</w:t>
      </w:r>
      <w:r w:rsidRPr="00891E62">
        <w:rPr>
          <w:rFonts w:ascii="Times New Roman" w:hAnsi="Times New Roman" w:cs="Times New Roman"/>
        </w:rPr>
        <w:t xml:space="preserve"> is commonly used in prior EVT literature, </w:t>
      </w:r>
      <w:r>
        <w:rPr>
          <w:rFonts w:ascii="Times New Roman" w:hAnsi="Times New Roman" w:cs="Times New Roman"/>
        </w:rPr>
        <w:t xml:space="preserve">and </w:t>
      </w:r>
      <w:r w:rsidRPr="00891E62">
        <w:rPr>
          <w:rFonts w:ascii="Times New Roman" w:hAnsi="Times New Roman" w:cs="Times New Roman"/>
        </w:rPr>
        <w:t xml:space="preserve">particularly in micro-level studies, </w:t>
      </w:r>
      <w:r>
        <w:rPr>
          <w:rFonts w:ascii="Times New Roman" w:hAnsi="Times New Roman" w:cs="Times New Roman"/>
        </w:rPr>
        <w:t>the term “activities” might be more appropriate when discussing organizational actions because it often involves the actions and decisions of numerous individuals.</w:t>
      </w:r>
    </w:p>
  </w:footnote>
  <w:footnote w:id="4">
    <w:p w14:paraId="18649EB8" w14:textId="6A9D5C8A" w:rsidR="007967F8" w:rsidRPr="00C5530E" w:rsidRDefault="007967F8" w:rsidP="007967F8">
      <w:pPr>
        <w:pStyle w:val="FootnoteText"/>
        <w:rPr>
          <w:rFonts w:ascii="Times New Roman" w:hAnsi="Times New Roman" w:cs="Times New Roman"/>
        </w:rPr>
      </w:pPr>
      <w:r w:rsidRPr="00C5530E">
        <w:rPr>
          <w:rStyle w:val="FootnoteReference"/>
          <w:rFonts w:ascii="Times New Roman" w:hAnsi="Times New Roman" w:cs="Times New Roman"/>
        </w:rPr>
        <w:footnoteRef/>
      </w:r>
      <w:r w:rsidRPr="00C5530E">
        <w:rPr>
          <w:rFonts w:ascii="Times New Roman" w:hAnsi="Times New Roman" w:cs="Times New Roman"/>
        </w:rPr>
        <w:t xml:space="preserve"> </w:t>
      </w:r>
      <w:r>
        <w:rPr>
          <w:rFonts w:ascii="Times New Roman" w:hAnsi="Times New Roman" w:cs="Times New Roman"/>
        </w:rPr>
        <w:t>W</w:t>
      </w:r>
      <w:r w:rsidRPr="00C5530E">
        <w:rPr>
          <w:rFonts w:ascii="Times New Roman" w:hAnsi="Times New Roman" w:cs="Times New Roman"/>
        </w:rPr>
        <w:t xml:space="preserve">hile some have examined broad, </w:t>
      </w:r>
      <w:r w:rsidRPr="00BD2B2C">
        <w:rPr>
          <w:rFonts w:ascii="Times New Roman" w:hAnsi="Times New Roman" w:cs="Times New Roman"/>
          <w:lang w:val="en-US"/>
        </w:rPr>
        <w:t>behavioral</w:t>
      </w:r>
      <w:r w:rsidRPr="00C5530E">
        <w:rPr>
          <w:rFonts w:ascii="Times New Roman" w:hAnsi="Times New Roman" w:cs="Times New Roman"/>
        </w:rPr>
        <w:t xml:space="preserve"> expectations, </w:t>
      </w:r>
      <w:r w:rsidR="00DC6C56">
        <w:rPr>
          <w:rFonts w:ascii="Times New Roman" w:hAnsi="Times New Roman" w:cs="Times New Roman"/>
        </w:rPr>
        <w:t>e.g.,</w:t>
      </w:r>
      <w:r w:rsidRPr="00C5530E">
        <w:rPr>
          <w:rFonts w:ascii="Times New Roman" w:hAnsi="Times New Roman" w:cs="Times New Roman"/>
        </w:rPr>
        <w:t xml:space="preserve"> that firms should behave in ways that “increases profits” and “enhances shareholder value” (Graffin et al., 2016</w:t>
      </w:r>
      <w:r>
        <w:rPr>
          <w:rFonts w:ascii="Times New Roman" w:hAnsi="Times New Roman" w:cs="Times New Roman"/>
        </w:rPr>
        <w:t>:</w:t>
      </w:r>
      <w:r w:rsidRPr="00C5530E">
        <w:rPr>
          <w:rFonts w:ascii="Times New Roman" w:hAnsi="Times New Roman" w:cs="Times New Roman"/>
        </w:rPr>
        <w:t xml:space="preserve"> 236) or that firms will prioritize dividends versus growth (Blagoeva et al., 2020), Pfarrer and colleagues (2010) have extended EVT into </w:t>
      </w:r>
      <w:r w:rsidR="00671480">
        <w:rPr>
          <w:rFonts w:ascii="Times New Roman" w:hAnsi="Times New Roman" w:cs="Times New Roman"/>
        </w:rPr>
        <w:t>firm performance</w:t>
      </w:r>
      <w:r w:rsidRPr="00C5530E">
        <w:rPr>
          <w:rFonts w:ascii="Times New Roman" w:hAnsi="Times New Roman" w:cs="Times New Roman"/>
        </w:rPr>
        <w:t xml:space="preserve"> since, as a firm delivers or announces quarterly earnings, they are also delivering and announcing earnings that may be higher or lower than expected (Pfarrer et al., 2010). This would be akin to a conversation partner standing farther away or closer than expected or using more formal or more informal language than was expected for the conversation (Burgoon, 1993, 2015).</w:t>
      </w:r>
    </w:p>
  </w:footnote>
  <w:footnote w:id="5">
    <w:p w14:paraId="1C914BB2" w14:textId="58208C50" w:rsidR="00E9009E" w:rsidRPr="000A34E3" w:rsidRDefault="00E9009E">
      <w:pPr>
        <w:pStyle w:val="FootnoteText"/>
        <w:rPr>
          <w:rFonts w:ascii="Times New Roman" w:hAnsi="Times New Roman" w:cs="Times New Roman"/>
        </w:rPr>
      </w:pPr>
      <w:r w:rsidRPr="006C12F1">
        <w:rPr>
          <w:rStyle w:val="FootnoteReference"/>
          <w:rFonts w:ascii="Times New Roman" w:hAnsi="Times New Roman" w:cs="Times New Roman"/>
        </w:rPr>
        <w:footnoteRef/>
      </w:r>
      <w:r w:rsidRPr="006C12F1">
        <w:rPr>
          <w:rFonts w:ascii="Times New Roman" w:hAnsi="Times New Roman" w:cs="Times New Roman"/>
        </w:rPr>
        <w:t xml:space="preserve"> </w:t>
      </w:r>
      <w:r w:rsidR="000A34E3" w:rsidRPr="000A34E3">
        <w:rPr>
          <w:rFonts w:ascii="Times New Roman" w:hAnsi="Times New Roman" w:cs="Times New Roman"/>
        </w:rPr>
        <w:t>In our regression table and text, we reported coefficients rounded to two decimal places. However, when calculating effect size, we used the raw coefficient values, as some coefficients have non</w:t>
      </w:r>
      <w:r w:rsidR="007E0EB5">
        <w:rPr>
          <w:rFonts w:ascii="Times New Roman" w:hAnsi="Times New Roman" w:cs="Times New Roman"/>
        </w:rPr>
        <w:t>-</w:t>
      </w:r>
      <w:r w:rsidR="000A34E3" w:rsidRPr="000A34E3">
        <w:rPr>
          <w:rFonts w:ascii="Times New Roman" w:hAnsi="Times New Roman" w:cs="Times New Roman"/>
        </w:rPr>
        <w:t xml:space="preserve">zero values at or beyond the third decimal place. This difference in rounding may result in </w:t>
      </w:r>
      <w:r w:rsidR="000A34E3">
        <w:rPr>
          <w:rFonts w:ascii="Times New Roman" w:hAnsi="Times New Roman" w:cs="Times New Roman" w:hint="eastAsia"/>
        </w:rPr>
        <w:t>some</w:t>
      </w:r>
      <w:r w:rsidR="000A34E3" w:rsidRPr="000A34E3">
        <w:rPr>
          <w:rFonts w:ascii="Times New Roman" w:hAnsi="Times New Roman" w:cs="Times New Roman"/>
        </w:rPr>
        <w:t xml:space="preserve"> discrepancies in the reported effect sizes between the stepwise and full models.</w:t>
      </w:r>
    </w:p>
  </w:footnote>
  <w:footnote w:id="6">
    <w:p w14:paraId="5F5D39A6" w14:textId="5B081FFE" w:rsidR="00793FC7" w:rsidRDefault="00793FC7">
      <w:pPr>
        <w:pStyle w:val="FootnoteText"/>
      </w:pPr>
      <w:r>
        <w:rPr>
          <w:rStyle w:val="FootnoteReference"/>
        </w:rPr>
        <w:footnoteRef/>
      </w:r>
      <w:r>
        <w:t xml:space="preserve"> </w:t>
      </w:r>
      <w:r>
        <w:rPr>
          <w:rFonts w:ascii="Times New Roman" w:hAnsi="Times New Roman" w:cs="Times New Roman"/>
        </w:rPr>
        <w:t xml:space="preserve">Full </w:t>
      </w:r>
      <w:r w:rsidRPr="005706BE">
        <w:rPr>
          <w:rFonts w:ascii="Times New Roman" w:hAnsi="Times New Roman" w:cs="Times New Roman"/>
        </w:rPr>
        <w:t>results are available upon request.</w:t>
      </w:r>
    </w:p>
  </w:footnote>
  <w:footnote w:id="7">
    <w:p w14:paraId="521DBEE1" w14:textId="76F536ED" w:rsidR="00D03203" w:rsidRPr="00D03203" w:rsidRDefault="00D03203">
      <w:pPr>
        <w:pStyle w:val="FootnoteText"/>
        <w:rPr>
          <w:rFonts w:ascii="Times New Roman" w:hAnsi="Times New Roman" w:cs="Times New Roman"/>
        </w:rPr>
      </w:pPr>
      <w:r w:rsidRPr="00D03203">
        <w:rPr>
          <w:rStyle w:val="FootnoteReference"/>
          <w:rFonts w:ascii="Times New Roman" w:hAnsi="Times New Roman" w:cs="Times New Roman"/>
        </w:rPr>
        <w:footnoteRef/>
      </w:r>
      <w:r w:rsidRPr="00D03203">
        <w:rPr>
          <w:rFonts w:ascii="Times New Roman" w:hAnsi="Times New Roman" w:cs="Times New Roman"/>
        </w:rPr>
        <w:t xml:space="preserve"> </w:t>
      </w:r>
      <w:r w:rsidRPr="004A648B">
        <w:rPr>
          <w:rFonts w:ascii="Times New Roman" w:hAnsi="Times New Roman" w:cs="Times New Roman"/>
        </w:rPr>
        <w:t xml:space="preserve">A more conservative, </w:t>
      </w:r>
      <w:r w:rsidR="00EF7189">
        <w:rPr>
          <w:rFonts w:ascii="Times New Roman" w:hAnsi="Times New Roman" w:cs="Times New Roman"/>
        </w:rPr>
        <w:t>al</w:t>
      </w:r>
      <w:r w:rsidRPr="004A648B">
        <w:rPr>
          <w:rFonts w:ascii="Times New Roman" w:hAnsi="Times New Roman" w:cs="Times New Roman"/>
        </w:rPr>
        <w:t>though less precise, approach to constructing test statistics is to use zero-order correlations instead of partial correlations (Busenbark et al., 2021). Applying this alternative method, we reached the same conclusion: all test statistics remain below the ITCV values, indicating no presence of omitted variable bias.</w:t>
      </w:r>
    </w:p>
  </w:footnote>
  <w:footnote w:id="8">
    <w:p w14:paraId="6FE010B6" w14:textId="699B6EC0" w:rsidR="007B6919" w:rsidRPr="00192F99" w:rsidRDefault="007B6919">
      <w:pPr>
        <w:pStyle w:val="FootnoteText"/>
        <w:rPr>
          <w:lang w:val="en-US"/>
        </w:rPr>
      </w:pPr>
      <w:r>
        <w:rPr>
          <w:rStyle w:val="FootnoteReference"/>
        </w:rPr>
        <w:footnoteRef/>
      </w:r>
      <w:r>
        <w:t xml:space="preserve"> </w:t>
      </w:r>
      <w:r w:rsidRPr="00EB36E3">
        <w:rPr>
          <w:rFonts w:ascii="Times New Roman" w:hAnsi="Times New Roman" w:cs="Times New Roman"/>
        </w:rPr>
        <w:t>The condition number in the full model exceeds 30, indicating possible multicollinearity</w:t>
      </w:r>
      <w:r w:rsidRPr="006524D0">
        <w:rPr>
          <w:rFonts w:ascii="Times New Roman" w:hAnsi="Times New Roman" w:cs="Times New Roman"/>
        </w:rPr>
        <w:t>.</w:t>
      </w:r>
    </w:p>
  </w:footnote>
  <w:footnote w:id="9">
    <w:p w14:paraId="58C74E23" w14:textId="0C2C6D86" w:rsidR="009B6DE4" w:rsidRPr="008633EA" w:rsidRDefault="009B6DE4">
      <w:pPr>
        <w:pStyle w:val="FootnoteText"/>
        <w:rPr>
          <w:rFonts w:ascii="Times New Roman" w:hAnsi="Times New Roman" w:cs="Times New Roman"/>
        </w:rPr>
      </w:pPr>
      <w:r w:rsidRPr="008633EA">
        <w:rPr>
          <w:rStyle w:val="FootnoteReference"/>
          <w:rFonts w:ascii="Times New Roman" w:hAnsi="Times New Roman" w:cs="Times New Roman"/>
        </w:rPr>
        <w:footnoteRef/>
      </w:r>
      <w:r w:rsidRPr="008633EA">
        <w:rPr>
          <w:rFonts w:ascii="Times New Roman" w:hAnsi="Times New Roman" w:cs="Times New Roman"/>
        </w:rPr>
        <w:t xml:space="preserve"> </w:t>
      </w:r>
      <w:r w:rsidR="008C5862">
        <w:rPr>
          <w:rFonts w:ascii="Times New Roman" w:hAnsi="Times New Roman" w:cs="Times New Roman"/>
        </w:rPr>
        <w:t xml:space="preserve">As demonstrated, </w:t>
      </w:r>
      <w:r w:rsidR="008C5862" w:rsidRPr="008C5862">
        <w:rPr>
          <w:rFonts w:ascii="Times New Roman" w:hAnsi="Times New Roman" w:cs="Times New Roman"/>
        </w:rPr>
        <w:t xml:space="preserve">this variable reflects how many firms an average institutional investor of the focal firm invests in, rather than the number of institutional investors the focal firm has. </w:t>
      </w:r>
      <w:r w:rsidR="008C5862">
        <w:rPr>
          <w:rFonts w:ascii="Times New Roman" w:hAnsi="Times New Roman" w:cs="Times New Roman"/>
        </w:rPr>
        <w:t>For example,</w:t>
      </w:r>
      <w:r w:rsidR="008C5862" w:rsidRPr="008633EA">
        <w:rPr>
          <w:rFonts w:ascii="Times New Roman" w:hAnsi="Times New Roman" w:cs="Times New Roman"/>
        </w:rPr>
        <w:t xml:space="preserve"> </w:t>
      </w:r>
      <w:r>
        <w:rPr>
          <w:rFonts w:ascii="Times New Roman" w:hAnsi="Times New Roman" w:cs="Times New Roman"/>
        </w:rPr>
        <w:t xml:space="preserve">subtracting one from this number indicates how many </w:t>
      </w:r>
      <w:r w:rsidR="005054E6">
        <w:rPr>
          <w:rFonts w:ascii="Times New Roman" w:hAnsi="Times New Roman" w:cs="Times New Roman"/>
        </w:rPr>
        <w:t xml:space="preserve">additional </w:t>
      </w:r>
      <w:r>
        <w:rPr>
          <w:rFonts w:ascii="Times New Roman" w:hAnsi="Times New Roman" w:cs="Times New Roman"/>
        </w:rPr>
        <w:t xml:space="preserve">firms, other than the focal firm, </w:t>
      </w:r>
      <w:r w:rsidR="005054E6">
        <w:rPr>
          <w:rFonts w:ascii="Times New Roman" w:hAnsi="Times New Roman" w:cs="Times New Roman"/>
        </w:rPr>
        <w:t xml:space="preserve">the average </w:t>
      </w:r>
      <w:r>
        <w:rPr>
          <w:rFonts w:ascii="Times New Roman" w:hAnsi="Times New Roman" w:cs="Times New Roman"/>
        </w:rPr>
        <w:t>institutional investor also hold</w:t>
      </w:r>
      <w:r w:rsidR="005054E6">
        <w:rPr>
          <w:rFonts w:ascii="Times New Roman" w:hAnsi="Times New Roman" w:cs="Times New Roman"/>
        </w:rPr>
        <w:t>s</w:t>
      </w:r>
      <w:r>
        <w:rPr>
          <w:rFonts w:ascii="Times New Roman" w:hAnsi="Times New Roman" w:cs="Times New Roman"/>
        </w:rPr>
        <w:t xml:space="preserve"> equity in. </w:t>
      </w:r>
    </w:p>
  </w:footnote>
  <w:footnote w:id="10">
    <w:p w14:paraId="5B4DB6F3" w14:textId="38AD3CF0" w:rsidR="000A571B" w:rsidRPr="000A571B" w:rsidRDefault="000A571B">
      <w:pPr>
        <w:pStyle w:val="FootnoteText"/>
        <w:rPr>
          <w:rFonts w:ascii="Times New Roman" w:hAnsi="Times New Roman" w:cs="Times New Roman"/>
        </w:rPr>
      </w:pPr>
      <w:r w:rsidRPr="000A571B">
        <w:rPr>
          <w:rStyle w:val="FootnoteReference"/>
          <w:rFonts w:ascii="Times New Roman" w:hAnsi="Times New Roman" w:cs="Times New Roman"/>
        </w:rPr>
        <w:footnoteRef/>
      </w:r>
      <w:r w:rsidRPr="000A571B">
        <w:rPr>
          <w:rFonts w:ascii="Times New Roman" w:hAnsi="Times New Roman" w:cs="Times New Roman"/>
        </w:rPr>
        <w:t xml:space="preserve"> </w:t>
      </w:r>
      <w:r w:rsidR="00904FEC">
        <w:rPr>
          <w:rFonts w:ascii="Times New Roman" w:hAnsi="Times New Roman" w:cs="Times New Roman"/>
        </w:rPr>
        <w:t xml:space="preserve">Bernard and Thomas (1990) talk about </w:t>
      </w:r>
      <w:r w:rsidR="00891FDD">
        <w:rPr>
          <w:rFonts w:ascii="Times New Roman" w:hAnsi="Times New Roman" w:cs="Times New Roman"/>
        </w:rPr>
        <w:t>“</w:t>
      </w:r>
      <w:r w:rsidR="00904FEC">
        <w:rPr>
          <w:rFonts w:ascii="Times New Roman" w:hAnsi="Times New Roman" w:cs="Times New Roman"/>
        </w:rPr>
        <w:t>unexpected earnings</w:t>
      </w:r>
      <w:r w:rsidR="00891FDD">
        <w:rPr>
          <w:rFonts w:ascii="Times New Roman" w:hAnsi="Times New Roman" w:cs="Times New Roman"/>
        </w:rPr>
        <w:t>”</w:t>
      </w:r>
      <w:r w:rsidR="00904FEC">
        <w:rPr>
          <w:rFonts w:ascii="Times New Roman" w:hAnsi="Times New Roman" w:cs="Times New Roman"/>
        </w:rPr>
        <w:t xml:space="preserve"> and </w:t>
      </w:r>
      <w:r>
        <w:rPr>
          <w:rFonts w:ascii="Times New Roman" w:hAnsi="Times New Roman" w:cs="Times New Roman"/>
        </w:rPr>
        <w:t xml:space="preserve">Bartov and colleagues (2000) </w:t>
      </w:r>
      <w:r w:rsidR="00904FEC">
        <w:rPr>
          <w:rFonts w:ascii="Times New Roman" w:hAnsi="Times New Roman" w:cs="Times New Roman"/>
        </w:rPr>
        <w:t>talk about “earnings surprises,” but they are not referring to how earnings compare to consensus analyst estimates</w:t>
      </w:r>
      <w:r w:rsidR="00891FDD">
        <w:rPr>
          <w:rFonts w:ascii="Times New Roman" w:hAnsi="Times New Roman" w:cs="Times New Roman"/>
        </w:rPr>
        <w:t xml:space="preserve"> as is done in the management literature (e.g., Pfarrer et al., 2010)</w:t>
      </w:r>
      <w:r w:rsidR="00904FEC">
        <w:rPr>
          <w:rFonts w:ascii="Times New Roman" w:hAnsi="Times New Roman" w:cs="Times New Roman"/>
        </w:rPr>
        <w:t>. Instead, unexpected earnings or earning</w:t>
      </w:r>
      <w:r w:rsidR="0087161A">
        <w:rPr>
          <w:rFonts w:ascii="Times New Roman" w:hAnsi="Times New Roman" w:cs="Times New Roman"/>
        </w:rPr>
        <w:t>s</w:t>
      </w:r>
      <w:r w:rsidR="00904FEC">
        <w:rPr>
          <w:rFonts w:ascii="Times New Roman" w:hAnsi="Times New Roman" w:cs="Times New Roman"/>
        </w:rPr>
        <w:t xml:space="preserve"> surprises in their models refer to how the earnings in a particular quarter compares to a </w:t>
      </w:r>
      <w:r w:rsidR="00904FEC" w:rsidRPr="00904FEC">
        <w:rPr>
          <w:rFonts w:ascii="Times New Roman" w:hAnsi="Times New Roman" w:cs="Times New Roman"/>
          <w:i/>
          <w:iCs/>
        </w:rPr>
        <w:t>seasonal random walk model based on prior earning</w:t>
      </w:r>
      <w:r w:rsidR="00636350">
        <w:rPr>
          <w:rFonts w:ascii="Times New Roman" w:hAnsi="Times New Roman" w:cs="Times New Roman"/>
          <w:i/>
          <w:iCs/>
        </w:rPr>
        <w:t xml:space="preserve">. </w:t>
      </w:r>
      <w:r w:rsidR="00636350" w:rsidRPr="00636350">
        <w:rPr>
          <w:rFonts w:ascii="Times New Roman" w:hAnsi="Times New Roman" w:cs="Times New Roman"/>
        </w:rPr>
        <w:t>Hence</w:t>
      </w:r>
      <w:r w:rsidR="00636350">
        <w:rPr>
          <w:rFonts w:ascii="Times New Roman" w:hAnsi="Times New Roman" w:cs="Times New Roman"/>
        </w:rPr>
        <w:t xml:space="preserve"> it captures the degree to which the current earnings match what was predicted by the </w:t>
      </w:r>
      <w:r w:rsidR="005E00E7">
        <w:rPr>
          <w:rFonts w:ascii="Times New Roman" w:hAnsi="Times New Roman" w:cs="Times New Roman"/>
        </w:rPr>
        <w:t>seasonal random walk model</w:t>
      </w:r>
      <w:r w:rsidR="00636350">
        <w:rPr>
          <w:rFonts w:ascii="Times New Roman" w:hAnsi="Times New Roman" w:cs="Times New Roman"/>
        </w:rPr>
        <w:t xml:space="preserve"> (using the prior 21 quarters for Bartov et al., 2000</w:t>
      </w:r>
      <w:r w:rsidR="00491E6C">
        <w:rPr>
          <w:rFonts w:ascii="Times New Roman" w:hAnsi="Times New Roman" w:cs="Times New Roman"/>
        </w:rPr>
        <w:t>,</w:t>
      </w:r>
      <w:r w:rsidR="00636350">
        <w:rPr>
          <w:rFonts w:ascii="Times New Roman" w:hAnsi="Times New Roman" w:cs="Times New Roman"/>
        </w:rPr>
        <w:t xml:space="preserve"> and up to 36 prior quarters for Bernard &amp; Thomas, 1990), as opposed to how much it differs from consensus analyst estimates.</w:t>
      </w:r>
    </w:p>
  </w:footnote>
  <w:footnote w:id="11">
    <w:p w14:paraId="244D9B64" w14:textId="6C0FAB16" w:rsidR="00C373AF" w:rsidRDefault="00C373AF">
      <w:pPr>
        <w:pStyle w:val="FootnoteText"/>
      </w:pPr>
      <w:r>
        <w:rPr>
          <w:rStyle w:val="FootnoteReference"/>
        </w:rPr>
        <w:t>a</w:t>
      </w:r>
      <w:r>
        <w:t xml:space="preserve"> </w:t>
      </w:r>
      <w:r w:rsidR="00AE4D47">
        <w:rPr>
          <w:rFonts w:ascii="Times New Roman" w:hAnsi="Times New Roman" w:cs="Times New Roman" w:hint="eastAsia"/>
        </w:rPr>
        <w:t>We</w:t>
      </w:r>
      <w:r w:rsidR="00AE4D47" w:rsidRPr="00ED01BB">
        <w:rPr>
          <w:rFonts w:ascii="Times New Roman" w:hAnsi="Times New Roman" w:cs="Times New Roman"/>
        </w:rPr>
        <w:t xml:space="preserve"> </w:t>
      </w:r>
      <w:r w:rsidR="00AE4D47" w:rsidRPr="00DD5F92">
        <w:rPr>
          <w:rFonts w:ascii="Times New Roman" w:hAnsi="Times New Roman" w:cs="Times New Roman"/>
        </w:rPr>
        <w:t>rounded results to two decimal places per the guidelines</w:t>
      </w:r>
      <w:r w:rsidR="00AE4D47" w:rsidRPr="00ED01BB">
        <w:rPr>
          <w:rFonts w:ascii="Times New Roman" w:hAnsi="Times New Roman" w:cs="Times New Roman"/>
        </w:rPr>
        <w:t xml:space="preserve">, although most of our variables have values at the third decimal place. </w:t>
      </w:r>
      <w:r w:rsidR="00AE4D47">
        <w:rPr>
          <w:rFonts w:ascii="Times New Roman" w:hAnsi="Times New Roman" w:cs="Times New Roman" w:hint="eastAsia"/>
        </w:rPr>
        <w:t>W</w:t>
      </w:r>
      <w:r w:rsidR="00AE4D47" w:rsidRPr="00944F7D">
        <w:rPr>
          <w:rFonts w:ascii="Times New Roman" w:hAnsi="Times New Roman" w:cs="Times New Roman"/>
        </w:rPr>
        <w:t>e report</w:t>
      </w:r>
      <w:r w:rsidR="00AE4D47">
        <w:rPr>
          <w:rFonts w:ascii="Times New Roman" w:hAnsi="Times New Roman" w:cs="Times New Roman"/>
        </w:rPr>
        <w:t>ed</w:t>
      </w:r>
      <w:r w:rsidR="00AE4D47" w:rsidRPr="00944F7D">
        <w:rPr>
          <w:rFonts w:ascii="Times New Roman" w:hAnsi="Times New Roman" w:cs="Times New Roman"/>
        </w:rPr>
        <w:t xml:space="preserve"> fit measures from the </w:t>
      </w:r>
      <w:r w:rsidR="00AE4D47" w:rsidRPr="00944F7D">
        <w:rPr>
          <w:rFonts w:ascii="Times New Roman" w:hAnsi="Times New Roman" w:cs="Times New Roman"/>
          <w:i/>
          <w:iCs/>
        </w:rPr>
        <w:t>xtreg, re</w:t>
      </w:r>
      <w:r w:rsidR="00AE4D47" w:rsidRPr="00944F7D">
        <w:rPr>
          <w:rFonts w:ascii="Times New Roman" w:hAnsi="Times New Roman" w:cs="Times New Roman"/>
        </w:rPr>
        <w:t xml:space="preserve"> </w:t>
      </w:r>
      <w:r w:rsidR="00AE4D47">
        <w:rPr>
          <w:rFonts w:ascii="Times New Roman" w:hAnsi="Times New Roman" w:cs="Times New Roman" w:hint="eastAsia"/>
        </w:rPr>
        <w:t>output</w:t>
      </w:r>
      <w:r w:rsidR="00AE4D47" w:rsidRPr="00944F7D">
        <w:rPr>
          <w:rFonts w:ascii="Times New Roman" w:hAnsi="Times New Roman" w:cs="Times New Roman"/>
        </w:rPr>
        <w:t xml:space="preserve">. </w:t>
      </w:r>
      <w:r w:rsidR="00AE4D47">
        <w:rPr>
          <w:rFonts w:ascii="Times New Roman" w:hAnsi="Times New Roman" w:cs="Times New Roman"/>
        </w:rPr>
        <w:t>They</w:t>
      </w:r>
      <w:r w:rsidR="00AE4D47" w:rsidRPr="00944F7D">
        <w:rPr>
          <w:rFonts w:ascii="Times New Roman" w:hAnsi="Times New Roman" w:cs="Times New Roman"/>
        </w:rPr>
        <w:t xml:space="preserve"> are consistent with other published papers in major management journals that predict </w:t>
      </w:r>
      <w:r w:rsidR="00AE4D47">
        <w:rPr>
          <w:rFonts w:ascii="Times New Roman" w:hAnsi="Times New Roman" w:cs="Times New Roman"/>
        </w:rPr>
        <w:t>CAR</w:t>
      </w:r>
      <w:r w:rsidR="00AE4D47" w:rsidRPr="00944F7D">
        <w:rPr>
          <w:rFonts w:ascii="Times New Roman" w:hAnsi="Times New Roman" w:cs="Times New Roman"/>
        </w:rPr>
        <w:t>. For instance, in Rhee &amp; Fiss (2014), the R-squares range from 0.06 to 0.1</w:t>
      </w:r>
      <w:r w:rsidR="00AE4D47" w:rsidRPr="00C373AF">
        <w:rPr>
          <w:rFonts w:ascii="Times New Roman" w:hAnsi="Times New Roman" w:cs="Times New Roman"/>
        </w:rPr>
        <w:t>. Hawn, Chatterji, &amp; Mitchell (2018</w:t>
      </w:r>
      <w:r w:rsidR="00AE4D47" w:rsidRPr="00992309">
        <w:rPr>
          <w:rFonts w:ascii="Times New Roman" w:hAnsi="Times New Roman" w:cs="Times New Roman"/>
        </w:rPr>
        <w:t>) report values mostly below 0.05; and Lewis &amp; Carlos (2023) show a similar pattern. An exception is Blagoeva et al. (2020), with R-squares ranging from 0.19 to 0.27</w:t>
      </w:r>
      <w:r w:rsidR="00AE4D47" w:rsidRPr="00944F7D">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6AD8"/>
    <w:multiLevelType w:val="hybridMultilevel"/>
    <w:tmpl w:val="5B7AAD32"/>
    <w:lvl w:ilvl="0" w:tplc="352E8D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C809B6"/>
    <w:multiLevelType w:val="hybridMultilevel"/>
    <w:tmpl w:val="FF3E91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81344"/>
    <w:multiLevelType w:val="hybridMultilevel"/>
    <w:tmpl w:val="17440CAC"/>
    <w:lvl w:ilvl="0" w:tplc="6DEC9028">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31070C"/>
    <w:multiLevelType w:val="hybridMultilevel"/>
    <w:tmpl w:val="E124E3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0E6D15"/>
    <w:multiLevelType w:val="hybridMultilevel"/>
    <w:tmpl w:val="EB3CE348"/>
    <w:lvl w:ilvl="0" w:tplc="228CD402">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2C6DEE"/>
    <w:multiLevelType w:val="multilevel"/>
    <w:tmpl w:val="0F3E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FD211E"/>
    <w:multiLevelType w:val="hybridMultilevel"/>
    <w:tmpl w:val="7C30B962"/>
    <w:lvl w:ilvl="0" w:tplc="209C45A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FB66EB9"/>
    <w:multiLevelType w:val="hybridMultilevel"/>
    <w:tmpl w:val="B71C4B7E"/>
    <w:lvl w:ilvl="0" w:tplc="5A24A1FC">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0FA0809"/>
    <w:multiLevelType w:val="hybridMultilevel"/>
    <w:tmpl w:val="E662C3A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B64658"/>
    <w:multiLevelType w:val="hybridMultilevel"/>
    <w:tmpl w:val="D39EF9CA"/>
    <w:lvl w:ilvl="0" w:tplc="2C0634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485AD2"/>
    <w:multiLevelType w:val="hybridMultilevel"/>
    <w:tmpl w:val="E6803EDA"/>
    <w:lvl w:ilvl="0" w:tplc="BF7C7458">
      <w:start w:val="1"/>
      <w:numFmt w:val="decimal"/>
      <w:lvlText w:val="%1."/>
      <w:lvlJc w:val="left"/>
      <w:pPr>
        <w:ind w:left="1020" w:hanging="360"/>
      </w:pPr>
    </w:lvl>
    <w:lvl w:ilvl="1" w:tplc="B052ADFC">
      <w:start w:val="1"/>
      <w:numFmt w:val="decimal"/>
      <w:lvlText w:val="%2."/>
      <w:lvlJc w:val="left"/>
      <w:pPr>
        <w:ind w:left="1020" w:hanging="360"/>
      </w:pPr>
    </w:lvl>
    <w:lvl w:ilvl="2" w:tplc="1ED2BF9E">
      <w:start w:val="1"/>
      <w:numFmt w:val="decimal"/>
      <w:lvlText w:val="%3."/>
      <w:lvlJc w:val="left"/>
      <w:pPr>
        <w:ind w:left="1020" w:hanging="360"/>
      </w:pPr>
    </w:lvl>
    <w:lvl w:ilvl="3" w:tplc="A17CA8BA">
      <w:start w:val="1"/>
      <w:numFmt w:val="decimal"/>
      <w:lvlText w:val="%4."/>
      <w:lvlJc w:val="left"/>
      <w:pPr>
        <w:ind w:left="1020" w:hanging="360"/>
      </w:pPr>
    </w:lvl>
    <w:lvl w:ilvl="4" w:tplc="7D78ED72">
      <w:start w:val="1"/>
      <w:numFmt w:val="decimal"/>
      <w:lvlText w:val="%5."/>
      <w:lvlJc w:val="left"/>
      <w:pPr>
        <w:ind w:left="1020" w:hanging="360"/>
      </w:pPr>
    </w:lvl>
    <w:lvl w:ilvl="5" w:tplc="B8A64302">
      <w:start w:val="1"/>
      <w:numFmt w:val="decimal"/>
      <w:lvlText w:val="%6."/>
      <w:lvlJc w:val="left"/>
      <w:pPr>
        <w:ind w:left="1020" w:hanging="360"/>
      </w:pPr>
    </w:lvl>
    <w:lvl w:ilvl="6" w:tplc="10CA6446">
      <w:start w:val="1"/>
      <w:numFmt w:val="decimal"/>
      <w:lvlText w:val="%7."/>
      <w:lvlJc w:val="left"/>
      <w:pPr>
        <w:ind w:left="1020" w:hanging="360"/>
      </w:pPr>
    </w:lvl>
    <w:lvl w:ilvl="7" w:tplc="5852AE88">
      <w:start w:val="1"/>
      <w:numFmt w:val="decimal"/>
      <w:lvlText w:val="%8."/>
      <w:lvlJc w:val="left"/>
      <w:pPr>
        <w:ind w:left="1020" w:hanging="360"/>
      </w:pPr>
    </w:lvl>
    <w:lvl w:ilvl="8" w:tplc="198A22C2">
      <w:start w:val="1"/>
      <w:numFmt w:val="decimal"/>
      <w:lvlText w:val="%9."/>
      <w:lvlJc w:val="left"/>
      <w:pPr>
        <w:ind w:left="1020" w:hanging="360"/>
      </w:pPr>
    </w:lvl>
  </w:abstractNum>
  <w:abstractNum w:abstractNumId="11" w15:restartNumberingAfterBreak="0">
    <w:nsid w:val="22F37626"/>
    <w:multiLevelType w:val="hybridMultilevel"/>
    <w:tmpl w:val="7A245584"/>
    <w:lvl w:ilvl="0" w:tplc="D49266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09697B"/>
    <w:multiLevelType w:val="hybridMultilevel"/>
    <w:tmpl w:val="1436BA8C"/>
    <w:lvl w:ilvl="0" w:tplc="C7548A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E83ADC"/>
    <w:multiLevelType w:val="hybridMultilevel"/>
    <w:tmpl w:val="69FE8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ED70DD"/>
    <w:multiLevelType w:val="hybridMultilevel"/>
    <w:tmpl w:val="42B47D82"/>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30D5266C"/>
    <w:multiLevelType w:val="hybridMultilevel"/>
    <w:tmpl w:val="A9CA4FB6"/>
    <w:lvl w:ilvl="0" w:tplc="3BA6C1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11040E"/>
    <w:multiLevelType w:val="hybridMultilevel"/>
    <w:tmpl w:val="8DEAB2AA"/>
    <w:lvl w:ilvl="0" w:tplc="0B18DA12">
      <w:start w:val="1"/>
      <w:numFmt w:val="decimal"/>
      <w:lvlText w:val="%1."/>
      <w:lvlJc w:val="left"/>
      <w:pPr>
        <w:ind w:left="720" w:hanging="360"/>
      </w:pPr>
      <w:rPr>
        <w:rFonts w:ascii="Aptos" w:hAnsi="Aptos" w:cs="Calibri" w:hint="default"/>
        <w:color w:val="242424"/>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077595"/>
    <w:multiLevelType w:val="hybridMultilevel"/>
    <w:tmpl w:val="0C26890E"/>
    <w:lvl w:ilvl="0" w:tplc="77989F46">
      <w:start w:val="1"/>
      <w:numFmt w:val="decimal"/>
      <w:lvlText w:val="%1."/>
      <w:lvlJc w:val="left"/>
      <w:pPr>
        <w:ind w:left="1080" w:hanging="360"/>
      </w:pPr>
      <w:rPr>
        <w:rFonts w:ascii="Times New Roman" w:eastAsiaTheme="minorEastAsia" w:hAnsi="Times New Roman" w:cstheme="minorBid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A3F3201"/>
    <w:multiLevelType w:val="hybridMultilevel"/>
    <w:tmpl w:val="158AACAC"/>
    <w:lvl w:ilvl="0" w:tplc="EE6EA5AE">
      <w:start w:val="1"/>
      <w:numFmt w:val="decimal"/>
      <w:lvlText w:val="%1."/>
      <w:lvlJc w:val="left"/>
      <w:pPr>
        <w:ind w:left="1020" w:hanging="360"/>
      </w:pPr>
    </w:lvl>
    <w:lvl w:ilvl="1" w:tplc="86EC83E4">
      <w:start w:val="1"/>
      <w:numFmt w:val="decimal"/>
      <w:lvlText w:val="%2."/>
      <w:lvlJc w:val="left"/>
      <w:pPr>
        <w:ind w:left="1020" w:hanging="360"/>
      </w:pPr>
    </w:lvl>
    <w:lvl w:ilvl="2" w:tplc="32C28F46">
      <w:start w:val="1"/>
      <w:numFmt w:val="decimal"/>
      <w:lvlText w:val="%3."/>
      <w:lvlJc w:val="left"/>
      <w:pPr>
        <w:ind w:left="1020" w:hanging="360"/>
      </w:pPr>
    </w:lvl>
    <w:lvl w:ilvl="3" w:tplc="DDF6A248">
      <w:start w:val="1"/>
      <w:numFmt w:val="decimal"/>
      <w:lvlText w:val="%4."/>
      <w:lvlJc w:val="left"/>
      <w:pPr>
        <w:ind w:left="1020" w:hanging="360"/>
      </w:pPr>
    </w:lvl>
    <w:lvl w:ilvl="4" w:tplc="4240F98A">
      <w:start w:val="1"/>
      <w:numFmt w:val="decimal"/>
      <w:lvlText w:val="%5."/>
      <w:lvlJc w:val="left"/>
      <w:pPr>
        <w:ind w:left="1020" w:hanging="360"/>
      </w:pPr>
    </w:lvl>
    <w:lvl w:ilvl="5" w:tplc="E042E5F8">
      <w:start w:val="1"/>
      <w:numFmt w:val="decimal"/>
      <w:lvlText w:val="%6."/>
      <w:lvlJc w:val="left"/>
      <w:pPr>
        <w:ind w:left="1020" w:hanging="360"/>
      </w:pPr>
    </w:lvl>
    <w:lvl w:ilvl="6" w:tplc="08CCBDD0">
      <w:start w:val="1"/>
      <w:numFmt w:val="decimal"/>
      <w:lvlText w:val="%7."/>
      <w:lvlJc w:val="left"/>
      <w:pPr>
        <w:ind w:left="1020" w:hanging="360"/>
      </w:pPr>
    </w:lvl>
    <w:lvl w:ilvl="7" w:tplc="47A4BD96">
      <w:start w:val="1"/>
      <w:numFmt w:val="decimal"/>
      <w:lvlText w:val="%8."/>
      <w:lvlJc w:val="left"/>
      <w:pPr>
        <w:ind w:left="1020" w:hanging="360"/>
      </w:pPr>
    </w:lvl>
    <w:lvl w:ilvl="8" w:tplc="B3AA18AE">
      <w:start w:val="1"/>
      <w:numFmt w:val="decimal"/>
      <w:lvlText w:val="%9."/>
      <w:lvlJc w:val="left"/>
      <w:pPr>
        <w:ind w:left="1020" w:hanging="360"/>
      </w:pPr>
    </w:lvl>
  </w:abstractNum>
  <w:abstractNum w:abstractNumId="19" w15:restartNumberingAfterBreak="0">
    <w:nsid w:val="3ADA0971"/>
    <w:multiLevelType w:val="hybridMultilevel"/>
    <w:tmpl w:val="45009A18"/>
    <w:lvl w:ilvl="0" w:tplc="125831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0E844AF"/>
    <w:multiLevelType w:val="hybridMultilevel"/>
    <w:tmpl w:val="7842F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DC3C29"/>
    <w:multiLevelType w:val="hybridMultilevel"/>
    <w:tmpl w:val="24461AE0"/>
    <w:lvl w:ilvl="0" w:tplc="6186CCD8">
      <w:start w:val="19"/>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92950"/>
    <w:multiLevelType w:val="hybridMultilevel"/>
    <w:tmpl w:val="492A4A26"/>
    <w:lvl w:ilvl="0" w:tplc="2C0634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DA1176"/>
    <w:multiLevelType w:val="multilevel"/>
    <w:tmpl w:val="02385F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6FD17C0"/>
    <w:multiLevelType w:val="hybridMultilevel"/>
    <w:tmpl w:val="11A0AF20"/>
    <w:lvl w:ilvl="0" w:tplc="6F00B2A6">
      <w:numFmt w:val="bullet"/>
      <w:lvlText w:val="-"/>
      <w:lvlJc w:val="left"/>
      <w:pPr>
        <w:ind w:left="720" w:hanging="360"/>
      </w:pPr>
      <w:rPr>
        <w:rFonts w:ascii="Times New Roman" w:eastAsiaTheme="minorEastAsia" w:hAnsi="Times New Roman"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587596"/>
    <w:multiLevelType w:val="multilevel"/>
    <w:tmpl w:val="7AC0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66111A"/>
    <w:multiLevelType w:val="hybridMultilevel"/>
    <w:tmpl w:val="89DC3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A14284"/>
    <w:multiLevelType w:val="hybridMultilevel"/>
    <w:tmpl w:val="96BC1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BC4E04"/>
    <w:multiLevelType w:val="hybridMultilevel"/>
    <w:tmpl w:val="812A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B25B18"/>
    <w:multiLevelType w:val="hybridMultilevel"/>
    <w:tmpl w:val="BAB2BE6A"/>
    <w:lvl w:ilvl="0" w:tplc="411A1144">
      <w:start w:val="1"/>
      <w:numFmt w:val="bullet"/>
      <w:lvlText w:val="-"/>
      <w:lvlJc w:val="left"/>
      <w:pPr>
        <w:ind w:left="1080" w:hanging="360"/>
      </w:pPr>
      <w:rPr>
        <w:rFonts w:ascii="Times New Roman" w:eastAsiaTheme="minorEastAsia" w:hAnsi="Times New Roman" w:cs="Times New Roman" w:hint="default"/>
        <w:color w:val="3333F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8DA4073"/>
    <w:multiLevelType w:val="hybridMultilevel"/>
    <w:tmpl w:val="AC3269F6"/>
    <w:lvl w:ilvl="0" w:tplc="010475F4">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8DB611D"/>
    <w:multiLevelType w:val="hybridMultilevel"/>
    <w:tmpl w:val="AE0ED1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9E36FF9"/>
    <w:multiLevelType w:val="hybridMultilevel"/>
    <w:tmpl w:val="EFAAF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58795E"/>
    <w:multiLevelType w:val="hybridMultilevel"/>
    <w:tmpl w:val="767AC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2E36FC"/>
    <w:multiLevelType w:val="hybridMultilevel"/>
    <w:tmpl w:val="F2F2DD72"/>
    <w:lvl w:ilvl="0" w:tplc="96EC45E6">
      <w:start w:val="89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474259"/>
    <w:multiLevelType w:val="hybridMultilevel"/>
    <w:tmpl w:val="053E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49373A"/>
    <w:multiLevelType w:val="hybridMultilevel"/>
    <w:tmpl w:val="F79CDD54"/>
    <w:lvl w:ilvl="0" w:tplc="5E80D83C">
      <w:start w:val="1"/>
      <w:numFmt w:val="decimal"/>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98F4303"/>
    <w:multiLevelType w:val="hybridMultilevel"/>
    <w:tmpl w:val="B4C44540"/>
    <w:lvl w:ilvl="0" w:tplc="7B0AA5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E913CF"/>
    <w:multiLevelType w:val="hybridMultilevel"/>
    <w:tmpl w:val="59BE2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0B0F89"/>
    <w:multiLevelType w:val="hybridMultilevel"/>
    <w:tmpl w:val="0588B21A"/>
    <w:lvl w:ilvl="0" w:tplc="706443D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5471045">
    <w:abstractNumId w:val="28"/>
  </w:num>
  <w:num w:numId="2" w16cid:durableId="808285770">
    <w:abstractNumId w:val="17"/>
  </w:num>
  <w:num w:numId="3" w16cid:durableId="1298074241">
    <w:abstractNumId w:val="29"/>
  </w:num>
  <w:num w:numId="4" w16cid:durableId="1595823673">
    <w:abstractNumId w:val="19"/>
  </w:num>
  <w:num w:numId="5" w16cid:durableId="814835229">
    <w:abstractNumId w:val="11"/>
  </w:num>
  <w:num w:numId="6" w16cid:durableId="1872767361">
    <w:abstractNumId w:val="36"/>
  </w:num>
  <w:num w:numId="7" w16cid:durableId="860625234">
    <w:abstractNumId w:val="31"/>
  </w:num>
  <w:num w:numId="8" w16cid:durableId="49773735">
    <w:abstractNumId w:val="25"/>
  </w:num>
  <w:num w:numId="9" w16cid:durableId="1585453825">
    <w:abstractNumId w:val="35"/>
  </w:num>
  <w:num w:numId="10" w16cid:durableId="485754308">
    <w:abstractNumId w:val="21"/>
  </w:num>
  <w:num w:numId="11" w16cid:durableId="1095318642">
    <w:abstractNumId w:val="24"/>
  </w:num>
  <w:num w:numId="12" w16cid:durableId="976034360">
    <w:abstractNumId w:val="32"/>
  </w:num>
  <w:num w:numId="13" w16cid:durableId="995841627">
    <w:abstractNumId w:val="14"/>
  </w:num>
  <w:num w:numId="14" w16cid:durableId="1452550929">
    <w:abstractNumId w:val="37"/>
  </w:num>
  <w:num w:numId="15" w16cid:durableId="919371153">
    <w:abstractNumId w:val="12"/>
  </w:num>
  <w:num w:numId="16" w16cid:durableId="911164810">
    <w:abstractNumId w:val="4"/>
  </w:num>
  <w:num w:numId="17" w16cid:durableId="965042774">
    <w:abstractNumId w:val="23"/>
  </w:num>
  <w:num w:numId="18" w16cid:durableId="279532396">
    <w:abstractNumId w:val="15"/>
  </w:num>
  <w:num w:numId="19" w16cid:durableId="572545392">
    <w:abstractNumId w:val="34"/>
  </w:num>
  <w:num w:numId="20" w16cid:durableId="308872402">
    <w:abstractNumId w:val="13"/>
  </w:num>
  <w:num w:numId="21" w16cid:durableId="2130274748">
    <w:abstractNumId w:val="30"/>
  </w:num>
  <w:num w:numId="22" w16cid:durableId="568879365">
    <w:abstractNumId w:val="33"/>
  </w:num>
  <w:num w:numId="23" w16cid:durableId="2017685371">
    <w:abstractNumId w:val="27"/>
  </w:num>
  <w:num w:numId="24" w16cid:durableId="1386493839">
    <w:abstractNumId w:val="7"/>
  </w:num>
  <w:num w:numId="25" w16cid:durableId="1904289396">
    <w:abstractNumId w:val="3"/>
  </w:num>
  <w:num w:numId="26" w16cid:durableId="712463899">
    <w:abstractNumId w:val="1"/>
  </w:num>
  <w:num w:numId="27" w16cid:durableId="181630296">
    <w:abstractNumId w:val="8"/>
  </w:num>
  <w:num w:numId="28" w16cid:durableId="1483504197">
    <w:abstractNumId w:val="2"/>
  </w:num>
  <w:num w:numId="29" w16cid:durableId="1014577869">
    <w:abstractNumId w:val="16"/>
  </w:num>
  <w:num w:numId="30" w16cid:durableId="2061977412">
    <w:abstractNumId w:val="39"/>
  </w:num>
  <w:num w:numId="31" w16cid:durableId="632564077">
    <w:abstractNumId w:val="5"/>
  </w:num>
  <w:num w:numId="32" w16cid:durableId="678577982">
    <w:abstractNumId w:val="18"/>
  </w:num>
  <w:num w:numId="33" w16cid:durableId="1014116335">
    <w:abstractNumId w:val="0"/>
  </w:num>
  <w:num w:numId="34" w16cid:durableId="378092660">
    <w:abstractNumId w:val="38"/>
  </w:num>
  <w:num w:numId="35" w16cid:durableId="1806773017">
    <w:abstractNumId w:val="9"/>
  </w:num>
  <w:num w:numId="36" w16cid:durableId="1621300763">
    <w:abstractNumId w:val="22"/>
  </w:num>
  <w:num w:numId="37" w16cid:durableId="1891721266">
    <w:abstractNumId w:val="20"/>
  </w:num>
  <w:num w:numId="38" w16cid:durableId="379473566">
    <w:abstractNumId w:val="26"/>
  </w:num>
  <w:num w:numId="39" w16cid:durableId="279265844">
    <w:abstractNumId w:val="6"/>
  </w:num>
  <w:num w:numId="40" w16cid:durableId="14714427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053"/>
    <w:rsid w:val="000009B7"/>
    <w:rsid w:val="00000D13"/>
    <w:rsid w:val="00000F36"/>
    <w:rsid w:val="00000F56"/>
    <w:rsid w:val="00001B74"/>
    <w:rsid w:val="00002901"/>
    <w:rsid w:val="00002AFC"/>
    <w:rsid w:val="00002CB0"/>
    <w:rsid w:val="0000386F"/>
    <w:rsid w:val="00005198"/>
    <w:rsid w:val="0000532D"/>
    <w:rsid w:val="000059C9"/>
    <w:rsid w:val="00006C01"/>
    <w:rsid w:val="00007974"/>
    <w:rsid w:val="00007B9B"/>
    <w:rsid w:val="00007CD6"/>
    <w:rsid w:val="00007F8B"/>
    <w:rsid w:val="000104B9"/>
    <w:rsid w:val="00011393"/>
    <w:rsid w:val="000117F4"/>
    <w:rsid w:val="00012026"/>
    <w:rsid w:val="00012065"/>
    <w:rsid w:val="00012ED7"/>
    <w:rsid w:val="00013010"/>
    <w:rsid w:val="00013676"/>
    <w:rsid w:val="00013E57"/>
    <w:rsid w:val="000144D3"/>
    <w:rsid w:val="0001515A"/>
    <w:rsid w:val="00015C85"/>
    <w:rsid w:val="000164F6"/>
    <w:rsid w:val="0001716E"/>
    <w:rsid w:val="00020407"/>
    <w:rsid w:val="000205E4"/>
    <w:rsid w:val="00021825"/>
    <w:rsid w:val="000218CE"/>
    <w:rsid w:val="00021C4C"/>
    <w:rsid w:val="00022031"/>
    <w:rsid w:val="00023DD0"/>
    <w:rsid w:val="00024358"/>
    <w:rsid w:val="000247A7"/>
    <w:rsid w:val="00024B03"/>
    <w:rsid w:val="00024E70"/>
    <w:rsid w:val="00024F87"/>
    <w:rsid w:val="00025372"/>
    <w:rsid w:val="00025432"/>
    <w:rsid w:val="000256E0"/>
    <w:rsid w:val="000263D1"/>
    <w:rsid w:val="0002694F"/>
    <w:rsid w:val="00026E2D"/>
    <w:rsid w:val="000270F0"/>
    <w:rsid w:val="0002715E"/>
    <w:rsid w:val="000275D5"/>
    <w:rsid w:val="000302EF"/>
    <w:rsid w:val="00030BEA"/>
    <w:rsid w:val="000312E9"/>
    <w:rsid w:val="000334F6"/>
    <w:rsid w:val="00033AE5"/>
    <w:rsid w:val="000344ED"/>
    <w:rsid w:val="000350A4"/>
    <w:rsid w:val="0003617D"/>
    <w:rsid w:val="00036723"/>
    <w:rsid w:val="00036EE5"/>
    <w:rsid w:val="00037D0E"/>
    <w:rsid w:val="00040B22"/>
    <w:rsid w:val="00040BAE"/>
    <w:rsid w:val="000411D7"/>
    <w:rsid w:val="00041D4A"/>
    <w:rsid w:val="00041D81"/>
    <w:rsid w:val="000422FA"/>
    <w:rsid w:val="00044BCD"/>
    <w:rsid w:val="00044D72"/>
    <w:rsid w:val="00045008"/>
    <w:rsid w:val="0004597B"/>
    <w:rsid w:val="00045C3A"/>
    <w:rsid w:val="00045D3D"/>
    <w:rsid w:val="00045E4E"/>
    <w:rsid w:val="00046B0E"/>
    <w:rsid w:val="00050256"/>
    <w:rsid w:val="0005052B"/>
    <w:rsid w:val="00050591"/>
    <w:rsid w:val="0005065A"/>
    <w:rsid w:val="00050DD7"/>
    <w:rsid w:val="0005126B"/>
    <w:rsid w:val="000516AF"/>
    <w:rsid w:val="0005299E"/>
    <w:rsid w:val="00052DB7"/>
    <w:rsid w:val="00053DB8"/>
    <w:rsid w:val="00054213"/>
    <w:rsid w:val="00054E51"/>
    <w:rsid w:val="0005587B"/>
    <w:rsid w:val="00055F4E"/>
    <w:rsid w:val="00056538"/>
    <w:rsid w:val="00056777"/>
    <w:rsid w:val="000606C7"/>
    <w:rsid w:val="000608C5"/>
    <w:rsid w:val="00060C0F"/>
    <w:rsid w:val="00060DF6"/>
    <w:rsid w:val="00061824"/>
    <w:rsid w:val="00062266"/>
    <w:rsid w:val="0006266B"/>
    <w:rsid w:val="00062833"/>
    <w:rsid w:val="00062E14"/>
    <w:rsid w:val="000630F4"/>
    <w:rsid w:val="000636FF"/>
    <w:rsid w:val="0006419D"/>
    <w:rsid w:val="0006686B"/>
    <w:rsid w:val="000673F4"/>
    <w:rsid w:val="000679C1"/>
    <w:rsid w:val="00067D83"/>
    <w:rsid w:val="00067E71"/>
    <w:rsid w:val="000705FC"/>
    <w:rsid w:val="00070CB0"/>
    <w:rsid w:val="00071A38"/>
    <w:rsid w:val="000720AF"/>
    <w:rsid w:val="0007215F"/>
    <w:rsid w:val="000723A9"/>
    <w:rsid w:val="00072642"/>
    <w:rsid w:val="00072B9D"/>
    <w:rsid w:val="00072D5D"/>
    <w:rsid w:val="000732A8"/>
    <w:rsid w:val="000732B3"/>
    <w:rsid w:val="000735FB"/>
    <w:rsid w:val="0007396F"/>
    <w:rsid w:val="00074007"/>
    <w:rsid w:val="00074112"/>
    <w:rsid w:val="00074127"/>
    <w:rsid w:val="000743F0"/>
    <w:rsid w:val="00074D70"/>
    <w:rsid w:val="00074E2E"/>
    <w:rsid w:val="00075D84"/>
    <w:rsid w:val="00075E3E"/>
    <w:rsid w:val="00077012"/>
    <w:rsid w:val="00077275"/>
    <w:rsid w:val="00077613"/>
    <w:rsid w:val="000776A1"/>
    <w:rsid w:val="00077B87"/>
    <w:rsid w:val="00081F12"/>
    <w:rsid w:val="000825C0"/>
    <w:rsid w:val="00083138"/>
    <w:rsid w:val="00083542"/>
    <w:rsid w:val="00084E2F"/>
    <w:rsid w:val="00085533"/>
    <w:rsid w:val="00087DC2"/>
    <w:rsid w:val="000906A4"/>
    <w:rsid w:val="000907C4"/>
    <w:rsid w:val="00090BA3"/>
    <w:rsid w:val="00090C5C"/>
    <w:rsid w:val="000916B8"/>
    <w:rsid w:val="00091AB9"/>
    <w:rsid w:val="000921FF"/>
    <w:rsid w:val="0009284D"/>
    <w:rsid w:val="000944FA"/>
    <w:rsid w:val="000947C2"/>
    <w:rsid w:val="000956F1"/>
    <w:rsid w:val="000958A1"/>
    <w:rsid w:val="000963B8"/>
    <w:rsid w:val="00096E19"/>
    <w:rsid w:val="00097C67"/>
    <w:rsid w:val="00097E35"/>
    <w:rsid w:val="000A052E"/>
    <w:rsid w:val="000A11B4"/>
    <w:rsid w:val="000A1914"/>
    <w:rsid w:val="000A1A54"/>
    <w:rsid w:val="000A2413"/>
    <w:rsid w:val="000A26BA"/>
    <w:rsid w:val="000A29BA"/>
    <w:rsid w:val="000A33C5"/>
    <w:rsid w:val="000A34E3"/>
    <w:rsid w:val="000A49F9"/>
    <w:rsid w:val="000A56DD"/>
    <w:rsid w:val="000A571B"/>
    <w:rsid w:val="000A74D1"/>
    <w:rsid w:val="000A773F"/>
    <w:rsid w:val="000A7745"/>
    <w:rsid w:val="000B1C86"/>
    <w:rsid w:val="000B201C"/>
    <w:rsid w:val="000B2BC0"/>
    <w:rsid w:val="000B3AC1"/>
    <w:rsid w:val="000B3CE1"/>
    <w:rsid w:val="000B3E61"/>
    <w:rsid w:val="000B49FA"/>
    <w:rsid w:val="000B5196"/>
    <w:rsid w:val="000B5B4F"/>
    <w:rsid w:val="000B5CEF"/>
    <w:rsid w:val="000B64AF"/>
    <w:rsid w:val="000B73B1"/>
    <w:rsid w:val="000C0A80"/>
    <w:rsid w:val="000C0B44"/>
    <w:rsid w:val="000C0E31"/>
    <w:rsid w:val="000C2369"/>
    <w:rsid w:val="000C3291"/>
    <w:rsid w:val="000C4DD7"/>
    <w:rsid w:val="000C5026"/>
    <w:rsid w:val="000C6D5D"/>
    <w:rsid w:val="000C6E8A"/>
    <w:rsid w:val="000C754C"/>
    <w:rsid w:val="000D11CC"/>
    <w:rsid w:val="000D1814"/>
    <w:rsid w:val="000D3484"/>
    <w:rsid w:val="000D3816"/>
    <w:rsid w:val="000D56BE"/>
    <w:rsid w:val="000D672F"/>
    <w:rsid w:val="000D6A3E"/>
    <w:rsid w:val="000D71F4"/>
    <w:rsid w:val="000D7C62"/>
    <w:rsid w:val="000D7C69"/>
    <w:rsid w:val="000E0912"/>
    <w:rsid w:val="000E0A98"/>
    <w:rsid w:val="000E0DB1"/>
    <w:rsid w:val="000E213B"/>
    <w:rsid w:val="000E251A"/>
    <w:rsid w:val="000E37EC"/>
    <w:rsid w:val="000E3EE7"/>
    <w:rsid w:val="000E4AD0"/>
    <w:rsid w:val="000E5639"/>
    <w:rsid w:val="000E5694"/>
    <w:rsid w:val="000E6AAB"/>
    <w:rsid w:val="000E6ABB"/>
    <w:rsid w:val="000F05BA"/>
    <w:rsid w:val="000F0B1E"/>
    <w:rsid w:val="000F0BE4"/>
    <w:rsid w:val="000F267C"/>
    <w:rsid w:val="000F308C"/>
    <w:rsid w:val="000F3698"/>
    <w:rsid w:val="000F43F2"/>
    <w:rsid w:val="000F4E53"/>
    <w:rsid w:val="000F5257"/>
    <w:rsid w:val="000F527E"/>
    <w:rsid w:val="000F5A3C"/>
    <w:rsid w:val="000F69A2"/>
    <w:rsid w:val="00100825"/>
    <w:rsid w:val="00100A4D"/>
    <w:rsid w:val="0010121A"/>
    <w:rsid w:val="001019CD"/>
    <w:rsid w:val="0010278B"/>
    <w:rsid w:val="00102CEA"/>
    <w:rsid w:val="00102D41"/>
    <w:rsid w:val="00103C71"/>
    <w:rsid w:val="00103EE2"/>
    <w:rsid w:val="0010434D"/>
    <w:rsid w:val="0010528A"/>
    <w:rsid w:val="0010576D"/>
    <w:rsid w:val="001057C1"/>
    <w:rsid w:val="00105816"/>
    <w:rsid w:val="0010604A"/>
    <w:rsid w:val="00106A18"/>
    <w:rsid w:val="00106A96"/>
    <w:rsid w:val="00107394"/>
    <w:rsid w:val="00107495"/>
    <w:rsid w:val="001079DA"/>
    <w:rsid w:val="00110D89"/>
    <w:rsid w:val="00110FCC"/>
    <w:rsid w:val="00111999"/>
    <w:rsid w:val="00111EFE"/>
    <w:rsid w:val="001121C3"/>
    <w:rsid w:val="00112781"/>
    <w:rsid w:val="001128C8"/>
    <w:rsid w:val="00112A0A"/>
    <w:rsid w:val="0011303E"/>
    <w:rsid w:val="001170C1"/>
    <w:rsid w:val="00117FCF"/>
    <w:rsid w:val="001206FC"/>
    <w:rsid w:val="00120B39"/>
    <w:rsid w:val="00121C73"/>
    <w:rsid w:val="00122098"/>
    <w:rsid w:val="00122A98"/>
    <w:rsid w:val="00122CF5"/>
    <w:rsid w:val="0012335A"/>
    <w:rsid w:val="001238E9"/>
    <w:rsid w:val="00126824"/>
    <w:rsid w:val="00126A38"/>
    <w:rsid w:val="00127D96"/>
    <w:rsid w:val="00130F6D"/>
    <w:rsid w:val="00131322"/>
    <w:rsid w:val="001335CD"/>
    <w:rsid w:val="001349AC"/>
    <w:rsid w:val="00135158"/>
    <w:rsid w:val="00135967"/>
    <w:rsid w:val="00135B9B"/>
    <w:rsid w:val="0013717E"/>
    <w:rsid w:val="00137312"/>
    <w:rsid w:val="00137A29"/>
    <w:rsid w:val="00137A86"/>
    <w:rsid w:val="0014054B"/>
    <w:rsid w:val="00141735"/>
    <w:rsid w:val="0014385C"/>
    <w:rsid w:val="00143D62"/>
    <w:rsid w:val="001452AB"/>
    <w:rsid w:val="001459B6"/>
    <w:rsid w:val="00145F71"/>
    <w:rsid w:val="00146376"/>
    <w:rsid w:val="00146B88"/>
    <w:rsid w:val="00146DD1"/>
    <w:rsid w:val="00147BD7"/>
    <w:rsid w:val="00151979"/>
    <w:rsid w:val="00151A57"/>
    <w:rsid w:val="001523E9"/>
    <w:rsid w:val="001532A3"/>
    <w:rsid w:val="001547CF"/>
    <w:rsid w:val="00154D30"/>
    <w:rsid w:val="001557C7"/>
    <w:rsid w:val="001559F3"/>
    <w:rsid w:val="00157187"/>
    <w:rsid w:val="00157526"/>
    <w:rsid w:val="001601BA"/>
    <w:rsid w:val="00161934"/>
    <w:rsid w:val="00161F9E"/>
    <w:rsid w:val="00162231"/>
    <w:rsid w:val="0016233B"/>
    <w:rsid w:val="00162B28"/>
    <w:rsid w:val="00162B99"/>
    <w:rsid w:val="00163367"/>
    <w:rsid w:val="0016344A"/>
    <w:rsid w:val="00163C74"/>
    <w:rsid w:val="00163E8A"/>
    <w:rsid w:val="00164029"/>
    <w:rsid w:val="001642C3"/>
    <w:rsid w:val="00164477"/>
    <w:rsid w:val="00164489"/>
    <w:rsid w:val="001647CE"/>
    <w:rsid w:val="00164DD5"/>
    <w:rsid w:val="0016554D"/>
    <w:rsid w:val="001709E6"/>
    <w:rsid w:val="00170D75"/>
    <w:rsid w:val="0017142B"/>
    <w:rsid w:val="00171842"/>
    <w:rsid w:val="001719C4"/>
    <w:rsid w:val="00171C88"/>
    <w:rsid w:val="00172219"/>
    <w:rsid w:val="0017234C"/>
    <w:rsid w:val="00172E0E"/>
    <w:rsid w:val="001732B2"/>
    <w:rsid w:val="001739FF"/>
    <w:rsid w:val="00174604"/>
    <w:rsid w:val="0017549E"/>
    <w:rsid w:val="00175557"/>
    <w:rsid w:val="00175CF7"/>
    <w:rsid w:val="001776C5"/>
    <w:rsid w:val="0017778C"/>
    <w:rsid w:val="00180105"/>
    <w:rsid w:val="00180171"/>
    <w:rsid w:val="00180DBC"/>
    <w:rsid w:val="001812DA"/>
    <w:rsid w:val="00181CFA"/>
    <w:rsid w:val="001820CE"/>
    <w:rsid w:val="00182832"/>
    <w:rsid w:val="00183169"/>
    <w:rsid w:val="00183AA6"/>
    <w:rsid w:val="00183BB5"/>
    <w:rsid w:val="00183DE5"/>
    <w:rsid w:val="00183EA9"/>
    <w:rsid w:val="001849EC"/>
    <w:rsid w:val="00185755"/>
    <w:rsid w:val="001876E5"/>
    <w:rsid w:val="00187A3D"/>
    <w:rsid w:val="00187AB2"/>
    <w:rsid w:val="00187B97"/>
    <w:rsid w:val="00190173"/>
    <w:rsid w:val="00190481"/>
    <w:rsid w:val="00190E68"/>
    <w:rsid w:val="00191297"/>
    <w:rsid w:val="00191358"/>
    <w:rsid w:val="00191898"/>
    <w:rsid w:val="00192532"/>
    <w:rsid w:val="001925D2"/>
    <w:rsid w:val="001926C5"/>
    <w:rsid w:val="00192B7D"/>
    <w:rsid w:val="00192F99"/>
    <w:rsid w:val="00193027"/>
    <w:rsid w:val="00193181"/>
    <w:rsid w:val="0019330B"/>
    <w:rsid w:val="00193AC1"/>
    <w:rsid w:val="001942E8"/>
    <w:rsid w:val="00194B7F"/>
    <w:rsid w:val="00195765"/>
    <w:rsid w:val="00195C56"/>
    <w:rsid w:val="001969F3"/>
    <w:rsid w:val="00196AA5"/>
    <w:rsid w:val="00196B9D"/>
    <w:rsid w:val="001975C9"/>
    <w:rsid w:val="001A2A2D"/>
    <w:rsid w:val="001A3990"/>
    <w:rsid w:val="001A5A99"/>
    <w:rsid w:val="001A5F60"/>
    <w:rsid w:val="001A5F8E"/>
    <w:rsid w:val="001A61DC"/>
    <w:rsid w:val="001A6791"/>
    <w:rsid w:val="001A735F"/>
    <w:rsid w:val="001A74DE"/>
    <w:rsid w:val="001A75C0"/>
    <w:rsid w:val="001A7A87"/>
    <w:rsid w:val="001B103E"/>
    <w:rsid w:val="001B1A4E"/>
    <w:rsid w:val="001B1A54"/>
    <w:rsid w:val="001B2FD8"/>
    <w:rsid w:val="001B362B"/>
    <w:rsid w:val="001B4541"/>
    <w:rsid w:val="001B49D6"/>
    <w:rsid w:val="001B5D9A"/>
    <w:rsid w:val="001B7495"/>
    <w:rsid w:val="001B7EEB"/>
    <w:rsid w:val="001C0141"/>
    <w:rsid w:val="001C06C9"/>
    <w:rsid w:val="001C109F"/>
    <w:rsid w:val="001C1A3D"/>
    <w:rsid w:val="001C239D"/>
    <w:rsid w:val="001C264F"/>
    <w:rsid w:val="001C2BDC"/>
    <w:rsid w:val="001C440A"/>
    <w:rsid w:val="001C4AD0"/>
    <w:rsid w:val="001C4E7D"/>
    <w:rsid w:val="001C4FA5"/>
    <w:rsid w:val="001C53B0"/>
    <w:rsid w:val="001C627D"/>
    <w:rsid w:val="001D02CE"/>
    <w:rsid w:val="001D0D62"/>
    <w:rsid w:val="001D1133"/>
    <w:rsid w:val="001D1263"/>
    <w:rsid w:val="001D235F"/>
    <w:rsid w:val="001D23FD"/>
    <w:rsid w:val="001D2693"/>
    <w:rsid w:val="001D2F2F"/>
    <w:rsid w:val="001D2F95"/>
    <w:rsid w:val="001D3CD1"/>
    <w:rsid w:val="001D3F5F"/>
    <w:rsid w:val="001D5BA0"/>
    <w:rsid w:val="001D5DE9"/>
    <w:rsid w:val="001D613F"/>
    <w:rsid w:val="001D70BC"/>
    <w:rsid w:val="001D71AC"/>
    <w:rsid w:val="001D7DD3"/>
    <w:rsid w:val="001E00DB"/>
    <w:rsid w:val="001E19A8"/>
    <w:rsid w:val="001E1AC5"/>
    <w:rsid w:val="001E2000"/>
    <w:rsid w:val="001E29E3"/>
    <w:rsid w:val="001E313B"/>
    <w:rsid w:val="001E484B"/>
    <w:rsid w:val="001E5E5D"/>
    <w:rsid w:val="001E6967"/>
    <w:rsid w:val="001E75DC"/>
    <w:rsid w:val="001F08B1"/>
    <w:rsid w:val="001F1390"/>
    <w:rsid w:val="001F13FA"/>
    <w:rsid w:val="001F1BBB"/>
    <w:rsid w:val="001F2121"/>
    <w:rsid w:val="001F2531"/>
    <w:rsid w:val="001F2FFF"/>
    <w:rsid w:val="001F3727"/>
    <w:rsid w:val="001F4036"/>
    <w:rsid w:val="001F42FC"/>
    <w:rsid w:val="001F4483"/>
    <w:rsid w:val="001F560A"/>
    <w:rsid w:val="001F5714"/>
    <w:rsid w:val="001F5C49"/>
    <w:rsid w:val="001F5DF2"/>
    <w:rsid w:val="001F63A9"/>
    <w:rsid w:val="001F674C"/>
    <w:rsid w:val="001F6FF1"/>
    <w:rsid w:val="001F7011"/>
    <w:rsid w:val="001F7529"/>
    <w:rsid w:val="00200676"/>
    <w:rsid w:val="00201ECE"/>
    <w:rsid w:val="0020332A"/>
    <w:rsid w:val="00203CDA"/>
    <w:rsid w:val="0020480A"/>
    <w:rsid w:val="00205CE2"/>
    <w:rsid w:val="002060C4"/>
    <w:rsid w:val="00206357"/>
    <w:rsid w:val="00206773"/>
    <w:rsid w:val="00206A1A"/>
    <w:rsid w:val="002071B6"/>
    <w:rsid w:val="00207286"/>
    <w:rsid w:val="002113B2"/>
    <w:rsid w:val="00211F96"/>
    <w:rsid w:val="00212E81"/>
    <w:rsid w:val="00213562"/>
    <w:rsid w:val="00214325"/>
    <w:rsid w:val="00215A01"/>
    <w:rsid w:val="0021617E"/>
    <w:rsid w:val="002162BF"/>
    <w:rsid w:val="00216E86"/>
    <w:rsid w:val="00220798"/>
    <w:rsid w:val="002210B9"/>
    <w:rsid w:val="00221521"/>
    <w:rsid w:val="00221A87"/>
    <w:rsid w:val="0022257A"/>
    <w:rsid w:val="0022337B"/>
    <w:rsid w:val="002237E7"/>
    <w:rsid w:val="00223B40"/>
    <w:rsid w:val="002247DA"/>
    <w:rsid w:val="00224EFB"/>
    <w:rsid w:val="0022615A"/>
    <w:rsid w:val="0022632F"/>
    <w:rsid w:val="002265F0"/>
    <w:rsid w:val="00226632"/>
    <w:rsid w:val="0022773D"/>
    <w:rsid w:val="0022784C"/>
    <w:rsid w:val="00227B34"/>
    <w:rsid w:val="00230018"/>
    <w:rsid w:val="00230A10"/>
    <w:rsid w:val="00230C70"/>
    <w:rsid w:val="00231125"/>
    <w:rsid w:val="00231F27"/>
    <w:rsid w:val="00231F84"/>
    <w:rsid w:val="002321D4"/>
    <w:rsid w:val="00233775"/>
    <w:rsid w:val="00235277"/>
    <w:rsid w:val="002358BC"/>
    <w:rsid w:val="00235F4B"/>
    <w:rsid w:val="0023619B"/>
    <w:rsid w:val="00241996"/>
    <w:rsid w:val="00242EA0"/>
    <w:rsid w:val="00243B43"/>
    <w:rsid w:val="00243B9F"/>
    <w:rsid w:val="002442CE"/>
    <w:rsid w:val="00244FC7"/>
    <w:rsid w:val="002458BD"/>
    <w:rsid w:val="00245DDF"/>
    <w:rsid w:val="00246401"/>
    <w:rsid w:val="0024694B"/>
    <w:rsid w:val="00246A46"/>
    <w:rsid w:val="00246D61"/>
    <w:rsid w:val="00246E28"/>
    <w:rsid w:val="00247947"/>
    <w:rsid w:val="0025012B"/>
    <w:rsid w:val="00250364"/>
    <w:rsid w:val="00250A7B"/>
    <w:rsid w:val="00250FC6"/>
    <w:rsid w:val="00251DAF"/>
    <w:rsid w:val="00251F01"/>
    <w:rsid w:val="00252F57"/>
    <w:rsid w:val="0025335F"/>
    <w:rsid w:val="0025336C"/>
    <w:rsid w:val="002540D3"/>
    <w:rsid w:val="00254F78"/>
    <w:rsid w:val="0025507E"/>
    <w:rsid w:val="002557E5"/>
    <w:rsid w:val="00256410"/>
    <w:rsid w:val="00256A31"/>
    <w:rsid w:val="002570D3"/>
    <w:rsid w:val="00257607"/>
    <w:rsid w:val="00260933"/>
    <w:rsid w:val="00260B71"/>
    <w:rsid w:val="00260D59"/>
    <w:rsid w:val="00261244"/>
    <w:rsid w:val="002629ED"/>
    <w:rsid w:val="002630F3"/>
    <w:rsid w:val="00263107"/>
    <w:rsid w:val="002632C3"/>
    <w:rsid w:val="00264B26"/>
    <w:rsid w:val="00264D6F"/>
    <w:rsid w:val="00264F39"/>
    <w:rsid w:val="00265002"/>
    <w:rsid w:val="00265216"/>
    <w:rsid w:val="00265C56"/>
    <w:rsid w:val="00266A9F"/>
    <w:rsid w:val="00266CB1"/>
    <w:rsid w:val="002674EC"/>
    <w:rsid w:val="002679AD"/>
    <w:rsid w:val="002679E7"/>
    <w:rsid w:val="002705A5"/>
    <w:rsid w:val="00270A01"/>
    <w:rsid w:val="00271A7B"/>
    <w:rsid w:val="00271B03"/>
    <w:rsid w:val="00271C8E"/>
    <w:rsid w:val="00273499"/>
    <w:rsid w:val="00273C46"/>
    <w:rsid w:val="00274053"/>
    <w:rsid w:val="002742B9"/>
    <w:rsid w:val="00274320"/>
    <w:rsid w:val="002747CE"/>
    <w:rsid w:val="002747DF"/>
    <w:rsid w:val="00274C94"/>
    <w:rsid w:val="00274FFF"/>
    <w:rsid w:val="002774A0"/>
    <w:rsid w:val="002805BC"/>
    <w:rsid w:val="00280DC2"/>
    <w:rsid w:val="00280FC6"/>
    <w:rsid w:val="002819CC"/>
    <w:rsid w:val="00281E7B"/>
    <w:rsid w:val="0028210A"/>
    <w:rsid w:val="0028354A"/>
    <w:rsid w:val="00283DF0"/>
    <w:rsid w:val="00283EFE"/>
    <w:rsid w:val="00284031"/>
    <w:rsid w:val="002848AC"/>
    <w:rsid w:val="00284C02"/>
    <w:rsid w:val="0028645B"/>
    <w:rsid w:val="002869BC"/>
    <w:rsid w:val="00286CC5"/>
    <w:rsid w:val="00286D2E"/>
    <w:rsid w:val="00286D4A"/>
    <w:rsid w:val="002870B7"/>
    <w:rsid w:val="00287799"/>
    <w:rsid w:val="0028787B"/>
    <w:rsid w:val="00287A21"/>
    <w:rsid w:val="00290983"/>
    <w:rsid w:val="00291638"/>
    <w:rsid w:val="00291791"/>
    <w:rsid w:val="00292006"/>
    <w:rsid w:val="00292414"/>
    <w:rsid w:val="00292942"/>
    <w:rsid w:val="00292A1D"/>
    <w:rsid w:val="00293253"/>
    <w:rsid w:val="00293F78"/>
    <w:rsid w:val="0029411B"/>
    <w:rsid w:val="00294255"/>
    <w:rsid w:val="00294545"/>
    <w:rsid w:val="00294561"/>
    <w:rsid w:val="00294594"/>
    <w:rsid w:val="00294F54"/>
    <w:rsid w:val="0029502E"/>
    <w:rsid w:val="0029514F"/>
    <w:rsid w:val="00295647"/>
    <w:rsid w:val="00295EB8"/>
    <w:rsid w:val="00295EFE"/>
    <w:rsid w:val="002976CC"/>
    <w:rsid w:val="002A0580"/>
    <w:rsid w:val="002A11DE"/>
    <w:rsid w:val="002A1662"/>
    <w:rsid w:val="002A18A2"/>
    <w:rsid w:val="002A1E60"/>
    <w:rsid w:val="002A2117"/>
    <w:rsid w:val="002A25AC"/>
    <w:rsid w:val="002A2FF7"/>
    <w:rsid w:val="002A3004"/>
    <w:rsid w:val="002A3052"/>
    <w:rsid w:val="002A3486"/>
    <w:rsid w:val="002A3DC4"/>
    <w:rsid w:val="002A40B6"/>
    <w:rsid w:val="002A499C"/>
    <w:rsid w:val="002A4CE4"/>
    <w:rsid w:val="002A4D46"/>
    <w:rsid w:val="002A558E"/>
    <w:rsid w:val="002A699D"/>
    <w:rsid w:val="002A6D99"/>
    <w:rsid w:val="002A7176"/>
    <w:rsid w:val="002A7485"/>
    <w:rsid w:val="002A76BD"/>
    <w:rsid w:val="002A79ED"/>
    <w:rsid w:val="002B0542"/>
    <w:rsid w:val="002B1353"/>
    <w:rsid w:val="002B18D2"/>
    <w:rsid w:val="002B1CBE"/>
    <w:rsid w:val="002B1FF6"/>
    <w:rsid w:val="002B2A19"/>
    <w:rsid w:val="002B2F57"/>
    <w:rsid w:val="002B34AC"/>
    <w:rsid w:val="002B3587"/>
    <w:rsid w:val="002B3721"/>
    <w:rsid w:val="002B3D63"/>
    <w:rsid w:val="002B448A"/>
    <w:rsid w:val="002B45EC"/>
    <w:rsid w:val="002B4E61"/>
    <w:rsid w:val="002B4F70"/>
    <w:rsid w:val="002B6656"/>
    <w:rsid w:val="002B67D5"/>
    <w:rsid w:val="002B7182"/>
    <w:rsid w:val="002B7307"/>
    <w:rsid w:val="002B7851"/>
    <w:rsid w:val="002B7885"/>
    <w:rsid w:val="002B7E11"/>
    <w:rsid w:val="002C07EA"/>
    <w:rsid w:val="002C0C7F"/>
    <w:rsid w:val="002C0D60"/>
    <w:rsid w:val="002C16AA"/>
    <w:rsid w:val="002C1E39"/>
    <w:rsid w:val="002C23A0"/>
    <w:rsid w:val="002C23BE"/>
    <w:rsid w:val="002C2B43"/>
    <w:rsid w:val="002C2E2E"/>
    <w:rsid w:val="002C2F59"/>
    <w:rsid w:val="002C3EDF"/>
    <w:rsid w:val="002C4949"/>
    <w:rsid w:val="002C5243"/>
    <w:rsid w:val="002C5338"/>
    <w:rsid w:val="002C623F"/>
    <w:rsid w:val="002C627F"/>
    <w:rsid w:val="002C6A56"/>
    <w:rsid w:val="002C6E94"/>
    <w:rsid w:val="002C7176"/>
    <w:rsid w:val="002C7A97"/>
    <w:rsid w:val="002C7D49"/>
    <w:rsid w:val="002D0AEA"/>
    <w:rsid w:val="002D10A8"/>
    <w:rsid w:val="002D10C1"/>
    <w:rsid w:val="002D1411"/>
    <w:rsid w:val="002D1489"/>
    <w:rsid w:val="002D14BF"/>
    <w:rsid w:val="002D15B9"/>
    <w:rsid w:val="002D1660"/>
    <w:rsid w:val="002D17B8"/>
    <w:rsid w:val="002D199D"/>
    <w:rsid w:val="002D2967"/>
    <w:rsid w:val="002D2EE7"/>
    <w:rsid w:val="002D3311"/>
    <w:rsid w:val="002D3EE5"/>
    <w:rsid w:val="002D454D"/>
    <w:rsid w:val="002D4D3A"/>
    <w:rsid w:val="002D5FE6"/>
    <w:rsid w:val="002D7593"/>
    <w:rsid w:val="002D7796"/>
    <w:rsid w:val="002E15BD"/>
    <w:rsid w:val="002E1D1B"/>
    <w:rsid w:val="002E28BE"/>
    <w:rsid w:val="002E2943"/>
    <w:rsid w:val="002E3685"/>
    <w:rsid w:val="002E36A4"/>
    <w:rsid w:val="002E4563"/>
    <w:rsid w:val="002E466C"/>
    <w:rsid w:val="002E4AAD"/>
    <w:rsid w:val="002E5421"/>
    <w:rsid w:val="002E550D"/>
    <w:rsid w:val="002E5792"/>
    <w:rsid w:val="002E65CD"/>
    <w:rsid w:val="002E795A"/>
    <w:rsid w:val="002F0B65"/>
    <w:rsid w:val="002F0E78"/>
    <w:rsid w:val="002F0EF0"/>
    <w:rsid w:val="002F1931"/>
    <w:rsid w:val="002F1AFE"/>
    <w:rsid w:val="002F1F07"/>
    <w:rsid w:val="002F2544"/>
    <w:rsid w:val="002F41C5"/>
    <w:rsid w:val="002F43C7"/>
    <w:rsid w:val="002F46F8"/>
    <w:rsid w:val="002F5014"/>
    <w:rsid w:val="002F523B"/>
    <w:rsid w:val="002F530A"/>
    <w:rsid w:val="002F59E7"/>
    <w:rsid w:val="002F60DC"/>
    <w:rsid w:val="002F6231"/>
    <w:rsid w:val="002F6319"/>
    <w:rsid w:val="002F68A4"/>
    <w:rsid w:val="002F6BB4"/>
    <w:rsid w:val="002F7480"/>
    <w:rsid w:val="00300664"/>
    <w:rsid w:val="00303F23"/>
    <w:rsid w:val="00305408"/>
    <w:rsid w:val="00305E41"/>
    <w:rsid w:val="00305F69"/>
    <w:rsid w:val="00306149"/>
    <w:rsid w:val="00306998"/>
    <w:rsid w:val="00306E50"/>
    <w:rsid w:val="00307C94"/>
    <w:rsid w:val="0031014D"/>
    <w:rsid w:val="003109EA"/>
    <w:rsid w:val="00310D26"/>
    <w:rsid w:val="00311446"/>
    <w:rsid w:val="00311854"/>
    <w:rsid w:val="00311BB6"/>
    <w:rsid w:val="00312CBA"/>
    <w:rsid w:val="00314192"/>
    <w:rsid w:val="00314788"/>
    <w:rsid w:val="00314945"/>
    <w:rsid w:val="00315196"/>
    <w:rsid w:val="00315A63"/>
    <w:rsid w:val="00315F41"/>
    <w:rsid w:val="0031726A"/>
    <w:rsid w:val="0031791B"/>
    <w:rsid w:val="00317A00"/>
    <w:rsid w:val="0032097F"/>
    <w:rsid w:val="00320ADB"/>
    <w:rsid w:val="0032107A"/>
    <w:rsid w:val="00321FC9"/>
    <w:rsid w:val="00322353"/>
    <w:rsid w:val="003227B6"/>
    <w:rsid w:val="00322E77"/>
    <w:rsid w:val="00324E57"/>
    <w:rsid w:val="00324EA2"/>
    <w:rsid w:val="00325633"/>
    <w:rsid w:val="00330111"/>
    <w:rsid w:val="0033112C"/>
    <w:rsid w:val="00331347"/>
    <w:rsid w:val="00332FA1"/>
    <w:rsid w:val="003337EF"/>
    <w:rsid w:val="00333F3B"/>
    <w:rsid w:val="0033557B"/>
    <w:rsid w:val="00335887"/>
    <w:rsid w:val="00336125"/>
    <w:rsid w:val="003363A3"/>
    <w:rsid w:val="00336534"/>
    <w:rsid w:val="00336E46"/>
    <w:rsid w:val="00340CB4"/>
    <w:rsid w:val="00341CB6"/>
    <w:rsid w:val="00341F67"/>
    <w:rsid w:val="003429A9"/>
    <w:rsid w:val="003430CF"/>
    <w:rsid w:val="00344DF7"/>
    <w:rsid w:val="00345699"/>
    <w:rsid w:val="003460FB"/>
    <w:rsid w:val="003461BE"/>
    <w:rsid w:val="003470B7"/>
    <w:rsid w:val="00350249"/>
    <w:rsid w:val="003506C1"/>
    <w:rsid w:val="00350864"/>
    <w:rsid w:val="00350BFD"/>
    <w:rsid w:val="00351322"/>
    <w:rsid w:val="00351413"/>
    <w:rsid w:val="0035147C"/>
    <w:rsid w:val="00351764"/>
    <w:rsid w:val="003519D1"/>
    <w:rsid w:val="003530D9"/>
    <w:rsid w:val="00354436"/>
    <w:rsid w:val="003545B9"/>
    <w:rsid w:val="003549A5"/>
    <w:rsid w:val="00354A9B"/>
    <w:rsid w:val="00355540"/>
    <w:rsid w:val="00356283"/>
    <w:rsid w:val="00356766"/>
    <w:rsid w:val="003569DB"/>
    <w:rsid w:val="00356B77"/>
    <w:rsid w:val="00356DEE"/>
    <w:rsid w:val="00356F2C"/>
    <w:rsid w:val="003576FC"/>
    <w:rsid w:val="00357FFA"/>
    <w:rsid w:val="00360592"/>
    <w:rsid w:val="00361AA6"/>
    <w:rsid w:val="00361D9F"/>
    <w:rsid w:val="003629F2"/>
    <w:rsid w:val="0036315F"/>
    <w:rsid w:val="00363239"/>
    <w:rsid w:val="0036463C"/>
    <w:rsid w:val="00365288"/>
    <w:rsid w:val="00366290"/>
    <w:rsid w:val="00366763"/>
    <w:rsid w:val="003674FC"/>
    <w:rsid w:val="003675FE"/>
    <w:rsid w:val="00367B8E"/>
    <w:rsid w:val="00370034"/>
    <w:rsid w:val="00371198"/>
    <w:rsid w:val="003712C7"/>
    <w:rsid w:val="003713A6"/>
    <w:rsid w:val="00372045"/>
    <w:rsid w:val="00372A81"/>
    <w:rsid w:val="003733C3"/>
    <w:rsid w:val="0037347C"/>
    <w:rsid w:val="00374308"/>
    <w:rsid w:val="0037452C"/>
    <w:rsid w:val="00374CD7"/>
    <w:rsid w:val="00375077"/>
    <w:rsid w:val="003751CB"/>
    <w:rsid w:val="003752BB"/>
    <w:rsid w:val="00375471"/>
    <w:rsid w:val="0037569F"/>
    <w:rsid w:val="003763E8"/>
    <w:rsid w:val="0037667B"/>
    <w:rsid w:val="00376733"/>
    <w:rsid w:val="00377102"/>
    <w:rsid w:val="00377511"/>
    <w:rsid w:val="0037773B"/>
    <w:rsid w:val="00377E28"/>
    <w:rsid w:val="00377F1E"/>
    <w:rsid w:val="003807FF"/>
    <w:rsid w:val="00380900"/>
    <w:rsid w:val="003810E6"/>
    <w:rsid w:val="00381172"/>
    <w:rsid w:val="00381898"/>
    <w:rsid w:val="003822DE"/>
    <w:rsid w:val="003832E9"/>
    <w:rsid w:val="00383379"/>
    <w:rsid w:val="00383AE7"/>
    <w:rsid w:val="00383F9F"/>
    <w:rsid w:val="0038620C"/>
    <w:rsid w:val="00386542"/>
    <w:rsid w:val="003865B2"/>
    <w:rsid w:val="00386A83"/>
    <w:rsid w:val="00386CFC"/>
    <w:rsid w:val="00387037"/>
    <w:rsid w:val="00387283"/>
    <w:rsid w:val="00387765"/>
    <w:rsid w:val="00387B0E"/>
    <w:rsid w:val="00390389"/>
    <w:rsid w:val="003919D7"/>
    <w:rsid w:val="00391A1F"/>
    <w:rsid w:val="00392D35"/>
    <w:rsid w:val="003939CA"/>
    <w:rsid w:val="003948FD"/>
    <w:rsid w:val="0039521B"/>
    <w:rsid w:val="00396782"/>
    <w:rsid w:val="00396BF5"/>
    <w:rsid w:val="003979FE"/>
    <w:rsid w:val="003A0118"/>
    <w:rsid w:val="003A1BB0"/>
    <w:rsid w:val="003A1CB7"/>
    <w:rsid w:val="003A2E9A"/>
    <w:rsid w:val="003A350D"/>
    <w:rsid w:val="003A3E43"/>
    <w:rsid w:val="003A4EF0"/>
    <w:rsid w:val="003A5962"/>
    <w:rsid w:val="003A66BF"/>
    <w:rsid w:val="003A77AA"/>
    <w:rsid w:val="003A77DC"/>
    <w:rsid w:val="003B00F4"/>
    <w:rsid w:val="003B0221"/>
    <w:rsid w:val="003B024C"/>
    <w:rsid w:val="003B12D7"/>
    <w:rsid w:val="003B1775"/>
    <w:rsid w:val="003B21E2"/>
    <w:rsid w:val="003B50D6"/>
    <w:rsid w:val="003B547A"/>
    <w:rsid w:val="003B583A"/>
    <w:rsid w:val="003B5F6B"/>
    <w:rsid w:val="003B6172"/>
    <w:rsid w:val="003B63E1"/>
    <w:rsid w:val="003B7B25"/>
    <w:rsid w:val="003C10B5"/>
    <w:rsid w:val="003C177D"/>
    <w:rsid w:val="003C2026"/>
    <w:rsid w:val="003C254B"/>
    <w:rsid w:val="003C2C6F"/>
    <w:rsid w:val="003C318B"/>
    <w:rsid w:val="003C330D"/>
    <w:rsid w:val="003C414A"/>
    <w:rsid w:val="003C6608"/>
    <w:rsid w:val="003C68EE"/>
    <w:rsid w:val="003C6DDD"/>
    <w:rsid w:val="003C71A8"/>
    <w:rsid w:val="003C764A"/>
    <w:rsid w:val="003C7BA6"/>
    <w:rsid w:val="003C7CD7"/>
    <w:rsid w:val="003C7F9F"/>
    <w:rsid w:val="003D0A41"/>
    <w:rsid w:val="003D0D11"/>
    <w:rsid w:val="003D19BE"/>
    <w:rsid w:val="003D2DA3"/>
    <w:rsid w:val="003D3D11"/>
    <w:rsid w:val="003D4050"/>
    <w:rsid w:val="003D4BE2"/>
    <w:rsid w:val="003D57C2"/>
    <w:rsid w:val="003D5BFE"/>
    <w:rsid w:val="003D5CD3"/>
    <w:rsid w:val="003D695A"/>
    <w:rsid w:val="003D71E5"/>
    <w:rsid w:val="003E04AF"/>
    <w:rsid w:val="003E04FE"/>
    <w:rsid w:val="003E099A"/>
    <w:rsid w:val="003E0A93"/>
    <w:rsid w:val="003E0BFF"/>
    <w:rsid w:val="003E0DBA"/>
    <w:rsid w:val="003E2B1F"/>
    <w:rsid w:val="003E2F39"/>
    <w:rsid w:val="003E30CF"/>
    <w:rsid w:val="003E5076"/>
    <w:rsid w:val="003E5B07"/>
    <w:rsid w:val="003E63BE"/>
    <w:rsid w:val="003E6C01"/>
    <w:rsid w:val="003E7728"/>
    <w:rsid w:val="003E7D0C"/>
    <w:rsid w:val="003F1CBE"/>
    <w:rsid w:val="003F1EFE"/>
    <w:rsid w:val="003F38B2"/>
    <w:rsid w:val="003F4B23"/>
    <w:rsid w:val="003F4D0F"/>
    <w:rsid w:val="003F500C"/>
    <w:rsid w:val="003F5988"/>
    <w:rsid w:val="003F6600"/>
    <w:rsid w:val="003F6D0D"/>
    <w:rsid w:val="0040044A"/>
    <w:rsid w:val="004005F6"/>
    <w:rsid w:val="00400B60"/>
    <w:rsid w:val="0040147D"/>
    <w:rsid w:val="00401618"/>
    <w:rsid w:val="00402124"/>
    <w:rsid w:val="0040328C"/>
    <w:rsid w:val="004038D5"/>
    <w:rsid w:val="00404089"/>
    <w:rsid w:val="004049E8"/>
    <w:rsid w:val="00406DA5"/>
    <w:rsid w:val="00407584"/>
    <w:rsid w:val="004077DC"/>
    <w:rsid w:val="0041030B"/>
    <w:rsid w:val="004103CB"/>
    <w:rsid w:val="00410C36"/>
    <w:rsid w:val="00410D61"/>
    <w:rsid w:val="004115B3"/>
    <w:rsid w:val="004118A8"/>
    <w:rsid w:val="00412184"/>
    <w:rsid w:val="004123A7"/>
    <w:rsid w:val="00412E25"/>
    <w:rsid w:val="004132A5"/>
    <w:rsid w:val="00413741"/>
    <w:rsid w:val="004152D4"/>
    <w:rsid w:val="00416B49"/>
    <w:rsid w:val="004172A5"/>
    <w:rsid w:val="00417576"/>
    <w:rsid w:val="004178CF"/>
    <w:rsid w:val="00420A50"/>
    <w:rsid w:val="00420EF7"/>
    <w:rsid w:val="004211E1"/>
    <w:rsid w:val="0042139B"/>
    <w:rsid w:val="00422A15"/>
    <w:rsid w:val="00423821"/>
    <w:rsid w:val="00424F59"/>
    <w:rsid w:val="004254AB"/>
    <w:rsid w:val="0042578B"/>
    <w:rsid w:val="00426058"/>
    <w:rsid w:val="004260ED"/>
    <w:rsid w:val="004261AE"/>
    <w:rsid w:val="00426DDD"/>
    <w:rsid w:val="00427E3D"/>
    <w:rsid w:val="00427F75"/>
    <w:rsid w:val="004305EB"/>
    <w:rsid w:val="00430941"/>
    <w:rsid w:val="00430ECE"/>
    <w:rsid w:val="00431E32"/>
    <w:rsid w:val="00432422"/>
    <w:rsid w:val="0043298A"/>
    <w:rsid w:val="00432F1E"/>
    <w:rsid w:val="00433471"/>
    <w:rsid w:val="004355A2"/>
    <w:rsid w:val="0043634E"/>
    <w:rsid w:val="0043640C"/>
    <w:rsid w:val="00436534"/>
    <w:rsid w:val="00440208"/>
    <w:rsid w:val="00440C41"/>
    <w:rsid w:val="004412EB"/>
    <w:rsid w:val="00441332"/>
    <w:rsid w:val="004413F6"/>
    <w:rsid w:val="00441C5F"/>
    <w:rsid w:val="00442505"/>
    <w:rsid w:val="00442605"/>
    <w:rsid w:val="00442FA5"/>
    <w:rsid w:val="00443967"/>
    <w:rsid w:val="00443AB8"/>
    <w:rsid w:val="00444451"/>
    <w:rsid w:val="00446FF2"/>
    <w:rsid w:val="00447101"/>
    <w:rsid w:val="004507D6"/>
    <w:rsid w:val="00450862"/>
    <w:rsid w:val="00450F75"/>
    <w:rsid w:val="0045166B"/>
    <w:rsid w:val="004518DB"/>
    <w:rsid w:val="00451D25"/>
    <w:rsid w:val="00452D98"/>
    <w:rsid w:val="00453767"/>
    <w:rsid w:val="00453960"/>
    <w:rsid w:val="00453D1C"/>
    <w:rsid w:val="0045411F"/>
    <w:rsid w:val="004545E4"/>
    <w:rsid w:val="00454636"/>
    <w:rsid w:val="004549F8"/>
    <w:rsid w:val="0045557F"/>
    <w:rsid w:val="00455716"/>
    <w:rsid w:val="004557FB"/>
    <w:rsid w:val="00455AC8"/>
    <w:rsid w:val="00456838"/>
    <w:rsid w:val="00457149"/>
    <w:rsid w:val="004610DC"/>
    <w:rsid w:val="00461BA2"/>
    <w:rsid w:val="004629A1"/>
    <w:rsid w:val="00462E61"/>
    <w:rsid w:val="00464948"/>
    <w:rsid w:val="004650FE"/>
    <w:rsid w:val="0046522A"/>
    <w:rsid w:val="0046594B"/>
    <w:rsid w:val="0046730B"/>
    <w:rsid w:val="00467769"/>
    <w:rsid w:val="00467941"/>
    <w:rsid w:val="00467C60"/>
    <w:rsid w:val="004724BA"/>
    <w:rsid w:val="00474260"/>
    <w:rsid w:val="00474DB8"/>
    <w:rsid w:val="004754B4"/>
    <w:rsid w:val="0047673E"/>
    <w:rsid w:val="00476E27"/>
    <w:rsid w:val="00476E3F"/>
    <w:rsid w:val="0047720C"/>
    <w:rsid w:val="0047791D"/>
    <w:rsid w:val="00477C20"/>
    <w:rsid w:val="00477CB3"/>
    <w:rsid w:val="004802D5"/>
    <w:rsid w:val="00480B35"/>
    <w:rsid w:val="00481786"/>
    <w:rsid w:val="00482425"/>
    <w:rsid w:val="00482426"/>
    <w:rsid w:val="004829F9"/>
    <w:rsid w:val="00482D08"/>
    <w:rsid w:val="00483B53"/>
    <w:rsid w:val="00484AA9"/>
    <w:rsid w:val="0048501A"/>
    <w:rsid w:val="00485227"/>
    <w:rsid w:val="00485B4A"/>
    <w:rsid w:val="00486518"/>
    <w:rsid w:val="00486569"/>
    <w:rsid w:val="0048747B"/>
    <w:rsid w:val="004878E4"/>
    <w:rsid w:val="004902C1"/>
    <w:rsid w:val="00490B7C"/>
    <w:rsid w:val="00491E6C"/>
    <w:rsid w:val="00493106"/>
    <w:rsid w:val="004934F7"/>
    <w:rsid w:val="00494620"/>
    <w:rsid w:val="0049510E"/>
    <w:rsid w:val="004952ED"/>
    <w:rsid w:val="004953A8"/>
    <w:rsid w:val="004957F0"/>
    <w:rsid w:val="0049656C"/>
    <w:rsid w:val="0049733D"/>
    <w:rsid w:val="00497504"/>
    <w:rsid w:val="00497852"/>
    <w:rsid w:val="004A1BAF"/>
    <w:rsid w:val="004A25D3"/>
    <w:rsid w:val="004A38D6"/>
    <w:rsid w:val="004A4178"/>
    <w:rsid w:val="004A43F2"/>
    <w:rsid w:val="004A4556"/>
    <w:rsid w:val="004A45DF"/>
    <w:rsid w:val="004A5B7B"/>
    <w:rsid w:val="004A648B"/>
    <w:rsid w:val="004A771E"/>
    <w:rsid w:val="004A7C43"/>
    <w:rsid w:val="004B227B"/>
    <w:rsid w:val="004B4688"/>
    <w:rsid w:val="004B546C"/>
    <w:rsid w:val="004B636A"/>
    <w:rsid w:val="004B7292"/>
    <w:rsid w:val="004C0F63"/>
    <w:rsid w:val="004C14C7"/>
    <w:rsid w:val="004C1629"/>
    <w:rsid w:val="004C3349"/>
    <w:rsid w:val="004C4284"/>
    <w:rsid w:val="004C52E4"/>
    <w:rsid w:val="004C5CD4"/>
    <w:rsid w:val="004C5E87"/>
    <w:rsid w:val="004C66A8"/>
    <w:rsid w:val="004C7074"/>
    <w:rsid w:val="004C74C0"/>
    <w:rsid w:val="004C75BE"/>
    <w:rsid w:val="004D0E5A"/>
    <w:rsid w:val="004D112B"/>
    <w:rsid w:val="004D1711"/>
    <w:rsid w:val="004D2192"/>
    <w:rsid w:val="004D26BE"/>
    <w:rsid w:val="004D2B49"/>
    <w:rsid w:val="004D2D4A"/>
    <w:rsid w:val="004D2DA3"/>
    <w:rsid w:val="004D37E8"/>
    <w:rsid w:val="004D48B2"/>
    <w:rsid w:val="004D4C36"/>
    <w:rsid w:val="004D6784"/>
    <w:rsid w:val="004D7265"/>
    <w:rsid w:val="004D7378"/>
    <w:rsid w:val="004E09A1"/>
    <w:rsid w:val="004E1992"/>
    <w:rsid w:val="004E1DB7"/>
    <w:rsid w:val="004E21B4"/>
    <w:rsid w:val="004E23C7"/>
    <w:rsid w:val="004E26DF"/>
    <w:rsid w:val="004E2D49"/>
    <w:rsid w:val="004E4B1C"/>
    <w:rsid w:val="004E5620"/>
    <w:rsid w:val="004E5717"/>
    <w:rsid w:val="004E5C8E"/>
    <w:rsid w:val="004E5CBA"/>
    <w:rsid w:val="004E67D2"/>
    <w:rsid w:val="004E734E"/>
    <w:rsid w:val="004E7815"/>
    <w:rsid w:val="004F0720"/>
    <w:rsid w:val="004F1D3C"/>
    <w:rsid w:val="004F33BD"/>
    <w:rsid w:val="004F3BA4"/>
    <w:rsid w:val="004F3C14"/>
    <w:rsid w:val="004F3D1B"/>
    <w:rsid w:val="004F482A"/>
    <w:rsid w:val="004F6023"/>
    <w:rsid w:val="004F62EC"/>
    <w:rsid w:val="005002FC"/>
    <w:rsid w:val="00500955"/>
    <w:rsid w:val="005017C2"/>
    <w:rsid w:val="00501A8C"/>
    <w:rsid w:val="00501DF5"/>
    <w:rsid w:val="00501E0B"/>
    <w:rsid w:val="00502D3E"/>
    <w:rsid w:val="00503FE7"/>
    <w:rsid w:val="005050DC"/>
    <w:rsid w:val="005054E6"/>
    <w:rsid w:val="00505E6C"/>
    <w:rsid w:val="00505EE5"/>
    <w:rsid w:val="00506A63"/>
    <w:rsid w:val="00506C42"/>
    <w:rsid w:val="0050715D"/>
    <w:rsid w:val="005073BE"/>
    <w:rsid w:val="0050789E"/>
    <w:rsid w:val="00510DC9"/>
    <w:rsid w:val="005111CE"/>
    <w:rsid w:val="00511728"/>
    <w:rsid w:val="00511765"/>
    <w:rsid w:val="00511EBD"/>
    <w:rsid w:val="00511EF8"/>
    <w:rsid w:val="00513181"/>
    <w:rsid w:val="00513C02"/>
    <w:rsid w:val="00513E9B"/>
    <w:rsid w:val="0051464B"/>
    <w:rsid w:val="005149CD"/>
    <w:rsid w:val="00514DBD"/>
    <w:rsid w:val="0051563D"/>
    <w:rsid w:val="00516378"/>
    <w:rsid w:val="00516BDE"/>
    <w:rsid w:val="00516C65"/>
    <w:rsid w:val="00520000"/>
    <w:rsid w:val="00520519"/>
    <w:rsid w:val="00520547"/>
    <w:rsid w:val="00520762"/>
    <w:rsid w:val="00520C15"/>
    <w:rsid w:val="005211CE"/>
    <w:rsid w:val="00522CE4"/>
    <w:rsid w:val="00522DCA"/>
    <w:rsid w:val="00524917"/>
    <w:rsid w:val="005249F5"/>
    <w:rsid w:val="005265F8"/>
    <w:rsid w:val="00526B85"/>
    <w:rsid w:val="00526DF2"/>
    <w:rsid w:val="0053056C"/>
    <w:rsid w:val="00530741"/>
    <w:rsid w:val="0053098F"/>
    <w:rsid w:val="00531108"/>
    <w:rsid w:val="005318EE"/>
    <w:rsid w:val="0053192B"/>
    <w:rsid w:val="00531978"/>
    <w:rsid w:val="00531C32"/>
    <w:rsid w:val="005324FF"/>
    <w:rsid w:val="00532535"/>
    <w:rsid w:val="00532D69"/>
    <w:rsid w:val="00533387"/>
    <w:rsid w:val="00534157"/>
    <w:rsid w:val="005341B6"/>
    <w:rsid w:val="005341E0"/>
    <w:rsid w:val="00534645"/>
    <w:rsid w:val="00534ED0"/>
    <w:rsid w:val="0053570F"/>
    <w:rsid w:val="00535B27"/>
    <w:rsid w:val="005364D7"/>
    <w:rsid w:val="00536E1F"/>
    <w:rsid w:val="00536F14"/>
    <w:rsid w:val="0053722F"/>
    <w:rsid w:val="005374FD"/>
    <w:rsid w:val="00537552"/>
    <w:rsid w:val="00540125"/>
    <w:rsid w:val="00540853"/>
    <w:rsid w:val="00540D47"/>
    <w:rsid w:val="00541E1E"/>
    <w:rsid w:val="0054236D"/>
    <w:rsid w:val="00542ECA"/>
    <w:rsid w:val="005435E6"/>
    <w:rsid w:val="005439CF"/>
    <w:rsid w:val="0054451C"/>
    <w:rsid w:val="0054460B"/>
    <w:rsid w:val="00544AB9"/>
    <w:rsid w:val="00544D9A"/>
    <w:rsid w:val="00545C90"/>
    <w:rsid w:val="005460A4"/>
    <w:rsid w:val="00546227"/>
    <w:rsid w:val="00546CF3"/>
    <w:rsid w:val="00546E0E"/>
    <w:rsid w:val="00546E62"/>
    <w:rsid w:val="00547102"/>
    <w:rsid w:val="00547DF4"/>
    <w:rsid w:val="0055080A"/>
    <w:rsid w:val="00551825"/>
    <w:rsid w:val="00551D46"/>
    <w:rsid w:val="00552256"/>
    <w:rsid w:val="00552429"/>
    <w:rsid w:val="005527FD"/>
    <w:rsid w:val="005529D6"/>
    <w:rsid w:val="0055368B"/>
    <w:rsid w:val="0055375F"/>
    <w:rsid w:val="005542E6"/>
    <w:rsid w:val="0055508B"/>
    <w:rsid w:val="0055558B"/>
    <w:rsid w:val="0055579A"/>
    <w:rsid w:val="005571B9"/>
    <w:rsid w:val="00557486"/>
    <w:rsid w:val="00557719"/>
    <w:rsid w:val="0056040F"/>
    <w:rsid w:val="005604EE"/>
    <w:rsid w:val="005610AC"/>
    <w:rsid w:val="005610BC"/>
    <w:rsid w:val="005614F8"/>
    <w:rsid w:val="00561D78"/>
    <w:rsid w:val="00562732"/>
    <w:rsid w:val="00562C6C"/>
    <w:rsid w:val="00563144"/>
    <w:rsid w:val="00563427"/>
    <w:rsid w:val="00563AA3"/>
    <w:rsid w:val="00564418"/>
    <w:rsid w:val="005647FA"/>
    <w:rsid w:val="005669D6"/>
    <w:rsid w:val="00566CB5"/>
    <w:rsid w:val="0056720E"/>
    <w:rsid w:val="005672F1"/>
    <w:rsid w:val="005673D7"/>
    <w:rsid w:val="00570602"/>
    <w:rsid w:val="005718D2"/>
    <w:rsid w:val="00571B1F"/>
    <w:rsid w:val="00571E3A"/>
    <w:rsid w:val="00572123"/>
    <w:rsid w:val="0057244A"/>
    <w:rsid w:val="0057255A"/>
    <w:rsid w:val="00572799"/>
    <w:rsid w:val="00572E60"/>
    <w:rsid w:val="00572F00"/>
    <w:rsid w:val="00572F60"/>
    <w:rsid w:val="00575F9C"/>
    <w:rsid w:val="00576A93"/>
    <w:rsid w:val="00577DCB"/>
    <w:rsid w:val="005800A4"/>
    <w:rsid w:val="005800AD"/>
    <w:rsid w:val="005818B7"/>
    <w:rsid w:val="00582E8D"/>
    <w:rsid w:val="00582FE6"/>
    <w:rsid w:val="005830A8"/>
    <w:rsid w:val="00583484"/>
    <w:rsid w:val="00583A43"/>
    <w:rsid w:val="00583D3C"/>
    <w:rsid w:val="00583E18"/>
    <w:rsid w:val="00585020"/>
    <w:rsid w:val="0058511B"/>
    <w:rsid w:val="00585D6B"/>
    <w:rsid w:val="0058650C"/>
    <w:rsid w:val="00586CAE"/>
    <w:rsid w:val="00590004"/>
    <w:rsid w:val="00590CC0"/>
    <w:rsid w:val="00590E22"/>
    <w:rsid w:val="005918D0"/>
    <w:rsid w:val="00591911"/>
    <w:rsid w:val="00591AFD"/>
    <w:rsid w:val="00591E7A"/>
    <w:rsid w:val="005928BF"/>
    <w:rsid w:val="00593853"/>
    <w:rsid w:val="00593B88"/>
    <w:rsid w:val="00594516"/>
    <w:rsid w:val="005956B9"/>
    <w:rsid w:val="00595F71"/>
    <w:rsid w:val="00595FA1"/>
    <w:rsid w:val="00596BE3"/>
    <w:rsid w:val="00596C9C"/>
    <w:rsid w:val="00596CCE"/>
    <w:rsid w:val="00597080"/>
    <w:rsid w:val="005975E0"/>
    <w:rsid w:val="005A056B"/>
    <w:rsid w:val="005A07C4"/>
    <w:rsid w:val="005A0CEF"/>
    <w:rsid w:val="005A136F"/>
    <w:rsid w:val="005A156E"/>
    <w:rsid w:val="005A2325"/>
    <w:rsid w:val="005A2512"/>
    <w:rsid w:val="005A2CF1"/>
    <w:rsid w:val="005A3119"/>
    <w:rsid w:val="005A3B3F"/>
    <w:rsid w:val="005A3BEF"/>
    <w:rsid w:val="005A3D80"/>
    <w:rsid w:val="005A4311"/>
    <w:rsid w:val="005A4544"/>
    <w:rsid w:val="005A735F"/>
    <w:rsid w:val="005A7513"/>
    <w:rsid w:val="005A774F"/>
    <w:rsid w:val="005A7F7E"/>
    <w:rsid w:val="005B11AC"/>
    <w:rsid w:val="005B1292"/>
    <w:rsid w:val="005B19F4"/>
    <w:rsid w:val="005B26CB"/>
    <w:rsid w:val="005B4745"/>
    <w:rsid w:val="005B59A9"/>
    <w:rsid w:val="005B60F3"/>
    <w:rsid w:val="005B6367"/>
    <w:rsid w:val="005B7051"/>
    <w:rsid w:val="005B7CA9"/>
    <w:rsid w:val="005B7D0D"/>
    <w:rsid w:val="005B7EE5"/>
    <w:rsid w:val="005C0C9D"/>
    <w:rsid w:val="005C138D"/>
    <w:rsid w:val="005C1F3B"/>
    <w:rsid w:val="005C2881"/>
    <w:rsid w:val="005C3403"/>
    <w:rsid w:val="005C40DD"/>
    <w:rsid w:val="005C5BCE"/>
    <w:rsid w:val="005C5D13"/>
    <w:rsid w:val="005C63E3"/>
    <w:rsid w:val="005C7D9E"/>
    <w:rsid w:val="005D0845"/>
    <w:rsid w:val="005D08CD"/>
    <w:rsid w:val="005D0D01"/>
    <w:rsid w:val="005D15C9"/>
    <w:rsid w:val="005D2068"/>
    <w:rsid w:val="005D3959"/>
    <w:rsid w:val="005D409B"/>
    <w:rsid w:val="005D4205"/>
    <w:rsid w:val="005D4214"/>
    <w:rsid w:val="005D5AE5"/>
    <w:rsid w:val="005D63BD"/>
    <w:rsid w:val="005D644E"/>
    <w:rsid w:val="005D6F0B"/>
    <w:rsid w:val="005D70E9"/>
    <w:rsid w:val="005E00E7"/>
    <w:rsid w:val="005E02D1"/>
    <w:rsid w:val="005E1138"/>
    <w:rsid w:val="005E143E"/>
    <w:rsid w:val="005E1754"/>
    <w:rsid w:val="005E17A1"/>
    <w:rsid w:val="005E1FA9"/>
    <w:rsid w:val="005E2047"/>
    <w:rsid w:val="005E3310"/>
    <w:rsid w:val="005E3727"/>
    <w:rsid w:val="005E3FB5"/>
    <w:rsid w:val="005E4187"/>
    <w:rsid w:val="005E4640"/>
    <w:rsid w:val="005E4ACB"/>
    <w:rsid w:val="005E4C85"/>
    <w:rsid w:val="005E4F16"/>
    <w:rsid w:val="005E549D"/>
    <w:rsid w:val="005E5A4E"/>
    <w:rsid w:val="005E5AF9"/>
    <w:rsid w:val="005E5BFB"/>
    <w:rsid w:val="005E60EE"/>
    <w:rsid w:val="005E61A7"/>
    <w:rsid w:val="005E666D"/>
    <w:rsid w:val="005E6E74"/>
    <w:rsid w:val="005F00EB"/>
    <w:rsid w:val="005F0CF4"/>
    <w:rsid w:val="005F11EC"/>
    <w:rsid w:val="005F1CBD"/>
    <w:rsid w:val="005F23DB"/>
    <w:rsid w:val="005F25E8"/>
    <w:rsid w:val="005F286E"/>
    <w:rsid w:val="005F36A2"/>
    <w:rsid w:val="005F3E4D"/>
    <w:rsid w:val="005F567C"/>
    <w:rsid w:val="005F5714"/>
    <w:rsid w:val="005F59DC"/>
    <w:rsid w:val="005F5E6E"/>
    <w:rsid w:val="005F6DE6"/>
    <w:rsid w:val="005F6E1A"/>
    <w:rsid w:val="005F7B83"/>
    <w:rsid w:val="0060036E"/>
    <w:rsid w:val="0060094C"/>
    <w:rsid w:val="00601ED0"/>
    <w:rsid w:val="00602532"/>
    <w:rsid w:val="006029B1"/>
    <w:rsid w:val="00602CE7"/>
    <w:rsid w:val="00602E98"/>
    <w:rsid w:val="00604584"/>
    <w:rsid w:val="00604915"/>
    <w:rsid w:val="00605453"/>
    <w:rsid w:val="00606672"/>
    <w:rsid w:val="00606CC8"/>
    <w:rsid w:val="0060717F"/>
    <w:rsid w:val="00610725"/>
    <w:rsid w:val="00611AE4"/>
    <w:rsid w:val="00612012"/>
    <w:rsid w:val="006121FB"/>
    <w:rsid w:val="00612C01"/>
    <w:rsid w:val="00612C99"/>
    <w:rsid w:val="00612CA0"/>
    <w:rsid w:val="00612D71"/>
    <w:rsid w:val="00612EB7"/>
    <w:rsid w:val="006131E3"/>
    <w:rsid w:val="006133BC"/>
    <w:rsid w:val="0061389B"/>
    <w:rsid w:val="00614064"/>
    <w:rsid w:val="00615439"/>
    <w:rsid w:val="00615AAC"/>
    <w:rsid w:val="00616062"/>
    <w:rsid w:val="006165E9"/>
    <w:rsid w:val="006171CA"/>
    <w:rsid w:val="00617574"/>
    <w:rsid w:val="00617FF4"/>
    <w:rsid w:val="006202F7"/>
    <w:rsid w:val="006207D0"/>
    <w:rsid w:val="0062254C"/>
    <w:rsid w:val="006226B3"/>
    <w:rsid w:val="0062297F"/>
    <w:rsid w:val="00622DC4"/>
    <w:rsid w:val="006239D1"/>
    <w:rsid w:val="00623AB6"/>
    <w:rsid w:val="00623CD0"/>
    <w:rsid w:val="00623DAE"/>
    <w:rsid w:val="0062437B"/>
    <w:rsid w:val="006246DE"/>
    <w:rsid w:val="00624DA9"/>
    <w:rsid w:val="00625240"/>
    <w:rsid w:val="00626E31"/>
    <w:rsid w:val="00626EDD"/>
    <w:rsid w:val="006277BE"/>
    <w:rsid w:val="006306AA"/>
    <w:rsid w:val="006308A3"/>
    <w:rsid w:val="00630E02"/>
    <w:rsid w:val="00631074"/>
    <w:rsid w:val="00631B04"/>
    <w:rsid w:val="006321EA"/>
    <w:rsid w:val="00632338"/>
    <w:rsid w:val="00632E90"/>
    <w:rsid w:val="0063348E"/>
    <w:rsid w:val="006337E6"/>
    <w:rsid w:val="00633856"/>
    <w:rsid w:val="00633B8B"/>
    <w:rsid w:val="0063425D"/>
    <w:rsid w:val="00634655"/>
    <w:rsid w:val="006348F6"/>
    <w:rsid w:val="00635837"/>
    <w:rsid w:val="00636181"/>
    <w:rsid w:val="00636350"/>
    <w:rsid w:val="00636660"/>
    <w:rsid w:val="00637835"/>
    <w:rsid w:val="006379BF"/>
    <w:rsid w:val="006406A9"/>
    <w:rsid w:val="0064115F"/>
    <w:rsid w:val="006411A6"/>
    <w:rsid w:val="00641C90"/>
    <w:rsid w:val="00641FE9"/>
    <w:rsid w:val="006434AA"/>
    <w:rsid w:val="006442DD"/>
    <w:rsid w:val="00644B39"/>
    <w:rsid w:val="00644D4C"/>
    <w:rsid w:val="00644FE8"/>
    <w:rsid w:val="006450D6"/>
    <w:rsid w:val="006452E8"/>
    <w:rsid w:val="0064665E"/>
    <w:rsid w:val="00647752"/>
    <w:rsid w:val="006479C8"/>
    <w:rsid w:val="00647C16"/>
    <w:rsid w:val="00647EBA"/>
    <w:rsid w:val="0065251D"/>
    <w:rsid w:val="00652830"/>
    <w:rsid w:val="00653A68"/>
    <w:rsid w:val="00654176"/>
    <w:rsid w:val="006553A1"/>
    <w:rsid w:val="0065565B"/>
    <w:rsid w:val="0065634B"/>
    <w:rsid w:val="0065786B"/>
    <w:rsid w:val="006578FD"/>
    <w:rsid w:val="00660DBD"/>
    <w:rsid w:val="00662773"/>
    <w:rsid w:val="006631D9"/>
    <w:rsid w:val="00664531"/>
    <w:rsid w:val="00667FA8"/>
    <w:rsid w:val="006707F4"/>
    <w:rsid w:val="00670EED"/>
    <w:rsid w:val="00671428"/>
    <w:rsid w:val="00671480"/>
    <w:rsid w:val="00671987"/>
    <w:rsid w:val="006723FD"/>
    <w:rsid w:val="006729B4"/>
    <w:rsid w:val="00673C5F"/>
    <w:rsid w:val="00674088"/>
    <w:rsid w:val="00674930"/>
    <w:rsid w:val="00675DAD"/>
    <w:rsid w:val="006775AA"/>
    <w:rsid w:val="00677BFE"/>
    <w:rsid w:val="0068072A"/>
    <w:rsid w:val="00680D80"/>
    <w:rsid w:val="00681407"/>
    <w:rsid w:val="00681955"/>
    <w:rsid w:val="00681AC7"/>
    <w:rsid w:val="00681CD4"/>
    <w:rsid w:val="0068204B"/>
    <w:rsid w:val="006824DB"/>
    <w:rsid w:val="00682B9A"/>
    <w:rsid w:val="00683085"/>
    <w:rsid w:val="006831F9"/>
    <w:rsid w:val="0068331B"/>
    <w:rsid w:val="00683DA8"/>
    <w:rsid w:val="00684BEC"/>
    <w:rsid w:val="00685B7B"/>
    <w:rsid w:val="00685C0F"/>
    <w:rsid w:val="00686203"/>
    <w:rsid w:val="006876E8"/>
    <w:rsid w:val="00687F50"/>
    <w:rsid w:val="00687F97"/>
    <w:rsid w:val="00690855"/>
    <w:rsid w:val="00690C1A"/>
    <w:rsid w:val="006910A4"/>
    <w:rsid w:val="00691146"/>
    <w:rsid w:val="00692C1C"/>
    <w:rsid w:val="0069343D"/>
    <w:rsid w:val="00693992"/>
    <w:rsid w:val="0069435D"/>
    <w:rsid w:val="006947D3"/>
    <w:rsid w:val="006957A2"/>
    <w:rsid w:val="00695C9E"/>
    <w:rsid w:val="00695DFE"/>
    <w:rsid w:val="006961FF"/>
    <w:rsid w:val="00696274"/>
    <w:rsid w:val="0069630F"/>
    <w:rsid w:val="006A0219"/>
    <w:rsid w:val="006A0F29"/>
    <w:rsid w:val="006A11C2"/>
    <w:rsid w:val="006A177B"/>
    <w:rsid w:val="006A17C5"/>
    <w:rsid w:val="006A1D69"/>
    <w:rsid w:val="006A211D"/>
    <w:rsid w:val="006A21D0"/>
    <w:rsid w:val="006A2E76"/>
    <w:rsid w:val="006A3E1A"/>
    <w:rsid w:val="006A43C7"/>
    <w:rsid w:val="006A47CA"/>
    <w:rsid w:val="006A4A81"/>
    <w:rsid w:val="006A5886"/>
    <w:rsid w:val="006A6B71"/>
    <w:rsid w:val="006A6D80"/>
    <w:rsid w:val="006B009F"/>
    <w:rsid w:val="006B0CB9"/>
    <w:rsid w:val="006B1418"/>
    <w:rsid w:val="006B1814"/>
    <w:rsid w:val="006B242D"/>
    <w:rsid w:val="006B306F"/>
    <w:rsid w:val="006B30A6"/>
    <w:rsid w:val="006B36F5"/>
    <w:rsid w:val="006B77B9"/>
    <w:rsid w:val="006B78DA"/>
    <w:rsid w:val="006B79FF"/>
    <w:rsid w:val="006B7B91"/>
    <w:rsid w:val="006C0556"/>
    <w:rsid w:val="006C12F1"/>
    <w:rsid w:val="006C1A43"/>
    <w:rsid w:val="006C2669"/>
    <w:rsid w:val="006C2F3C"/>
    <w:rsid w:val="006C380C"/>
    <w:rsid w:val="006C3B48"/>
    <w:rsid w:val="006C3E61"/>
    <w:rsid w:val="006C515A"/>
    <w:rsid w:val="006C6B09"/>
    <w:rsid w:val="006C7A9B"/>
    <w:rsid w:val="006C7C85"/>
    <w:rsid w:val="006C7FD8"/>
    <w:rsid w:val="006D031D"/>
    <w:rsid w:val="006D0ABE"/>
    <w:rsid w:val="006D15A1"/>
    <w:rsid w:val="006D18D0"/>
    <w:rsid w:val="006D2E04"/>
    <w:rsid w:val="006D3F90"/>
    <w:rsid w:val="006D4709"/>
    <w:rsid w:val="006D4724"/>
    <w:rsid w:val="006D4D47"/>
    <w:rsid w:val="006D578B"/>
    <w:rsid w:val="006D63C7"/>
    <w:rsid w:val="006D6586"/>
    <w:rsid w:val="006D6F5F"/>
    <w:rsid w:val="006D6F8C"/>
    <w:rsid w:val="006D79B1"/>
    <w:rsid w:val="006E079F"/>
    <w:rsid w:val="006E0889"/>
    <w:rsid w:val="006E153A"/>
    <w:rsid w:val="006E178A"/>
    <w:rsid w:val="006E180F"/>
    <w:rsid w:val="006E1E2B"/>
    <w:rsid w:val="006E3ECB"/>
    <w:rsid w:val="006E451D"/>
    <w:rsid w:val="006E5753"/>
    <w:rsid w:val="006E6321"/>
    <w:rsid w:val="006E645A"/>
    <w:rsid w:val="006E71DA"/>
    <w:rsid w:val="006E7D57"/>
    <w:rsid w:val="006F09FA"/>
    <w:rsid w:val="006F390E"/>
    <w:rsid w:val="006F4258"/>
    <w:rsid w:val="006F4AC1"/>
    <w:rsid w:val="006F4BA7"/>
    <w:rsid w:val="006F5E8F"/>
    <w:rsid w:val="006F651E"/>
    <w:rsid w:val="006F6ED4"/>
    <w:rsid w:val="006F7542"/>
    <w:rsid w:val="00700584"/>
    <w:rsid w:val="007005C4"/>
    <w:rsid w:val="00700E49"/>
    <w:rsid w:val="007011F5"/>
    <w:rsid w:val="00701FC8"/>
    <w:rsid w:val="007024C9"/>
    <w:rsid w:val="00702ACC"/>
    <w:rsid w:val="00703243"/>
    <w:rsid w:val="007041D8"/>
    <w:rsid w:val="007054BD"/>
    <w:rsid w:val="007057F3"/>
    <w:rsid w:val="007059E5"/>
    <w:rsid w:val="0070600D"/>
    <w:rsid w:val="007068F6"/>
    <w:rsid w:val="007077BB"/>
    <w:rsid w:val="00710D00"/>
    <w:rsid w:val="00710D7C"/>
    <w:rsid w:val="00710E1C"/>
    <w:rsid w:val="007112AE"/>
    <w:rsid w:val="007123B9"/>
    <w:rsid w:val="007129DA"/>
    <w:rsid w:val="007133D3"/>
    <w:rsid w:val="00713C58"/>
    <w:rsid w:val="00714042"/>
    <w:rsid w:val="00714697"/>
    <w:rsid w:val="00715FB3"/>
    <w:rsid w:val="00716B83"/>
    <w:rsid w:val="007176A5"/>
    <w:rsid w:val="0072057C"/>
    <w:rsid w:val="00720973"/>
    <w:rsid w:val="007211CA"/>
    <w:rsid w:val="007212C8"/>
    <w:rsid w:val="00722F85"/>
    <w:rsid w:val="0072302B"/>
    <w:rsid w:val="007235A1"/>
    <w:rsid w:val="00724C05"/>
    <w:rsid w:val="00725A99"/>
    <w:rsid w:val="0072644D"/>
    <w:rsid w:val="007269AA"/>
    <w:rsid w:val="00726ACC"/>
    <w:rsid w:val="00726D3F"/>
    <w:rsid w:val="00726E93"/>
    <w:rsid w:val="00731622"/>
    <w:rsid w:val="00731E20"/>
    <w:rsid w:val="007333DC"/>
    <w:rsid w:val="00734387"/>
    <w:rsid w:val="0073444B"/>
    <w:rsid w:val="007345EC"/>
    <w:rsid w:val="00735632"/>
    <w:rsid w:val="00735BE7"/>
    <w:rsid w:val="007364D5"/>
    <w:rsid w:val="00736DD5"/>
    <w:rsid w:val="00737250"/>
    <w:rsid w:val="00737835"/>
    <w:rsid w:val="00737C16"/>
    <w:rsid w:val="0074096C"/>
    <w:rsid w:val="00740E05"/>
    <w:rsid w:val="0074318D"/>
    <w:rsid w:val="00743878"/>
    <w:rsid w:val="00743F4E"/>
    <w:rsid w:val="00745065"/>
    <w:rsid w:val="00745118"/>
    <w:rsid w:val="007474B8"/>
    <w:rsid w:val="00750C65"/>
    <w:rsid w:val="00750D55"/>
    <w:rsid w:val="00750E91"/>
    <w:rsid w:val="00750F08"/>
    <w:rsid w:val="00750F75"/>
    <w:rsid w:val="00751B0C"/>
    <w:rsid w:val="00751D90"/>
    <w:rsid w:val="00752F38"/>
    <w:rsid w:val="00753210"/>
    <w:rsid w:val="0075392B"/>
    <w:rsid w:val="00753B9B"/>
    <w:rsid w:val="0075444B"/>
    <w:rsid w:val="0075452A"/>
    <w:rsid w:val="007545D7"/>
    <w:rsid w:val="007557E6"/>
    <w:rsid w:val="0075605F"/>
    <w:rsid w:val="00757E25"/>
    <w:rsid w:val="0076013A"/>
    <w:rsid w:val="007604A7"/>
    <w:rsid w:val="00761A97"/>
    <w:rsid w:val="00761D90"/>
    <w:rsid w:val="007658EA"/>
    <w:rsid w:val="007660B0"/>
    <w:rsid w:val="007662C1"/>
    <w:rsid w:val="00770789"/>
    <w:rsid w:val="00771BC8"/>
    <w:rsid w:val="00771EA2"/>
    <w:rsid w:val="007729AC"/>
    <w:rsid w:val="00773390"/>
    <w:rsid w:val="007735C9"/>
    <w:rsid w:val="00774974"/>
    <w:rsid w:val="00775950"/>
    <w:rsid w:val="00776054"/>
    <w:rsid w:val="00776192"/>
    <w:rsid w:val="00776942"/>
    <w:rsid w:val="00777B59"/>
    <w:rsid w:val="007819F8"/>
    <w:rsid w:val="00782276"/>
    <w:rsid w:val="007827EE"/>
    <w:rsid w:val="00783653"/>
    <w:rsid w:val="00783B9D"/>
    <w:rsid w:val="00783D70"/>
    <w:rsid w:val="007840D2"/>
    <w:rsid w:val="00784707"/>
    <w:rsid w:val="00784A34"/>
    <w:rsid w:val="007862D9"/>
    <w:rsid w:val="00786BE6"/>
    <w:rsid w:val="00786E66"/>
    <w:rsid w:val="007873CF"/>
    <w:rsid w:val="00787B34"/>
    <w:rsid w:val="007900A3"/>
    <w:rsid w:val="00791A12"/>
    <w:rsid w:val="00791D01"/>
    <w:rsid w:val="00791EA4"/>
    <w:rsid w:val="00792412"/>
    <w:rsid w:val="007928EC"/>
    <w:rsid w:val="00792A70"/>
    <w:rsid w:val="00793FC7"/>
    <w:rsid w:val="0079445A"/>
    <w:rsid w:val="00795790"/>
    <w:rsid w:val="00795D39"/>
    <w:rsid w:val="00795DB2"/>
    <w:rsid w:val="00795FC7"/>
    <w:rsid w:val="007967F8"/>
    <w:rsid w:val="00797860"/>
    <w:rsid w:val="00797B4A"/>
    <w:rsid w:val="007A0235"/>
    <w:rsid w:val="007A0361"/>
    <w:rsid w:val="007A0A07"/>
    <w:rsid w:val="007A12B8"/>
    <w:rsid w:val="007A13E6"/>
    <w:rsid w:val="007A16E7"/>
    <w:rsid w:val="007A25E2"/>
    <w:rsid w:val="007A290D"/>
    <w:rsid w:val="007A2A0F"/>
    <w:rsid w:val="007A2F33"/>
    <w:rsid w:val="007A498F"/>
    <w:rsid w:val="007A4FA3"/>
    <w:rsid w:val="007A5083"/>
    <w:rsid w:val="007A57FB"/>
    <w:rsid w:val="007A58B2"/>
    <w:rsid w:val="007A67E4"/>
    <w:rsid w:val="007A759B"/>
    <w:rsid w:val="007A7931"/>
    <w:rsid w:val="007B008D"/>
    <w:rsid w:val="007B00E5"/>
    <w:rsid w:val="007B03D2"/>
    <w:rsid w:val="007B0BA5"/>
    <w:rsid w:val="007B2588"/>
    <w:rsid w:val="007B2941"/>
    <w:rsid w:val="007B4765"/>
    <w:rsid w:val="007B4C11"/>
    <w:rsid w:val="007B4E47"/>
    <w:rsid w:val="007B6919"/>
    <w:rsid w:val="007B7EC4"/>
    <w:rsid w:val="007C0E3E"/>
    <w:rsid w:val="007C0FDA"/>
    <w:rsid w:val="007C1030"/>
    <w:rsid w:val="007C116F"/>
    <w:rsid w:val="007C2EE2"/>
    <w:rsid w:val="007C4019"/>
    <w:rsid w:val="007C43DC"/>
    <w:rsid w:val="007C4ECA"/>
    <w:rsid w:val="007C53A7"/>
    <w:rsid w:val="007C55F0"/>
    <w:rsid w:val="007C5CC2"/>
    <w:rsid w:val="007C5F89"/>
    <w:rsid w:val="007C610C"/>
    <w:rsid w:val="007C62B5"/>
    <w:rsid w:val="007C68A2"/>
    <w:rsid w:val="007C73AB"/>
    <w:rsid w:val="007C7B2F"/>
    <w:rsid w:val="007D065C"/>
    <w:rsid w:val="007D0D18"/>
    <w:rsid w:val="007D0DA8"/>
    <w:rsid w:val="007D1E01"/>
    <w:rsid w:val="007D21D9"/>
    <w:rsid w:val="007D279A"/>
    <w:rsid w:val="007D31A3"/>
    <w:rsid w:val="007D477F"/>
    <w:rsid w:val="007D4959"/>
    <w:rsid w:val="007D49A5"/>
    <w:rsid w:val="007D4B61"/>
    <w:rsid w:val="007D4FE4"/>
    <w:rsid w:val="007D614A"/>
    <w:rsid w:val="007D6444"/>
    <w:rsid w:val="007D652A"/>
    <w:rsid w:val="007D744D"/>
    <w:rsid w:val="007D74DE"/>
    <w:rsid w:val="007D7CB8"/>
    <w:rsid w:val="007E0EB5"/>
    <w:rsid w:val="007E110C"/>
    <w:rsid w:val="007E2271"/>
    <w:rsid w:val="007E3551"/>
    <w:rsid w:val="007E35F7"/>
    <w:rsid w:val="007E4E72"/>
    <w:rsid w:val="007E4FD4"/>
    <w:rsid w:val="007E4FD9"/>
    <w:rsid w:val="007E509A"/>
    <w:rsid w:val="007E5695"/>
    <w:rsid w:val="007E59E9"/>
    <w:rsid w:val="007E5ABC"/>
    <w:rsid w:val="007E60A1"/>
    <w:rsid w:val="007E61DD"/>
    <w:rsid w:val="007E66F5"/>
    <w:rsid w:val="007E74AC"/>
    <w:rsid w:val="007E75B1"/>
    <w:rsid w:val="007F06CF"/>
    <w:rsid w:val="007F1166"/>
    <w:rsid w:val="007F25C6"/>
    <w:rsid w:val="007F2ED6"/>
    <w:rsid w:val="007F3302"/>
    <w:rsid w:val="007F373A"/>
    <w:rsid w:val="007F5648"/>
    <w:rsid w:val="007F599B"/>
    <w:rsid w:val="007F646C"/>
    <w:rsid w:val="007F6DF8"/>
    <w:rsid w:val="007F7169"/>
    <w:rsid w:val="008001FC"/>
    <w:rsid w:val="00800687"/>
    <w:rsid w:val="00801EB6"/>
    <w:rsid w:val="00802A3E"/>
    <w:rsid w:val="00803328"/>
    <w:rsid w:val="0080368C"/>
    <w:rsid w:val="00803708"/>
    <w:rsid w:val="00803828"/>
    <w:rsid w:val="008038A7"/>
    <w:rsid w:val="00803DFF"/>
    <w:rsid w:val="0080462F"/>
    <w:rsid w:val="008046C0"/>
    <w:rsid w:val="00804B6D"/>
    <w:rsid w:val="0080570A"/>
    <w:rsid w:val="0080589C"/>
    <w:rsid w:val="0080626F"/>
    <w:rsid w:val="00806592"/>
    <w:rsid w:val="008068C0"/>
    <w:rsid w:val="008072B4"/>
    <w:rsid w:val="00807375"/>
    <w:rsid w:val="00807C9F"/>
    <w:rsid w:val="0081031A"/>
    <w:rsid w:val="00810C8E"/>
    <w:rsid w:val="00810DBE"/>
    <w:rsid w:val="00811BA4"/>
    <w:rsid w:val="008141AB"/>
    <w:rsid w:val="00814DE1"/>
    <w:rsid w:val="008162D8"/>
    <w:rsid w:val="008168F7"/>
    <w:rsid w:val="00816EB4"/>
    <w:rsid w:val="0081775F"/>
    <w:rsid w:val="00817B7B"/>
    <w:rsid w:val="00820923"/>
    <w:rsid w:val="00822229"/>
    <w:rsid w:val="00822B76"/>
    <w:rsid w:val="00822CAE"/>
    <w:rsid w:val="00823734"/>
    <w:rsid w:val="00823E7F"/>
    <w:rsid w:val="00823F77"/>
    <w:rsid w:val="00824088"/>
    <w:rsid w:val="008248D9"/>
    <w:rsid w:val="00825AF5"/>
    <w:rsid w:val="00826188"/>
    <w:rsid w:val="00826B44"/>
    <w:rsid w:val="00826E95"/>
    <w:rsid w:val="00827642"/>
    <w:rsid w:val="00827893"/>
    <w:rsid w:val="00827917"/>
    <w:rsid w:val="008314ED"/>
    <w:rsid w:val="00831A37"/>
    <w:rsid w:val="00831C46"/>
    <w:rsid w:val="00831CB2"/>
    <w:rsid w:val="00831F6D"/>
    <w:rsid w:val="00832707"/>
    <w:rsid w:val="00833111"/>
    <w:rsid w:val="00833532"/>
    <w:rsid w:val="00835BA7"/>
    <w:rsid w:val="008360FF"/>
    <w:rsid w:val="008365F2"/>
    <w:rsid w:val="00836A61"/>
    <w:rsid w:val="00836F78"/>
    <w:rsid w:val="008376FE"/>
    <w:rsid w:val="00837974"/>
    <w:rsid w:val="0084011B"/>
    <w:rsid w:val="00840DD1"/>
    <w:rsid w:val="00841F9A"/>
    <w:rsid w:val="00842019"/>
    <w:rsid w:val="00842BB2"/>
    <w:rsid w:val="008431D7"/>
    <w:rsid w:val="00843A55"/>
    <w:rsid w:val="00844188"/>
    <w:rsid w:val="0084446D"/>
    <w:rsid w:val="00844637"/>
    <w:rsid w:val="00844702"/>
    <w:rsid w:val="00850A70"/>
    <w:rsid w:val="0085132B"/>
    <w:rsid w:val="00851A3D"/>
    <w:rsid w:val="00852AE7"/>
    <w:rsid w:val="00852DB6"/>
    <w:rsid w:val="00854976"/>
    <w:rsid w:val="00854FD2"/>
    <w:rsid w:val="00855550"/>
    <w:rsid w:val="008556F7"/>
    <w:rsid w:val="00855807"/>
    <w:rsid w:val="00855D9C"/>
    <w:rsid w:val="00860343"/>
    <w:rsid w:val="00860D7D"/>
    <w:rsid w:val="00861CB1"/>
    <w:rsid w:val="008633EA"/>
    <w:rsid w:val="0086345B"/>
    <w:rsid w:val="008635C5"/>
    <w:rsid w:val="00863804"/>
    <w:rsid w:val="0086446E"/>
    <w:rsid w:val="00864674"/>
    <w:rsid w:val="00864901"/>
    <w:rsid w:val="008659B9"/>
    <w:rsid w:val="008664E3"/>
    <w:rsid w:val="00867155"/>
    <w:rsid w:val="0087062F"/>
    <w:rsid w:val="0087071E"/>
    <w:rsid w:val="00870984"/>
    <w:rsid w:val="00871015"/>
    <w:rsid w:val="0087161A"/>
    <w:rsid w:val="00871952"/>
    <w:rsid w:val="00871A91"/>
    <w:rsid w:val="008728A9"/>
    <w:rsid w:val="00872C8F"/>
    <w:rsid w:val="00873A7A"/>
    <w:rsid w:val="00873CD8"/>
    <w:rsid w:val="008746DD"/>
    <w:rsid w:val="00874C21"/>
    <w:rsid w:val="0087558C"/>
    <w:rsid w:val="0087582E"/>
    <w:rsid w:val="00875B44"/>
    <w:rsid w:val="00875C3A"/>
    <w:rsid w:val="00875CEE"/>
    <w:rsid w:val="00876ACA"/>
    <w:rsid w:val="00876DA8"/>
    <w:rsid w:val="008771A1"/>
    <w:rsid w:val="00877640"/>
    <w:rsid w:val="00880464"/>
    <w:rsid w:val="00880E67"/>
    <w:rsid w:val="008810D2"/>
    <w:rsid w:val="00882574"/>
    <w:rsid w:val="00882DB8"/>
    <w:rsid w:val="00883F49"/>
    <w:rsid w:val="008842A0"/>
    <w:rsid w:val="008843B7"/>
    <w:rsid w:val="00884C15"/>
    <w:rsid w:val="008875D2"/>
    <w:rsid w:val="0088761C"/>
    <w:rsid w:val="008878D5"/>
    <w:rsid w:val="00891931"/>
    <w:rsid w:val="00891E62"/>
    <w:rsid w:val="00891FDD"/>
    <w:rsid w:val="00892D33"/>
    <w:rsid w:val="00893CA2"/>
    <w:rsid w:val="008942D3"/>
    <w:rsid w:val="00894CE7"/>
    <w:rsid w:val="00895107"/>
    <w:rsid w:val="00895946"/>
    <w:rsid w:val="00895EF9"/>
    <w:rsid w:val="0089680C"/>
    <w:rsid w:val="008968AB"/>
    <w:rsid w:val="008972AE"/>
    <w:rsid w:val="00897467"/>
    <w:rsid w:val="00897492"/>
    <w:rsid w:val="00897B31"/>
    <w:rsid w:val="00897D24"/>
    <w:rsid w:val="008A095A"/>
    <w:rsid w:val="008A12CF"/>
    <w:rsid w:val="008A171E"/>
    <w:rsid w:val="008A28DD"/>
    <w:rsid w:val="008A32D2"/>
    <w:rsid w:val="008A3C63"/>
    <w:rsid w:val="008A4408"/>
    <w:rsid w:val="008A4ACE"/>
    <w:rsid w:val="008A5D18"/>
    <w:rsid w:val="008A7B75"/>
    <w:rsid w:val="008A7DDB"/>
    <w:rsid w:val="008A7FB6"/>
    <w:rsid w:val="008B03F1"/>
    <w:rsid w:val="008B08E2"/>
    <w:rsid w:val="008B0BC6"/>
    <w:rsid w:val="008B0BD3"/>
    <w:rsid w:val="008B15F9"/>
    <w:rsid w:val="008B2519"/>
    <w:rsid w:val="008B34BA"/>
    <w:rsid w:val="008B3DBC"/>
    <w:rsid w:val="008B3E18"/>
    <w:rsid w:val="008B3FEA"/>
    <w:rsid w:val="008B49DE"/>
    <w:rsid w:val="008B52BA"/>
    <w:rsid w:val="008B5513"/>
    <w:rsid w:val="008B6AA2"/>
    <w:rsid w:val="008B6C19"/>
    <w:rsid w:val="008B77E0"/>
    <w:rsid w:val="008B7AC7"/>
    <w:rsid w:val="008C0940"/>
    <w:rsid w:val="008C178E"/>
    <w:rsid w:val="008C1CCE"/>
    <w:rsid w:val="008C1DEC"/>
    <w:rsid w:val="008C2C13"/>
    <w:rsid w:val="008C3558"/>
    <w:rsid w:val="008C428C"/>
    <w:rsid w:val="008C5049"/>
    <w:rsid w:val="008C5415"/>
    <w:rsid w:val="008C55C4"/>
    <w:rsid w:val="008C5862"/>
    <w:rsid w:val="008C6633"/>
    <w:rsid w:val="008C6CDC"/>
    <w:rsid w:val="008C7E80"/>
    <w:rsid w:val="008D08C7"/>
    <w:rsid w:val="008D0C7C"/>
    <w:rsid w:val="008D1CA4"/>
    <w:rsid w:val="008D28D3"/>
    <w:rsid w:val="008D3B32"/>
    <w:rsid w:val="008D3BC1"/>
    <w:rsid w:val="008D3CB1"/>
    <w:rsid w:val="008D3D05"/>
    <w:rsid w:val="008D4815"/>
    <w:rsid w:val="008D50E8"/>
    <w:rsid w:val="008D528B"/>
    <w:rsid w:val="008D6108"/>
    <w:rsid w:val="008D61AC"/>
    <w:rsid w:val="008D681B"/>
    <w:rsid w:val="008D6934"/>
    <w:rsid w:val="008D6A4A"/>
    <w:rsid w:val="008D7494"/>
    <w:rsid w:val="008D784D"/>
    <w:rsid w:val="008E002A"/>
    <w:rsid w:val="008E04EB"/>
    <w:rsid w:val="008E1219"/>
    <w:rsid w:val="008E12EB"/>
    <w:rsid w:val="008E1A2C"/>
    <w:rsid w:val="008E2398"/>
    <w:rsid w:val="008E3E54"/>
    <w:rsid w:val="008E43B8"/>
    <w:rsid w:val="008E455F"/>
    <w:rsid w:val="008E5185"/>
    <w:rsid w:val="008E5946"/>
    <w:rsid w:val="008E602A"/>
    <w:rsid w:val="008E6887"/>
    <w:rsid w:val="008E6966"/>
    <w:rsid w:val="008E6CEF"/>
    <w:rsid w:val="008E6F2B"/>
    <w:rsid w:val="008E761D"/>
    <w:rsid w:val="008F01A1"/>
    <w:rsid w:val="008F0DB7"/>
    <w:rsid w:val="008F0EE1"/>
    <w:rsid w:val="008F18E1"/>
    <w:rsid w:val="008F2954"/>
    <w:rsid w:val="008F2996"/>
    <w:rsid w:val="008F3294"/>
    <w:rsid w:val="008F375A"/>
    <w:rsid w:val="008F44DC"/>
    <w:rsid w:val="008F5B70"/>
    <w:rsid w:val="008F5D8A"/>
    <w:rsid w:val="008F6EAA"/>
    <w:rsid w:val="008F742E"/>
    <w:rsid w:val="008F74B4"/>
    <w:rsid w:val="008F76BB"/>
    <w:rsid w:val="008F771B"/>
    <w:rsid w:val="008F7A47"/>
    <w:rsid w:val="0090040A"/>
    <w:rsid w:val="009013EC"/>
    <w:rsid w:val="009017DB"/>
    <w:rsid w:val="0090193D"/>
    <w:rsid w:val="00901E3F"/>
    <w:rsid w:val="0090220C"/>
    <w:rsid w:val="00902B07"/>
    <w:rsid w:val="009032F2"/>
    <w:rsid w:val="009033EA"/>
    <w:rsid w:val="0090399E"/>
    <w:rsid w:val="009039FE"/>
    <w:rsid w:val="00903B17"/>
    <w:rsid w:val="00903C2C"/>
    <w:rsid w:val="0090402D"/>
    <w:rsid w:val="0090494B"/>
    <w:rsid w:val="00904FEC"/>
    <w:rsid w:val="00905A47"/>
    <w:rsid w:val="00905D2E"/>
    <w:rsid w:val="00906ABA"/>
    <w:rsid w:val="00906D3E"/>
    <w:rsid w:val="00906E00"/>
    <w:rsid w:val="00906F20"/>
    <w:rsid w:val="009072DE"/>
    <w:rsid w:val="0090782A"/>
    <w:rsid w:val="00907964"/>
    <w:rsid w:val="00907AFC"/>
    <w:rsid w:val="00911343"/>
    <w:rsid w:val="009116EF"/>
    <w:rsid w:val="009120FF"/>
    <w:rsid w:val="0091272E"/>
    <w:rsid w:val="0091345B"/>
    <w:rsid w:val="0091358D"/>
    <w:rsid w:val="00913CDA"/>
    <w:rsid w:val="00913F09"/>
    <w:rsid w:val="00914638"/>
    <w:rsid w:val="00914C0D"/>
    <w:rsid w:val="00915C81"/>
    <w:rsid w:val="009160C5"/>
    <w:rsid w:val="009169D2"/>
    <w:rsid w:val="009171BB"/>
    <w:rsid w:val="00922214"/>
    <w:rsid w:val="00924896"/>
    <w:rsid w:val="009249CF"/>
    <w:rsid w:val="00924E12"/>
    <w:rsid w:val="00924F23"/>
    <w:rsid w:val="00925CC3"/>
    <w:rsid w:val="00926268"/>
    <w:rsid w:val="009266E0"/>
    <w:rsid w:val="00927978"/>
    <w:rsid w:val="00927C02"/>
    <w:rsid w:val="00930803"/>
    <w:rsid w:val="0093113F"/>
    <w:rsid w:val="0093157F"/>
    <w:rsid w:val="00931D78"/>
    <w:rsid w:val="00932429"/>
    <w:rsid w:val="00933DBA"/>
    <w:rsid w:val="009346D7"/>
    <w:rsid w:val="00935583"/>
    <w:rsid w:val="00936B1E"/>
    <w:rsid w:val="00937356"/>
    <w:rsid w:val="009378BF"/>
    <w:rsid w:val="00940E31"/>
    <w:rsid w:val="00942688"/>
    <w:rsid w:val="00942E1E"/>
    <w:rsid w:val="009434B3"/>
    <w:rsid w:val="00943859"/>
    <w:rsid w:val="00943F0D"/>
    <w:rsid w:val="00944017"/>
    <w:rsid w:val="009463A3"/>
    <w:rsid w:val="009463E9"/>
    <w:rsid w:val="0094668D"/>
    <w:rsid w:val="00946D2C"/>
    <w:rsid w:val="00950A75"/>
    <w:rsid w:val="0095322A"/>
    <w:rsid w:val="00953388"/>
    <w:rsid w:val="009533C7"/>
    <w:rsid w:val="009544A6"/>
    <w:rsid w:val="00954B71"/>
    <w:rsid w:val="009552C8"/>
    <w:rsid w:val="009564DA"/>
    <w:rsid w:val="009605EF"/>
    <w:rsid w:val="009608EF"/>
    <w:rsid w:val="009618E4"/>
    <w:rsid w:val="009622A5"/>
    <w:rsid w:val="009625D1"/>
    <w:rsid w:val="00963CE0"/>
    <w:rsid w:val="00963E37"/>
    <w:rsid w:val="00966310"/>
    <w:rsid w:val="0096653D"/>
    <w:rsid w:val="009667F6"/>
    <w:rsid w:val="00966952"/>
    <w:rsid w:val="00966A47"/>
    <w:rsid w:val="00966B54"/>
    <w:rsid w:val="0096789E"/>
    <w:rsid w:val="00970235"/>
    <w:rsid w:val="00972CB7"/>
    <w:rsid w:val="00973917"/>
    <w:rsid w:val="00973A58"/>
    <w:rsid w:val="00974490"/>
    <w:rsid w:val="00974EC9"/>
    <w:rsid w:val="00975008"/>
    <w:rsid w:val="00975598"/>
    <w:rsid w:val="00976716"/>
    <w:rsid w:val="00976CA0"/>
    <w:rsid w:val="009779D5"/>
    <w:rsid w:val="009801AA"/>
    <w:rsid w:val="0098118D"/>
    <w:rsid w:val="009822D2"/>
    <w:rsid w:val="00983664"/>
    <w:rsid w:val="00984A07"/>
    <w:rsid w:val="009856BA"/>
    <w:rsid w:val="00985F22"/>
    <w:rsid w:val="00986650"/>
    <w:rsid w:val="00986BD4"/>
    <w:rsid w:val="00987467"/>
    <w:rsid w:val="00987534"/>
    <w:rsid w:val="009901AA"/>
    <w:rsid w:val="00992309"/>
    <w:rsid w:val="009925A8"/>
    <w:rsid w:val="00992797"/>
    <w:rsid w:val="00992DA8"/>
    <w:rsid w:val="00993E88"/>
    <w:rsid w:val="00994740"/>
    <w:rsid w:val="009947A0"/>
    <w:rsid w:val="00994F08"/>
    <w:rsid w:val="009955F2"/>
    <w:rsid w:val="00995837"/>
    <w:rsid w:val="00995B69"/>
    <w:rsid w:val="00995DEE"/>
    <w:rsid w:val="009A0BB0"/>
    <w:rsid w:val="009A11F4"/>
    <w:rsid w:val="009A15F3"/>
    <w:rsid w:val="009A1B77"/>
    <w:rsid w:val="009A20B3"/>
    <w:rsid w:val="009A2888"/>
    <w:rsid w:val="009A315B"/>
    <w:rsid w:val="009A3170"/>
    <w:rsid w:val="009A568B"/>
    <w:rsid w:val="009A6A73"/>
    <w:rsid w:val="009A7004"/>
    <w:rsid w:val="009B08DF"/>
    <w:rsid w:val="009B0D82"/>
    <w:rsid w:val="009B130C"/>
    <w:rsid w:val="009B1A2A"/>
    <w:rsid w:val="009B22A6"/>
    <w:rsid w:val="009B266D"/>
    <w:rsid w:val="009B3168"/>
    <w:rsid w:val="009B4A70"/>
    <w:rsid w:val="009B4C59"/>
    <w:rsid w:val="009B60A5"/>
    <w:rsid w:val="009B6572"/>
    <w:rsid w:val="009B6788"/>
    <w:rsid w:val="009B6DE4"/>
    <w:rsid w:val="009B7321"/>
    <w:rsid w:val="009B773C"/>
    <w:rsid w:val="009C080A"/>
    <w:rsid w:val="009C1445"/>
    <w:rsid w:val="009C1969"/>
    <w:rsid w:val="009C1BF5"/>
    <w:rsid w:val="009C2A64"/>
    <w:rsid w:val="009C392C"/>
    <w:rsid w:val="009C3BAE"/>
    <w:rsid w:val="009C3DAB"/>
    <w:rsid w:val="009C48A2"/>
    <w:rsid w:val="009C57A1"/>
    <w:rsid w:val="009C57C7"/>
    <w:rsid w:val="009C5A40"/>
    <w:rsid w:val="009C7146"/>
    <w:rsid w:val="009C7D90"/>
    <w:rsid w:val="009D0E6B"/>
    <w:rsid w:val="009D1424"/>
    <w:rsid w:val="009D201C"/>
    <w:rsid w:val="009D21D1"/>
    <w:rsid w:val="009D2F6F"/>
    <w:rsid w:val="009D3817"/>
    <w:rsid w:val="009D40CB"/>
    <w:rsid w:val="009D5323"/>
    <w:rsid w:val="009D5D39"/>
    <w:rsid w:val="009D7025"/>
    <w:rsid w:val="009D745F"/>
    <w:rsid w:val="009D7A80"/>
    <w:rsid w:val="009E0157"/>
    <w:rsid w:val="009E0A14"/>
    <w:rsid w:val="009E0FA8"/>
    <w:rsid w:val="009E1B20"/>
    <w:rsid w:val="009E1C89"/>
    <w:rsid w:val="009E2052"/>
    <w:rsid w:val="009E2469"/>
    <w:rsid w:val="009E31E5"/>
    <w:rsid w:val="009E43A6"/>
    <w:rsid w:val="009E4568"/>
    <w:rsid w:val="009E4F98"/>
    <w:rsid w:val="009E53CC"/>
    <w:rsid w:val="009E594B"/>
    <w:rsid w:val="009E5C7D"/>
    <w:rsid w:val="009E5E5D"/>
    <w:rsid w:val="009E63E9"/>
    <w:rsid w:val="009E6A1A"/>
    <w:rsid w:val="009E6C75"/>
    <w:rsid w:val="009E7A8F"/>
    <w:rsid w:val="009F077F"/>
    <w:rsid w:val="009F0905"/>
    <w:rsid w:val="009F0BA2"/>
    <w:rsid w:val="009F0E24"/>
    <w:rsid w:val="009F104E"/>
    <w:rsid w:val="009F1C7A"/>
    <w:rsid w:val="009F30C0"/>
    <w:rsid w:val="009F39CD"/>
    <w:rsid w:val="009F4818"/>
    <w:rsid w:val="009F4DCC"/>
    <w:rsid w:val="009F50C1"/>
    <w:rsid w:val="009F549A"/>
    <w:rsid w:val="009F6446"/>
    <w:rsid w:val="009F6BCE"/>
    <w:rsid w:val="009F7870"/>
    <w:rsid w:val="009F7E36"/>
    <w:rsid w:val="00A000DE"/>
    <w:rsid w:val="00A0088A"/>
    <w:rsid w:val="00A014FF"/>
    <w:rsid w:val="00A02043"/>
    <w:rsid w:val="00A02439"/>
    <w:rsid w:val="00A03326"/>
    <w:rsid w:val="00A03E57"/>
    <w:rsid w:val="00A040E2"/>
    <w:rsid w:val="00A044A5"/>
    <w:rsid w:val="00A06C82"/>
    <w:rsid w:val="00A07199"/>
    <w:rsid w:val="00A07ECC"/>
    <w:rsid w:val="00A102A5"/>
    <w:rsid w:val="00A113F4"/>
    <w:rsid w:val="00A11A25"/>
    <w:rsid w:val="00A11B70"/>
    <w:rsid w:val="00A11E6C"/>
    <w:rsid w:val="00A11F6E"/>
    <w:rsid w:val="00A12C8B"/>
    <w:rsid w:val="00A13962"/>
    <w:rsid w:val="00A139F7"/>
    <w:rsid w:val="00A14278"/>
    <w:rsid w:val="00A14341"/>
    <w:rsid w:val="00A146B6"/>
    <w:rsid w:val="00A15300"/>
    <w:rsid w:val="00A16DED"/>
    <w:rsid w:val="00A1756B"/>
    <w:rsid w:val="00A2041A"/>
    <w:rsid w:val="00A213DE"/>
    <w:rsid w:val="00A21472"/>
    <w:rsid w:val="00A2151C"/>
    <w:rsid w:val="00A21542"/>
    <w:rsid w:val="00A220F9"/>
    <w:rsid w:val="00A22235"/>
    <w:rsid w:val="00A23AEF"/>
    <w:rsid w:val="00A23DCC"/>
    <w:rsid w:val="00A24184"/>
    <w:rsid w:val="00A24575"/>
    <w:rsid w:val="00A24EF8"/>
    <w:rsid w:val="00A2643F"/>
    <w:rsid w:val="00A27455"/>
    <w:rsid w:val="00A276B6"/>
    <w:rsid w:val="00A3059E"/>
    <w:rsid w:val="00A3245B"/>
    <w:rsid w:val="00A3300C"/>
    <w:rsid w:val="00A33F8A"/>
    <w:rsid w:val="00A35524"/>
    <w:rsid w:val="00A360D3"/>
    <w:rsid w:val="00A41653"/>
    <w:rsid w:val="00A41659"/>
    <w:rsid w:val="00A416AD"/>
    <w:rsid w:val="00A41A1A"/>
    <w:rsid w:val="00A41CB2"/>
    <w:rsid w:val="00A426C4"/>
    <w:rsid w:val="00A434A4"/>
    <w:rsid w:val="00A4472C"/>
    <w:rsid w:val="00A44A0D"/>
    <w:rsid w:val="00A45749"/>
    <w:rsid w:val="00A461F2"/>
    <w:rsid w:val="00A507B1"/>
    <w:rsid w:val="00A50DCE"/>
    <w:rsid w:val="00A51656"/>
    <w:rsid w:val="00A5233A"/>
    <w:rsid w:val="00A539AE"/>
    <w:rsid w:val="00A54366"/>
    <w:rsid w:val="00A56AD0"/>
    <w:rsid w:val="00A56F0E"/>
    <w:rsid w:val="00A57D15"/>
    <w:rsid w:val="00A616B3"/>
    <w:rsid w:val="00A6216C"/>
    <w:rsid w:val="00A6217A"/>
    <w:rsid w:val="00A626DB"/>
    <w:rsid w:val="00A6275B"/>
    <w:rsid w:val="00A63F4A"/>
    <w:rsid w:val="00A6478F"/>
    <w:rsid w:val="00A6532E"/>
    <w:rsid w:val="00A65524"/>
    <w:rsid w:val="00A65757"/>
    <w:rsid w:val="00A6727E"/>
    <w:rsid w:val="00A67308"/>
    <w:rsid w:val="00A67722"/>
    <w:rsid w:val="00A678E9"/>
    <w:rsid w:val="00A679E7"/>
    <w:rsid w:val="00A70BF5"/>
    <w:rsid w:val="00A71DA2"/>
    <w:rsid w:val="00A73158"/>
    <w:rsid w:val="00A744EC"/>
    <w:rsid w:val="00A74AD3"/>
    <w:rsid w:val="00A75E1C"/>
    <w:rsid w:val="00A777B8"/>
    <w:rsid w:val="00A80DD8"/>
    <w:rsid w:val="00A81345"/>
    <w:rsid w:val="00A8140A"/>
    <w:rsid w:val="00A81A48"/>
    <w:rsid w:val="00A8441B"/>
    <w:rsid w:val="00A8570F"/>
    <w:rsid w:val="00A85D93"/>
    <w:rsid w:val="00A86D6B"/>
    <w:rsid w:val="00A87FE3"/>
    <w:rsid w:val="00A90050"/>
    <w:rsid w:val="00A92387"/>
    <w:rsid w:val="00A92916"/>
    <w:rsid w:val="00A92F71"/>
    <w:rsid w:val="00A937A6"/>
    <w:rsid w:val="00A93AA9"/>
    <w:rsid w:val="00A9713B"/>
    <w:rsid w:val="00A97533"/>
    <w:rsid w:val="00A976C3"/>
    <w:rsid w:val="00A97ECB"/>
    <w:rsid w:val="00AA030E"/>
    <w:rsid w:val="00AA0DB2"/>
    <w:rsid w:val="00AA151F"/>
    <w:rsid w:val="00AA1749"/>
    <w:rsid w:val="00AA1BA8"/>
    <w:rsid w:val="00AA3363"/>
    <w:rsid w:val="00AA3CD0"/>
    <w:rsid w:val="00AA3CE1"/>
    <w:rsid w:val="00AA402E"/>
    <w:rsid w:val="00AA40B7"/>
    <w:rsid w:val="00AA42E9"/>
    <w:rsid w:val="00AA4642"/>
    <w:rsid w:val="00AA6296"/>
    <w:rsid w:val="00AA788B"/>
    <w:rsid w:val="00AB0FDF"/>
    <w:rsid w:val="00AB1F2A"/>
    <w:rsid w:val="00AB25A1"/>
    <w:rsid w:val="00AB2782"/>
    <w:rsid w:val="00AB28B8"/>
    <w:rsid w:val="00AB37D9"/>
    <w:rsid w:val="00AB3F03"/>
    <w:rsid w:val="00AB3F88"/>
    <w:rsid w:val="00AB4826"/>
    <w:rsid w:val="00AB6280"/>
    <w:rsid w:val="00AB71EE"/>
    <w:rsid w:val="00AC08E5"/>
    <w:rsid w:val="00AC0B64"/>
    <w:rsid w:val="00AC1122"/>
    <w:rsid w:val="00AC1A84"/>
    <w:rsid w:val="00AC1E62"/>
    <w:rsid w:val="00AC292F"/>
    <w:rsid w:val="00AC3623"/>
    <w:rsid w:val="00AC48D6"/>
    <w:rsid w:val="00AC4A6E"/>
    <w:rsid w:val="00AC4E38"/>
    <w:rsid w:val="00AC4FB7"/>
    <w:rsid w:val="00AC51D5"/>
    <w:rsid w:val="00AC5D8A"/>
    <w:rsid w:val="00AC6DA0"/>
    <w:rsid w:val="00AC77A4"/>
    <w:rsid w:val="00AC7ED5"/>
    <w:rsid w:val="00AD0215"/>
    <w:rsid w:val="00AD0D82"/>
    <w:rsid w:val="00AD10A7"/>
    <w:rsid w:val="00AD1D96"/>
    <w:rsid w:val="00AD2FCB"/>
    <w:rsid w:val="00AD3260"/>
    <w:rsid w:val="00AD32C2"/>
    <w:rsid w:val="00AD37C1"/>
    <w:rsid w:val="00AD3E2D"/>
    <w:rsid w:val="00AD6C07"/>
    <w:rsid w:val="00AD7E80"/>
    <w:rsid w:val="00AE11F9"/>
    <w:rsid w:val="00AE2CDC"/>
    <w:rsid w:val="00AE3346"/>
    <w:rsid w:val="00AE3C66"/>
    <w:rsid w:val="00AE3CC0"/>
    <w:rsid w:val="00AE3F5C"/>
    <w:rsid w:val="00AE3FD6"/>
    <w:rsid w:val="00AE4B1F"/>
    <w:rsid w:val="00AE4D47"/>
    <w:rsid w:val="00AE58C1"/>
    <w:rsid w:val="00AE6FD7"/>
    <w:rsid w:val="00AE73D2"/>
    <w:rsid w:val="00AF0C69"/>
    <w:rsid w:val="00AF0CE2"/>
    <w:rsid w:val="00AF219E"/>
    <w:rsid w:val="00AF267E"/>
    <w:rsid w:val="00AF28DC"/>
    <w:rsid w:val="00AF3024"/>
    <w:rsid w:val="00AF3472"/>
    <w:rsid w:val="00AF3947"/>
    <w:rsid w:val="00AF473B"/>
    <w:rsid w:val="00AF573C"/>
    <w:rsid w:val="00AF7F01"/>
    <w:rsid w:val="00B005CF"/>
    <w:rsid w:val="00B00671"/>
    <w:rsid w:val="00B00E5A"/>
    <w:rsid w:val="00B01101"/>
    <w:rsid w:val="00B021C9"/>
    <w:rsid w:val="00B026AE"/>
    <w:rsid w:val="00B02E6B"/>
    <w:rsid w:val="00B031D0"/>
    <w:rsid w:val="00B0375A"/>
    <w:rsid w:val="00B03E00"/>
    <w:rsid w:val="00B03E2A"/>
    <w:rsid w:val="00B04E19"/>
    <w:rsid w:val="00B05BCB"/>
    <w:rsid w:val="00B06933"/>
    <w:rsid w:val="00B073C3"/>
    <w:rsid w:val="00B073CE"/>
    <w:rsid w:val="00B07FA8"/>
    <w:rsid w:val="00B10202"/>
    <w:rsid w:val="00B1098D"/>
    <w:rsid w:val="00B10F04"/>
    <w:rsid w:val="00B10F52"/>
    <w:rsid w:val="00B132AC"/>
    <w:rsid w:val="00B1335B"/>
    <w:rsid w:val="00B14275"/>
    <w:rsid w:val="00B14EB0"/>
    <w:rsid w:val="00B15274"/>
    <w:rsid w:val="00B2025B"/>
    <w:rsid w:val="00B2027B"/>
    <w:rsid w:val="00B20E59"/>
    <w:rsid w:val="00B2116C"/>
    <w:rsid w:val="00B21260"/>
    <w:rsid w:val="00B21706"/>
    <w:rsid w:val="00B21BD9"/>
    <w:rsid w:val="00B21D6F"/>
    <w:rsid w:val="00B21D86"/>
    <w:rsid w:val="00B2224F"/>
    <w:rsid w:val="00B22327"/>
    <w:rsid w:val="00B22D30"/>
    <w:rsid w:val="00B22FF2"/>
    <w:rsid w:val="00B23430"/>
    <w:rsid w:val="00B23C93"/>
    <w:rsid w:val="00B24FA5"/>
    <w:rsid w:val="00B252B5"/>
    <w:rsid w:val="00B27034"/>
    <w:rsid w:val="00B2777A"/>
    <w:rsid w:val="00B301E3"/>
    <w:rsid w:val="00B31571"/>
    <w:rsid w:val="00B323C2"/>
    <w:rsid w:val="00B32B3E"/>
    <w:rsid w:val="00B33B9E"/>
    <w:rsid w:val="00B353FC"/>
    <w:rsid w:val="00B3569F"/>
    <w:rsid w:val="00B35FA8"/>
    <w:rsid w:val="00B363CD"/>
    <w:rsid w:val="00B364CE"/>
    <w:rsid w:val="00B365DE"/>
    <w:rsid w:val="00B36EF0"/>
    <w:rsid w:val="00B37027"/>
    <w:rsid w:val="00B37291"/>
    <w:rsid w:val="00B40F51"/>
    <w:rsid w:val="00B416BB"/>
    <w:rsid w:val="00B41A73"/>
    <w:rsid w:val="00B42187"/>
    <w:rsid w:val="00B432AA"/>
    <w:rsid w:val="00B43353"/>
    <w:rsid w:val="00B435D6"/>
    <w:rsid w:val="00B43818"/>
    <w:rsid w:val="00B464CA"/>
    <w:rsid w:val="00B4711B"/>
    <w:rsid w:val="00B47741"/>
    <w:rsid w:val="00B50150"/>
    <w:rsid w:val="00B50627"/>
    <w:rsid w:val="00B5149C"/>
    <w:rsid w:val="00B51CC9"/>
    <w:rsid w:val="00B52EBB"/>
    <w:rsid w:val="00B536F3"/>
    <w:rsid w:val="00B54540"/>
    <w:rsid w:val="00B55207"/>
    <w:rsid w:val="00B56DE7"/>
    <w:rsid w:val="00B57358"/>
    <w:rsid w:val="00B5751D"/>
    <w:rsid w:val="00B57566"/>
    <w:rsid w:val="00B6021A"/>
    <w:rsid w:val="00B60762"/>
    <w:rsid w:val="00B6097C"/>
    <w:rsid w:val="00B60BF3"/>
    <w:rsid w:val="00B61214"/>
    <w:rsid w:val="00B61910"/>
    <w:rsid w:val="00B619D3"/>
    <w:rsid w:val="00B61CDF"/>
    <w:rsid w:val="00B61F87"/>
    <w:rsid w:val="00B64445"/>
    <w:rsid w:val="00B65977"/>
    <w:rsid w:val="00B65F87"/>
    <w:rsid w:val="00B6712D"/>
    <w:rsid w:val="00B67B1A"/>
    <w:rsid w:val="00B67BD2"/>
    <w:rsid w:val="00B70266"/>
    <w:rsid w:val="00B7131E"/>
    <w:rsid w:val="00B72EAE"/>
    <w:rsid w:val="00B72F35"/>
    <w:rsid w:val="00B7315D"/>
    <w:rsid w:val="00B736E6"/>
    <w:rsid w:val="00B73D55"/>
    <w:rsid w:val="00B73F18"/>
    <w:rsid w:val="00B74DFC"/>
    <w:rsid w:val="00B74E01"/>
    <w:rsid w:val="00B75F07"/>
    <w:rsid w:val="00B76CB0"/>
    <w:rsid w:val="00B77527"/>
    <w:rsid w:val="00B77CBA"/>
    <w:rsid w:val="00B77DEE"/>
    <w:rsid w:val="00B77EEB"/>
    <w:rsid w:val="00B80C35"/>
    <w:rsid w:val="00B80D39"/>
    <w:rsid w:val="00B81497"/>
    <w:rsid w:val="00B8194F"/>
    <w:rsid w:val="00B822C9"/>
    <w:rsid w:val="00B82BCB"/>
    <w:rsid w:val="00B832F0"/>
    <w:rsid w:val="00B85B56"/>
    <w:rsid w:val="00B86070"/>
    <w:rsid w:val="00B86B08"/>
    <w:rsid w:val="00B87C2F"/>
    <w:rsid w:val="00B903A5"/>
    <w:rsid w:val="00B90592"/>
    <w:rsid w:val="00B90E38"/>
    <w:rsid w:val="00B90F7F"/>
    <w:rsid w:val="00B93575"/>
    <w:rsid w:val="00B93CFC"/>
    <w:rsid w:val="00B94E87"/>
    <w:rsid w:val="00B959B5"/>
    <w:rsid w:val="00B960A5"/>
    <w:rsid w:val="00B96A45"/>
    <w:rsid w:val="00B96EC6"/>
    <w:rsid w:val="00B976DA"/>
    <w:rsid w:val="00B97A5D"/>
    <w:rsid w:val="00BA016F"/>
    <w:rsid w:val="00BA0186"/>
    <w:rsid w:val="00BA0A9B"/>
    <w:rsid w:val="00BA0BBE"/>
    <w:rsid w:val="00BA0BFE"/>
    <w:rsid w:val="00BA11DE"/>
    <w:rsid w:val="00BA1BE8"/>
    <w:rsid w:val="00BA3415"/>
    <w:rsid w:val="00BA3B1B"/>
    <w:rsid w:val="00BA4CED"/>
    <w:rsid w:val="00BA5A1B"/>
    <w:rsid w:val="00BA6A96"/>
    <w:rsid w:val="00BA79E0"/>
    <w:rsid w:val="00BB1AC0"/>
    <w:rsid w:val="00BB1E10"/>
    <w:rsid w:val="00BB26E9"/>
    <w:rsid w:val="00BB31D2"/>
    <w:rsid w:val="00BB3FB6"/>
    <w:rsid w:val="00BB434C"/>
    <w:rsid w:val="00BB457A"/>
    <w:rsid w:val="00BB4D7B"/>
    <w:rsid w:val="00BB5200"/>
    <w:rsid w:val="00BB5B53"/>
    <w:rsid w:val="00BB660B"/>
    <w:rsid w:val="00BC0267"/>
    <w:rsid w:val="00BC131A"/>
    <w:rsid w:val="00BC236C"/>
    <w:rsid w:val="00BC3795"/>
    <w:rsid w:val="00BC416B"/>
    <w:rsid w:val="00BC54A4"/>
    <w:rsid w:val="00BC597C"/>
    <w:rsid w:val="00BD09F1"/>
    <w:rsid w:val="00BD1F2F"/>
    <w:rsid w:val="00BD208B"/>
    <w:rsid w:val="00BD2A22"/>
    <w:rsid w:val="00BD3137"/>
    <w:rsid w:val="00BD3FF0"/>
    <w:rsid w:val="00BD49BE"/>
    <w:rsid w:val="00BD5979"/>
    <w:rsid w:val="00BD5CC5"/>
    <w:rsid w:val="00BD5FB0"/>
    <w:rsid w:val="00BD6558"/>
    <w:rsid w:val="00BD7D18"/>
    <w:rsid w:val="00BE1908"/>
    <w:rsid w:val="00BE1B1D"/>
    <w:rsid w:val="00BE28CA"/>
    <w:rsid w:val="00BE3533"/>
    <w:rsid w:val="00BE484B"/>
    <w:rsid w:val="00BE4C87"/>
    <w:rsid w:val="00BE507D"/>
    <w:rsid w:val="00BE5B73"/>
    <w:rsid w:val="00BE7440"/>
    <w:rsid w:val="00BE75AD"/>
    <w:rsid w:val="00BF0B2D"/>
    <w:rsid w:val="00BF0FB6"/>
    <w:rsid w:val="00BF250E"/>
    <w:rsid w:val="00BF2CEE"/>
    <w:rsid w:val="00BF2E17"/>
    <w:rsid w:val="00BF4BCC"/>
    <w:rsid w:val="00BF5450"/>
    <w:rsid w:val="00BF563B"/>
    <w:rsid w:val="00BF58A6"/>
    <w:rsid w:val="00BF5FCC"/>
    <w:rsid w:val="00BF66D6"/>
    <w:rsid w:val="00BF6FBA"/>
    <w:rsid w:val="00BF76A9"/>
    <w:rsid w:val="00BF7DF6"/>
    <w:rsid w:val="00C00067"/>
    <w:rsid w:val="00C00315"/>
    <w:rsid w:val="00C00B50"/>
    <w:rsid w:val="00C0127F"/>
    <w:rsid w:val="00C0160E"/>
    <w:rsid w:val="00C01CD9"/>
    <w:rsid w:val="00C024B1"/>
    <w:rsid w:val="00C03091"/>
    <w:rsid w:val="00C0389E"/>
    <w:rsid w:val="00C039E7"/>
    <w:rsid w:val="00C03BDE"/>
    <w:rsid w:val="00C046C7"/>
    <w:rsid w:val="00C04C9E"/>
    <w:rsid w:val="00C04E3B"/>
    <w:rsid w:val="00C050F5"/>
    <w:rsid w:val="00C06EE8"/>
    <w:rsid w:val="00C1175C"/>
    <w:rsid w:val="00C11D21"/>
    <w:rsid w:val="00C13215"/>
    <w:rsid w:val="00C13252"/>
    <w:rsid w:val="00C145CB"/>
    <w:rsid w:val="00C145D5"/>
    <w:rsid w:val="00C14701"/>
    <w:rsid w:val="00C14FB8"/>
    <w:rsid w:val="00C15039"/>
    <w:rsid w:val="00C16362"/>
    <w:rsid w:val="00C164F8"/>
    <w:rsid w:val="00C16523"/>
    <w:rsid w:val="00C1697C"/>
    <w:rsid w:val="00C20202"/>
    <w:rsid w:val="00C20D39"/>
    <w:rsid w:val="00C228EF"/>
    <w:rsid w:val="00C22A7F"/>
    <w:rsid w:val="00C23E82"/>
    <w:rsid w:val="00C247EB"/>
    <w:rsid w:val="00C24D0F"/>
    <w:rsid w:val="00C24F18"/>
    <w:rsid w:val="00C252FE"/>
    <w:rsid w:val="00C253C3"/>
    <w:rsid w:val="00C277E8"/>
    <w:rsid w:val="00C304C7"/>
    <w:rsid w:val="00C3063A"/>
    <w:rsid w:val="00C30F98"/>
    <w:rsid w:val="00C3187F"/>
    <w:rsid w:val="00C31DC1"/>
    <w:rsid w:val="00C324ED"/>
    <w:rsid w:val="00C32926"/>
    <w:rsid w:val="00C32D04"/>
    <w:rsid w:val="00C3342F"/>
    <w:rsid w:val="00C335E1"/>
    <w:rsid w:val="00C34084"/>
    <w:rsid w:val="00C344DA"/>
    <w:rsid w:val="00C351E5"/>
    <w:rsid w:val="00C35A31"/>
    <w:rsid w:val="00C35F0F"/>
    <w:rsid w:val="00C36701"/>
    <w:rsid w:val="00C373AF"/>
    <w:rsid w:val="00C40083"/>
    <w:rsid w:val="00C401BF"/>
    <w:rsid w:val="00C405E7"/>
    <w:rsid w:val="00C40982"/>
    <w:rsid w:val="00C40A37"/>
    <w:rsid w:val="00C41682"/>
    <w:rsid w:val="00C41981"/>
    <w:rsid w:val="00C42EBE"/>
    <w:rsid w:val="00C46121"/>
    <w:rsid w:val="00C4670A"/>
    <w:rsid w:val="00C46952"/>
    <w:rsid w:val="00C4753F"/>
    <w:rsid w:val="00C50428"/>
    <w:rsid w:val="00C5115D"/>
    <w:rsid w:val="00C511D9"/>
    <w:rsid w:val="00C51529"/>
    <w:rsid w:val="00C51C8A"/>
    <w:rsid w:val="00C51ED2"/>
    <w:rsid w:val="00C52DFD"/>
    <w:rsid w:val="00C53C6C"/>
    <w:rsid w:val="00C549D8"/>
    <w:rsid w:val="00C57D5F"/>
    <w:rsid w:val="00C57DBA"/>
    <w:rsid w:val="00C61A37"/>
    <w:rsid w:val="00C6221E"/>
    <w:rsid w:val="00C62ACB"/>
    <w:rsid w:val="00C62CDE"/>
    <w:rsid w:val="00C6368B"/>
    <w:rsid w:val="00C63D09"/>
    <w:rsid w:val="00C63F4D"/>
    <w:rsid w:val="00C6435B"/>
    <w:rsid w:val="00C64D6F"/>
    <w:rsid w:val="00C65192"/>
    <w:rsid w:val="00C65E8C"/>
    <w:rsid w:val="00C66AE4"/>
    <w:rsid w:val="00C67284"/>
    <w:rsid w:val="00C67BF2"/>
    <w:rsid w:val="00C67D98"/>
    <w:rsid w:val="00C700DA"/>
    <w:rsid w:val="00C70655"/>
    <w:rsid w:val="00C70EC3"/>
    <w:rsid w:val="00C721D4"/>
    <w:rsid w:val="00C72BC6"/>
    <w:rsid w:val="00C72CC4"/>
    <w:rsid w:val="00C75B15"/>
    <w:rsid w:val="00C75BBA"/>
    <w:rsid w:val="00C76989"/>
    <w:rsid w:val="00C76B27"/>
    <w:rsid w:val="00C76BBE"/>
    <w:rsid w:val="00C76D6B"/>
    <w:rsid w:val="00C7702C"/>
    <w:rsid w:val="00C77379"/>
    <w:rsid w:val="00C802A6"/>
    <w:rsid w:val="00C80491"/>
    <w:rsid w:val="00C80CF0"/>
    <w:rsid w:val="00C840E5"/>
    <w:rsid w:val="00C84671"/>
    <w:rsid w:val="00C84F15"/>
    <w:rsid w:val="00C84F33"/>
    <w:rsid w:val="00C851A4"/>
    <w:rsid w:val="00C85AF2"/>
    <w:rsid w:val="00C8635F"/>
    <w:rsid w:val="00C86684"/>
    <w:rsid w:val="00C8719E"/>
    <w:rsid w:val="00C8766E"/>
    <w:rsid w:val="00C87A2D"/>
    <w:rsid w:val="00C87D29"/>
    <w:rsid w:val="00C9028A"/>
    <w:rsid w:val="00C90B8F"/>
    <w:rsid w:val="00C91389"/>
    <w:rsid w:val="00C92EF9"/>
    <w:rsid w:val="00C94330"/>
    <w:rsid w:val="00C949D0"/>
    <w:rsid w:val="00C94CE2"/>
    <w:rsid w:val="00C952BE"/>
    <w:rsid w:val="00C95338"/>
    <w:rsid w:val="00C96098"/>
    <w:rsid w:val="00C963E9"/>
    <w:rsid w:val="00C965CC"/>
    <w:rsid w:val="00C9695D"/>
    <w:rsid w:val="00C96F66"/>
    <w:rsid w:val="00C97FD6"/>
    <w:rsid w:val="00CA00BF"/>
    <w:rsid w:val="00CA0B67"/>
    <w:rsid w:val="00CA26D0"/>
    <w:rsid w:val="00CA2BB5"/>
    <w:rsid w:val="00CA34D1"/>
    <w:rsid w:val="00CA4152"/>
    <w:rsid w:val="00CA4A13"/>
    <w:rsid w:val="00CA4D77"/>
    <w:rsid w:val="00CA5836"/>
    <w:rsid w:val="00CA5B73"/>
    <w:rsid w:val="00CA6088"/>
    <w:rsid w:val="00CA60D4"/>
    <w:rsid w:val="00CA69FE"/>
    <w:rsid w:val="00CA6E90"/>
    <w:rsid w:val="00CA6F22"/>
    <w:rsid w:val="00CA7796"/>
    <w:rsid w:val="00CA7AF6"/>
    <w:rsid w:val="00CA7E59"/>
    <w:rsid w:val="00CB04B7"/>
    <w:rsid w:val="00CB1374"/>
    <w:rsid w:val="00CB191E"/>
    <w:rsid w:val="00CB1EAB"/>
    <w:rsid w:val="00CB2455"/>
    <w:rsid w:val="00CB3AA5"/>
    <w:rsid w:val="00CB3C3C"/>
    <w:rsid w:val="00CB402A"/>
    <w:rsid w:val="00CB41E7"/>
    <w:rsid w:val="00CB46BD"/>
    <w:rsid w:val="00CB46F6"/>
    <w:rsid w:val="00CB511E"/>
    <w:rsid w:val="00CB6252"/>
    <w:rsid w:val="00CB65CD"/>
    <w:rsid w:val="00CB77C7"/>
    <w:rsid w:val="00CC03B9"/>
    <w:rsid w:val="00CC0552"/>
    <w:rsid w:val="00CC0ACB"/>
    <w:rsid w:val="00CC0C21"/>
    <w:rsid w:val="00CC1E4E"/>
    <w:rsid w:val="00CC2F48"/>
    <w:rsid w:val="00CC31F2"/>
    <w:rsid w:val="00CC3956"/>
    <w:rsid w:val="00CC3F48"/>
    <w:rsid w:val="00CC43EE"/>
    <w:rsid w:val="00CC471F"/>
    <w:rsid w:val="00CC4A1C"/>
    <w:rsid w:val="00CC557A"/>
    <w:rsid w:val="00CC5671"/>
    <w:rsid w:val="00CC6618"/>
    <w:rsid w:val="00CD04C3"/>
    <w:rsid w:val="00CD07BF"/>
    <w:rsid w:val="00CD115E"/>
    <w:rsid w:val="00CD118B"/>
    <w:rsid w:val="00CD1353"/>
    <w:rsid w:val="00CD154D"/>
    <w:rsid w:val="00CD27CA"/>
    <w:rsid w:val="00CD34D5"/>
    <w:rsid w:val="00CD39AC"/>
    <w:rsid w:val="00CD4402"/>
    <w:rsid w:val="00CD444F"/>
    <w:rsid w:val="00CD487F"/>
    <w:rsid w:val="00CD49BD"/>
    <w:rsid w:val="00CD51ED"/>
    <w:rsid w:val="00CD65D5"/>
    <w:rsid w:val="00CD6672"/>
    <w:rsid w:val="00CD71A7"/>
    <w:rsid w:val="00CD7821"/>
    <w:rsid w:val="00CE03F8"/>
    <w:rsid w:val="00CE05D2"/>
    <w:rsid w:val="00CE15A7"/>
    <w:rsid w:val="00CE1930"/>
    <w:rsid w:val="00CE21E7"/>
    <w:rsid w:val="00CE28E6"/>
    <w:rsid w:val="00CE2FBC"/>
    <w:rsid w:val="00CE3229"/>
    <w:rsid w:val="00CE333D"/>
    <w:rsid w:val="00CE3647"/>
    <w:rsid w:val="00CE3A48"/>
    <w:rsid w:val="00CE3B69"/>
    <w:rsid w:val="00CE41D0"/>
    <w:rsid w:val="00CE4C8A"/>
    <w:rsid w:val="00CE54BE"/>
    <w:rsid w:val="00CE7CBE"/>
    <w:rsid w:val="00CF0374"/>
    <w:rsid w:val="00CF06BD"/>
    <w:rsid w:val="00CF0B8A"/>
    <w:rsid w:val="00CF3075"/>
    <w:rsid w:val="00CF3D39"/>
    <w:rsid w:val="00CF444C"/>
    <w:rsid w:val="00CF4671"/>
    <w:rsid w:val="00CF4D03"/>
    <w:rsid w:val="00CF4E1A"/>
    <w:rsid w:val="00CF5591"/>
    <w:rsid w:val="00CF6AAF"/>
    <w:rsid w:val="00D008C0"/>
    <w:rsid w:val="00D01764"/>
    <w:rsid w:val="00D018B1"/>
    <w:rsid w:val="00D01C92"/>
    <w:rsid w:val="00D0238C"/>
    <w:rsid w:val="00D02D3E"/>
    <w:rsid w:val="00D02DD2"/>
    <w:rsid w:val="00D03203"/>
    <w:rsid w:val="00D04CAD"/>
    <w:rsid w:val="00D04FF3"/>
    <w:rsid w:val="00D0580D"/>
    <w:rsid w:val="00D059D8"/>
    <w:rsid w:val="00D0680B"/>
    <w:rsid w:val="00D07065"/>
    <w:rsid w:val="00D071FA"/>
    <w:rsid w:val="00D0725D"/>
    <w:rsid w:val="00D102A7"/>
    <w:rsid w:val="00D11131"/>
    <w:rsid w:val="00D11F60"/>
    <w:rsid w:val="00D125A9"/>
    <w:rsid w:val="00D1329E"/>
    <w:rsid w:val="00D1342B"/>
    <w:rsid w:val="00D13664"/>
    <w:rsid w:val="00D1389A"/>
    <w:rsid w:val="00D13D28"/>
    <w:rsid w:val="00D14016"/>
    <w:rsid w:val="00D14F59"/>
    <w:rsid w:val="00D15D98"/>
    <w:rsid w:val="00D15E82"/>
    <w:rsid w:val="00D160FD"/>
    <w:rsid w:val="00D20DD0"/>
    <w:rsid w:val="00D225EA"/>
    <w:rsid w:val="00D236F1"/>
    <w:rsid w:val="00D25151"/>
    <w:rsid w:val="00D26883"/>
    <w:rsid w:val="00D2704B"/>
    <w:rsid w:val="00D272B2"/>
    <w:rsid w:val="00D2736F"/>
    <w:rsid w:val="00D3160D"/>
    <w:rsid w:val="00D31ECD"/>
    <w:rsid w:val="00D3286B"/>
    <w:rsid w:val="00D328DA"/>
    <w:rsid w:val="00D32B3B"/>
    <w:rsid w:val="00D3303C"/>
    <w:rsid w:val="00D334B7"/>
    <w:rsid w:val="00D336FB"/>
    <w:rsid w:val="00D3550A"/>
    <w:rsid w:val="00D36AB0"/>
    <w:rsid w:val="00D37030"/>
    <w:rsid w:val="00D37DAA"/>
    <w:rsid w:val="00D40262"/>
    <w:rsid w:val="00D40B13"/>
    <w:rsid w:val="00D40DD2"/>
    <w:rsid w:val="00D414B7"/>
    <w:rsid w:val="00D43A2B"/>
    <w:rsid w:val="00D44113"/>
    <w:rsid w:val="00D44246"/>
    <w:rsid w:val="00D4570D"/>
    <w:rsid w:val="00D457FF"/>
    <w:rsid w:val="00D45804"/>
    <w:rsid w:val="00D4666C"/>
    <w:rsid w:val="00D47038"/>
    <w:rsid w:val="00D518F8"/>
    <w:rsid w:val="00D52198"/>
    <w:rsid w:val="00D5294C"/>
    <w:rsid w:val="00D52A1E"/>
    <w:rsid w:val="00D52D65"/>
    <w:rsid w:val="00D5321B"/>
    <w:rsid w:val="00D559B6"/>
    <w:rsid w:val="00D55A45"/>
    <w:rsid w:val="00D56281"/>
    <w:rsid w:val="00D56AB6"/>
    <w:rsid w:val="00D57199"/>
    <w:rsid w:val="00D60204"/>
    <w:rsid w:val="00D62379"/>
    <w:rsid w:val="00D623DE"/>
    <w:rsid w:val="00D63A6C"/>
    <w:rsid w:val="00D64519"/>
    <w:rsid w:val="00D64C0B"/>
    <w:rsid w:val="00D65EB7"/>
    <w:rsid w:val="00D66624"/>
    <w:rsid w:val="00D66DDB"/>
    <w:rsid w:val="00D72128"/>
    <w:rsid w:val="00D7223F"/>
    <w:rsid w:val="00D729F1"/>
    <w:rsid w:val="00D72CA6"/>
    <w:rsid w:val="00D73A10"/>
    <w:rsid w:val="00D73B4F"/>
    <w:rsid w:val="00D74126"/>
    <w:rsid w:val="00D75017"/>
    <w:rsid w:val="00D75B7C"/>
    <w:rsid w:val="00D765B6"/>
    <w:rsid w:val="00D76624"/>
    <w:rsid w:val="00D77C80"/>
    <w:rsid w:val="00D819CA"/>
    <w:rsid w:val="00D82754"/>
    <w:rsid w:val="00D82CA3"/>
    <w:rsid w:val="00D82E0C"/>
    <w:rsid w:val="00D837CE"/>
    <w:rsid w:val="00D837D3"/>
    <w:rsid w:val="00D83C01"/>
    <w:rsid w:val="00D84630"/>
    <w:rsid w:val="00D85029"/>
    <w:rsid w:val="00D85383"/>
    <w:rsid w:val="00D8693E"/>
    <w:rsid w:val="00D86D35"/>
    <w:rsid w:val="00D873D0"/>
    <w:rsid w:val="00D91670"/>
    <w:rsid w:val="00D94769"/>
    <w:rsid w:val="00D9510F"/>
    <w:rsid w:val="00D95B39"/>
    <w:rsid w:val="00D96BFC"/>
    <w:rsid w:val="00D973B7"/>
    <w:rsid w:val="00DA00BE"/>
    <w:rsid w:val="00DA1250"/>
    <w:rsid w:val="00DA1E0D"/>
    <w:rsid w:val="00DA2661"/>
    <w:rsid w:val="00DA33A2"/>
    <w:rsid w:val="00DA3A0D"/>
    <w:rsid w:val="00DA3B0E"/>
    <w:rsid w:val="00DA4AAA"/>
    <w:rsid w:val="00DA6213"/>
    <w:rsid w:val="00DB0624"/>
    <w:rsid w:val="00DB0BF1"/>
    <w:rsid w:val="00DB0DB4"/>
    <w:rsid w:val="00DB166B"/>
    <w:rsid w:val="00DB4E68"/>
    <w:rsid w:val="00DB7520"/>
    <w:rsid w:val="00DB7C1F"/>
    <w:rsid w:val="00DB7CF4"/>
    <w:rsid w:val="00DB7E3B"/>
    <w:rsid w:val="00DC0A19"/>
    <w:rsid w:val="00DC0AE8"/>
    <w:rsid w:val="00DC25E6"/>
    <w:rsid w:val="00DC2635"/>
    <w:rsid w:val="00DC39DA"/>
    <w:rsid w:val="00DC3AFE"/>
    <w:rsid w:val="00DC3B1F"/>
    <w:rsid w:val="00DC3D7B"/>
    <w:rsid w:val="00DC52FB"/>
    <w:rsid w:val="00DC5667"/>
    <w:rsid w:val="00DC5A1E"/>
    <w:rsid w:val="00DC5C87"/>
    <w:rsid w:val="00DC666E"/>
    <w:rsid w:val="00DC6C56"/>
    <w:rsid w:val="00DC7309"/>
    <w:rsid w:val="00DC79D6"/>
    <w:rsid w:val="00DD0601"/>
    <w:rsid w:val="00DD0920"/>
    <w:rsid w:val="00DD1169"/>
    <w:rsid w:val="00DD1331"/>
    <w:rsid w:val="00DD183D"/>
    <w:rsid w:val="00DD1B99"/>
    <w:rsid w:val="00DD261E"/>
    <w:rsid w:val="00DD2B01"/>
    <w:rsid w:val="00DD30F6"/>
    <w:rsid w:val="00DD3312"/>
    <w:rsid w:val="00DD3FC9"/>
    <w:rsid w:val="00DD47A2"/>
    <w:rsid w:val="00DD4F03"/>
    <w:rsid w:val="00DD5345"/>
    <w:rsid w:val="00DD5585"/>
    <w:rsid w:val="00DD5732"/>
    <w:rsid w:val="00DD5A74"/>
    <w:rsid w:val="00DD5F92"/>
    <w:rsid w:val="00DD603B"/>
    <w:rsid w:val="00DD646D"/>
    <w:rsid w:val="00DD670D"/>
    <w:rsid w:val="00DD7E8C"/>
    <w:rsid w:val="00DE06A0"/>
    <w:rsid w:val="00DE0905"/>
    <w:rsid w:val="00DE0A64"/>
    <w:rsid w:val="00DE10CA"/>
    <w:rsid w:val="00DE24FD"/>
    <w:rsid w:val="00DE33B8"/>
    <w:rsid w:val="00DE3717"/>
    <w:rsid w:val="00DE3F0A"/>
    <w:rsid w:val="00DE4F93"/>
    <w:rsid w:val="00DE6B17"/>
    <w:rsid w:val="00DE78B1"/>
    <w:rsid w:val="00DE7E7B"/>
    <w:rsid w:val="00DF0294"/>
    <w:rsid w:val="00DF1EE7"/>
    <w:rsid w:val="00DF2072"/>
    <w:rsid w:val="00DF3C21"/>
    <w:rsid w:val="00DF4639"/>
    <w:rsid w:val="00DF471D"/>
    <w:rsid w:val="00DF47C1"/>
    <w:rsid w:val="00DF49E9"/>
    <w:rsid w:val="00DF4CFF"/>
    <w:rsid w:val="00DF4D0B"/>
    <w:rsid w:val="00DF556C"/>
    <w:rsid w:val="00DF6603"/>
    <w:rsid w:val="00DF705B"/>
    <w:rsid w:val="00DF7501"/>
    <w:rsid w:val="00DF7BCF"/>
    <w:rsid w:val="00E005B4"/>
    <w:rsid w:val="00E0076E"/>
    <w:rsid w:val="00E00BF5"/>
    <w:rsid w:val="00E00CBA"/>
    <w:rsid w:val="00E00EE5"/>
    <w:rsid w:val="00E01D34"/>
    <w:rsid w:val="00E0279D"/>
    <w:rsid w:val="00E039EA"/>
    <w:rsid w:val="00E04611"/>
    <w:rsid w:val="00E056E4"/>
    <w:rsid w:val="00E05F32"/>
    <w:rsid w:val="00E06748"/>
    <w:rsid w:val="00E06B07"/>
    <w:rsid w:val="00E06E55"/>
    <w:rsid w:val="00E10FC3"/>
    <w:rsid w:val="00E11355"/>
    <w:rsid w:val="00E11940"/>
    <w:rsid w:val="00E119CF"/>
    <w:rsid w:val="00E121AF"/>
    <w:rsid w:val="00E121D9"/>
    <w:rsid w:val="00E132B0"/>
    <w:rsid w:val="00E14516"/>
    <w:rsid w:val="00E1467F"/>
    <w:rsid w:val="00E149C4"/>
    <w:rsid w:val="00E15C6E"/>
    <w:rsid w:val="00E17FDE"/>
    <w:rsid w:val="00E201AC"/>
    <w:rsid w:val="00E20733"/>
    <w:rsid w:val="00E2154D"/>
    <w:rsid w:val="00E21B8A"/>
    <w:rsid w:val="00E227A1"/>
    <w:rsid w:val="00E2314B"/>
    <w:rsid w:val="00E23201"/>
    <w:rsid w:val="00E24806"/>
    <w:rsid w:val="00E24816"/>
    <w:rsid w:val="00E24AC7"/>
    <w:rsid w:val="00E25926"/>
    <w:rsid w:val="00E25DD4"/>
    <w:rsid w:val="00E26251"/>
    <w:rsid w:val="00E27683"/>
    <w:rsid w:val="00E27C89"/>
    <w:rsid w:val="00E27D0A"/>
    <w:rsid w:val="00E3040E"/>
    <w:rsid w:val="00E30AA8"/>
    <w:rsid w:val="00E310D5"/>
    <w:rsid w:val="00E316C9"/>
    <w:rsid w:val="00E319B6"/>
    <w:rsid w:val="00E31A4C"/>
    <w:rsid w:val="00E31D39"/>
    <w:rsid w:val="00E31DCA"/>
    <w:rsid w:val="00E31F22"/>
    <w:rsid w:val="00E3238D"/>
    <w:rsid w:val="00E325DD"/>
    <w:rsid w:val="00E3345B"/>
    <w:rsid w:val="00E3359C"/>
    <w:rsid w:val="00E33E26"/>
    <w:rsid w:val="00E348A3"/>
    <w:rsid w:val="00E351F3"/>
    <w:rsid w:val="00E35AF0"/>
    <w:rsid w:val="00E36205"/>
    <w:rsid w:val="00E37101"/>
    <w:rsid w:val="00E37563"/>
    <w:rsid w:val="00E4080F"/>
    <w:rsid w:val="00E41444"/>
    <w:rsid w:val="00E415AC"/>
    <w:rsid w:val="00E42252"/>
    <w:rsid w:val="00E42401"/>
    <w:rsid w:val="00E437A7"/>
    <w:rsid w:val="00E440E8"/>
    <w:rsid w:val="00E454B3"/>
    <w:rsid w:val="00E46A17"/>
    <w:rsid w:val="00E46AE1"/>
    <w:rsid w:val="00E46BA0"/>
    <w:rsid w:val="00E46E75"/>
    <w:rsid w:val="00E46F7E"/>
    <w:rsid w:val="00E4713B"/>
    <w:rsid w:val="00E474E5"/>
    <w:rsid w:val="00E47A5E"/>
    <w:rsid w:val="00E51785"/>
    <w:rsid w:val="00E5385D"/>
    <w:rsid w:val="00E53E02"/>
    <w:rsid w:val="00E53F31"/>
    <w:rsid w:val="00E5618B"/>
    <w:rsid w:val="00E5706B"/>
    <w:rsid w:val="00E57724"/>
    <w:rsid w:val="00E57B76"/>
    <w:rsid w:val="00E605AF"/>
    <w:rsid w:val="00E608BC"/>
    <w:rsid w:val="00E60A12"/>
    <w:rsid w:val="00E61516"/>
    <w:rsid w:val="00E63992"/>
    <w:rsid w:val="00E63DAB"/>
    <w:rsid w:val="00E6435B"/>
    <w:rsid w:val="00E647D9"/>
    <w:rsid w:val="00E65123"/>
    <w:rsid w:val="00E65E88"/>
    <w:rsid w:val="00E67259"/>
    <w:rsid w:val="00E67E0D"/>
    <w:rsid w:val="00E70E1D"/>
    <w:rsid w:val="00E71012"/>
    <w:rsid w:val="00E7115E"/>
    <w:rsid w:val="00E71767"/>
    <w:rsid w:val="00E72218"/>
    <w:rsid w:val="00E72CA0"/>
    <w:rsid w:val="00E72CBA"/>
    <w:rsid w:val="00E72DD1"/>
    <w:rsid w:val="00E73C5A"/>
    <w:rsid w:val="00E73DEB"/>
    <w:rsid w:val="00E73E67"/>
    <w:rsid w:val="00E746B6"/>
    <w:rsid w:val="00E75835"/>
    <w:rsid w:val="00E766AC"/>
    <w:rsid w:val="00E77A81"/>
    <w:rsid w:val="00E829AB"/>
    <w:rsid w:val="00E84349"/>
    <w:rsid w:val="00E84CB4"/>
    <w:rsid w:val="00E84CB8"/>
    <w:rsid w:val="00E84E6A"/>
    <w:rsid w:val="00E84EB0"/>
    <w:rsid w:val="00E85336"/>
    <w:rsid w:val="00E85607"/>
    <w:rsid w:val="00E8604D"/>
    <w:rsid w:val="00E86347"/>
    <w:rsid w:val="00E87C24"/>
    <w:rsid w:val="00E87D60"/>
    <w:rsid w:val="00E87E4B"/>
    <w:rsid w:val="00E9009E"/>
    <w:rsid w:val="00E90209"/>
    <w:rsid w:val="00E90E25"/>
    <w:rsid w:val="00E91C20"/>
    <w:rsid w:val="00E93207"/>
    <w:rsid w:val="00E934D4"/>
    <w:rsid w:val="00E93F16"/>
    <w:rsid w:val="00E94032"/>
    <w:rsid w:val="00E95831"/>
    <w:rsid w:val="00E959BC"/>
    <w:rsid w:val="00E96487"/>
    <w:rsid w:val="00E97AFA"/>
    <w:rsid w:val="00EA0B34"/>
    <w:rsid w:val="00EA0DAC"/>
    <w:rsid w:val="00EA0EC4"/>
    <w:rsid w:val="00EA172F"/>
    <w:rsid w:val="00EA1C16"/>
    <w:rsid w:val="00EA275B"/>
    <w:rsid w:val="00EA2FC7"/>
    <w:rsid w:val="00EA3106"/>
    <w:rsid w:val="00EA3208"/>
    <w:rsid w:val="00EA47CD"/>
    <w:rsid w:val="00EA5952"/>
    <w:rsid w:val="00EA61BF"/>
    <w:rsid w:val="00EA776B"/>
    <w:rsid w:val="00EB05E9"/>
    <w:rsid w:val="00EB079B"/>
    <w:rsid w:val="00EB0A61"/>
    <w:rsid w:val="00EB27DE"/>
    <w:rsid w:val="00EB2ADB"/>
    <w:rsid w:val="00EB2CA4"/>
    <w:rsid w:val="00EB2E47"/>
    <w:rsid w:val="00EB36E3"/>
    <w:rsid w:val="00EB3875"/>
    <w:rsid w:val="00EB4AC9"/>
    <w:rsid w:val="00EB51A2"/>
    <w:rsid w:val="00EB647D"/>
    <w:rsid w:val="00EB6C05"/>
    <w:rsid w:val="00EB72FB"/>
    <w:rsid w:val="00EC0082"/>
    <w:rsid w:val="00EC04AE"/>
    <w:rsid w:val="00EC1473"/>
    <w:rsid w:val="00EC15E5"/>
    <w:rsid w:val="00EC1B2A"/>
    <w:rsid w:val="00EC28B4"/>
    <w:rsid w:val="00EC2C4B"/>
    <w:rsid w:val="00EC30B4"/>
    <w:rsid w:val="00EC3959"/>
    <w:rsid w:val="00EC46FB"/>
    <w:rsid w:val="00EC4893"/>
    <w:rsid w:val="00EC4D1A"/>
    <w:rsid w:val="00EC5104"/>
    <w:rsid w:val="00EC55AF"/>
    <w:rsid w:val="00EC6D6F"/>
    <w:rsid w:val="00ED01BB"/>
    <w:rsid w:val="00ED1F29"/>
    <w:rsid w:val="00ED3088"/>
    <w:rsid w:val="00ED4723"/>
    <w:rsid w:val="00ED49EB"/>
    <w:rsid w:val="00ED5AA4"/>
    <w:rsid w:val="00ED5BCE"/>
    <w:rsid w:val="00ED6D00"/>
    <w:rsid w:val="00ED709D"/>
    <w:rsid w:val="00ED7CB3"/>
    <w:rsid w:val="00ED7E99"/>
    <w:rsid w:val="00EE03BA"/>
    <w:rsid w:val="00EE05BC"/>
    <w:rsid w:val="00EE079D"/>
    <w:rsid w:val="00EE0A0E"/>
    <w:rsid w:val="00EE2A27"/>
    <w:rsid w:val="00EE2D5B"/>
    <w:rsid w:val="00EE3375"/>
    <w:rsid w:val="00EE5C8E"/>
    <w:rsid w:val="00EE5DE1"/>
    <w:rsid w:val="00EE5E1A"/>
    <w:rsid w:val="00EE6599"/>
    <w:rsid w:val="00EE745B"/>
    <w:rsid w:val="00EE7D21"/>
    <w:rsid w:val="00EF03D1"/>
    <w:rsid w:val="00EF03FA"/>
    <w:rsid w:val="00EF0569"/>
    <w:rsid w:val="00EF0D67"/>
    <w:rsid w:val="00EF1646"/>
    <w:rsid w:val="00EF21FE"/>
    <w:rsid w:val="00EF233D"/>
    <w:rsid w:val="00EF2B7D"/>
    <w:rsid w:val="00EF32F7"/>
    <w:rsid w:val="00EF3B18"/>
    <w:rsid w:val="00EF4642"/>
    <w:rsid w:val="00EF4911"/>
    <w:rsid w:val="00EF4D64"/>
    <w:rsid w:val="00EF5B51"/>
    <w:rsid w:val="00EF6A62"/>
    <w:rsid w:val="00EF6DD7"/>
    <w:rsid w:val="00EF6E01"/>
    <w:rsid w:val="00EF7189"/>
    <w:rsid w:val="00EF79AA"/>
    <w:rsid w:val="00F00612"/>
    <w:rsid w:val="00F00F0A"/>
    <w:rsid w:val="00F01885"/>
    <w:rsid w:val="00F01B0F"/>
    <w:rsid w:val="00F01F89"/>
    <w:rsid w:val="00F024EE"/>
    <w:rsid w:val="00F02612"/>
    <w:rsid w:val="00F02F56"/>
    <w:rsid w:val="00F03D17"/>
    <w:rsid w:val="00F04176"/>
    <w:rsid w:val="00F041FF"/>
    <w:rsid w:val="00F04352"/>
    <w:rsid w:val="00F04728"/>
    <w:rsid w:val="00F054D8"/>
    <w:rsid w:val="00F06469"/>
    <w:rsid w:val="00F06C5E"/>
    <w:rsid w:val="00F06CC3"/>
    <w:rsid w:val="00F070BF"/>
    <w:rsid w:val="00F074CA"/>
    <w:rsid w:val="00F07CAE"/>
    <w:rsid w:val="00F10730"/>
    <w:rsid w:val="00F11FBD"/>
    <w:rsid w:val="00F12B5B"/>
    <w:rsid w:val="00F12F5B"/>
    <w:rsid w:val="00F13C69"/>
    <w:rsid w:val="00F13F84"/>
    <w:rsid w:val="00F1523D"/>
    <w:rsid w:val="00F1568E"/>
    <w:rsid w:val="00F16443"/>
    <w:rsid w:val="00F20949"/>
    <w:rsid w:val="00F21D04"/>
    <w:rsid w:val="00F2236A"/>
    <w:rsid w:val="00F224A1"/>
    <w:rsid w:val="00F229A8"/>
    <w:rsid w:val="00F23190"/>
    <w:rsid w:val="00F24864"/>
    <w:rsid w:val="00F24DBE"/>
    <w:rsid w:val="00F256D3"/>
    <w:rsid w:val="00F257D9"/>
    <w:rsid w:val="00F25B1C"/>
    <w:rsid w:val="00F26270"/>
    <w:rsid w:val="00F26901"/>
    <w:rsid w:val="00F276BE"/>
    <w:rsid w:val="00F30081"/>
    <w:rsid w:val="00F308E7"/>
    <w:rsid w:val="00F30AEA"/>
    <w:rsid w:val="00F30E1D"/>
    <w:rsid w:val="00F317D1"/>
    <w:rsid w:val="00F31F22"/>
    <w:rsid w:val="00F320B6"/>
    <w:rsid w:val="00F329CB"/>
    <w:rsid w:val="00F32A92"/>
    <w:rsid w:val="00F32D3A"/>
    <w:rsid w:val="00F332F1"/>
    <w:rsid w:val="00F33810"/>
    <w:rsid w:val="00F33B38"/>
    <w:rsid w:val="00F35826"/>
    <w:rsid w:val="00F362D6"/>
    <w:rsid w:val="00F36D46"/>
    <w:rsid w:val="00F376B7"/>
    <w:rsid w:val="00F37AC3"/>
    <w:rsid w:val="00F37EFE"/>
    <w:rsid w:val="00F40667"/>
    <w:rsid w:val="00F41C61"/>
    <w:rsid w:val="00F42309"/>
    <w:rsid w:val="00F4253A"/>
    <w:rsid w:val="00F42C6B"/>
    <w:rsid w:val="00F43080"/>
    <w:rsid w:val="00F4318B"/>
    <w:rsid w:val="00F4342E"/>
    <w:rsid w:val="00F43A86"/>
    <w:rsid w:val="00F43E19"/>
    <w:rsid w:val="00F45024"/>
    <w:rsid w:val="00F45240"/>
    <w:rsid w:val="00F452CE"/>
    <w:rsid w:val="00F45B97"/>
    <w:rsid w:val="00F46373"/>
    <w:rsid w:val="00F4714F"/>
    <w:rsid w:val="00F5025F"/>
    <w:rsid w:val="00F50323"/>
    <w:rsid w:val="00F506A4"/>
    <w:rsid w:val="00F519DA"/>
    <w:rsid w:val="00F5211F"/>
    <w:rsid w:val="00F53644"/>
    <w:rsid w:val="00F537E8"/>
    <w:rsid w:val="00F53FE3"/>
    <w:rsid w:val="00F54DB5"/>
    <w:rsid w:val="00F557F6"/>
    <w:rsid w:val="00F55AA3"/>
    <w:rsid w:val="00F55C8A"/>
    <w:rsid w:val="00F55D78"/>
    <w:rsid w:val="00F5616A"/>
    <w:rsid w:val="00F562F1"/>
    <w:rsid w:val="00F56517"/>
    <w:rsid w:val="00F60052"/>
    <w:rsid w:val="00F600CB"/>
    <w:rsid w:val="00F60F07"/>
    <w:rsid w:val="00F6171E"/>
    <w:rsid w:val="00F61B71"/>
    <w:rsid w:val="00F62A9D"/>
    <w:rsid w:val="00F64BD4"/>
    <w:rsid w:val="00F64EBC"/>
    <w:rsid w:val="00F65A62"/>
    <w:rsid w:val="00F66C8B"/>
    <w:rsid w:val="00F67E35"/>
    <w:rsid w:val="00F7077D"/>
    <w:rsid w:val="00F72220"/>
    <w:rsid w:val="00F729FB"/>
    <w:rsid w:val="00F730B1"/>
    <w:rsid w:val="00F735EA"/>
    <w:rsid w:val="00F73D82"/>
    <w:rsid w:val="00F74214"/>
    <w:rsid w:val="00F743DA"/>
    <w:rsid w:val="00F7498B"/>
    <w:rsid w:val="00F7498D"/>
    <w:rsid w:val="00F75167"/>
    <w:rsid w:val="00F753CA"/>
    <w:rsid w:val="00F76347"/>
    <w:rsid w:val="00F763CB"/>
    <w:rsid w:val="00F77871"/>
    <w:rsid w:val="00F804A1"/>
    <w:rsid w:val="00F80B39"/>
    <w:rsid w:val="00F818D0"/>
    <w:rsid w:val="00F81D62"/>
    <w:rsid w:val="00F82598"/>
    <w:rsid w:val="00F83F1A"/>
    <w:rsid w:val="00F86363"/>
    <w:rsid w:val="00F86C1F"/>
    <w:rsid w:val="00F87CFA"/>
    <w:rsid w:val="00F93463"/>
    <w:rsid w:val="00F93EAA"/>
    <w:rsid w:val="00F94927"/>
    <w:rsid w:val="00F950E6"/>
    <w:rsid w:val="00F96A66"/>
    <w:rsid w:val="00FA0022"/>
    <w:rsid w:val="00FA09A6"/>
    <w:rsid w:val="00FA0F80"/>
    <w:rsid w:val="00FA137A"/>
    <w:rsid w:val="00FA15AE"/>
    <w:rsid w:val="00FA170C"/>
    <w:rsid w:val="00FA24C7"/>
    <w:rsid w:val="00FA2E35"/>
    <w:rsid w:val="00FA3C1D"/>
    <w:rsid w:val="00FA5D52"/>
    <w:rsid w:val="00FA6B61"/>
    <w:rsid w:val="00FA7437"/>
    <w:rsid w:val="00FA76E8"/>
    <w:rsid w:val="00FA7C74"/>
    <w:rsid w:val="00FB1246"/>
    <w:rsid w:val="00FB1287"/>
    <w:rsid w:val="00FB163B"/>
    <w:rsid w:val="00FB1738"/>
    <w:rsid w:val="00FB1A94"/>
    <w:rsid w:val="00FB3204"/>
    <w:rsid w:val="00FB333D"/>
    <w:rsid w:val="00FB3E3A"/>
    <w:rsid w:val="00FB4557"/>
    <w:rsid w:val="00FB45EB"/>
    <w:rsid w:val="00FB4B5E"/>
    <w:rsid w:val="00FB4B60"/>
    <w:rsid w:val="00FB5612"/>
    <w:rsid w:val="00FB59DF"/>
    <w:rsid w:val="00FB5DD0"/>
    <w:rsid w:val="00FB603F"/>
    <w:rsid w:val="00FB61B2"/>
    <w:rsid w:val="00FB6BF5"/>
    <w:rsid w:val="00FB7376"/>
    <w:rsid w:val="00FB7650"/>
    <w:rsid w:val="00FB7DF9"/>
    <w:rsid w:val="00FC08E0"/>
    <w:rsid w:val="00FC1C3A"/>
    <w:rsid w:val="00FC2710"/>
    <w:rsid w:val="00FC2CF7"/>
    <w:rsid w:val="00FC2EE1"/>
    <w:rsid w:val="00FC36F2"/>
    <w:rsid w:val="00FC4458"/>
    <w:rsid w:val="00FC458D"/>
    <w:rsid w:val="00FC4791"/>
    <w:rsid w:val="00FC4E0A"/>
    <w:rsid w:val="00FC527B"/>
    <w:rsid w:val="00FC582C"/>
    <w:rsid w:val="00FC7683"/>
    <w:rsid w:val="00FC774E"/>
    <w:rsid w:val="00FD00ED"/>
    <w:rsid w:val="00FD0A07"/>
    <w:rsid w:val="00FD1CCD"/>
    <w:rsid w:val="00FD2368"/>
    <w:rsid w:val="00FD3D0C"/>
    <w:rsid w:val="00FD534A"/>
    <w:rsid w:val="00FD5760"/>
    <w:rsid w:val="00FD5ABF"/>
    <w:rsid w:val="00FD640F"/>
    <w:rsid w:val="00FD64A7"/>
    <w:rsid w:val="00FD6B55"/>
    <w:rsid w:val="00FD7438"/>
    <w:rsid w:val="00FD74BA"/>
    <w:rsid w:val="00FD786A"/>
    <w:rsid w:val="00FD7D7E"/>
    <w:rsid w:val="00FE0DFA"/>
    <w:rsid w:val="00FE1246"/>
    <w:rsid w:val="00FE1AE9"/>
    <w:rsid w:val="00FE264D"/>
    <w:rsid w:val="00FE2D3D"/>
    <w:rsid w:val="00FE30E9"/>
    <w:rsid w:val="00FE3476"/>
    <w:rsid w:val="00FE3F30"/>
    <w:rsid w:val="00FE449C"/>
    <w:rsid w:val="00FE5239"/>
    <w:rsid w:val="00FE6000"/>
    <w:rsid w:val="00FE6593"/>
    <w:rsid w:val="00FE7162"/>
    <w:rsid w:val="00FE794C"/>
    <w:rsid w:val="00FE7CD8"/>
    <w:rsid w:val="00FF0D87"/>
    <w:rsid w:val="00FF107B"/>
    <w:rsid w:val="00FF242D"/>
    <w:rsid w:val="00FF3173"/>
    <w:rsid w:val="00FF343D"/>
    <w:rsid w:val="00FF4482"/>
    <w:rsid w:val="00FF4AEC"/>
    <w:rsid w:val="00FF5644"/>
    <w:rsid w:val="00FF6053"/>
    <w:rsid w:val="00FF6D73"/>
    <w:rsid w:val="00FF6EDF"/>
    <w:rsid w:val="00FF76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E96A"/>
  <w15:chartTrackingRefBased/>
  <w15:docId w15:val="{9BD6C361-1153-0546-B6D4-D1963D61E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C01"/>
    <w:pPr>
      <w:spacing w:after="0" w:line="240" w:lineRule="auto"/>
    </w:pPr>
    <w:rPr>
      <w:rFonts w:ascii="Times New Roman" w:eastAsia="Times New Roman" w:hAnsi="Times New Roman" w:cs="Times New Roman"/>
      <w:kern w:val="0"/>
      <w:lang w:eastAsia="zh-CN"/>
      <w14:ligatures w14:val="none"/>
    </w:rPr>
  </w:style>
  <w:style w:type="paragraph" w:styleId="Heading1">
    <w:name w:val="heading 1"/>
    <w:basedOn w:val="Normal"/>
    <w:next w:val="Normal"/>
    <w:link w:val="Heading1Char"/>
    <w:uiPriority w:val="9"/>
    <w:qFormat/>
    <w:rsid w:val="00FF6053"/>
    <w:pPr>
      <w:keepNext/>
      <w:keepLines/>
      <w:spacing w:before="360" w:after="80"/>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FF6053"/>
    <w:pPr>
      <w:keepNext/>
      <w:keepLines/>
      <w:spacing w:before="160" w:after="80"/>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FF6053"/>
    <w:pPr>
      <w:keepNext/>
      <w:keepLines/>
      <w:spacing w:before="160" w:after="80"/>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FF6053"/>
    <w:pPr>
      <w:keepNext/>
      <w:keepLines/>
      <w:spacing w:before="80" w:after="40"/>
      <w:outlineLvl w:val="3"/>
    </w:pPr>
    <w:rPr>
      <w:rFonts w:eastAsiaTheme="majorEastAsia" w:cstheme="majorBidi"/>
      <w:i/>
      <w:iCs/>
      <w:color w:val="0F4761" w:themeColor="accent1" w:themeShade="BF"/>
      <w:lang w:val="en-GB"/>
    </w:rPr>
  </w:style>
  <w:style w:type="paragraph" w:styleId="Heading5">
    <w:name w:val="heading 5"/>
    <w:basedOn w:val="Normal"/>
    <w:next w:val="Normal"/>
    <w:link w:val="Heading5Char"/>
    <w:uiPriority w:val="9"/>
    <w:semiHidden/>
    <w:unhideWhenUsed/>
    <w:qFormat/>
    <w:rsid w:val="00FF6053"/>
    <w:pPr>
      <w:keepNext/>
      <w:keepLines/>
      <w:spacing w:before="80" w:after="40"/>
      <w:outlineLvl w:val="4"/>
    </w:pPr>
    <w:rPr>
      <w:rFonts w:eastAsiaTheme="majorEastAsia" w:cstheme="majorBidi"/>
      <w:color w:val="0F4761" w:themeColor="accent1" w:themeShade="BF"/>
      <w:lang w:val="en-GB"/>
    </w:rPr>
  </w:style>
  <w:style w:type="paragraph" w:styleId="Heading6">
    <w:name w:val="heading 6"/>
    <w:basedOn w:val="Normal"/>
    <w:next w:val="Normal"/>
    <w:link w:val="Heading6Char"/>
    <w:uiPriority w:val="9"/>
    <w:semiHidden/>
    <w:unhideWhenUsed/>
    <w:qFormat/>
    <w:rsid w:val="00FF6053"/>
    <w:pPr>
      <w:keepNext/>
      <w:keepLines/>
      <w:spacing w:before="40"/>
      <w:outlineLvl w:val="5"/>
    </w:pPr>
    <w:rPr>
      <w:rFonts w:eastAsiaTheme="majorEastAsia"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FF6053"/>
    <w:pPr>
      <w:keepNext/>
      <w:keepLines/>
      <w:spacing w:before="40"/>
      <w:outlineLvl w:val="6"/>
    </w:pPr>
    <w:rPr>
      <w:rFonts w:eastAsiaTheme="majorEastAsia"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FF6053"/>
    <w:pPr>
      <w:keepNext/>
      <w:keepLines/>
      <w:outlineLvl w:val="7"/>
    </w:pPr>
    <w:rPr>
      <w:rFonts w:eastAsiaTheme="majorEastAsia"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FF6053"/>
    <w:pPr>
      <w:keepNext/>
      <w:keepLines/>
      <w:outlineLvl w:val="8"/>
    </w:pPr>
    <w:rPr>
      <w:rFonts w:eastAsiaTheme="majorEastAsia" w:cstheme="majorBidi"/>
      <w:color w:val="272727" w:themeColor="text1" w:themeTint="D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0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60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0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0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0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053"/>
    <w:rPr>
      <w:rFonts w:eastAsiaTheme="majorEastAsia" w:cstheme="majorBidi"/>
      <w:color w:val="272727" w:themeColor="text1" w:themeTint="D8"/>
    </w:rPr>
  </w:style>
  <w:style w:type="paragraph" w:styleId="Title">
    <w:name w:val="Title"/>
    <w:basedOn w:val="Normal"/>
    <w:next w:val="Normal"/>
    <w:link w:val="TitleChar"/>
    <w:uiPriority w:val="10"/>
    <w:qFormat/>
    <w:rsid w:val="00FF6053"/>
    <w:pPr>
      <w:spacing w:after="80"/>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FF6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053"/>
    <w:pPr>
      <w:numPr>
        <w:ilvl w:val="1"/>
      </w:numPr>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FF6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053"/>
    <w:pPr>
      <w:spacing w:before="160"/>
      <w:jc w:val="center"/>
    </w:pPr>
    <w:rPr>
      <w:i/>
      <w:iCs/>
      <w:color w:val="404040" w:themeColor="text1" w:themeTint="BF"/>
      <w:lang w:val="en-GB"/>
    </w:rPr>
  </w:style>
  <w:style w:type="character" w:customStyle="1" w:styleId="QuoteChar">
    <w:name w:val="Quote Char"/>
    <w:basedOn w:val="DefaultParagraphFont"/>
    <w:link w:val="Quote"/>
    <w:uiPriority w:val="29"/>
    <w:rsid w:val="00FF6053"/>
    <w:rPr>
      <w:i/>
      <w:iCs/>
      <w:color w:val="404040" w:themeColor="text1" w:themeTint="BF"/>
    </w:rPr>
  </w:style>
  <w:style w:type="paragraph" w:styleId="ListParagraph">
    <w:name w:val="List Paragraph"/>
    <w:basedOn w:val="Normal"/>
    <w:uiPriority w:val="34"/>
    <w:qFormat/>
    <w:rsid w:val="00FF6053"/>
    <w:pPr>
      <w:ind w:left="720"/>
      <w:contextualSpacing/>
    </w:pPr>
    <w:rPr>
      <w:lang w:val="en-GB"/>
    </w:rPr>
  </w:style>
  <w:style w:type="character" w:styleId="IntenseEmphasis">
    <w:name w:val="Intense Emphasis"/>
    <w:basedOn w:val="DefaultParagraphFont"/>
    <w:uiPriority w:val="21"/>
    <w:qFormat/>
    <w:rsid w:val="00FF6053"/>
    <w:rPr>
      <w:i/>
      <w:iCs/>
      <w:color w:val="0F4761" w:themeColor="accent1" w:themeShade="BF"/>
    </w:rPr>
  </w:style>
  <w:style w:type="paragraph" w:styleId="IntenseQuote">
    <w:name w:val="Intense Quote"/>
    <w:basedOn w:val="Normal"/>
    <w:next w:val="Normal"/>
    <w:link w:val="IntenseQuoteChar"/>
    <w:uiPriority w:val="30"/>
    <w:qFormat/>
    <w:rsid w:val="00FF60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GB"/>
    </w:rPr>
  </w:style>
  <w:style w:type="character" w:customStyle="1" w:styleId="IntenseQuoteChar">
    <w:name w:val="Intense Quote Char"/>
    <w:basedOn w:val="DefaultParagraphFont"/>
    <w:link w:val="IntenseQuote"/>
    <w:uiPriority w:val="30"/>
    <w:rsid w:val="00FF6053"/>
    <w:rPr>
      <w:i/>
      <w:iCs/>
      <w:color w:val="0F4761" w:themeColor="accent1" w:themeShade="BF"/>
    </w:rPr>
  </w:style>
  <w:style w:type="character" w:styleId="IntenseReference">
    <w:name w:val="Intense Reference"/>
    <w:basedOn w:val="DefaultParagraphFont"/>
    <w:uiPriority w:val="32"/>
    <w:qFormat/>
    <w:rsid w:val="00FF6053"/>
    <w:rPr>
      <w:b/>
      <w:bCs/>
      <w:smallCaps/>
      <w:color w:val="0F4761" w:themeColor="accent1" w:themeShade="BF"/>
      <w:spacing w:val="5"/>
    </w:rPr>
  </w:style>
  <w:style w:type="paragraph" w:styleId="FootnoteText">
    <w:name w:val="footnote text"/>
    <w:basedOn w:val="Normal"/>
    <w:link w:val="FootnoteTextChar"/>
    <w:uiPriority w:val="99"/>
    <w:unhideWhenUsed/>
    <w:rsid w:val="00FF6053"/>
    <w:rPr>
      <w:rFonts w:asciiTheme="minorHAnsi" w:eastAsiaTheme="minorEastAsia" w:hAnsiTheme="minorHAnsi" w:cstheme="minorBidi"/>
      <w:sz w:val="20"/>
      <w:szCs w:val="20"/>
      <w:lang w:val="en-GB"/>
    </w:rPr>
  </w:style>
  <w:style w:type="character" w:customStyle="1" w:styleId="FootnoteTextChar">
    <w:name w:val="Footnote Text Char"/>
    <w:basedOn w:val="DefaultParagraphFont"/>
    <w:link w:val="FootnoteText"/>
    <w:uiPriority w:val="99"/>
    <w:rsid w:val="00FF6053"/>
    <w:rPr>
      <w:rFonts w:eastAsiaTheme="minorEastAsia"/>
      <w:kern w:val="0"/>
      <w:sz w:val="20"/>
      <w:szCs w:val="20"/>
      <w:lang w:val="en-GB" w:eastAsia="zh-CN"/>
      <w14:ligatures w14:val="none"/>
    </w:rPr>
  </w:style>
  <w:style w:type="character" w:styleId="FootnoteReference">
    <w:name w:val="footnote reference"/>
    <w:basedOn w:val="DefaultParagraphFont"/>
    <w:uiPriority w:val="99"/>
    <w:semiHidden/>
    <w:unhideWhenUsed/>
    <w:rsid w:val="00FF6053"/>
    <w:rPr>
      <w:vertAlign w:val="superscript"/>
    </w:rPr>
  </w:style>
  <w:style w:type="paragraph" w:styleId="Header">
    <w:name w:val="header"/>
    <w:basedOn w:val="Normal"/>
    <w:link w:val="HeaderChar"/>
    <w:uiPriority w:val="99"/>
    <w:unhideWhenUsed/>
    <w:rsid w:val="00FF6053"/>
    <w:pPr>
      <w:tabs>
        <w:tab w:val="center" w:pos="4680"/>
        <w:tab w:val="right" w:pos="9360"/>
      </w:tabs>
    </w:pPr>
    <w:rPr>
      <w:rFonts w:asciiTheme="minorHAnsi" w:eastAsiaTheme="minorEastAsia" w:hAnsiTheme="minorHAnsi" w:cstheme="minorBidi"/>
      <w:sz w:val="22"/>
      <w:szCs w:val="22"/>
      <w:lang w:val="en-GB"/>
    </w:rPr>
  </w:style>
  <w:style w:type="character" w:customStyle="1" w:styleId="HeaderChar">
    <w:name w:val="Header Char"/>
    <w:basedOn w:val="DefaultParagraphFont"/>
    <w:link w:val="Header"/>
    <w:uiPriority w:val="99"/>
    <w:rsid w:val="00FF6053"/>
    <w:rPr>
      <w:rFonts w:eastAsiaTheme="minorEastAsia"/>
      <w:kern w:val="0"/>
      <w:sz w:val="22"/>
      <w:szCs w:val="22"/>
      <w:lang w:val="en-GB" w:eastAsia="zh-CN"/>
      <w14:ligatures w14:val="none"/>
    </w:rPr>
  </w:style>
  <w:style w:type="paragraph" w:styleId="Footer">
    <w:name w:val="footer"/>
    <w:basedOn w:val="Normal"/>
    <w:link w:val="FooterChar"/>
    <w:uiPriority w:val="99"/>
    <w:unhideWhenUsed/>
    <w:rsid w:val="00FF6053"/>
    <w:pPr>
      <w:tabs>
        <w:tab w:val="center" w:pos="4680"/>
        <w:tab w:val="right" w:pos="9360"/>
      </w:tabs>
    </w:pPr>
    <w:rPr>
      <w:rFonts w:asciiTheme="minorHAnsi" w:eastAsiaTheme="minorEastAsia" w:hAnsiTheme="minorHAnsi" w:cstheme="minorBidi"/>
      <w:sz w:val="22"/>
      <w:szCs w:val="22"/>
      <w:lang w:val="en-GB"/>
    </w:rPr>
  </w:style>
  <w:style w:type="character" w:customStyle="1" w:styleId="FooterChar">
    <w:name w:val="Footer Char"/>
    <w:basedOn w:val="DefaultParagraphFont"/>
    <w:link w:val="Footer"/>
    <w:uiPriority w:val="99"/>
    <w:rsid w:val="00FF6053"/>
    <w:rPr>
      <w:rFonts w:eastAsiaTheme="minorEastAsia"/>
      <w:kern w:val="0"/>
      <w:sz w:val="22"/>
      <w:szCs w:val="22"/>
      <w:lang w:val="en-GB" w:eastAsia="zh-CN"/>
      <w14:ligatures w14:val="none"/>
    </w:rPr>
  </w:style>
  <w:style w:type="paragraph" w:styleId="Revision">
    <w:name w:val="Revision"/>
    <w:hidden/>
    <w:uiPriority w:val="99"/>
    <w:semiHidden/>
    <w:rsid w:val="00FF6053"/>
    <w:pPr>
      <w:spacing w:after="0" w:line="240" w:lineRule="auto"/>
    </w:pPr>
    <w:rPr>
      <w:rFonts w:eastAsiaTheme="minorEastAsia"/>
      <w:kern w:val="0"/>
      <w:sz w:val="22"/>
      <w:szCs w:val="22"/>
      <w:lang w:val="en-GB" w:eastAsia="zh-CN"/>
      <w14:ligatures w14:val="none"/>
    </w:rPr>
  </w:style>
  <w:style w:type="character" w:styleId="CommentReference">
    <w:name w:val="annotation reference"/>
    <w:basedOn w:val="DefaultParagraphFont"/>
    <w:uiPriority w:val="99"/>
    <w:semiHidden/>
    <w:unhideWhenUsed/>
    <w:rsid w:val="00FF6053"/>
    <w:rPr>
      <w:sz w:val="16"/>
      <w:szCs w:val="16"/>
    </w:rPr>
  </w:style>
  <w:style w:type="paragraph" w:styleId="CommentText">
    <w:name w:val="annotation text"/>
    <w:basedOn w:val="Normal"/>
    <w:link w:val="CommentTextChar"/>
    <w:uiPriority w:val="99"/>
    <w:unhideWhenUsed/>
    <w:rsid w:val="00FF6053"/>
    <w:pPr>
      <w:spacing w:after="160"/>
    </w:pPr>
    <w:rPr>
      <w:rFonts w:asciiTheme="minorHAnsi" w:eastAsiaTheme="minorEastAsia" w:hAnsiTheme="minorHAnsi" w:cstheme="minorBidi"/>
      <w:sz w:val="20"/>
      <w:szCs w:val="20"/>
      <w:lang w:val="en-GB"/>
    </w:rPr>
  </w:style>
  <w:style w:type="character" w:customStyle="1" w:styleId="CommentTextChar">
    <w:name w:val="Comment Text Char"/>
    <w:basedOn w:val="DefaultParagraphFont"/>
    <w:link w:val="CommentText"/>
    <w:uiPriority w:val="99"/>
    <w:rsid w:val="00FF6053"/>
    <w:rPr>
      <w:rFonts w:eastAsiaTheme="minorEastAsia"/>
      <w:kern w:val="0"/>
      <w:sz w:val="20"/>
      <w:szCs w:val="20"/>
      <w:lang w:val="en-GB" w:eastAsia="zh-CN"/>
      <w14:ligatures w14:val="none"/>
    </w:rPr>
  </w:style>
  <w:style w:type="paragraph" w:styleId="CommentSubject">
    <w:name w:val="annotation subject"/>
    <w:basedOn w:val="CommentText"/>
    <w:next w:val="CommentText"/>
    <w:link w:val="CommentSubjectChar"/>
    <w:uiPriority w:val="99"/>
    <w:semiHidden/>
    <w:unhideWhenUsed/>
    <w:rsid w:val="00FF6053"/>
    <w:rPr>
      <w:b/>
      <w:bCs/>
    </w:rPr>
  </w:style>
  <w:style w:type="character" w:customStyle="1" w:styleId="CommentSubjectChar">
    <w:name w:val="Comment Subject Char"/>
    <w:basedOn w:val="CommentTextChar"/>
    <w:link w:val="CommentSubject"/>
    <w:uiPriority w:val="99"/>
    <w:semiHidden/>
    <w:rsid w:val="00FF6053"/>
    <w:rPr>
      <w:rFonts w:eastAsiaTheme="minorEastAsia"/>
      <w:b/>
      <w:bCs/>
      <w:kern w:val="0"/>
      <w:sz w:val="20"/>
      <w:szCs w:val="20"/>
      <w:lang w:val="en-GB" w:eastAsia="zh-CN"/>
      <w14:ligatures w14:val="none"/>
    </w:rPr>
  </w:style>
  <w:style w:type="character" w:styleId="Strong">
    <w:name w:val="Strong"/>
    <w:basedOn w:val="DefaultParagraphFont"/>
    <w:uiPriority w:val="22"/>
    <w:qFormat/>
    <w:rsid w:val="00FF6053"/>
    <w:rPr>
      <w:b/>
      <w:bCs/>
    </w:rPr>
  </w:style>
  <w:style w:type="paragraph" w:styleId="BalloonText">
    <w:name w:val="Balloon Text"/>
    <w:basedOn w:val="Normal"/>
    <w:link w:val="BalloonTextChar"/>
    <w:uiPriority w:val="99"/>
    <w:semiHidden/>
    <w:unhideWhenUsed/>
    <w:rsid w:val="00FF6053"/>
    <w:rPr>
      <w:rFonts w:ascii="Segoe UI" w:eastAsiaTheme="minorEastAsia" w:hAnsi="Segoe UI" w:cs="Segoe UI"/>
      <w:sz w:val="18"/>
      <w:szCs w:val="18"/>
      <w:lang w:val="en-GB"/>
    </w:rPr>
  </w:style>
  <w:style w:type="character" w:customStyle="1" w:styleId="BalloonTextChar">
    <w:name w:val="Balloon Text Char"/>
    <w:basedOn w:val="DefaultParagraphFont"/>
    <w:link w:val="BalloonText"/>
    <w:uiPriority w:val="99"/>
    <w:semiHidden/>
    <w:rsid w:val="00FF6053"/>
    <w:rPr>
      <w:rFonts w:ascii="Segoe UI" w:eastAsiaTheme="minorEastAsia" w:hAnsi="Segoe UI" w:cs="Segoe UI"/>
      <w:kern w:val="0"/>
      <w:sz w:val="18"/>
      <w:szCs w:val="18"/>
      <w:lang w:val="en-GB" w:eastAsia="zh-CN"/>
      <w14:ligatures w14:val="none"/>
    </w:rPr>
  </w:style>
  <w:style w:type="table" w:styleId="PlainTable2">
    <w:name w:val="Plain Table 2"/>
    <w:basedOn w:val="TableNormal"/>
    <w:uiPriority w:val="42"/>
    <w:rsid w:val="00FF6053"/>
    <w:pPr>
      <w:spacing w:after="0" w:line="240" w:lineRule="auto"/>
    </w:pPr>
    <w:rPr>
      <w:rFonts w:eastAsiaTheme="minorEastAsia"/>
      <w:kern w:val="0"/>
      <w:sz w:val="22"/>
      <w:szCs w:val="22"/>
      <w:lang w:val="en-GB" w:eastAsia="zh-CN"/>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Normal1">
    <w:name w:val="Normal1"/>
    <w:rsid w:val="00FF6053"/>
    <w:pPr>
      <w:spacing w:after="0" w:line="240" w:lineRule="auto"/>
    </w:pPr>
    <w:rPr>
      <w:rFonts w:ascii="Calibri" w:hAnsi="Calibri" w:cs="Calibri"/>
      <w:kern w:val="0"/>
      <w14:ligatures w14:val="none"/>
    </w:rPr>
  </w:style>
  <w:style w:type="character" w:styleId="PlaceholderText">
    <w:name w:val="Placeholder Text"/>
    <w:basedOn w:val="DefaultParagraphFont"/>
    <w:uiPriority w:val="99"/>
    <w:semiHidden/>
    <w:rsid w:val="00FF6053"/>
    <w:rPr>
      <w:color w:val="808080"/>
    </w:rPr>
  </w:style>
  <w:style w:type="paragraph" w:styleId="NormalWeb">
    <w:name w:val="Normal (Web)"/>
    <w:basedOn w:val="Normal"/>
    <w:uiPriority w:val="99"/>
    <w:semiHidden/>
    <w:unhideWhenUsed/>
    <w:rsid w:val="00FF6053"/>
    <w:pPr>
      <w:spacing w:before="100" w:beforeAutospacing="1" w:after="100" w:afterAutospacing="1"/>
    </w:pPr>
    <w:rPr>
      <w:lang w:val="en-GB"/>
    </w:rPr>
  </w:style>
  <w:style w:type="paragraph" w:styleId="z-TopofForm">
    <w:name w:val="HTML Top of Form"/>
    <w:basedOn w:val="Normal"/>
    <w:next w:val="Normal"/>
    <w:link w:val="z-TopofFormChar"/>
    <w:hidden/>
    <w:uiPriority w:val="99"/>
    <w:semiHidden/>
    <w:unhideWhenUsed/>
    <w:rsid w:val="00FF6053"/>
    <w:pPr>
      <w:pBdr>
        <w:bottom w:val="single" w:sz="6" w:space="1" w:color="auto"/>
      </w:pBdr>
      <w:jc w:val="center"/>
    </w:pPr>
    <w:rPr>
      <w:rFonts w:ascii="Arial" w:hAnsi="Arial" w:cs="Arial"/>
      <w:vanish/>
      <w:sz w:val="16"/>
      <w:szCs w:val="16"/>
      <w:lang w:val="en-GB"/>
    </w:rPr>
  </w:style>
  <w:style w:type="character" w:customStyle="1" w:styleId="z-TopofFormChar">
    <w:name w:val="z-Top of Form Char"/>
    <w:basedOn w:val="DefaultParagraphFont"/>
    <w:link w:val="z-TopofForm"/>
    <w:uiPriority w:val="99"/>
    <w:semiHidden/>
    <w:rsid w:val="00FF6053"/>
    <w:rPr>
      <w:rFonts w:ascii="Arial" w:eastAsia="Times New Roman" w:hAnsi="Arial" w:cs="Arial"/>
      <w:vanish/>
      <w:kern w:val="0"/>
      <w:sz w:val="16"/>
      <w:szCs w:val="16"/>
      <w:lang w:val="en-GB" w:eastAsia="zh-CN"/>
      <w14:ligatures w14:val="none"/>
    </w:rPr>
  </w:style>
  <w:style w:type="paragraph" w:styleId="z-BottomofForm">
    <w:name w:val="HTML Bottom of Form"/>
    <w:basedOn w:val="Normal"/>
    <w:next w:val="Normal"/>
    <w:link w:val="z-BottomofFormChar"/>
    <w:hidden/>
    <w:uiPriority w:val="99"/>
    <w:semiHidden/>
    <w:unhideWhenUsed/>
    <w:rsid w:val="00FF6053"/>
    <w:pPr>
      <w:pBdr>
        <w:top w:val="single" w:sz="6" w:space="1" w:color="auto"/>
      </w:pBdr>
      <w:jc w:val="center"/>
    </w:pPr>
    <w:rPr>
      <w:rFonts w:ascii="Arial" w:hAnsi="Arial" w:cs="Arial"/>
      <w:vanish/>
      <w:sz w:val="16"/>
      <w:szCs w:val="16"/>
      <w:lang w:val="en-GB"/>
    </w:rPr>
  </w:style>
  <w:style w:type="character" w:customStyle="1" w:styleId="z-BottomofFormChar">
    <w:name w:val="z-Bottom of Form Char"/>
    <w:basedOn w:val="DefaultParagraphFont"/>
    <w:link w:val="z-BottomofForm"/>
    <w:uiPriority w:val="99"/>
    <w:semiHidden/>
    <w:rsid w:val="00FF6053"/>
    <w:rPr>
      <w:rFonts w:ascii="Arial" w:eastAsia="Times New Roman" w:hAnsi="Arial" w:cs="Arial"/>
      <w:vanish/>
      <w:kern w:val="0"/>
      <w:sz w:val="16"/>
      <w:szCs w:val="16"/>
      <w:lang w:val="en-GB" w:eastAsia="zh-CN"/>
      <w14:ligatures w14:val="none"/>
    </w:rPr>
  </w:style>
  <w:style w:type="table" w:styleId="TableGrid">
    <w:name w:val="Table Grid"/>
    <w:basedOn w:val="TableNormal"/>
    <w:uiPriority w:val="39"/>
    <w:rsid w:val="00056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60A1"/>
    <w:rPr>
      <w:color w:val="467886" w:themeColor="hyperlink"/>
      <w:u w:val="single"/>
    </w:rPr>
  </w:style>
  <w:style w:type="character" w:styleId="UnresolvedMention">
    <w:name w:val="Unresolved Mention"/>
    <w:basedOn w:val="DefaultParagraphFont"/>
    <w:uiPriority w:val="99"/>
    <w:semiHidden/>
    <w:unhideWhenUsed/>
    <w:rsid w:val="007E60A1"/>
    <w:rPr>
      <w:color w:val="605E5C"/>
      <w:shd w:val="clear" w:color="auto" w:fill="E1DFDD"/>
    </w:rPr>
  </w:style>
  <w:style w:type="character" w:styleId="FollowedHyperlink">
    <w:name w:val="FollowedHyperlink"/>
    <w:basedOn w:val="DefaultParagraphFont"/>
    <w:uiPriority w:val="99"/>
    <w:semiHidden/>
    <w:unhideWhenUsed/>
    <w:rsid w:val="003C68EE"/>
    <w:rPr>
      <w:color w:val="96607D" w:themeColor="followedHyperlink"/>
      <w:u w:val="single"/>
    </w:rPr>
  </w:style>
  <w:style w:type="character" w:styleId="PageNumber">
    <w:name w:val="page number"/>
    <w:basedOn w:val="DefaultParagraphFont"/>
    <w:uiPriority w:val="99"/>
    <w:semiHidden/>
    <w:unhideWhenUsed/>
    <w:rsid w:val="00206773"/>
  </w:style>
  <w:style w:type="character" w:customStyle="1" w:styleId="align-middle">
    <w:name w:val="align-middle"/>
    <w:basedOn w:val="DefaultParagraphFont"/>
    <w:rsid w:val="00006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3765">
      <w:bodyDiv w:val="1"/>
      <w:marLeft w:val="0"/>
      <w:marRight w:val="0"/>
      <w:marTop w:val="0"/>
      <w:marBottom w:val="0"/>
      <w:divBdr>
        <w:top w:val="none" w:sz="0" w:space="0" w:color="auto"/>
        <w:left w:val="none" w:sz="0" w:space="0" w:color="auto"/>
        <w:bottom w:val="none" w:sz="0" w:space="0" w:color="auto"/>
        <w:right w:val="none" w:sz="0" w:space="0" w:color="auto"/>
      </w:divBdr>
      <w:divsChild>
        <w:div w:id="1410231135">
          <w:marLeft w:val="0"/>
          <w:marRight w:val="0"/>
          <w:marTop w:val="0"/>
          <w:marBottom w:val="0"/>
          <w:divBdr>
            <w:top w:val="none" w:sz="0" w:space="0" w:color="auto"/>
            <w:left w:val="none" w:sz="0" w:space="0" w:color="auto"/>
            <w:bottom w:val="none" w:sz="0" w:space="0" w:color="auto"/>
            <w:right w:val="none" w:sz="0" w:space="0" w:color="auto"/>
          </w:divBdr>
        </w:div>
        <w:div w:id="1780296076">
          <w:marLeft w:val="0"/>
          <w:marRight w:val="0"/>
          <w:marTop w:val="0"/>
          <w:marBottom w:val="0"/>
          <w:divBdr>
            <w:top w:val="none" w:sz="0" w:space="0" w:color="auto"/>
            <w:left w:val="none" w:sz="0" w:space="0" w:color="auto"/>
            <w:bottom w:val="none" w:sz="0" w:space="0" w:color="auto"/>
            <w:right w:val="none" w:sz="0" w:space="0" w:color="auto"/>
          </w:divBdr>
          <w:divsChild>
            <w:div w:id="235552562">
              <w:marLeft w:val="0"/>
              <w:marRight w:val="0"/>
              <w:marTop w:val="0"/>
              <w:marBottom w:val="0"/>
              <w:divBdr>
                <w:top w:val="none" w:sz="0" w:space="0" w:color="auto"/>
                <w:left w:val="none" w:sz="0" w:space="0" w:color="auto"/>
                <w:bottom w:val="none" w:sz="0" w:space="0" w:color="auto"/>
                <w:right w:val="none" w:sz="0" w:space="0" w:color="auto"/>
              </w:divBdr>
              <w:divsChild>
                <w:div w:id="140000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742812">
      <w:bodyDiv w:val="1"/>
      <w:marLeft w:val="0"/>
      <w:marRight w:val="0"/>
      <w:marTop w:val="0"/>
      <w:marBottom w:val="0"/>
      <w:divBdr>
        <w:top w:val="none" w:sz="0" w:space="0" w:color="auto"/>
        <w:left w:val="none" w:sz="0" w:space="0" w:color="auto"/>
        <w:bottom w:val="none" w:sz="0" w:space="0" w:color="auto"/>
        <w:right w:val="none" w:sz="0" w:space="0" w:color="auto"/>
      </w:divBdr>
    </w:div>
    <w:div w:id="608321880">
      <w:bodyDiv w:val="1"/>
      <w:marLeft w:val="0"/>
      <w:marRight w:val="0"/>
      <w:marTop w:val="0"/>
      <w:marBottom w:val="0"/>
      <w:divBdr>
        <w:top w:val="none" w:sz="0" w:space="0" w:color="auto"/>
        <w:left w:val="none" w:sz="0" w:space="0" w:color="auto"/>
        <w:bottom w:val="none" w:sz="0" w:space="0" w:color="auto"/>
        <w:right w:val="none" w:sz="0" w:space="0" w:color="auto"/>
      </w:divBdr>
      <w:divsChild>
        <w:div w:id="923534597">
          <w:marLeft w:val="0"/>
          <w:marRight w:val="0"/>
          <w:marTop w:val="0"/>
          <w:marBottom w:val="0"/>
          <w:divBdr>
            <w:top w:val="none" w:sz="0" w:space="0" w:color="auto"/>
            <w:left w:val="none" w:sz="0" w:space="0" w:color="auto"/>
            <w:bottom w:val="none" w:sz="0" w:space="0" w:color="auto"/>
            <w:right w:val="none" w:sz="0" w:space="0" w:color="auto"/>
          </w:divBdr>
        </w:div>
        <w:div w:id="640622375">
          <w:marLeft w:val="0"/>
          <w:marRight w:val="0"/>
          <w:marTop w:val="0"/>
          <w:marBottom w:val="0"/>
          <w:divBdr>
            <w:top w:val="none" w:sz="0" w:space="0" w:color="auto"/>
            <w:left w:val="none" w:sz="0" w:space="0" w:color="auto"/>
            <w:bottom w:val="none" w:sz="0" w:space="0" w:color="auto"/>
            <w:right w:val="none" w:sz="0" w:space="0" w:color="auto"/>
          </w:divBdr>
          <w:divsChild>
            <w:div w:id="1427841808">
              <w:marLeft w:val="0"/>
              <w:marRight w:val="0"/>
              <w:marTop w:val="0"/>
              <w:marBottom w:val="0"/>
              <w:divBdr>
                <w:top w:val="none" w:sz="0" w:space="0" w:color="auto"/>
                <w:left w:val="none" w:sz="0" w:space="0" w:color="auto"/>
                <w:bottom w:val="none" w:sz="0" w:space="0" w:color="auto"/>
                <w:right w:val="none" w:sz="0" w:space="0" w:color="auto"/>
              </w:divBdr>
              <w:divsChild>
                <w:div w:id="24831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563240">
      <w:bodyDiv w:val="1"/>
      <w:marLeft w:val="0"/>
      <w:marRight w:val="0"/>
      <w:marTop w:val="0"/>
      <w:marBottom w:val="0"/>
      <w:divBdr>
        <w:top w:val="none" w:sz="0" w:space="0" w:color="auto"/>
        <w:left w:val="none" w:sz="0" w:space="0" w:color="auto"/>
        <w:bottom w:val="none" w:sz="0" w:space="0" w:color="auto"/>
        <w:right w:val="none" w:sz="0" w:space="0" w:color="auto"/>
      </w:divBdr>
    </w:div>
    <w:div w:id="771359616">
      <w:bodyDiv w:val="1"/>
      <w:marLeft w:val="0"/>
      <w:marRight w:val="0"/>
      <w:marTop w:val="0"/>
      <w:marBottom w:val="0"/>
      <w:divBdr>
        <w:top w:val="none" w:sz="0" w:space="0" w:color="auto"/>
        <w:left w:val="none" w:sz="0" w:space="0" w:color="auto"/>
        <w:bottom w:val="none" w:sz="0" w:space="0" w:color="auto"/>
        <w:right w:val="none" w:sz="0" w:space="0" w:color="auto"/>
      </w:divBdr>
    </w:div>
    <w:div w:id="933978684">
      <w:bodyDiv w:val="1"/>
      <w:marLeft w:val="0"/>
      <w:marRight w:val="0"/>
      <w:marTop w:val="0"/>
      <w:marBottom w:val="0"/>
      <w:divBdr>
        <w:top w:val="none" w:sz="0" w:space="0" w:color="auto"/>
        <w:left w:val="none" w:sz="0" w:space="0" w:color="auto"/>
        <w:bottom w:val="none" w:sz="0" w:space="0" w:color="auto"/>
        <w:right w:val="none" w:sz="0" w:space="0" w:color="auto"/>
      </w:divBdr>
    </w:div>
    <w:div w:id="1173104944">
      <w:bodyDiv w:val="1"/>
      <w:marLeft w:val="0"/>
      <w:marRight w:val="0"/>
      <w:marTop w:val="0"/>
      <w:marBottom w:val="0"/>
      <w:divBdr>
        <w:top w:val="none" w:sz="0" w:space="0" w:color="auto"/>
        <w:left w:val="none" w:sz="0" w:space="0" w:color="auto"/>
        <w:bottom w:val="none" w:sz="0" w:space="0" w:color="auto"/>
        <w:right w:val="none" w:sz="0" w:space="0" w:color="auto"/>
      </w:divBdr>
    </w:div>
    <w:div w:id="1192113334">
      <w:bodyDiv w:val="1"/>
      <w:marLeft w:val="0"/>
      <w:marRight w:val="0"/>
      <w:marTop w:val="0"/>
      <w:marBottom w:val="0"/>
      <w:divBdr>
        <w:top w:val="none" w:sz="0" w:space="0" w:color="auto"/>
        <w:left w:val="none" w:sz="0" w:space="0" w:color="auto"/>
        <w:bottom w:val="none" w:sz="0" w:space="0" w:color="auto"/>
        <w:right w:val="none" w:sz="0" w:space="0" w:color="auto"/>
      </w:divBdr>
    </w:div>
    <w:div w:id="1414624104">
      <w:bodyDiv w:val="1"/>
      <w:marLeft w:val="0"/>
      <w:marRight w:val="0"/>
      <w:marTop w:val="0"/>
      <w:marBottom w:val="0"/>
      <w:divBdr>
        <w:top w:val="none" w:sz="0" w:space="0" w:color="auto"/>
        <w:left w:val="none" w:sz="0" w:space="0" w:color="auto"/>
        <w:bottom w:val="none" w:sz="0" w:space="0" w:color="auto"/>
        <w:right w:val="none" w:sz="0" w:space="0" w:color="auto"/>
      </w:divBdr>
    </w:div>
    <w:div w:id="1479346651">
      <w:bodyDiv w:val="1"/>
      <w:marLeft w:val="0"/>
      <w:marRight w:val="0"/>
      <w:marTop w:val="0"/>
      <w:marBottom w:val="0"/>
      <w:divBdr>
        <w:top w:val="none" w:sz="0" w:space="0" w:color="auto"/>
        <w:left w:val="none" w:sz="0" w:space="0" w:color="auto"/>
        <w:bottom w:val="none" w:sz="0" w:space="0" w:color="auto"/>
        <w:right w:val="none" w:sz="0" w:space="0" w:color="auto"/>
      </w:divBdr>
    </w:div>
    <w:div w:id="1504082493">
      <w:bodyDiv w:val="1"/>
      <w:marLeft w:val="0"/>
      <w:marRight w:val="0"/>
      <w:marTop w:val="0"/>
      <w:marBottom w:val="0"/>
      <w:divBdr>
        <w:top w:val="none" w:sz="0" w:space="0" w:color="auto"/>
        <w:left w:val="none" w:sz="0" w:space="0" w:color="auto"/>
        <w:bottom w:val="none" w:sz="0" w:space="0" w:color="auto"/>
        <w:right w:val="none" w:sz="0" w:space="0" w:color="auto"/>
      </w:divBdr>
    </w:div>
    <w:div w:id="1549411939">
      <w:bodyDiv w:val="1"/>
      <w:marLeft w:val="0"/>
      <w:marRight w:val="0"/>
      <w:marTop w:val="0"/>
      <w:marBottom w:val="0"/>
      <w:divBdr>
        <w:top w:val="none" w:sz="0" w:space="0" w:color="auto"/>
        <w:left w:val="none" w:sz="0" w:space="0" w:color="auto"/>
        <w:bottom w:val="none" w:sz="0" w:space="0" w:color="auto"/>
        <w:right w:val="none" w:sz="0" w:space="0" w:color="auto"/>
      </w:divBdr>
    </w:div>
    <w:div w:id="1612283169">
      <w:bodyDiv w:val="1"/>
      <w:marLeft w:val="0"/>
      <w:marRight w:val="0"/>
      <w:marTop w:val="0"/>
      <w:marBottom w:val="0"/>
      <w:divBdr>
        <w:top w:val="none" w:sz="0" w:space="0" w:color="auto"/>
        <w:left w:val="none" w:sz="0" w:space="0" w:color="auto"/>
        <w:bottom w:val="none" w:sz="0" w:space="0" w:color="auto"/>
        <w:right w:val="none" w:sz="0" w:space="0" w:color="auto"/>
      </w:divBdr>
    </w:div>
    <w:div w:id="1893032477">
      <w:bodyDiv w:val="1"/>
      <w:marLeft w:val="0"/>
      <w:marRight w:val="0"/>
      <w:marTop w:val="0"/>
      <w:marBottom w:val="0"/>
      <w:divBdr>
        <w:top w:val="none" w:sz="0" w:space="0" w:color="auto"/>
        <w:left w:val="none" w:sz="0" w:space="0" w:color="auto"/>
        <w:bottom w:val="none" w:sz="0" w:space="0" w:color="auto"/>
        <w:right w:val="none" w:sz="0" w:space="0" w:color="auto"/>
      </w:divBdr>
      <w:divsChild>
        <w:div w:id="1224482647">
          <w:marLeft w:val="0"/>
          <w:marRight w:val="0"/>
          <w:marTop w:val="0"/>
          <w:marBottom w:val="0"/>
          <w:divBdr>
            <w:top w:val="none" w:sz="0" w:space="0" w:color="auto"/>
            <w:left w:val="none" w:sz="0" w:space="0" w:color="auto"/>
            <w:bottom w:val="none" w:sz="0" w:space="0" w:color="auto"/>
            <w:right w:val="none" w:sz="0" w:space="0" w:color="auto"/>
          </w:divBdr>
          <w:divsChild>
            <w:div w:id="1004480053">
              <w:marLeft w:val="0"/>
              <w:marRight w:val="0"/>
              <w:marTop w:val="0"/>
              <w:marBottom w:val="0"/>
              <w:divBdr>
                <w:top w:val="none" w:sz="0" w:space="0" w:color="auto"/>
                <w:left w:val="none" w:sz="0" w:space="0" w:color="auto"/>
                <w:bottom w:val="none" w:sz="0" w:space="0" w:color="auto"/>
                <w:right w:val="none" w:sz="0" w:space="0" w:color="auto"/>
              </w:divBdr>
              <w:divsChild>
                <w:div w:id="1044017105">
                  <w:marLeft w:val="0"/>
                  <w:marRight w:val="0"/>
                  <w:marTop w:val="0"/>
                  <w:marBottom w:val="0"/>
                  <w:divBdr>
                    <w:top w:val="none" w:sz="0" w:space="0" w:color="auto"/>
                    <w:left w:val="none" w:sz="0" w:space="0" w:color="auto"/>
                    <w:bottom w:val="none" w:sz="0" w:space="0" w:color="auto"/>
                    <w:right w:val="none" w:sz="0" w:space="0" w:color="auto"/>
                  </w:divBdr>
                  <w:divsChild>
                    <w:div w:id="533806386">
                      <w:marLeft w:val="0"/>
                      <w:marRight w:val="0"/>
                      <w:marTop w:val="0"/>
                      <w:marBottom w:val="0"/>
                      <w:divBdr>
                        <w:top w:val="none" w:sz="0" w:space="0" w:color="auto"/>
                        <w:left w:val="none" w:sz="0" w:space="0" w:color="auto"/>
                        <w:bottom w:val="none" w:sz="0" w:space="0" w:color="auto"/>
                        <w:right w:val="none" w:sz="0" w:space="0" w:color="auto"/>
                      </w:divBdr>
                      <w:divsChild>
                        <w:div w:id="193886844">
                          <w:marLeft w:val="0"/>
                          <w:marRight w:val="0"/>
                          <w:marTop w:val="0"/>
                          <w:marBottom w:val="0"/>
                          <w:divBdr>
                            <w:top w:val="none" w:sz="0" w:space="0" w:color="auto"/>
                            <w:left w:val="none" w:sz="0" w:space="0" w:color="auto"/>
                            <w:bottom w:val="none" w:sz="0" w:space="0" w:color="auto"/>
                            <w:right w:val="none" w:sz="0" w:space="0" w:color="auto"/>
                          </w:divBdr>
                          <w:divsChild>
                            <w:div w:id="800808613">
                              <w:marLeft w:val="0"/>
                              <w:marRight w:val="0"/>
                              <w:marTop w:val="0"/>
                              <w:marBottom w:val="0"/>
                              <w:divBdr>
                                <w:top w:val="none" w:sz="0" w:space="0" w:color="auto"/>
                                <w:left w:val="none" w:sz="0" w:space="0" w:color="auto"/>
                                <w:bottom w:val="none" w:sz="0" w:space="0" w:color="auto"/>
                                <w:right w:val="none" w:sz="0" w:space="0" w:color="auto"/>
                              </w:divBdr>
                              <w:divsChild>
                                <w:div w:id="736902960">
                                  <w:marLeft w:val="0"/>
                                  <w:marRight w:val="0"/>
                                  <w:marTop w:val="0"/>
                                  <w:marBottom w:val="0"/>
                                  <w:divBdr>
                                    <w:top w:val="none" w:sz="0" w:space="0" w:color="auto"/>
                                    <w:left w:val="none" w:sz="0" w:space="0" w:color="auto"/>
                                    <w:bottom w:val="none" w:sz="0" w:space="0" w:color="auto"/>
                                    <w:right w:val="none" w:sz="0" w:space="0" w:color="auto"/>
                                  </w:divBdr>
                                  <w:divsChild>
                                    <w:div w:id="1799762698">
                                      <w:marLeft w:val="0"/>
                                      <w:marRight w:val="0"/>
                                      <w:marTop w:val="0"/>
                                      <w:marBottom w:val="0"/>
                                      <w:divBdr>
                                        <w:top w:val="none" w:sz="0" w:space="0" w:color="auto"/>
                                        <w:left w:val="none" w:sz="0" w:space="0" w:color="auto"/>
                                        <w:bottom w:val="none" w:sz="0" w:space="0" w:color="auto"/>
                                        <w:right w:val="none" w:sz="0" w:space="0" w:color="auto"/>
                                      </w:divBdr>
                                      <w:divsChild>
                                        <w:div w:id="852495554">
                                          <w:marLeft w:val="0"/>
                                          <w:marRight w:val="0"/>
                                          <w:marTop w:val="0"/>
                                          <w:marBottom w:val="0"/>
                                          <w:divBdr>
                                            <w:top w:val="none" w:sz="0" w:space="0" w:color="auto"/>
                                            <w:left w:val="none" w:sz="0" w:space="0" w:color="auto"/>
                                            <w:bottom w:val="none" w:sz="0" w:space="0" w:color="auto"/>
                                            <w:right w:val="none" w:sz="0" w:space="0" w:color="auto"/>
                                          </w:divBdr>
                                          <w:divsChild>
                                            <w:div w:id="599877447">
                                              <w:marLeft w:val="0"/>
                                              <w:marRight w:val="0"/>
                                              <w:marTop w:val="0"/>
                                              <w:marBottom w:val="0"/>
                                              <w:divBdr>
                                                <w:top w:val="none" w:sz="0" w:space="0" w:color="auto"/>
                                                <w:left w:val="none" w:sz="0" w:space="0" w:color="auto"/>
                                                <w:bottom w:val="none" w:sz="0" w:space="0" w:color="auto"/>
                                                <w:right w:val="none" w:sz="0" w:space="0" w:color="auto"/>
                                              </w:divBdr>
                                              <w:divsChild>
                                                <w:div w:id="1943688429">
                                                  <w:marLeft w:val="0"/>
                                                  <w:marRight w:val="0"/>
                                                  <w:marTop w:val="0"/>
                                                  <w:marBottom w:val="0"/>
                                                  <w:divBdr>
                                                    <w:top w:val="none" w:sz="0" w:space="0" w:color="auto"/>
                                                    <w:left w:val="none" w:sz="0" w:space="0" w:color="auto"/>
                                                    <w:bottom w:val="none" w:sz="0" w:space="0" w:color="auto"/>
                                                    <w:right w:val="none" w:sz="0" w:space="0" w:color="auto"/>
                                                  </w:divBdr>
                                                  <w:divsChild>
                                                    <w:div w:id="1740055230">
                                                      <w:marLeft w:val="0"/>
                                                      <w:marRight w:val="0"/>
                                                      <w:marTop w:val="0"/>
                                                      <w:marBottom w:val="0"/>
                                                      <w:divBdr>
                                                        <w:top w:val="none" w:sz="0" w:space="0" w:color="auto"/>
                                                        <w:left w:val="none" w:sz="0" w:space="0" w:color="auto"/>
                                                        <w:bottom w:val="none" w:sz="0" w:space="0" w:color="auto"/>
                                                        <w:right w:val="none" w:sz="0" w:space="0" w:color="auto"/>
                                                      </w:divBdr>
                                                      <w:divsChild>
                                                        <w:div w:id="194795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7557544">
          <w:marLeft w:val="0"/>
          <w:marRight w:val="0"/>
          <w:marTop w:val="0"/>
          <w:marBottom w:val="0"/>
          <w:divBdr>
            <w:top w:val="none" w:sz="0" w:space="0" w:color="auto"/>
            <w:left w:val="none" w:sz="0" w:space="0" w:color="auto"/>
            <w:bottom w:val="none" w:sz="0" w:space="0" w:color="auto"/>
            <w:right w:val="none" w:sz="0" w:space="0" w:color="auto"/>
          </w:divBdr>
          <w:divsChild>
            <w:div w:id="1282418696">
              <w:marLeft w:val="0"/>
              <w:marRight w:val="0"/>
              <w:marTop w:val="0"/>
              <w:marBottom w:val="0"/>
              <w:divBdr>
                <w:top w:val="none" w:sz="0" w:space="0" w:color="auto"/>
                <w:left w:val="none" w:sz="0" w:space="0" w:color="auto"/>
                <w:bottom w:val="none" w:sz="0" w:space="0" w:color="auto"/>
                <w:right w:val="none" w:sz="0" w:space="0" w:color="auto"/>
              </w:divBdr>
              <w:divsChild>
                <w:div w:id="1599096966">
                  <w:marLeft w:val="0"/>
                  <w:marRight w:val="0"/>
                  <w:marTop w:val="0"/>
                  <w:marBottom w:val="0"/>
                  <w:divBdr>
                    <w:top w:val="none" w:sz="0" w:space="0" w:color="auto"/>
                    <w:left w:val="none" w:sz="0" w:space="0" w:color="auto"/>
                    <w:bottom w:val="none" w:sz="0" w:space="0" w:color="auto"/>
                    <w:right w:val="none" w:sz="0" w:space="0" w:color="auto"/>
                  </w:divBdr>
                  <w:divsChild>
                    <w:div w:id="185992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7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watch.com/story/history-shows-wall-street-analyst-estimates-can-be-30-too-high-at-the-peak-which-one-strategist-says-may-be-now-4d8be68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pglobal.com/spdji/en/indices/equity/sp-50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BA9E5-B017-4A12-927A-3F0AB1BD2EEF}">
  <ds:schemaRefs>
    <ds:schemaRef ds:uri="http://schemas.openxmlformats.org/officeDocument/2006/bibliography"/>
  </ds:schemaRefs>
</ds:datastoreItem>
</file>

<file path=docMetadata/LabelInfo.xml><?xml version="1.0" encoding="utf-8"?>
<clbl:labelList xmlns:clbl="http://schemas.microsoft.com/office/2020/mipLabelMetadata">
  <clbl:label id="{6951d41b-6b8e-4636-984f-012bff14ba18}" enabled="1" method="Standard" siteId="{c98a79ca-5a9a-4791-a243-f06afd67464d}" removed="0"/>
</clbl:labelList>
</file>

<file path=docProps/app.xml><?xml version="1.0" encoding="utf-8"?>
<Properties xmlns="http://schemas.openxmlformats.org/officeDocument/2006/extended-properties" xmlns:vt="http://schemas.openxmlformats.org/officeDocument/2006/docPropsVTypes">
  <Template>Normal.dotm</Template>
  <TotalTime>23</TotalTime>
  <Pages>55</Pages>
  <Words>16531</Words>
  <Characters>94229</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110539</CharactersWithSpaces>
  <SharedDoc>false</SharedDoc>
  <HLinks>
    <vt:vector size="6" baseType="variant">
      <vt:variant>
        <vt:i4>1507413</vt:i4>
      </vt:variant>
      <vt:variant>
        <vt:i4>0</vt:i4>
      </vt:variant>
      <vt:variant>
        <vt:i4>0</vt:i4>
      </vt:variant>
      <vt:variant>
        <vt:i4>5</vt:i4>
      </vt:variant>
      <vt:variant>
        <vt:lpwstr>https://www.spglobal.com/spdji/en/indices/equity/sp-500/</vt:lpwstr>
      </vt:variant>
      <vt:variant>
        <vt:lpwstr>overview</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Mishina, Yuri</dc:creator>
  <cp:keywords/>
  <dc:description/>
  <cp:lastModifiedBy>Mishina, Yuri</cp:lastModifiedBy>
  <cp:revision>12</cp:revision>
  <cp:lastPrinted>2025-06-22T21:14:00Z</cp:lastPrinted>
  <dcterms:created xsi:type="dcterms:W3CDTF">2025-07-08T09:33:00Z</dcterms:created>
  <dcterms:modified xsi:type="dcterms:W3CDTF">2025-07-09T09:05:00Z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79b45e1c,1d54404f,58b53151</vt:lpwstr>
  </property>
  <property fmtid="{D5CDD505-2E9C-101B-9397-08002B2CF9AE}" pid="3" name="ClassificationContentMarkingHeaderFontProps">
    <vt:lpwstr>#000000,8,Calibri</vt:lpwstr>
  </property>
  <property fmtid="{D5CDD505-2E9C-101B-9397-08002B2CF9AE}" pid="4" name="ClassificationContentMarkingHeaderText">
    <vt:lpwstr>SMU Classification: Restricted</vt:lpwstr>
  </property>
</Properties>
</file>