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56BDF1" w14:textId="2AC631C4" w:rsidR="00BD6B41" w:rsidRDefault="00603E10">
      <w:pPr>
        <w:rPr>
          <w:rFonts w:cstheme="minorHAnsi"/>
          <w:b/>
        </w:rPr>
      </w:pPr>
      <w:r w:rsidRPr="004943D2">
        <w:rPr>
          <w:rFonts w:cstheme="minorHAnsi"/>
          <w:b/>
        </w:rPr>
        <w:t xml:space="preserve">Smoking uptake in UK </w:t>
      </w:r>
      <w:r w:rsidR="00EA184B" w:rsidRPr="004943D2">
        <w:rPr>
          <w:rFonts w:cstheme="minorHAnsi"/>
          <w:b/>
        </w:rPr>
        <w:t>children</w:t>
      </w:r>
      <w:r w:rsidR="00D008BF">
        <w:rPr>
          <w:rFonts w:cstheme="minorHAnsi"/>
          <w:b/>
        </w:rPr>
        <w:t xml:space="preserve">: analysis of </w:t>
      </w:r>
      <w:r w:rsidR="00C516BD">
        <w:rPr>
          <w:rFonts w:cstheme="minorHAnsi"/>
          <w:b/>
        </w:rPr>
        <w:t>the UK Millennium Cohort Study</w:t>
      </w:r>
    </w:p>
    <w:p w14:paraId="5FC1784D" w14:textId="6F7692C5" w:rsidR="00EA184B" w:rsidRPr="007462BA" w:rsidRDefault="00EA184B">
      <w:pPr>
        <w:rPr>
          <w:rFonts w:cstheme="minorHAnsi"/>
        </w:rPr>
      </w:pPr>
      <w:r w:rsidRPr="007462BA">
        <w:rPr>
          <w:rFonts w:cstheme="minorHAnsi"/>
        </w:rPr>
        <w:t>Anthony A Laverty</w:t>
      </w:r>
      <w:r w:rsidR="00B450EC" w:rsidRPr="007462BA">
        <w:rPr>
          <w:rFonts w:cstheme="minorHAnsi"/>
          <w:vertAlign w:val="superscript"/>
        </w:rPr>
        <w:t>1</w:t>
      </w:r>
      <w:r w:rsidR="000F7FE6" w:rsidRPr="007462BA">
        <w:rPr>
          <w:rFonts w:cstheme="minorHAnsi"/>
          <w:vertAlign w:val="superscript"/>
        </w:rPr>
        <w:t>*</w:t>
      </w:r>
      <w:r w:rsidRPr="007462BA">
        <w:rPr>
          <w:rFonts w:cstheme="minorHAnsi"/>
        </w:rPr>
        <w:t>,</w:t>
      </w:r>
      <w:r w:rsidR="00EC22D3" w:rsidRPr="007462BA">
        <w:rPr>
          <w:rFonts w:cstheme="minorHAnsi"/>
        </w:rPr>
        <w:t xml:space="preserve"> Filippos T. Filippidis</w:t>
      </w:r>
      <w:r w:rsidR="00EC22D3" w:rsidRPr="007462BA">
        <w:rPr>
          <w:rFonts w:cstheme="minorHAnsi"/>
          <w:vertAlign w:val="superscript"/>
        </w:rPr>
        <w:t>1</w:t>
      </w:r>
      <w:r w:rsidR="00EC22D3" w:rsidRPr="007462BA">
        <w:rPr>
          <w:rFonts w:cstheme="minorHAnsi"/>
        </w:rPr>
        <w:t xml:space="preserve">, </w:t>
      </w:r>
      <w:r w:rsidR="00CF7B8A" w:rsidRPr="007462BA">
        <w:rPr>
          <w:rFonts w:cstheme="minorHAnsi"/>
        </w:rPr>
        <w:t>David Taylor Robinson</w:t>
      </w:r>
      <w:r w:rsidR="00CF7B8A" w:rsidRPr="007462BA">
        <w:rPr>
          <w:rFonts w:cstheme="minorHAnsi"/>
          <w:vertAlign w:val="superscript"/>
        </w:rPr>
        <w:t>2</w:t>
      </w:r>
      <w:r w:rsidR="00CF7B8A" w:rsidRPr="007462BA">
        <w:rPr>
          <w:rFonts w:cstheme="minorHAnsi"/>
        </w:rPr>
        <w:t xml:space="preserve">, </w:t>
      </w:r>
      <w:r w:rsidRPr="007462BA">
        <w:rPr>
          <w:rFonts w:cstheme="minorHAnsi"/>
        </w:rPr>
        <w:t>Christopher Millett</w:t>
      </w:r>
      <w:r w:rsidR="00B450EC" w:rsidRPr="007462BA">
        <w:rPr>
          <w:rFonts w:cstheme="minorHAnsi"/>
          <w:vertAlign w:val="superscript"/>
        </w:rPr>
        <w:t>1</w:t>
      </w:r>
      <w:r w:rsidRPr="007462BA">
        <w:rPr>
          <w:rFonts w:cstheme="minorHAnsi"/>
        </w:rPr>
        <w:t>,</w:t>
      </w:r>
      <w:r w:rsidR="007462BA" w:rsidRPr="007462BA">
        <w:rPr>
          <w:rFonts w:cstheme="minorHAnsi"/>
        </w:rPr>
        <w:t xml:space="preserve"> </w:t>
      </w:r>
      <w:r w:rsidR="007462BA" w:rsidRPr="007462BA">
        <w:rPr>
          <w:rStyle w:val="Strong"/>
          <w:rFonts w:eastAsia="Times New Roman" w:cstheme="minorHAnsi"/>
          <w:b w:val="0"/>
        </w:rPr>
        <w:t>Andrew Bush</w:t>
      </w:r>
      <w:r w:rsidR="007462BA" w:rsidRPr="007462BA">
        <w:rPr>
          <w:rFonts w:cstheme="minorHAnsi"/>
          <w:vertAlign w:val="superscript"/>
        </w:rPr>
        <w:t>3</w:t>
      </w:r>
      <w:r w:rsidR="007462BA" w:rsidRPr="007462BA">
        <w:rPr>
          <w:rFonts w:cstheme="minorHAnsi"/>
        </w:rPr>
        <w:t xml:space="preserve">, </w:t>
      </w:r>
      <w:r w:rsidRPr="007462BA">
        <w:rPr>
          <w:rFonts w:cstheme="minorHAnsi"/>
        </w:rPr>
        <w:t>Nicholas S Hopkinson</w:t>
      </w:r>
      <w:r w:rsidR="00CF7B8A" w:rsidRPr="007462BA">
        <w:rPr>
          <w:rFonts w:cstheme="minorHAnsi"/>
          <w:vertAlign w:val="superscript"/>
        </w:rPr>
        <w:t>3</w:t>
      </w:r>
    </w:p>
    <w:p w14:paraId="1C311331" w14:textId="6970B6DA" w:rsidR="00EA184B" w:rsidRDefault="00B450EC">
      <w:pPr>
        <w:rPr>
          <w:rFonts w:cstheme="minorHAnsi"/>
        </w:rPr>
      </w:pPr>
      <w:r w:rsidRPr="004943D2">
        <w:rPr>
          <w:rFonts w:cstheme="minorHAnsi"/>
          <w:vertAlign w:val="superscript"/>
        </w:rPr>
        <w:t>1</w:t>
      </w:r>
      <w:r w:rsidR="00FD4FE8">
        <w:rPr>
          <w:rFonts w:cstheme="minorHAnsi"/>
        </w:rPr>
        <w:t xml:space="preserve"> Public H</w:t>
      </w:r>
      <w:r w:rsidRPr="004943D2">
        <w:rPr>
          <w:rFonts w:cstheme="minorHAnsi"/>
        </w:rPr>
        <w:t xml:space="preserve">ealth </w:t>
      </w:r>
      <w:r w:rsidR="00FD4FE8">
        <w:rPr>
          <w:rFonts w:cstheme="minorHAnsi"/>
        </w:rPr>
        <w:t>Policy Evaluation U</w:t>
      </w:r>
      <w:r w:rsidRPr="004943D2">
        <w:rPr>
          <w:rFonts w:cstheme="minorHAnsi"/>
        </w:rPr>
        <w:t>nit, School of Public Health, Imperial College London, England</w:t>
      </w:r>
    </w:p>
    <w:p w14:paraId="132259E9" w14:textId="536BBDF5" w:rsidR="00CF7B8A" w:rsidRPr="004943D2" w:rsidRDefault="00CF7B8A">
      <w:pPr>
        <w:rPr>
          <w:rFonts w:cstheme="minorHAnsi"/>
        </w:rPr>
      </w:pPr>
      <w:r w:rsidRPr="00484811">
        <w:rPr>
          <w:rFonts w:cstheme="minorHAnsi"/>
          <w:vertAlign w:val="superscript"/>
        </w:rPr>
        <w:t>2</w:t>
      </w:r>
      <w:r w:rsidR="00484811" w:rsidRPr="00484811">
        <w:t xml:space="preserve"> </w:t>
      </w:r>
      <w:proofErr w:type="gramStart"/>
      <w:r w:rsidR="00484811">
        <w:t>Department</w:t>
      </w:r>
      <w:proofErr w:type="gramEnd"/>
      <w:r w:rsidR="00484811">
        <w:t xml:space="preserve"> of Public Health and Policy, University of Liverpool, Liverpool, England</w:t>
      </w:r>
    </w:p>
    <w:p w14:paraId="4A7CE26B" w14:textId="0EFC08F3" w:rsidR="00B450EC" w:rsidRDefault="00CF7B8A">
      <w:pPr>
        <w:rPr>
          <w:rFonts w:cstheme="minorHAnsi"/>
          <w:color w:val="000000"/>
          <w:shd w:val="clear" w:color="auto" w:fill="FFFFFF"/>
        </w:rPr>
      </w:pPr>
      <w:proofErr w:type="gramStart"/>
      <w:r>
        <w:rPr>
          <w:rFonts w:cstheme="minorHAnsi"/>
          <w:vertAlign w:val="superscript"/>
        </w:rPr>
        <w:t>3</w:t>
      </w:r>
      <w:r w:rsidR="00B450EC" w:rsidRPr="004943D2">
        <w:rPr>
          <w:rFonts w:cstheme="minorHAnsi"/>
          <w:vertAlign w:val="superscript"/>
        </w:rPr>
        <w:t xml:space="preserve"> </w:t>
      </w:r>
      <w:r w:rsidR="001A6195" w:rsidRPr="004943D2">
        <w:rPr>
          <w:rFonts w:cstheme="minorHAnsi"/>
          <w:vertAlign w:val="superscript"/>
        </w:rPr>
        <w:t xml:space="preserve"> </w:t>
      </w:r>
      <w:r w:rsidR="001A6195" w:rsidRPr="004943D2">
        <w:rPr>
          <w:rFonts w:cstheme="minorHAnsi"/>
          <w:color w:val="000000"/>
          <w:shd w:val="clear" w:color="auto" w:fill="FFFFFF"/>
        </w:rPr>
        <w:t>NIHR</w:t>
      </w:r>
      <w:proofErr w:type="gramEnd"/>
      <w:r w:rsidR="001A6195" w:rsidRPr="004943D2">
        <w:rPr>
          <w:rFonts w:cstheme="minorHAnsi"/>
          <w:color w:val="000000"/>
          <w:shd w:val="clear" w:color="auto" w:fill="FFFFFF"/>
        </w:rPr>
        <w:t xml:space="preserve"> Respiratory Biomedical Research Unit, Royal Brompton and </w:t>
      </w:r>
      <w:proofErr w:type="spellStart"/>
      <w:r w:rsidR="001A6195" w:rsidRPr="004943D2">
        <w:rPr>
          <w:rFonts w:cstheme="minorHAnsi"/>
          <w:color w:val="000000"/>
          <w:shd w:val="clear" w:color="auto" w:fill="FFFFFF"/>
        </w:rPr>
        <w:t>Harefield</w:t>
      </w:r>
      <w:proofErr w:type="spellEnd"/>
      <w:r w:rsidR="001A6195" w:rsidRPr="004943D2">
        <w:rPr>
          <w:rFonts w:cstheme="minorHAnsi"/>
          <w:color w:val="000000"/>
          <w:shd w:val="clear" w:color="auto" w:fill="FFFFFF"/>
        </w:rPr>
        <w:t xml:space="preserve"> NHS Foundation Trust and Imperial College, London, UK</w:t>
      </w:r>
    </w:p>
    <w:p w14:paraId="69A11BA2" w14:textId="6507D06C" w:rsidR="000F7FE6" w:rsidRDefault="000F7FE6">
      <w:r>
        <w:rPr>
          <w:rFonts w:cstheme="minorHAnsi"/>
        </w:rPr>
        <w:t>*</w:t>
      </w:r>
      <w:r>
        <w:t xml:space="preserve"> Room 322, Reynolds Building, Imperial College London, St Dunstan’s Road, W6 8RP, </w:t>
      </w:r>
      <w:proofErr w:type="gramStart"/>
      <w:r>
        <w:t>London</w:t>
      </w:r>
      <w:proofErr w:type="gramEnd"/>
      <w:r>
        <w:t xml:space="preserve">, England. Telephone: 02075945312, email </w:t>
      </w:r>
      <w:hyperlink r:id="rId9" w:history="1">
        <w:r w:rsidRPr="00696EE8">
          <w:rPr>
            <w:rStyle w:val="Hyperlink"/>
          </w:rPr>
          <w:t>a.laverty@imperial.ac.uk</w:t>
        </w:r>
      </w:hyperlink>
      <w:r>
        <w:t xml:space="preserve"> </w:t>
      </w:r>
    </w:p>
    <w:p w14:paraId="1CBD090E" w14:textId="47675D54" w:rsidR="000F7FE6" w:rsidRPr="000F7FE6" w:rsidRDefault="000F7FE6">
      <w:pPr>
        <w:rPr>
          <w:i/>
        </w:rPr>
      </w:pPr>
      <w:r w:rsidRPr="000F7FE6">
        <w:rPr>
          <w:i/>
        </w:rPr>
        <w:t>Contributors: A</w:t>
      </w:r>
      <w:r w:rsidR="007C2B41">
        <w:rPr>
          <w:i/>
        </w:rPr>
        <w:t>A</w:t>
      </w:r>
      <w:r w:rsidRPr="000F7FE6">
        <w:rPr>
          <w:i/>
        </w:rPr>
        <w:t>L had full access to all of the data and takes responsibility for the integrity of the data and the accuracy of the data analysis. Stud</w:t>
      </w:r>
      <w:r>
        <w:rPr>
          <w:i/>
        </w:rPr>
        <w:t>y concept and design was by AL and NS</w:t>
      </w:r>
      <w:r w:rsidR="00DA571F">
        <w:rPr>
          <w:i/>
        </w:rPr>
        <w:t>H</w:t>
      </w:r>
      <w:r>
        <w:rPr>
          <w:i/>
        </w:rPr>
        <w:t xml:space="preserve">. </w:t>
      </w:r>
      <w:r w:rsidRPr="000F7FE6">
        <w:rPr>
          <w:i/>
        </w:rPr>
        <w:t xml:space="preserve"> All authors were involved in the interpretation of data, drafting of the manuscript and revising it for critical </w:t>
      </w:r>
      <w:r>
        <w:rPr>
          <w:i/>
        </w:rPr>
        <w:t>intellectual content</w:t>
      </w:r>
    </w:p>
    <w:p w14:paraId="7A821FF8" w14:textId="77777777" w:rsidR="000F7FE6" w:rsidRPr="000F7FE6" w:rsidRDefault="000F7FE6">
      <w:pPr>
        <w:rPr>
          <w:i/>
        </w:rPr>
      </w:pPr>
    </w:p>
    <w:p w14:paraId="6D1174DD" w14:textId="0D0814A4" w:rsidR="000F7FE6" w:rsidRPr="000F7FE6" w:rsidRDefault="000F7FE6">
      <w:pPr>
        <w:rPr>
          <w:i/>
        </w:rPr>
      </w:pPr>
      <w:r w:rsidRPr="000F7FE6">
        <w:rPr>
          <w:i/>
        </w:rPr>
        <w:t>Funding: There was no specific funding for this work but C</w:t>
      </w:r>
      <w:r>
        <w:rPr>
          <w:i/>
        </w:rPr>
        <w:t xml:space="preserve">M and AL </w:t>
      </w:r>
      <w:r w:rsidRPr="000F7FE6">
        <w:rPr>
          <w:i/>
        </w:rPr>
        <w:t xml:space="preserve">are funded by the NIHR (NIHR RP 014-04-032) and the Public Health Policy Evaluation Unit at Imperial College London is grateful for the support of the NIHR School of Public Health Research. </w:t>
      </w:r>
      <w:r w:rsidR="003C0B60">
        <w:rPr>
          <w:i/>
        </w:rPr>
        <w:t>AB receives funding from the NIHR as a senior investigator as well as the Asthma UK Centre for applied research</w:t>
      </w:r>
    </w:p>
    <w:p w14:paraId="5FB04093" w14:textId="77777777" w:rsidR="000F7FE6" w:rsidRPr="000F7FE6" w:rsidRDefault="000F7FE6">
      <w:pPr>
        <w:rPr>
          <w:i/>
        </w:rPr>
      </w:pPr>
    </w:p>
    <w:p w14:paraId="7BCF4CD4" w14:textId="31F55B0A" w:rsidR="000F7FE6" w:rsidRPr="000F7FE6" w:rsidRDefault="000F7FE6">
      <w:pPr>
        <w:rPr>
          <w:i/>
        </w:rPr>
      </w:pPr>
      <w:r w:rsidRPr="000F7FE6">
        <w:rPr>
          <w:i/>
        </w:rPr>
        <w:t>Competing interests: The authors declare that they have no competing interest</w:t>
      </w:r>
      <w:r>
        <w:rPr>
          <w:i/>
        </w:rPr>
        <w:t>s</w:t>
      </w:r>
    </w:p>
    <w:p w14:paraId="335F0EC0" w14:textId="77777777" w:rsidR="000F7FE6" w:rsidRDefault="000F7FE6"/>
    <w:p w14:paraId="621D386F" w14:textId="39DEC905" w:rsidR="00FD4FE8" w:rsidRDefault="00FD4FE8"/>
    <w:p w14:paraId="6D189EA8" w14:textId="66994E43" w:rsidR="00860F35" w:rsidRDefault="00860F35">
      <w:pPr>
        <w:rPr>
          <w:rFonts w:cstheme="minorHAnsi"/>
          <w:i/>
          <w:shd w:val="clear" w:color="auto" w:fill="FFFFFF"/>
        </w:rPr>
      </w:pPr>
    </w:p>
    <w:p w14:paraId="092A51F6" w14:textId="77777777" w:rsidR="00B96CAF" w:rsidRDefault="00B96CAF">
      <w:pPr>
        <w:rPr>
          <w:rFonts w:cstheme="minorHAnsi"/>
          <w:i/>
          <w:shd w:val="clear" w:color="auto" w:fill="FFFFFF"/>
        </w:rPr>
      </w:pPr>
    </w:p>
    <w:p w14:paraId="122FB05D" w14:textId="77777777" w:rsidR="00CF7B8A" w:rsidRDefault="00CF7B8A">
      <w:pPr>
        <w:rPr>
          <w:rFonts w:cstheme="minorHAnsi"/>
        </w:rPr>
      </w:pPr>
    </w:p>
    <w:p w14:paraId="669E99C2" w14:textId="349F9326" w:rsidR="008E0A6C" w:rsidRPr="00EC22D3" w:rsidRDefault="008E0A6C">
      <w:pPr>
        <w:rPr>
          <w:rFonts w:cstheme="minorHAnsi"/>
        </w:rPr>
      </w:pPr>
      <w:r w:rsidRPr="00EC22D3">
        <w:rPr>
          <w:rFonts w:cstheme="minorHAnsi"/>
        </w:rPr>
        <w:br w:type="page"/>
      </w:r>
    </w:p>
    <w:p w14:paraId="23A35F74" w14:textId="718375D7" w:rsidR="00426CD0" w:rsidRPr="004943D2" w:rsidRDefault="00EF4FD8" w:rsidP="001A69EB">
      <w:pPr>
        <w:spacing w:line="360" w:lineRule="auto"/>
        <w:rPr>
          <w:rFonts w:cstheme="minorHAnsi"/>
          <w:b/>
        </w:rPr>
      </w:pPr>
      <w:r w:rsidRPr="004943D2">
        <w:rPr>
          <w:rFonts w:cstheme="minorHAnsi"/>
          <w:b/>
        </w:rPr>
        <w:lastRenderedPageBreak/>
        <w:t>ABSTRACT</w:t>
      </w:r>
      <w:r w:rsidR="007462BA">
        <w:rPr>
          <w:rFonts w:cstheme="minorHAnsi"/>
          <w:b/>
        </w:rPr>
        <w:t xml:space="preserve"> </w:t>
      </w:r>
    </w:p>
    <w:p w14:paraId="491323F6" w14:textId="673B8EC1" w:rsidR="00566ED9" w:rsidRDefault="007C2B41" w:rsidP="001A69EB">
      <w:pPr>
        <w:spacing w:line="360" w:lineRule="auto"/>
        <w:rPr>
          <w:rFonts w:cstheme="minorHAnsi"/>
        </w:rPr>
      </w:pPr>
      <w:r w:rsidRPr="00381472">
        <w:rPr>
          <w:rFonts w:cstheme="minorHAnsi"/>
        </w:rPr>
        <w:t xml:space="preserve">We used the </w:t>
      </w:r>
      <w:r w:rsidR="00B027D5" w:rsidRPr="00381472">
        <w:rPr>
          <w:rFonts w:cstheme="minorHAnsi"/>
        </w:rPr>
        <w:t>UK Millennium Cohort Study</w:t>
      </w:r>
      <w:r w:rsidR="00270557" w:rsidRPr="00381472">
        <w:rPr>
          <w:rFonts w:cstheme="minorHAnsi"/>
        </w:rPr>
        <w:t>,</w:t>
      </w:r>
      <w:r w:rsidR="00B027D5" w:rsidRPr="00381472">
        <w:rPr>
          <w:rFonts w:cstheme="minorHAnsi"/>
        </w:rPr>
        <w:t xml:space="preserve"> </w:t>
      </w:r>
      <w:r w:rsidR="008E0A6C" w:rsidRPr="00381472">
        <w:rPr>
          <w:rFonts w:cstheme="minorHAnsi"/>
        </w:rPr>
        <w:t>collected w</w:t>
      </w:r>
      <w:r w:rsidR="00B027D5" w:rsidRPr="00381472">
        <w:rPr>
          <w:rFonts w:cstheme="minorHAnsi"/>
        </w:rPr>
        <w:t xml:space="preserve">hen children were </w:t>
      </w:r>
      <w:r w:rsidR="00501944" w:rsidRPr="00381472">
        <w:rPr>
          <w:rFonts w:cstheme="minorHAnsi"/>
        </w:rPr>
        <w:t xml:space="preserve">approximately </w:t>
      </w:r>
      <w:r w:rsidR="00B027D5" w:rsidRPr="00381472">
        <w:rPr>
          <w:rFonts w:cstheme="minorHAnsi"/>
        </w:rPr>
        <w:t>14 years old (</w:t>
      </w:r>
      <w:r w:rsidR="00270557" w:rsidRPr="00381472">
        <w:rPr>
          <w:rFonts w:cstheme="minorHAnsi"/>
        </w:rPr>
        <w:t>“</w:t>
      </w:r>
      <w:r w:rsidR="00B027D5" w:rsidRPr="00381472">
        <w:rPr>
          <w:rFonts w:cstheme="minorHAnsi"/>
        </w:rPr>
        <w:t>early teens</w:t>
      </w:r>
      <w:r w:rsidR="00270557" w:rsidRPr="00381472">
        <w:rPr>
          <w:rFonts w:cstheme="minorHAnsi"/>
        </w:rPr>
        <w:t>”</w:t>
      </w:r>
      <w:r w:rsidR="00EA1133" w:rsidRPr="00381472">
        <w:rPr>
          <w:rFonts w:cstheme="minorHAnsi"/>
        </w:rPr>
        <w:t>)</w:t>
      </w:r>
      <w:r w:rsidR="0096000D" w:rsidRPr="00381472">
        <w:rPr>
          <w:rFonts w:cstheme="minorHAnsi"/>
        </w:rPr>
        <w:t xml:space="preserve"> </w:t>
      </w:r>
      <w:r w:rsidR="00981EBB" w:rsidRPr="00381472">
        <w:rPr>
          <w:rFonts w:cstheme="minorHAnsi"/>
        </w:rPr>
        <w:t xml:space="preserve">to assess characteristics associated with </w:t>
      </w:r>
      <w:r w:rsidRPr="00381472">
        <w:rPr>
          <w:rFonts w:cstheme="minorHAnsi"/>
        </w:rPr>
        <w:t xml:space="preserve">smoking and generate regional estimates of numbers of </w:t>
      </w:r>
      <w:r w:rsidR="00DC2E6F" w:rsidRPr="00381472">
        <w:rPr>
          <w:rFonts w:cstheme="minorHAnsi"/>
        </w:rPr>
        <w:t>smokers</w:t>
      </w:r>
      <w:r w:rsidRPr="00381472">
        <w:rPr>
          <w:rFonts w:cstheme="minorHAnsi"/>
        </w:rPr>
        <w:t xml:space="preserve">. </w:t>
      </w:r>
      <w:r w:rsidR="00AE1185" w:rsidRPr="00381472">
        <w:rPr>
          <w:rFonts w:cstheme="minorHAnsi"/>
        </w:rPr>
        <w:t xml:space="preserve">13.8% of </w:t>
      </w:r>
      <w:r w:rsidR="004E0EF5" w:rsidRPr="00381472">
        <w:rPr>
          <w:rFonts w:cstheme="minorHAnsi"/>
        </w:rPr>
        <w:t xml:space="preserve">UK </w:t>
      </w:r>
      <w:r w:rsidR="00EF4FD8" w:rsidRPr="00381472">
        <w:rPr>
          <w:rFonts w:cstheme="minorHAnsi"/>
        </w:rPr>
        <w:t xml:space="preserve">early-teens </w:t>
      </w:r>
      <w:r w:rsidR="00214468" w:rsidRPr="00381472">
        <w:rPr>
          <w:rFonts w:cstheme="minorHAnsi"/>
        </w:rPr>
        <w:t xml:space="preserve">studied </w:t>
      </w:r>
      <w:r w:rsidR="00AE1185" w:rsidRPr="00381472">
        <w:rPr>
          <w:rFonts w:cstheme="minorHAnsi"/>
        </w:rPr>
        <w:t>ha</w:t>
      </w:r>
      <w:r w:rsidR="00270557" w:rsidRPr="00381472">
        <w:rPr>
          <w:rFonts w:cstheme="minorHAnsi"/>
        </w:rPr>
        <w:t>d</w:t>
      </w:r>
      <w:r w:rsidR="00AE1185" w:rsidRPr="00381472">
        <w:rPr>
          <w:rFonts w:cstheme="minorHAnsi"/>
        </w:rPr>
        <w:t xml:space="preserve"> </w:t>
      </w:r>
      <w:r w:rsidR="008E0A6C" w:rsidRPr="00381472">
        <w:rPr>
          <w:rFonts w:cstheme="minorHAnsi"/>
        </w:rPr>
        <w:t xml:space="preserve">ever </w:t>
      </w:r>
      <w:r w:rsidRPr="00381472">
        <w:rPr>
          <w:rFonts w:cstheme="minorHAnsi"/>
        </w:rPr>
        <w:t>smoked</w:t>
      </w:r>
      <w:r w:rsidR="0096000D" w:rsidRPr="00381472">
        <w:rPr>
          <w:rFonts w:cstheme="minorHAnsi"/>
        </w:rPr>
        <w:t>,</w:t>
      </w:r>
      <w:r w:rsidR="00AE1185" w:rsidRPr="00381472">
        <w:rPr>
          <w:rFonts w:cstheme="minorHAnsi"/>
        </w:rPr>
        <w:t xml:space="preserve"> </w:t>
      </w:r>
      <w:r w:rsidRPr="00381472">
        <w:rPr>
          <w:rFonts w:cstheme="minorHAnsi"/>
        </w:rPr>
        <w:t xml:space="preserve">and </w:t>
      </w:r>
      <w:r w:rsidR="00AE1185" w:rsidRPr="00381472">
        <w:rPr>
          <w:rFonts w:cstheme="minorHAnsi"/>
        </w:rPr>
        <w:t xml:space="preserve">1.9% </w:t>
      </w:r>
      <w:proofErr w:type="gramStart"/>
      <w:r w:rsidR="00270557" w:rsidRPr="00381472">
        <w:rPr>
          <w:rFonts w:cstheme="minorHAnsi"/>
        </w:rPr>
        <w:t>we</w:t>
      </w:r>
      <w:r w:rsidR="00AE1185" w:rsidRPr="00381472">
        <w:rPr>
          <w:rFonts w:cstheme="minorHAnsi"/>
        </w:rPr>
        <w:t>re</w:t>
      </w:r>
      <w:proofErr w:type="gramEnd"/>
      <w:r w:rsidR="00AE1185" w:rsidRPr="00381472">
        <w:rPr>
          <w:rFonts w:cstheme="minorHAnsi"/>
        </w:rPr>
        <w:t xml:space="preserve"> current </w:t>
      </w:r>
      <w:r w:rsidR="008E0A6C" w:rsidRPr="00381472">
        <w:rPr>
          <w:rFonts w:cstheme="minorHAnsi"/>
        </w:rPr>
        <w:t>smokers</w:t>
      </w:r>
      <w:r w:rsidR="00AE1185" w:rsidRPr="00381472">
        <w:rPr>
          <w:rFonts w:cstheme="minorHAnsi"/>
        </w:rPr>
        <w:t xml:space="preserve">, </w:t>
      </w:r>
      <w:r w:rsidR="007618D4" w:rsidRPr="00381472">
        <w:rPr>
          <w:rFonts w:cstheme="minorHAnsi"/>
        </w:rPr>
        <w:t xml:space="preserve">which </w:t>
      </w:r>
      <w:r w:rsidR="00381472" w:rsidRPr="00381472">
        <w:rPr>
          <w:rFonts w:cstheme="minorHAnsi"/>
        </w:rPr>
        <w:t>corresponds</w:t>
      </w:r>
      <w:r w:rsidR="00AE1185" w:rsidRPr="00381472">
        <w:rPr>
          <w:rFonts w:cstheme="minorHAnsi"/>
        </w:rPr>
        <w:t xml:space="preserve"> to </w:t>
      </w:r>
      <w:r w:rsidR="007461E4" w:rsidRPr="00381472">
        <w:rPr>
          <w:rFonts w:ascii="Calibri" w:eastAsia="Times New Roman" w:hAnsi="Calibri" w:cs="Calibri"/>
          <w:color w:val="000000"/>
          <w:lang w:eastAsia="en-GB"/>
        </w:rPr>
        <w:t xml:space="preserve">228,136 </w:t>
      </w:r>
      <w:r w:rsidR="00AE1185" w:rsidRPr="00381472">
        <w:rPr>
          <w:rFonts w:cstheme="minorHAnsi"/>
        </w:rPr>
        <w:t xml:space="preserve">and </w:t>
      </w:r>
      <w:r w:rsidR="007461E4" w:rsidRPr="00381472">
        <w:rPr>
          <w:rFonts w:ascii="Calibri" w:eastAsia="Times New Roman" w:hAnsi="Calibri" w:cs="Calibri"/>
          <w:color w:val="000000"/>
          <w:lang w:eastAsia="en-GB"/>
        </w:rPr>
        <w:t xml:space="preserve">39,653 </w:t>
      </w:r>
      <w:r w:rsidR="00CB5082" w:rsidRPr="00381472">
        <w:rPr>
          <w:rFonts w:cstheme="minorHAnsi"/>
        </w:rPr>
        <w:t>(13-1</w:t>
      </w:r>
      <w:r w:rsidR="00ED5511" w:rsidRPr="00381472">
        <w:rPr>
          <w:rFonts w:cstheme="minorHAnsi"/>
        </w:rPr>
        <w:t>4</w:t>
      </w:r>
      <w:r w:rsidR="00CB5082" w:rsidRPr="00381472">
        <w:rPr>
          <w:rFonts w:cstheme="minorHAnsi"/>
        </w:rPr>
        <w:t xml:space="preserve"> year olds)</w:t>
      </w:r>
      <w:r w:rsidR="00AE1185" w:rsidRPr="00381472">
        <w:rPr>
          <w:rFonts w:cstheme="minorHAnsi"/>
        </w:rPr>
        <w:t xml:space="preserve"> respectively</w:t>
      </w:r>
      <w:r w:rsidRPr="00381472">
        <w:rPr>
          <w:rFonts w:cstheme="minorHAnsi"/>
        </w:rPr>
        <w:t xml:space="preserve">. </w:t>
      </w:r>
      <w:r w:rsidR="00AE1185" w:rsidRPr="00381472">
        <w:rPr>
          <w:rFonts w:cstheme="minorHAnsi"/>
        </w:rPr>
        <w:t>Ever smoking was more common</w:t>
      </w:r>
      <w:r w:rsidRPr="00381472">
        <w:rPr>
          <w:rFonts w:cstheme="minorHAnsi"/>
        </w:rPr>
        <w:t xml:space="preserve"> if caregivers (26.0% vs. 10.9%) or </w:t>
      </w:r>
      <w:r w:rsidR="00AE1185" w:rsidRPr="00381472">
        <w:rPr>
          <w:rFonts w:cstheme="minorHAnsi"/>
        </w:rPr>
        <w:t xml:space="preserve">friends smoked </w:t>
      </w:r>
      <w:r w:rsidR="00AC5F7D" w:rsidRPr="00381472">
        <w:rPr>
          <w:rFonts w:cstheme="minorHAnsi"/>
        </w:rPr>
        <w:t>(6.0</w:t>
      </w:r>
      <w:r w:rsidR="00AE1185" w:rsidRPr="00381472">
        <w:rPr>
          <w:rFonts w:cstheme="minorHAnsi"/>
        </w:rPr>
        <w:t>%</w:t>
      </w:r>
      <w:r w:rsidR="00EC22D3" w:rsidRPr="00381472">
        <w:rPr>
          <w:rFonts w:cstheme="minorHAnsi"/>
        </w:rPr>
        <w:t xml:space="preserve"> vs. &lt;0.1%</w:t>
      </w:r>
      <w:r w:rsidR="00AE1185" w:rsidRPr="00381472">
        <w:rPr>
          <w:rFonts w:cstheme="minorHAnsi"/>
        </w:rPr>
        <w:t>)</w:t>
      </w:r>
      <w:r w:rsidR="00270557" w:rsidRPr="00381472">
        <w:rPr>
          <w:rFonts w:cstheme="minorHAnsi"/>
        </w:rPr>
        <w:t xml:space="preserve">, </w:t>
      </w:r>
      <w:r w:rsidR="007462BA" w:rsidRPr="00381472">
        <w:rPr>
          <w:rFonts w:cstheme="minorHAnsi"/>
        </w:rPr>
        <w:t>with</w:t>
      </w:r>
      <w:r w:rsidR="00270557" w:rsidRPr="00381472">
        <w:rPr>
          <w:rFonts w:cstheme="minorHAnsi"/>
        </w:rPr>
        <w:t xml:space="preserve"> a dose response </w:t>
      </w:r>
      <w:r w:rsidR="007462BA" w:rsidRPr="00381472">
        <w:rPr>
          <w:rFonts w:cstheme="minorHAnsi"/>
        </w:rPr>
        <w:t>association evident</w:t>
      </w:r>
      <w:r w:rsidR="00DC2E6F" w:rsidRPr="00381472">
        <w:rPr>
          <w:rFonts w:cstheme="minorHAnsi"/>
        </w:rPr>
        <w:t xml:space="preserve"> for friend smoking</w:t>
      </w:r>
      <w:r w:rsidR="00AE1185" w:rsidRPr="00381472">
        <w:rPr>
          <w:rFonts w:cstheme="minorHAnsi"/>
        </w:rPr>
        <w:t xml:space="preserve">. </w:t>
      </w:r>
      <w:r w:rsidR="00692280" w:rsidRPr="00381472">
        <w:rPr>
          <w:rFonts w:cstheme="minorHAnsi"/>
        </w:rPr>
        <w:t>Caregiver</w:t>
      </w:r>
      <w:r w:rsidR="00CB5082" w:rsidRPr="00381472">
        <w:rPr>
          <w:rFonts w:cstheme="minorHAnsi"/>
        </w:rPr>
        <w:t xml:space="preserve"> and peer smoking </w:t>
      </w:r>
      <w:r w:rsidRPr="00381472">
        <w:rPr>
          <w:rFonts w:cstheme="minorHAnsi"/>
        </w:rPr>
        <w:t>remain</w:t>
      </w:r>
      <w:r w:rsidR="00CB5082" w:rsidRPr="00381472">
        <w:rPr>
          <w:rFonts w:cstheme="minorHAnsi"/>
        </w:rPr>
        <w:t xml:space="preserve"> important driver</w:t>
      </w:r>
      <w:r w:rsidR="00EC22D3" w:rsidRPr="00381472">
        <w:rPr>
          <w:rFonts w:cstheme="minorHAnsi"/>
        </w:rPr>
        <w:t>s</w:t>
      </w:r>
      <w:r w:rsidR="00CB5082" w:rsidRPr="00381472">
        <w:rPr>
          <w:rFonts w:cstheme="minorHAnsi"/>
        </w:rPr>
        <w:t xml:space="preserve"> of child </w:t>
      </w:r>
      <w:r w:rsidR="00DC2E6F" w:rsidRPr="00381472">
        <w:rPr>
          <w:rFonts w:cstheme="minorHAnsi"/>
        </w:rPr>
        <w:t>smoking uptake</w:t>
      </w:r>
      <w:r w:rsidR="00CB5082" w:rsidRPr="00381472">
        <w:rPr>
          <w:rFonts w:cstheme="minorHAnsi"/>
        </w:rPr>
        <w:t xml:space="preserve"> </w:t>
      </w:r>
      <w:r w:rsidRPr="00381472">
        <w:rPr>
          <w:rFonts w:cstheme="minorHAnsi"/>
        </w:rPr>
        <w:t>and targeting</w:t>
      </w:r>
      <w:r w:rsidR="00C7092F" w:rsidRPr="00381472">
        <w:rPr>
          <w:rFonts w:cstheme="minorHAnsi"/>
        </w:rPr>
        <w:t xml:space="preserve"> these risk factors </w:t>
      </w:r>
      <w:r w:rsidRPr="00381472">
        <w:rPr>
          <w:rFonts w:cstheme="minorHAnsi"/>
        </w:rPr>
        <w:t>will</w:t>
      </w:r>
      <w:r w:rsidR="00C7092F" w:rsidRPr="00381472">
        <w:rPr>
          <w:rFonts w:cstheme="minorHAnsi"/>
        </w:rPr>
        <w:t xml:space="preserve"> lik</w:t>
      </w:r>
      <w:r w:rsidRPr="00381472">
        <w:rPr>
          <w:rFonts w:cstheme="minorHAnsi"/>
        </w:rPr>
        <w:t xml:space="preserve">ely reduce </w:t>
      </w:r>
      <w:r w:rsidR="00DC2E6F" w:rsidRPr="00381472">
        <w:rPr>
          <w:rFonts w:cstheme="minorHAnsi"/>
        </w:rPr>
        <w:t>child smoking.</w:t>
      </w:r>
      <w:r>
        <w:rPr>
          <w:rFonts w:cstheme="minorHAnsi"/>
        </w:rPr>
        <w:t xml:space="preserve"> </w:t>
      </w:r>
    </w:p>
    <w:p w14:paraId="7E577B17" w14:textId="4BCFD646" w:rsidR="00566ED9" w:rsidRPr="002D47FF" w:rsidRDefault="00566ED9" w:rsidP="002D47FF">
      <w:pPr>
        <w:rPr>
          <w:rFonts w:cstheme="minorHAnsi"/>
          <w:b/>
        </w:rPr>
      </w:pPr>
    </w:p>
    <w:p w14:paraId="7D1A22AE" w14:textId="40CB0325" w:rsidR="00426CD0" w:rsidRPr="004943D2" w:rsidRDefault="00A80375" w:rsidP="00464BB4">
      <w:pPr>
        <w:spacing w:line="360" w:lineRule="auto"/>
        <w:rPr>
          <w:rFonts w:cstheme="minorHAnsi"/>
          <w:b/>
        </w:rPr>
      </w:pPr>
      <w:r w:rsidRPr="004943D2">
        <w:rPr>
          <w:rFonts w:cstheme="minorHAnsi"/>
          <w:b/>
        </w:rPr>
        <w:t>INTRODUCTION</w:t>
      </w:r>
    </w:p>
    <w:p w14:paraId="0D344F9F" w14:textId="39F579C4" w:rsidR="00347FEF" w:rsidRDefault="00882D21" w:rsidP="00644A9F">
      <w:pPr>
        <w:spacing w:line="360" w:lineRule="auto"/>
        <w:rPr>
          <w:rFonts w:cstheme="minorHAnsi"/>
        </w:rPr>
      </w:pPr>
      <w:r w:rsidRPr="004943D2">
        <w:rPr>
          <w:rFonts w:cstheme="minorHAnsi"/>
        </w:rPr>
        <w:t xml:space="preserve">For the majority of smokers, their </w:t>
      </w:r>
      <w:r w:rsidR="00967602" w:rsidRPr="004943D2">
        <w:rPr>
          <w:rFonts w:cstheme="minorHAnsi"/>
        </w:rPr>
        <w:t>habit derives from an addiction starting in childhood</w:t>
      </w:r>
      <w:r w:rsidR="00F455DF" w:rsidRPr="004943D2">
        <w:rPr>
          <w:rFonts w:cstheme="minorHAnsi"/>
        </w:rPr>
        <w:t>, which is the time of most experimentation and uptake of smoking</w:t>
      </w:r>
      <w:r w:rsidR="008D4C24" w:rsidRPr="004943D2">
        <w:rPr>
          <w:rFonts w:cstheme="minorHAnsi"/>
        </w:rPr>
        <w:t xml:space="preserve"> </w:t>
      </w:r>
      <w:r w:rsidR="008D4C24" w:rsidRPr="004943D2">
        <w:rPr>
          <w:rFonts w:cstheme="minorHAnsi"/>
        </w:rPr>
        <w:fldChar w:fldCharType="begin" w:fldLock="1"/>
      </w:r>
      <w:r w:rsidR="00EE6003">
        <w:rPr>
          <w:rFonts w:cstheme="minorHAnsi"/>
        </w:rPr>
        <w:instrText>ADDIN CSL_CITATION { "citationItems" : [ { "id" : "ITEM-1", "itemData" : { "DOI" : "10.1136/thoraxjnl-2013-204379", "ISBN" : "1468-3296 (Electronic) 0040-6376 (Linking)", "ISSN" : "14683296", "PMID" : "24304854", "abstract" : "Smoking is a major public health problem. As smokers age and die prematurely, the tobacco industry must continue to recruit new, young smokers. Survey data indicate that currently in the UK around 207 000 children aged 11-15 start smoking every year. We used local data on adult smoking rates to apportion national data on child smoking uptake to specific areas. The presentation of data for individual local authorities, which now have responsibility for public health, can be used to focus attention locally. For example, this analysis demonstrates that each day, 67 children, more than two classrooms full, start smoking in London.", "author" : [ { "dropping-particle" : "", "family" : "Hopkinson", "given" : "Nicholas S.", "non-dropping-particle" : "", "parse-names" : false, "suffix" : "" }, { "dropping-particle" : "", "family" : "Lester-George", "given" : "Adam", "non-dropping-particle" : "", "parse-names" : false, "suffix" : "" }, { "dropping-particle" : "", "family" : "Ormiston-Smith", "given" : "Nick", "non-dropping-particle" : "", "parse-names" : false, "suffix" : "" }, { "dropping-particle" : "", "family" : "Cox", "given" : "Alison", "non-dropping-particle" : "", "parse-names" : false, "suffix" : "" }, { "dropping-particle" : "", "family" : "Arnott", "given" : "Deborah", "non-dropping-particle" : "", "parse-names" : false, "suffix" : "" } ], "container-title" : "Thorax", "id" : "ITEM-1", "issue" : "9", "issued" : { "date-parts" : [ [ "2014" ] ] }, "page" : "873-875", "title" : "Child uptake of smoking by area across the uk", "type" : "article-journal", "volume" : "69" }, "uris" : [ "http://www.mendeley.com/documents/?uuid=519c302c-c7c1-4a30-a59f-ecc0f11083df" ] } ], "mendeley" : { "formattedCitation" : "[1]", "plainTextFormattedCitation" : "[1]", "previouslyFormattedCitation" : "[1]" }, "properties" : { "noteIndex" : 0 }, "schema" : "https://github.com/citation-style-language/schema/raw/master/csl-citation.json" }</w:instrText>
      </w:r>
      <w:r w:rsidR="008D4C24" w:rsidRPr="004943D2">
        <w:rPr>
          <w:rFonts w:cstheme="minorHAnsi"/>
        </w:rPr>
        <w:fldChar w:fldCharType="separate"/>
      </w:r>
      <w:r w:rsidR="00DB6154" w:rsidRPr="00DB6154">
        <w:rPr>
          <w:rFonts w:cstheme="minorHAnsi"/>
          <w:noProof/>
        </w:rPr>
        <w:t>[1]</w:t>
      </w:r>
      <w:r w:rsidR="008D4C24" w:rsidRPr="004943D2">
        <w:rPr>
          <w:rFonts w:cstheme="minorHAnsi"/>
        </w:rPr>
        <w:fldChar w:fldCharType="end"/>
      </w:r>
      <w:r w:rsidR="00967602" w:rsidRPr="004943D2">
        <w:rPr>
          <w:rFonts w:cstheme="minorHAnsi"/>
        </w:rPr>
        <w:t xml:space="preserve">. </w:t>
      </w:r>
      <w:r w:rsidR="00FB0E07" w:rsidRPr="004943D2">
        <w:rPr>
          <w:rFonts w:cstheme="minorHAnsi"/>
        </w:rPr>
        <w:t>The achievement of a “smoke free generation”</w:t>
      </w:r>
      <w:r w:rsidR="00D37E03">
        <w:rPr>
          <w:rFonts w:cstheme="minorHAnsi"/>
        </w:rPr>
        <w:t xml:space="preserve"> </w:t>
      </w:r>
      <w:r w:rsidR="00D37E03" w:rsidRPr="004943D2">
        <w:rPr>
          <w:rFonts w:cstheme="minorHAnsi"/>
        </w:rPr>
        <w:t>will require substantial efforts</w:t>
      </w:r>
      <w:r w:rsidR="00D37E03">
        <w:rPr>
          <w:rFonts w:cstheme="minorHAnsi"/>
        </w:rPr>
        <w:t xml:space="preserve"> to</w:t>
      </w:r>
      <w:r w:rsidR="00D37E03" w:rsidRPr="004943D2">
        <w:rPr>
          <w:rFonts w:cstheme="minorHAnsi"/>
        </w:rPr>
        <w:t xml:space="preserve"> reduc</w:t>
      </w:r>
      <w:r w:rsidR="00D37E03">
        <w:rPr>
          <w:rFonts w:cstheme="minorHAnsi"/>
        </w:rPr>
        <w:t>e</w:t>
      </w:r>
      <w:r w:rsidR="00D37E03" w:rsidRPr="004943D2">
        <w:rPr>
          <w:rFonts w:cstheme="minorHAnsi"/>
        </w:rPr>
        <w:t xml:space="preserve"> the number of children taking up smoking</w:t>
      </w:r>
      <w:r w:rsidR="00407747">
        <w:rPr>
          <w:rFonts w:cstheme="minorHAnsi"/>
        </w:rPr>
        <w:t xml:space="preserve">, </w:t>
      </w:r>
      <w:r w:rsidR="00D37E03">
        <w:rPr>
          <w:rFonts w:cstheme="minorHAnsi"/>
        </w:rPr>
        <w:t>informed by an understanding of the factors that drive this phenomenon</w:t>
      </w:r>
      <w:r w:rsidR="00A80375" w:rsidRPr="00A80375">
        <w:rPr>
          <w:rFonts w:cstheme="minorHAnsi"/>
        </w:rPr>
        <w:t xml:space="preserve"> </w:t>
      </w:r>
      <w:r w:rsidR="00A80375" w:rsidRPr="004943D2">
        <w:rPr>
          <w:rFonts w:cstheme="minorHAnsi"/>
        </w:rPr>
        <w:fldChar w:fldCharType="begin" w:fldLock="1"/>
      </w:r>
      <w:r w:rsidR="00EE6003">
        <w:rPr>
          <w:rFonts w:cstheme="minorHAnsi"/>
        </w:rPr>
        <w:instrText>ADDIN CSL_CITATION { "citationItems" : [ { "id" : "ITEM-1", "itemData" : { "id" : "ITEM-1", "issued" : { "date-parts" : [ [ "0" ] ] }, "title" : "Department of Health (UK). Towards a Smokefree Generation. A Tobacco Control Plan for England. https://wwwgovuk/government/publications/towards-a-smoke-free-generation-tobacco-control-plan-for-england", "type" : "webpage" }, "uris" : [ "http://www.mendeley.com/documents/?uuid=b04c5f42-7540-401c-bf64-fa994dc4af8f" ] } ], "mendeley" : { "formattedCitation" : "[2]", "plainTextFormattedCitation" : "[2]", "previouslyFormattedCitation" : "[2]" }, "properties" : { "noteIndex" : 0 }, "schema" : "https://github.com/citation-style-language/schema/raw/master/csl-citation.json" }</w:instrText>
      </w:r>
      <w:r w:rsidR="00A80375" w:rsidRPr="004943D2">
        <w:rPr>
          <w:rFonts w:cstheme="minorHAnsi"/>
        </w:rPr>
        <w:fldChar w:fldCharType="separate"/>
      </w:r>
      <w:r w:rsidR="00DB6154" w:rsidRPr="00DB6154">
        <w:rPr>
          <w:rFonts w:cstheme="minorHAnsi"/>
          <w:noProof/>
        </w:rPr>
        <w:t>[2]</w:t>
      </w:r>
      <w:r w:rsidR="00A80375" w:rsidRPr="004943D2">
        <w:rPr>
          <w:rFonts w:cstheme="minorHAnsi"/>
        </w:rPr>
        <w:fldChar w:fldCharType="end"/>
      </w:r>
      <w:r w:rsidR="00A80375">
        <w:rPr>
          <w:rFonts w:cstheme="minorHAnsi"/>
        </w:rPr>
        <w:t xml:space="preserve">. </w:t>
      </w:r>
      <w:r w:rsidR="00797F5D" w:rsidRPr="004943D2">
        <w:rPr>
          <w:rFonts w:cstheme="minorHAnsi"/>
        </w:rPr>
        <w:t>P</w:t>
      </w:r>
      <w:r w:rsidR="00747E95" w:rsidRPr="004943D2">
        <w:rPr>
          <w:rFonts w:cstheme="minorHAnsi"/>
        </w:rPr>
        <w:t xml:space="preserve">revious research has </w:t>
      </w:r>
      <w:r w:rsidR="00AC5F7D">
        <w:rPr>
          <w:rFonts w:cstheme="minorHAnsi"/>
        </w:rPr>
        <w:t>identified</w:t>
      </w:r>
      <w:r w:rsidR="00747E95" w:rsidRPr="004943D2">
        <w:rPr>
          <w:rFonts w:cstheme="minorHAnsi"/>
        </w:rPr>
        <w:t xml:space="preserve"> </w:t>
      </w:r>
      <w:r w:rsidR="00484811">
        <w:rPr>
          <w:rFonts w:cstheme="minorHAnsi"/>
        </w:rPr>
        <w:t>characteristics</w:t>
      </w:r>
      <w:r w:rsidR="00484811" w:rsidRPr="004943D2">
        <w:rPr>
          <w:rFonts w:cstheme="minorHAnsi"/>
        </w:rPr>
        <w:t xml:space="preserve"> </w:t>
      </w:r>
      <w:r w:rsidR="00747E95" w:rsidRPr="004943D2">
        <w:rPr>
          <w:rFonts w:cstheme="minorHAnsi"/>
        </w:rPr>
        <w:t>linked to smo</w:t>
      </w:r>
      <w:r w:rsidR="00280AAC" w:rsidRPr="004943D2">
        <w:rPr>
          <w:rFonts w:cstheme="minorHAnsi"/>
        </w:rPr>
        <w:t>king uptake</w:t>
      </w:r>
      <w:r w:rsidR="00347FEF">
        <w:rPr>
          <w:rFonts w:cstheme="minorHAnsi"/>
        </w:rPr>
        <w:t xml:space="preserve">, which </w:t>
      </w:r>
      <w:r w:rsidR="00280AAC" w:rsidRPr="004943D2">
        <w:rPr>
          <w:rFonts w:cstheme="minorHAnsi"/>
        </w:rPr>
        <w:t xml:space="preserve"> have included both individual level and environmental factors </w:t>
      </w:r>
      <w:r w:rsidR="00797F5D" w:rsidRPr="004943D2">
        <w:rPr>
          <w:rFonts w:cstheme="minorHAnsi"/>
        </w:rPr>
        <w:fldChar w:fldCharType="begin" w:fldLock="1"/>
      </w:r>
      <w:r w:rsidR="0006533C">
        <w:rPr>
          <w:rFonts w:cstheme="minorHAnsi"/>
        </w:rPr>
        <w:instrText>ADDIN CSL_CITATION { "citationItems" : [ { "id" : "ITEM-1", "itemData" : { "URL" : "http://digital.nhs.uk/catalogue/PUB24228", "accessed" : { "date-parts" : [ [ "2018", "3", "29" ] ] }, "id" : "ITEM-1", "issued" : { "date-parts" : [ [ "0" ] ] }, "title" : "NHS Digital. Statistics on Smoking, England - 2017", "type" : "webpage" }, "uris" : [ "http://www.mendeley.com/documents/?uuid=e2137a7c-16eb-4226-adb1-cffe5655e87f", "http://www.mendeley.com/documents/?uuid=927b9641-c5e8-4ca1-bcee-63e3e6171457" ] } ], "mendeley" : { "formattedCitation" : "[3]", "plainTextFormattedCitation" : "[3]", "previouslyFormattedCitation" : "[3]" }, "properties" : { "noteIndex" : 0 }, "schema" : "https://github.com/citation-style-language/schema/raw/master/csl-citation.json" }</w:instrText>
      </w:r>
      <w:r w:rsidR="00797F5D" w:rsidRPr="004943D2">
        <w:rPr>
          <w:rFonts w:cstheme="minorHAnsi"/>
        </w:rPr>
        <w:fldChar w:fldCharType="separate"/>
      </w:r>
      <w:r w:rsidR="00CF75FF" w:rsidRPr="00CF75FF">
        <w:rPr>
          <w:rFonts w:cstheme="minorHAnsi"/>
          <w:noProof/>
        </w:rPr>
        <w:t>[3]</w:t>
      </w:r>
      <w:r w:rsidR="00797F5D" w:rsidRPr="004943D2">
        <w:rPr>
          <w:rFonts w:cstheme="minorHAnsi"/>
        </w:rPr>
        <w:fldChar w:fldCharType="end"/>
      </w:r>
      <w:r w:rsidR="00797F5D" w:rsidRPr="004943D2">
        <w:rPr>
          <w:rFonts w:cstheme="minorHAnsi"/>
        </w:rPr>
        <w:t xml:space="preserve">. </w:t>
      </w:r>
      <w:r w:rsidR="00C60F8F">
        <w:rPr>
          <w:rFonts w:cstheme="minorHAnsi"/>
        </w:rPr>
        <w:t>However,</w:t>
      </w:r>
      <w:r w:rsidR="0096000D">
        <w:rPr>
          <w:rFonts w:cstheme="minorHAnsi"/>
        </w:rPr>
        <w:t xml:space="preserve"> m</w:t>
      </w:r>
      <w:r w:rsidR="00347FEF">
        <w:rPr>
          <w:rFonts w:cstheme="minorHAnsi"/>
        </w:rPr>
        <w:t xml:space="preserve">uch of the research on child smoking in the U.K. has relied on cross-sectional studies </w:t>
      </w:r>
      <w:r w:rsidR="00A80375">
        <w:rPr>
          <w:rFonts w:cstheme="minorHAnsi"/>
        </w:rPr>
        <w:t xml:space="preserve">rather than prospectively collected data on exposures to smoking behaviour in early life. </w:t>
      </w:r>
      <w:r w:rsidR="00347FEF">
        <w:rPr>
          <w:rFonts w:cstheme="minorHAnsi"/>
        </w:rPr>
        <w:t xml:space="preserve"> </w:t>
      </w:r>
      <w:r w:rsidR="00347FEF" w:rsidRPr="00945BFD">
        <w:rPr>
          <w:rFonts w:cstheme="minorHAnsi"/>
        </w:rPr>
        <w:t>T</w:t>
      </w:r>
      <w:r w:rsidR="00A80375">
        <w:rPr>
          <w:rFonts w:cstheme="minorHAnsi"/>
        </w:rPr>
        <w:t xml:space="preserve">o address this </w:t>
      </w:r>
      <w:r w:rsidRPr="00945BFD">
        <w:rPr>
          <w:rFonts w:cstheme="minorHAnsi"/>
        </w:rPr>
        <w:t>we use</w:t>
      </w:r>
      <w:r w:rsidR="00A80375">
        <w:rPr>
          <w:rFonts w:cstheme="minorHAnsi"/>
        </w:rPr>
        <w:t>d</w:t>
      </w:r>
      <w:r w:rsidRPr="00945BFD">
        <w:rPr>
          <w:rFonts w:cstheme="minorHAnsi"/>
        </w:rPr>
        <w:t xml:space="preserve"> </w:t>
      </w:r>
      <w:r w:rsidR="00945BFD">
        <w:rPr>
          <w:rFonts w:cstheme="minorHAnsi"/>
        </w:rPr>
        <w:t xml:space="preserve">the </w:t>
      </w:r>
      <w:r w:rsidR="00945BFD" w:rsidRPr="00945BFD">
        <w:rPr>
          <w:rFonts w:cstheme="minorHAnsi"/>
        </w:rPr>
        <w:t xml:space="preserve">nationally </w:t>
      </w:r>
      <w:r w:rsidRPr="00945BFD">
        <w:rPr>
          <w:rFonts w:cstheme="minorHAnsi"/>
        </w:rPr>
        <w:t>representative</w:t>
      </w:r>
      <w:r w:rsidR="00945BFD" w:rsidRPr="00945BFD">
        <w:rPr>
          <w:rFonts w:cstheme="minorHAnsi"/>
        </w:rPr>
        <w:t xml:space="preserve"> </w:t>
      </w:r>
      <w:r w:rsidR="00945BFD" w:rsidRPr="004943D2">
        <w:rPr>
          <w:rFonts w:cstheme="minorHAnsi"/>
        </w:rPr>
        <w:t xml:space="preserve">Millennium Cohort Study (MCS), </w:t>
      </w:r>
      <w:r w:rsidR="00945BFD" w:rsidRPr="00945BFD">
        <w:rPr>
          <w:rFonts w:cstheme="minorHAnsi"/>
        </w:rPr>
        <w:t xml:space="preserve">to: (1) estimate the number of ever </w:t>
      </w:r>
      <w:r w:rsidR="00407747">
        <w:rPr>
          <w:rFonts w:cstheme="minorHAnsi"/>
        </w:rPr>
        <w:t>and current smokers among early-</w:t>
      </w:r>
      <w:r w:rsidR="00945BFD" w:rsidRPr="00945BFD">
        <w:rPr>
          <w:rFonts w:cstheme="minorHAnsi"/>
        </w:rPr>
        <w:t>teens</w:t>
      </w:r>
      <w:r w:rsidR="00484811">
        <w:rPr>
          <w:rFonts w:cstheme="minorHAnsi"/>
        </w:rPr>
        <w:t xml:space="preserve"> in the UK, and</w:t>
      </w:r>
      <w:r w:rsidR="00945BFD" w:rsidRPr="00945BFD">
        <w:rPr>
          <w:rFonts w:cstheme="minorHAnsi"/>
        </w:rPr>
        <w:t xml:space="preserve"> (2) assess risk factor</w:t>
      </w:r>
      <w:r w:rsidR="00EB1839">
        <w:rPr>
          <w:rFonts w:cstheme="minorHAnsi"/>
        </w:rPr>
        <w:t xml:space="preserve">s for early-teens being an ever, </w:t>
      </w:r>
      <w:r w:rsidR="00945BFD" w:rsidRPr="00945BFD">
        <w:rPr>
          <w:rFonts w:cstheme="minorHAnsi"/>
        </w:rPr>
        <w:t>current</w:t>
      </w:r>
      <w:r w:rsidR="00EB1839">
        <w:rPr>
          <w:rFonts w:cstheme="minorHAnsi"/>
        </w:rPr>
        <w:t xml:space="preserve"> or continuing</w:t>
      </w:r>
      <w:r w:rsidR="00945BFD" w:rsidRPr="00945BFD">
        <w:rPr>
          <w:rFonts w:cstheme="minorHAnsi"/>
        </w:rPr>
        <w:t xml:space="preserve"> </w:t>
      </w:r>
      <w:r w:rsidR="00C027E2">
        <w:rPr>
          <w:rFonts w:cstheme="minorHAnsi"/>
        </w:rPr>
        <w:t xml:space="preserve">current </w:t>
      </w:r>
      <w:r w:rsidR="00945BFD" w:rsidRPr="00945BFD">
        <w:rPr>
          <w:rFonts w:cstheme="minorHAnsi"/>
        </w:rPr>
        <w:t>smoker, including maternal smoking in pregnancy</w:t>
      </w:r>
      <w:r w:rsidR="008E4C72">
        <w:rPr>
          <w:rFonts w:cstheme="minorHAnsi"/>
        </w:rPr>
        <w:t xml:space="preserve">, </w:t>
      </w:r>
      <w:r w:rsidR="00945BFD" w:rsidRPr="00945BFD">
        <w:rPr>
          <w:rFonts w:cstheme="minorHAnsi"/>
        </w:rPr>
        <w:t xml:space="preserve">and exposure to caregiver and </w:t>
      </w:r>
      <w:r w:rsidR="00A80375">
        <w:rPr>
          <w:rFonts w:cstheme="minorHAnsi"/>
        </w:rPr>
        <w:t>peer</w:t>
      </w:r>
      <w:r w:rsidR="00A80375" w:rsidRPr="00945BFD">
        <w:rPr>
          <w:rFonts w:cstheme="minorHAnsi"/>
        </w:rPr>
        <w:t xml:space="preserve"> </w:t>
      </w:r>
      <w:r w:rsidR="00945BFD" w:rsidRPr="00945BFD">
        <w:rPr>
          <w:rFonts w:cstheme="minorHAnsi"/>
        </w:rPr>
        <w:t xml:space="preserve">smoking. </w:t>
      </w:r>
    </w:p>
    <w:p w14:paraId="44565033" w14:textId="77777777" w:rsidR="00FF55A6" w:rsidRPr="00945BFD" w:rsidRDefault="00FF55A6" w:rsidP="00644A9F">
      <w:pPr>
        <w:spacing w:line="360" w:lineRule="auto"/>
        <w:rPr>
          <w:rFonts w:cstheme="minorHAnsi"/>
        </w:rPr>
      </w:pPr>
    </w:p>
    <w:p w14:paraId="1CCD022A" w14:textId="7572D0E5" w:rsidR="00426CD0" w:rsidRPr="00A80375" w:rsidRDefault="00A80375" w:rsidP="00464BB4">
      <w:pPr>
        <w:spacing w:line="360" w:lineRule="auto"/>
        <w:rPr>
          <w:rFonts w:cstheme="minorHAnsi"/>
          <w:b/>
        </w:rPr>
      </w:pPr>
      <w:r w:rsidRPr="00955F33">
        <w:rPr>
          <w:rFonts w:cstheme="minorHAnsi"/>
          <w:b/>
        </w:rPr>
        <w:t>METHODS</w:t>
      </w:r>
    </w:p>
    <w:p w14:paraId="2C875679" w14:textId="60E6D16D" w:rsidR="00C45CBF" w:rsidRDefault="00F27528" w:rsidP="00C45CBF">
      <w:pPr>
        <w:spacing w:line="360" w:lineRule="auto"/>
        <w:rPr>
          <w:rFonts w:cstheme="minorHAnsi"/>
        </w:rPr>
      </w:pPr>
      <w:r w:rsidRPr="004943D2">
        <w:rPr>
          <w:rFonts w:cstheme="minorHAnsi"/>
        </w:rPr>
        <w:t>Data come from t</w:t>
      </w:r>
      <w:r w:rsidR="00945BFD">
        <w:rPr>
          <w:rFonts w:cstheme="minorHAnsi"/>
        </w:rPr>
        <w:t>he MCS</w:t>
      </w:r>
      <w:r w:rsidRPr="004943D2">
        <w:rPr>
          <w:rFonts w:cstheme="minorHAnsi"/>
        </w:rPr>
        <w:t>, which is a birth cohort study</w:t>
      </w:r>
      <w:r w:rsidR="00FD4FE8">
        <w:rPr>
          <w:rFonts w:cstheme="minorHAnsi"/>
        </w:rPr>
        <w:t xml:space="preserve"> in the </w:t>
      </w:r>
      <w:r w:rsidR="00146241" w:rsidRPr="004943D2">
        <w:rPr>
          <w:rFonts w:cstheme="minorHAnsi"/>
        </w:rPr>
        <w:t>UK</w:t>
      </w:r>
      <w:r w:rsidRPr="004943D2">
        <w:rPr>
          <w:rFonts w:cstheme="minorHAnsi"/>
        </w:rPr>
        <w:t xml:space="preserve"> of children born between September 2000 and January 2002, and </w:t>
      </w:r>
      <w:r w:rsidR="00A80375">
        <w:rPr>
          <w:rFonts w:cstheme="minorHAnsi"/>
        </w:rPr>
        <w:t>alive</w:t>
      </w:r>
      <w:r w:rsidR="00A80375" w:rsidRPr="004943D2">
        <w:rPr>
          <w:rFonts w:cstheme="minorHAnsi"/>
        </w:rPr>
        <w:t xml:space="preserve"> </w:t>
      </w:r>
      <w:r w:rsidRPr="004943D2">
        <w:rPr>
          <w:rFonts w:cstheme="minorHAnsi"/>
        </w:rPr>
        <w:t xml:space="preserve">at 9 months </w:t>
      </w:r>
      <w:r w:rsidR="00464BB4" w:rsidRPr="004943D2">
        <w:rPr>
          <w:rFonts w:cstheme="minorHAnsi"/>
        </w:rPr>
        <w:fldChar w:fldCharType="begin" w:fldLock="1"/>
      </w:r>
      <w:r w:rsidR="0006533C">
        <w:rPr>
          <w:rFonts w:cstheme="minorHAnsi"/>
        </w:rPr>
        <w:instrText>ADDIN CSL_CITATION { "citationItems" : [ { "id" : "ITEM-1", "itemData" : { "DOI" : "10.1093/ije/dyu001", "ISBN" : "0300-5771", "ISSN" : "14643685", "PMID" : "24550246", "abstract" : "The UK Millennium Cohort Study (MCS) is an observational, multidisciplinary cohort study that was set up to follow the lives of children born at the turn of the new century. The MCS is nationally representative and 18 552 families (18 827 children) were recruited to the cohort in the first sweep. There have currently been five main sweeps of data collection, at ages 9 months and 3, 5, 7 and 11 years. A further sweep of data collection is planned for age 14 years. A range of health-related data have been collected as well as measures concerning child development, cognitive ability and educational attainment. The data also include a wealth of information describing the social, economic and demographic characteristics of the cohort members and their families. In addition, the MCS data have been linked to administrative data resources including health records. The MCS provides a unique and valuable resource for the analysis of health outcomes and health inequalities. The MCS data are freely available to bona fide researchers under standard access conditions via the UK Data Service (http://ukdataservice.ac.uk) and the MCS website provides detailed information on the study (http://www.cls.ioe.ac.uk/mcs).", "author" : [ { "dropping-particle" : "", "family" : "Connelly", "given" : "Roxanne", "non-dropping-particle" : "", "parse-names" : false, "suffix" : "" }, { "dropping-particle" : "", "family" : "Platt", "given" : "Lucinda", "non-dropping-particle" : "", "parse-names" : false, "suffix" : "" } ], "container-title" : "International Journal of Epidemiology", "id" : "ITEM-1", "issue" : "6", "issued" : { "date-parts" : [ [ "2014" ] ] }, "page" : "1719-1725", "title" : "Cohort profile: UK Millennium Cohort Study (mcs)", "type" : "article-journal", "volume" : "43" }, "uris" : [ "http://www.mendeley.com/documents/?uuid=6b0039dd-8e48-4f29-b573-9a17b3f06ff7" ] } ], "mendeley" : { "formattedCitation" : "[4]", "plainTextFormattedCitation" : "[4]", "previouslyFormattedCitation" : "[4]" }, "properties" : { "noteIndex" : 0 }, "schema" : "https://github.com/citation-style-language/schema/raw/master/csl-citation.json" }</w:instrText>
      </w:r>
      <w:r w:rsidR="00464BB4" w:rsidRPr="004943D2">
        <w:rPr>
          <w:rFonts w:cstheme="minorHAnsi"/>
        </w:rPr>
        <w:fldChar w:fldCharType="separate"/>
      </w:r>
      <w:r w:rsidR="00CF75FF" w:rsidRPr="00CF75FF">
        <w:rPr>
          <w:rFonts w:cstheme="minorHAnsi"/>
          <w:noProof/>
        </w:rPr>
        <w:t>[4]</w:t>
      </w:r>
      <w:r w:rsidR="00464BB4" w:rsidRPr="004943D2">
        <w:rPr>
          <w:rFonts w:cstheme="minorHAnsi"/>
        </w:rPr>
        <w:fldChar w:fldCharType="end"/>
      </w:r>
      <w:r w:rsidRPr="004943D2">
        <w:rPr>
          <w:rFonts w:cstheme="minorHAnsi"/>
        </w:rPr>
        <w:t>.</w:t>
      </w:r>
      <w:r w:rsidR="00C00E8B">
        <w:rPr>
          <w:rFonts w:cstheme="minorHAnsi"/>
        </w:rPr>
        <w:t xml:space="preserve"> </w:t>
      </w:r>
      <w:r w:rsidR="00484811">
        <w:rPr>
          <w:rFonts w:cstheme="minorHAnsi"/>
        </w:rPr>
        <w:t>We use d</w:t>
      </w:r>
      <w:r w:rsidR="00484811" w:rsidRPr="004943D2">
        <w:rPr>
          <w:rFonts w:cstheme="minorHAnsi"/>
        </w:rPr>
        <w:t xml:space="preserve">ata </w:t>
      </w:r>
      <w:r w:rsidR="00484811">
        <w:rPr>
          <w:rFonts w:cstheme="minorHAnsi"/>
        </w:rPr>
        <w:t xml:space="preserve">from </w:t>
      </w:r>
      <w:r w:rsidR="00A80375">
        <w:rPr>
          <w:rFonts w:cstheme="minorHAnsi"/>
        </w:rPr>
        <w:t xml:space="preserve">the </w:t>
      </w:r>
      <w:r w:rsidR="00C45CBF">
        <w:rPr>
          <w:rFonts w:cstheme="minorHAnsi"/>
        </w:rPr>
        <w:t>wave</w:t>
      </w:r>
      <w:r w:rsidR="00594CE7">
        <w:rPr>
          <w:rFonts w:cstheme="minorHAnsi"/>
        </w:rPr>
        <w:t xml:space="preserve"> six </w:t>
      </w:r>
      <w:r w:rsidR="008E6A3B" w:rsidRPr="004943D2">
        <w:rPr>
          <w:rFonts w:cstheme="minorHAnsi"/>
        </w:rPr>
        <w:t xml:space="preserve">when children were </w:t>
      </w:r>
      <w:r w:rsidR="00501944" w:rsidRPr="004943D2">
        <w:rPr>
          <w:rFonts w:cstheme="minorHAnsi"/>
        </w:rPr>
        <w:t xml:space="preserve">aged </w:t>
      </w:r>
      <w:r w:rsidR="008E6A3B" w:rsidRPr="004943D2">
        <w:rPr>
          <w:rFonts w:cstheme="minorHAnsi"/>
        </w:rPr>
        <w:t>approximately 14 years old</w:t>
      </w:r>
      <w:r w:rsidR="0093169E">
        <w:rPr>
          <w:rFonts w:cstheme="minorHAnsi"/>
        </w:rPr>
        <w:t xml:space="preserve">, </w:t>
      </w:r>
      <w:r w:rsidR="0093169E" w:rsidRPr="004943D2">
        <w:rPr>
          <w:rFonts w:cstheme="minorHAnsi"/>
        </w:rPr>
        <w:t xml:space="preserve">referred to here as </w:t>
      </w:r>
      <w:r w:rsidR="0093169E">
        <w:rPr>
          <w:rFonts w:cstheme="minorHAnsi"/>
        </w:rPr>
        <w:t>“</w:t>
      </w:r>
      <w:r w:rsidR="0093169E" w:rsidRPr="004943D2">
        <w:rPr>
          <w:rFonts w:cstheme="minorHAnsi"/>
        </w:rPr>
        <w:t>early-teen</w:t>
      </w:r>
      <w:r w:rsidR="00EC22D3">
        <w:rPr>
          <w:rFonts w:cstheme="minorHAnsi"/>
        </w:rPr>
        <w:t>s</w:t>
      </w:r>
      <w:r w:rsidR="0093169E">
        <w:rPr>
          <w:rFonts w:cstheme="minorHAnsi"/>
        </w:rPr>
        <w:t xml:space="preserve">”. </w:t>
      </w:r>
      <w:r w:rsidR="00EC22D3" w:rsidRPr="004943D2">
        <w:rPr>
          <w:rFonts w:cstheme="minorHAnsi"/>
        </w:rPr>
        <w:t xml:space="preserve">11,872 early teens took part </w:t>
      </w:r>
      <w:r w:rsidR="00980BFB">
        <w:rPr>
          <w:rFonts w:cstheme="minorHAnsi"/>
        </w:rPr>
        <w:t>and a</w:t>
      </w:r>
      <w:r w:rsidR="00EC22D3" w:rsidRPr="004943D2">
        <w:rPr>
          <w:rFonts w:cstheme="minorHAnsi"/>
        </w:rPr>
        <w:t>fter exclud</w:t>
      </w:r>
      <w:r w:rsidR="00EC22D3">
        <w:rPr>
          <w:rFonts w:cstheme="minorHAnsi"/>
        </w:rPr>
        <w:t>ing</w:t>
      </w:r>
      <w:r w:rsidR="00EC22D3" w:rsidRPr="004943D2">
        <w:rPr>
          <w:rFonts w:cstheme="minorHAnsi"/>
        </w:rPr>
        <w:t xml:space="preserve"> individuals with missing data we had an analytic sample of 11,577</w:t>
      </w:r>
      <w:r w:rsidR="00980BFB">
        <w:rPr>
          <w:rFonts w:cstheme="minorHAnsi"/>
        </w:rPr>
        <w:t>.</w:t>
      </w:r>
      <w:r w:rsidR="00EC22D3">
        <w:rPr>
          <w:rFonts w:cstheme="minorHAnsi"/>
        </w:rPr>
        <w:t xml:space="preserve"> </w:t>
      </w:r>
    </w:p>
    <w:p w14:paraId="4E410C24" w14:textId="77777777" w:rsidR="005E14F6" w:rsidRDefault="005E14F6" w:rsidP="00C45CBF">
      <w:pPr>
        <w:spacing w:line="360" w:lineRule="auto"/>
        <w:rPr>
          <w:rFonts w:cstheme="minorHAnsi"/>
        </w:rPr>
      </w:pPr>
    </w:p>
    <w:p w14:paraId="3522482F" w14:textId="3999FF6F" w:rsidR="001F59AC" w:rsidRDefault="00566ED9" w:rsidP="00E8113C">
      <w:pPr>
        <w:autoSpaceDE w:val="0"/>
        <w:autoSpaceDN w:val="0"/>
        <w:adjustRightInd w:val="0"/>
        <w:spacing w:after="0" w:line="360" w:lineRule="auto"/>
        <w:rPr>
          <w:rFonts w:cstheme="minorHAnsi"/>
        </w:rPr>
      </w:pPr>
      <w:r w:rsidRPr="00D008BF">
        <w:rPr>
          <w:rFonts w:cstheme="minorHAnsi"/>
        </w:rPr>
        <w:t>The outcome</w:t>
      </w:r>
      <w:r w:rsidR="00505858" w:rsidRPr="00D008BF">
        <w:rPr>
          <w:rFonts w:cstheme="minorHAnsi"/>
        </w:rPr>
        <w:t xml:space="preserve"> in this study was </w:t>
      </w:r>
      <w:r w:rsidR="00990BA4" w:rsidRPr="00D008BF">
        <w:rPr>
          <w:rFonts w:cstheme="minorHAnsi"/>
        </w:rPr>
        <w:t>early-teen</w:t>
      </w:r>
      <w:r w:rsidR="00DC5119" w:rsidRPr="00D008BF">
        <w:rPr>
          <w:rFonts w:cstheme="minorHAnsi"/>
        </w:rPr>
        <w:t xml:space="preserve"> </w:t>
      </w:r>
      <w:r w:rsidR="00505858" w:rsidRPr="00D008BF">
        <w:rPr>
          <w:rFonts w:cstheme="minorHAnsi"/>
        </w:rPr>
        <w:t>smoking</w:t>
      </w:r>
      <w:r w:rsidR="00DB6154">
        <w:rPr>
          <w:rFonts w:cstheme="minorHAnsi"/>
        </w:rPr>
        <w:t xml:space="preserve">, </w:t>
      </w:r>
      <w:r w:rsidR="001F59AC">
        <w:rPr>
          <w:rFonts w:cstheme="minorHAnsi"/>
        </w:rPr>
        <w:t xml:space="preserve">classified as ever smoking, current smoking, and continuing to smoke among ever users. We also </w:t>
      </w:r>
      <w:r w:rsidR="00EC22D3">
        <w:rPr>
          <w:rFonts w:cstheme="minorHAnsi"/>
        </w:rPr>
        <w:t>used</w:t>
      </w:r>
      <w:r w:rsidR="009C301F" w:rsidRPr="004943D2">
        <w:rPr>
          <w:rFonts w:cstheme="minorHAnsi"/>
        </w:rPr>
        <w:t xml:space="preserve"> </w:t>
      </w:r>
      <w:r w:rsidR="00DC5119" w:rsidRPr="004943D2">
        <w:rPr>
          <w:rFonts w:cstheme="minorHAnsi"/>
        </w:rPr>
        <w:t xml:space="preserve">potentially relevant socio-demographic data: </w:t>
      </w:r>
      <w:r w:rsidR="009C301F" w:rsidRPr="004943D2">
        <w:rPr>
          <w:rFonts w:cstheme="minorHAnsi"/>
        </w:rPr>
        <w:t>age, sex, country equivalised household income</w:t>
      </w:r>
      <w:r w:rsidR="001F59AC">
        <w:rPr>
          <w:rFonts w:cstheme="minorHAnsi"/>
        </w:rPr>
        <w:t xml:space="preserve">, ethnicity, </w:t>
      </w:r>
      <w:r w:rsidR="009C301F" w:rsidRPr="004943D2">
        <w:rPr>
          <w:rFonts w:cstheme="minorHAnsi"/>
        </w:rPr>
        <w:t xml:space="preserve">caregiver </w:t>
      </w:r>
      <w:r w:rsidR="00D008BF">
        <w:rPr>
          <w:rFonts w:cstheme="minorHAnsi"/>
        </w:rPr>
        <w:t xml:space="preserve">current </w:t>
      </w:r>
      <w:r w:rsidR="009C301F" w:rsidRPr="004943D2">
        <w:rPr>
          <w:rFonts w:cstheme="minorHAnsi"/>
        </w:rPr>
        <w:t>smoking</w:t>
      </w:r>
      <w:r w:rsidR="001F59AC">
        <w:rPr>
          <w:rFonts w:cstheme="minorHAnsi"/>
        </w:rPr>
        <w:t xml:space="preserve"> and friend </w:t>
      </w:r>
      <w:r w:rsidR="001F59AC">
        <w:rPr>
          <w:rFonts w:cstheme="minorHAnsi"/>
        </w:rPr>
        <w:lastRenderedPageBreak/>
        <w:t>smoking</w:t>
      </w:r>
      <w:r w:rsidR="009C301F" w:rsidRPr="004943D2">
        <w:rPr>
          <w:rFonts w:cstheme="minorHAnsi"/>
        </w:rPr>
        <w:t xml:space="preserve">. </w:t>
      </w:r>
      <w:r w:rsidR="00C00E8B">
        <w:rPr>
          <w:rFonts w:cstheme="minorHAnsi"/>
        </w:rPr>
        <w:t xml:space="preserve">We used </w:t>
      </w:r>
      <w:r w:rsidR="00E8113C" w:rsidRPr="00C66F26">
        <w:rPr>
          <w:rFonts w:cstheme="minorHAnsi"/>
        </w:rPr>
        <w:t>two measures of early-life exposure to smoking</w:t>
      </w:r>
      <w:r w:rsidR="001F59AC">
        <w:rPr>
          <w:rFonts w:cstheme="minorHAnsi"/>
        </w:rPr>
        <w:t xml:space="preserve">: </w:t>
      </w:r>
      <w:r w:rsidR="00594CE7">
        <w:rPr>
          <w:rFonts w:cstheme="minorHAnsi"/>
        </w:rPr>
        <w:t>e</w:t>
      </w:r>
      <w:r w:rsidR="001F59AC" w:rsidRPr="00C66F26">
        <w:rPr>
          <w:rFonts w:cstheme="minorHAnsi"/>
        </w:rPr>
        <w:t>xposure to smoking in the same room</w:t>
      </w:r>
      <w:r w:rsidR="001F59AC">
        <w:rPr>
          <w:rFonts w:cstheme="minorHAnsi"/>
        </w:rPr>
        <w:t xml:space="preserve"> and maternal smoking during pregnancy. </w:t>
      </w:r>
      <w:r w:rsidR="00C00E8B">
        <w:rPr>
          <w:rFonts w:cstheme="minorHAnsi"/>
        </w:rPr>
        <w:t xml:space="preserve">We produce estimates of national and regional numbers of smoking using data on population from the </w:t>
      </w:r>
      <w:r w:rsidR="00C00E8B" w:rsidRPr="004943D2">
        <w:rPr>
          <w:rFonts w:cstheme="minorHAnsi"/>
        </w:rPr>
        <w:t>Office for National Statistics</w:t>
      </w:r>
      <w:r w:rsidR="00C00E8B">
        <w:rPr>
          <w:rFonts w:cstheme="minorHAnsi"/>
        </w:rPr>
        <w:t xml:space="preserve"> (ONS).</w:t>
      </w:r>
    </w:p>
    <w:p w14:paraId="600F4D20" w14:textId="77777777" w:rsidR="0027312E" w:rsidRDefault="0027312E" w:rsidP="00E8113C">
      <w:pPr>
        <w:autoSpaceDE w:val="0"/>
        <w:autoSpaceDN w:val="0"/>
        <w:adjustRightInd w:val="0"/>
        <w:spacing w:after="0" w:line="360" w:lineRule="auto"/>
        <w:rPr>
          <w:rFonts w:cstheme="minorHAnsi"/>
        </w:rPr>
      </w:pPr>
    </w:p>
    <w:p w14:paraId="18BDEE6C" w14:textId="56C1B37B" w:rsidR="00C66F26" w:rsidRPr="0027312E" w:rsidRDefault="0027312E" w:rsidP="00E8113C">
      <w:pPr>
        <w:autoSpaceDE w:val="0"/>
        <w:autoSpaceDN w:val="0"/>
        <w:adjustRightInd w:val="0"/>
        <w:spacing w:after="0" w:line="360" w:lineRule="auto"/>
        <w:rPr>
          <w:rFonts w:cstheme="minorHAnsi"/>
          <w:b/>
        </w:rPr>
      </w:pPr>
      <w:r>
        <w:rPr>
          <w:rFonts w:cstheme="minorHAnsi"/>
        </w:rPr>
        <w:t xml:space="preserve">Further methodological details are outlined in the </w:t>
      </w:r>
      <w:r>
        <w:rPr>
          <w:rFonts w:cstheme="minorHAnsi"/>
          <w:b/>
        </w:rPr>
        <w:t xml:space="preserve">Appendix </w:t>
      </w:r>
    </w:p>
    <w:p w14:paraId="7B453845" w14:textId="77777777" w:rsidR="00A8382B" w:rsidRDefault="00A8382B" w:rsidP="00464BB4">
      <w:pPr>
        <w:spacing w:line="360" w:lineRule="auto"/>
        <w:rPr>
          <w:rFonts w:cstheme="minorHAnsi"/>
        </w:rPr>
      </w:pPr>
    </w:p>
    <w:p w14:paraId="0BBDAD05" w14:textId="77777777" w:rsidR="009C301F" w:rsidRPr="004943D2" w:rsidRDefault="009C301F" w:rsidP="00566ED9">
      <w:pPr>
        <w:autoSpaceDE w:val="0"/>
        <w:autoSpaceDN w:val="0"/>
        <w:adjustRightInd w:val="0"/>
        <w:spacing w:after="0" w:line="240" w:lineRule="auto"/>
        <w:rPr>
          <w:rFonts w:cstheme="minorHAnsi"/>
          <w:b/>
        </w:rPr>
      </w:pPr>
    </w:p>
    <w:p w14:paraId="06A359A2" w14:textId="19EBEDB4" w:rsidR="00426CD0" w:rsidRPr="004943D2" w:rsidRDefault="00E3564D" w:rsidP="00C750CE">
      <w:pPr>
        <w:spacing w:line="360" w:lineRule="auto"/>
        <w:rPr>
          <w:rFonts w:cstheme="minorHAnsi"/>
          <w:b/>
        </w:rPr>
      </w:pPr>
      <w:r w:rsidRPr="004943D2">
        <w:rPr>
          <w:rFonts w:cstheme="minorHAnsi"/>
          <w:b/>
        </w:rPr>
        <w:t>RESULTS</w:t>
      </w:r>
      <w:r>
        <w:rPr>
          <w:rFonts w:cstheme="minorHAnsi"/>
          <w:b/>
        </w:rPr>
        <w:t xml:space="preserve"> </w:t>
      </w:r>
    </w:p>
    <w:p w14:paraId="56D9685C" w14:textId="4D174AAA" w:rsidR="00FF53DF" w:rsidRPr="00FF53DF" w:rsidRDefault="00FF53DF" w:rsidP="00C750CE">
      <w:pPr>
        <w:spacing w:line="360" w:lineRule="auto"/>
        <w:rPr>
          <w:rFonts w:cstheme="minorHAnsi"/>
          <w:b/>
        </w:rPr>
      </w:pPr>
      <w:r>
        <w:rPr>
          <w:rFonts w:cstheme="minorHAnsi"/>
        </w:rPr>
        <w:t xml:space="preserve">A description of the sample can be found in </w:t>
      </w:r>
      <w:r>
        <w:rPr>
          <w:rFonts w:cstheme="minorHAnsi"/>
          <w:b/>
        </w:rPr>
        <w:t xml:space="preserve">Appendix Table 1. </w:t>
      </w:r>
    </w:p>
    <w:p w14:paraId="0FC0D8DB" w14:textId="5436DC70" w:rsidR="005E14F6" w:rsidRDefault="006D2AA5" w:rsidP="001A3168">
      <w:pPr>
        <w:spacing w:line="360" w:lineRule="auto"/>
        <w:rPr>
          <w:rFonts w:cstheme="minorHAnsi"/>
        </w:rPr>
      </w:pPr>
      <w:r>
        <w:rPr>
          <w:rFonts w:cstheme="minorHAnsi"/>
        </w:rPr>
        <w:t xml:space="preserve">After </w:t>
      </w:r>
      <w:r w:rsidR="00860F35">
        <w:rPr>
          <w:rFonts w:cstheme="minorHAnsi"/>
        </w:rPr>
        <w:t>adjustment for</w:t>
      </w:r>
      <w:r>
        <w:rPr>
          <w:rFonts w:cstheme="minorHAnsi"/>
        </w:rPr>
        <w:t xml:space="preserve"> survey </w:t>
      </w:r>
      <w:r w:rsidR="00860F35">
        <w:rPr>
          <w:rFonts w:cstheme="minorHAnsi"/>
        </w:rPr>
        <w:t xml:space="preserve">weighting </w:t>
      </w:r>
      <w:r w:rsidRPr="006D2AA5">
        <w:rPr>
          <w:rFonts w:cstheme="minorHAnsi"/>
        </w:rPr>
        <w:t>16.0</w:t>
      </w:r>
      <w:r w:rsidR="007B6441">
        <w:rPr>
          <w:rFonts w:cstheme="minorHAnsi"/>
        </w:rPr>
        <w:t>%</w:t>
      </w:r>
      <w:r w:rsidRPr="006D2AA5">
        <w:rPr>
          <w:rFonts w:cstheme="minorHAnsi"/>
        </w:rPr>
        <w:t xml:space="preserve"> (</w:t>
      </w:r>
      <w:r>
        <w:rPr>
          <w:rFonts w:cstheme="minorHAnsi"/>
        </w:rPr>
        <w:t xml:space="preserve">95% Confidence Interval </w:t>
      </w:r>
      <w:r w:rsidR="00594CE7" w:rsidRPr="006D2AA5">
        <w:rPr>
          <w:rFonts w:cstheme="minorHAnsi"/>
        </w:rPr>
        <w:t>14.7;</w:t>
      </w:r>
      <w:r w:rsidRPr="006D2AA5">
        <w:rPr>
          <w:rFonts w:cstheme="minorHAnsi"/>
        </w:rPr>
        <w:t xml:space="preserve"> 17.3)</w:t>
      </w:r>
      <w:r w:rsidR="001A3168" w:rsidRPr="005E2277">
        <w:rPr>
          <w:rFonts w:cstheme="minorHAnsi"/>
        </w:rPr>
        <w:t xml:space="preserve"> of </w:t>
      </w:r>
      <w:r>
        <w:rPr>
          <w:rFonts w:cstheme="minorHAnsi"/>
        </w:rPr>
        <w:t>13 and 14 year olds</w:t>
      </w:r>
      <w:r w:rsidR="00FD4FE8">
        <w:rPr>
          <w:rFonts w:cstheme="minorHAnsi"/>
        </w:rPr>
        <w:t xml:space="preserve"> in the U</w:t>
      </w:r>
      <w:r w:rsidR="001A3168" w:rsidRPr="005E2277">
        <w:rPr>
          <w:rFonts w:cstheme="minorHAnsi"/>
        </w:rPr>
        <w:t xml:space="preserve">K </w:t>
      </w:r>
      <w:r>
        <w:rPr>
          <w:rFonts w:cstheme="minorHAnsi"/>
        </w:rPr>
        <w:t>were ever smokers</w:t>
      </w:r>
      <w:r w:rsidR="001A3168" w:rsidRPr="005E2277">
        <w:rPr>
          <w:rFonts w:cstheme="minorHAnsi"/>
        </w:rPr>
        <w:t xml:space="preserve"> by the time they were early-teens </w:t>
      </w:r>
      <w:r w:rsidR="00A5338B">
        <w:rPr>
          <w:rFonts w:cstheme="minorHAnsi"/>
          <w:b/>
        </w:rPr>
        <w:t>(Table 1</w:t>
      </w:r>
      <w:r w:rsidR="001A3168" w:rsidRPr="005E2277">
        <w:rPr>
          <w:rFonts w:cstheme="minorHAnsi"/>
          <w:b/>
        </w:rPr>
        <w:t>)</w:t>
      </w:r>
      <w:r w:rsidR="001A3168" w:rsidRPr="005E2277">
        <w:rPr>
          <w:rFonts w:cstheme="minorHAnsi"/>
        </w:rPr>
        <w:t xml:space="preserve">. Applying these estimates to national population data </w:t>
      </w:r>
      <w:r w:rsidR="004B0755">
        <w:rPr>
          <w:rFonts w:cstheme="minorHAnsi"/>
        </w:rPr>
        <w:t>suggests</w:t>
      </w:r>
      <w:r w:rsidR="004B0755" w:rsidRPr="005E2277">
        <w:rPr>
          <w:rFonts w:cstheme="minorHAnsi"/>
        </w:rPr>
        <w:t xml:space="preserve"> </w:t>
      </w:r>
      <w:r w:rsidR="001A3168" w:rsidRPr="005E2277">
        <w:rPr>
          <w:rFonts w:cstheme="minorHAnsi"/>
        </w:rPr>
        <w:t xml:space="preserve">that </w:t>
      </w:r>
      <w:r w:rsidRPr="00D10E6E">
        <w:rPr>
          <w:rFonts w:ascii="Calibri" w:eastAsia="Times New Roman" w:hAnsi="Calibri" w:cs="Calibri"/>
          <w:color w:val="000000"/>
          <w:lang w:eastAsia="en-GB"/>
        </w:rPr>
        <w:t>228</w:t>
      </w:r>
      <w:r w:rsidR="00AE278E">
        <w:rPr>
          <w:rFonts w:ascii="Calibri" w:eastAsia="Times New Roman" w:hAnsi="Calibri" w:cs="Calibri"/>
          <w:color w:val="000000"/>
          <w:lang w:eastAsia="en-GB"/>
        </w:rPr>
        <w:t>,</w:t>
      </w:r>
      <w:r w:rsidRPr="00D10E6E">
        <w:rPr>
          <w:rFonts w:ascii="Calibri" w:eastAsia="Times New Roman" w:hAnsi="Calibri" w:cs="Calibri"/>
          <w:color w:val="000000"/>
          <w:lang w:eastAsia="en-GB"/>
        </w:rPr>
        <w:t>136 (</w:t>
      </w:r>
      <w:r w:rsidR="00594CE7" w:rsidRPr="00D10E6E">
        <w:rPr>
          <w:rFonts w:ascii="Calibri" w:eastAsia="Times New Roman" w:hAnsi="Calibri" w:cs="Calibri"/>
          <w:color w:val="000000"/>
          <w:lang w:eastAsia="en-GB"/>
        </w:rPr>
        <w:t>209</w:t>
      </w:r>
      <w:r w:rsidR="00594CE7">
        <w:rPr>
          <w:rFonts w:ascii="Calibri" w:eastAsia="Times New Roman" w:hAnsi="Calibri" w:cs="Calibri"/>
          <w:color w:val="000000"/>
          <w:lang w:eastAsia="en-GB"/>
        </w:rPr>
        <w:t>,</w:t>
      </w:r>
      <w:r w:rsidR="00594CE7" w:rsidRPr="00D10E6E">
        <w:rPr>
          <w:rFonts w:ascii="Calibri" w:eastAsia="Times New Roman" w:hAnsi="Calibri" w:cs="Calibri"/>
          <w:color w:val="000000"/>
          <w:lang w:eastAsia="en-GB"/>
        </w:rPr>
        <w:t>980;</w:t>
      </w:r>
      <w:r w:rsidRPr="00D10E6E">
        <w:rPr>
          <w:rFonts w:ascii="Calibri" w:eastAsia="Times New Roman" w:hAnsi="Calibri" w:cs="Calibri"/>
          <w:color w:val="000000"/>
          <w:lang w:eastAsia="en-GB"/>
        </w:rPr>
        <w:t xml:space="preserve"> 246</w:t>
      </w:r>
      <w:r w:rsidR="00AE278E">
        <w:rPr>
          <w:rFonts w:ascii="Calibri" w:eastAsia="Times New Roman" w:hAnsi="Calibri" w:cs="Calibri"/>
          <w:color w:val="000000"/>
          <w:lang w:eastAsia="en-GB"/>
        </w:rPr>
        <w:t>,</w:t>
      </w:r>
      <w:r w:rsidRPr="00D10E6E">
        <w:rPr>
          <w:rFonts w:ascii="Calibri" w:eastAsia="Times New Roman" w:hAnsi="Calibri" w:cs="Calibri"/>
          <w:color w:val="000000"/>
          <w:lang w:eastAsia="en-GB"/>
        </w:rPr>
        <w:t>293)</w:t>
      </w:r>
      <w:r>
        <w:rPr>
          <w:rFonts w:ascii="Calibri" w:eastAsia="Times New Roman" w:hAnsi="Calibri" w:cs="Calibri"/>
          <w:color w:val="000000"/>
          <w:lang w:eastAsia="en-GB"/>
        </w:rPr>
        <w:t xml:space="preserve"> </w:t>
      </w:r>
      <w:r w:rsidR="001A3168" w:rsidRPr="005E2277">
        <w:rPr>
          <w:rFonts w:cstheme="minorHAnsi"/>
        </w:rPr>
        <w:t xml:space="preserve">early teens had ever </w:t>
      </w:r>
      <w:r>
        <w:rPr>
          <w:rFonts w:cstheme="minorHAnsi"/>
        </w:rPr>
        <w:t>smoked</w:t>
      </w:r>
      <w:r w:rsidR="002A4F40">
        <w:rPr>
          <w:rFonts w:cstheme="minorHAnsi"/>
        </w:rPr>
        <w:t>.</w:t>
      </w:r>
      <w:r w:rsidR="00A5338B">
        <w:rPr>
          <w:rFonts w:cstheme="minorHAnsi"/>
        </w:rPr>
        <w:t xml:space="preserve"> </w:t>
      </w:r>
      <w:r w:rsidR="007B6441" w:rsidRPr="00D10E6E">
        <w:rPr>
          <w:rFonts w:ascii="Calibri" w:eastAsia="Times New Roman" w:hAnsi="Calibri" w:cs="Calibri"/>
          <w:color w:val="000000"/>
          <w:lang w:eastAsia="en-GB"/>
        </w:rPr>
        <w:t>2.8</w:t>
      </w:r>
      <w:r w:rsidR="007B6441">
        <w:rPr>
          <w:rFonts w:ascii="Calibri" w:eastAsia="Times New Roman" w:hAnsi="Calibri" w:cs="Calibri"/>
          <w:color w:val="000000"/>
          <w:lang w:eastAsia="en-GB"/>
        </w:rPr>
        <w:t>%</w:t>
      </w:r>
      <w:r w:rsidR="007B6441" w:rsidRPr="00D10E6E">
        <w:rPr>
          <w:rFonts w:ascii="Calibri" w:eastAsia="Times New Roman" w:hAnsi="Calibri" w:cs="Calibri"/>
          <w:color w:val="000000"/>
          <w:lang w:eastAsia="en-GB"/>
        </w:rPr>
        <w:t xml:space="preserve"> (</w:t>
      </w:r>
      <w:r w:rsidR="00594CE7" w:rsidRPr="00D10E6E">
        <w:rPr>
          <w:rFonts w:ascii="Calibri" w:eastAsia="Times New Roman" w:hAnsi="Calibri" w:cs="Calibri"/>
          <w:color w:val="000000"/>
          <w:lang w:eastAsia="en-GB"/>
        </w:rPr>
        <w:t>2</w:t>
      </w:r>
      <w:r w:rsidR="00594CE7">
        <w:rPr>
          <w:rFonts w:ascii="Calibri" w:eastAsia="Times New Roman" w:hAnsi="Calibri" w:cs="Calibri"/>
          <w:color w:val="000000"/>
          <w:lang w:eastAsia="en-GB"/>
        </w:rPr>
        <w:t>.0</w:t>
      </w:r>
      <w:r w:rsidR="00594CE7" w:rsidRPr="00D10E6E">
        <w:rPr>
          <w:rFonts w:ascii="Calibri" w:eastAsia="Times New Roman" w:hAnsi="Calibri" w:cs="Calibri"/>
          <w:color w:val="000000"/>
          <w:lang w:eastAsia="en-GB"/>
        </w:rPr>
        <w:t>;</w:t>
      </w:r>
      <w:r w:rsidR="007B6441" w:rsidRPr="00D10E6E">
        <w:rPr>
          <w:rFonts w:ascii="Calibri" w:eastAsia="Times New Roman" w:hAnsi="Calibri" w:cs="Calibri"/>
          <w:color w:val="000000"/>
          <w:lang w:eastAsia="en-GB"/>
        </w:rPr>
        <w:t xml:space="preserve"> 3.6)</w:t>
      </w:r>
      <w:r w:rsidR="007B6441">
        <w:rPr>
          <w:rFonts w:ascii="Calibri" w:eastAsia="Times New Roman" w:hAnsi="Calibri" w:cs="Calibri"/>
          <w:color w:val="000000"/>
          <w:lang w:eastAsia="en-GB"/>
        </w:rPr>
        <w:t xml:space="preserve"> </w:t>
      </w:r>
      <w:r w:rsidR="00407747">
        <w:rPr>
          <w:rFonts w:cstheme="minorHAnsi"/>
        </w:rPr>
        <w:t>of early-</w:t>
      </w:r>
      <w:r w:rsidR="001A3168" w:rsidRPr="005E2277">
        <w:rPr>
          <w:rFonts w:cstheme="minorHAnsi"/>
        </w:rPr>
        <w:t xml:space="preserve">teens were current </w:t>
      </w:r>
      <w:r w:rsidR="007B6441">
        <w:rPr>
          <w:rFonts w:cstheme="minorHAnsi"/>
        </w:rPr>
        <w:t>smokers</w:t>
      </w:r>
      <w:r w:rsidR="001A3168" w:rsidRPr="005E2277">
        <w:rPr>
          <w:rFonts w:cstheme="minorHAnsi"/>
        </w:rPr>
        <w:t>,</w:t>
      </w:r>
      <w:r w:rsidR="005E14F6">
        <w:rPr>
          <w:rFonts w:cstheme="minorHAnsi"/>
        </w:rPr>
        <w:t xml:space="preserve"> equating to </w:t>
      </w:r>
      <w:r w:rsidR="005E14F6" w:rsidRPr="007461E4">
        <w:rPr>
          <w:rFonts w:ascii="Calibri" w:eastAsia="Times New Roman" w:hAnsi="Calibri" w:cs="Calibri"/>
          <w:color w:val="000000"/>
          <w:lang w:eastAsia="en-GB"/>
        </w:rPr>
        <w:t>39,653</w:t>
      </w:r>
      <w:r w:rsidR="005E14F6" w:rsidRPr="00D10E6E">
        <w:rPr>
          <w:rFonts w:ascii="Calibri" w:eastAsia="Times New Roman" w:hAnsi="Calibri" w:cs="Calibri"/>
          <w:color w:val="000000"/>
          <w:lang w:eastAsia="en-GB"/>
        </w:rPr>
        <w:t xml:space="preserve"> (</w:t>
      </w:r>
      <w:r w:rsidR="00594CE7" w:rsidRPr="00D10E6E">
        <w:rPr>
          <w:rFonts w:ascii="Calibri" w:eastAsia="Times New Roman" w:hAnsi="Calibri" w:cs="Calibri"/>
          <w:color w:val="000000"/>
          <w:lang w:eastAsia="en-GB"/>
        </w:rPr>
        <w:t>28</w:t>
      </w:r>
      <w:r w:rsidR="00594CE7">
        <w:rPr>
          <w:rFonts w:ascii="Calibri" w:eastAsia="Times New Roman" w:hAnsi="Calibri" w:cs="Calibri"/>
          <w:color w:val="000000"/>
          <w:lang w:eastAsia="en-GB"/>
        </w:rPr>
        <w:t>,</w:t>
      </w:r>
      <w:r w:rsidR="00594CE7" w:rsidRPr="00D10E6E">
        <w:rPr>
          <w:rFonts w:ascii="Calibri" w:eastAsia="Times New Roman" w:hAnsi="Calibri" w:cs="Calibri"/>
          <w:color w:val="000000"/>
          <w:lang w:eastAsia="en-GB"/>
        </w:rPr>
        <w:t>634;</w:t>
      </w:r>
      <w:r w:rsidR="005E14F6" w:rsidRPr="00D10E6E">
        <w:rPr>
          <w:rFonts w:ascii="Calibri" w:eastAsia="Times New Roman" w:hAnsi="Calibri" w:cs="Calibri"/>
          <w:color w:val="000000"/>
          <w:lang w:eastAsia="en-GB"/>
        </w:rPr>
        <w:t xml:space="preserve"> 50</w:t>
      </w:r>
      <w:r w:rsidR="005E14F6">
        <w:rPr>
          <w:rFonts w:ascii="Calibri" w:eastAsia="Times New Roman" w:hAnsi="Calibri" w:cs="Calibri"/>
          <w:color w:val="000000"/>
          <w:lang w:eastAsia="en-GB"/>
        </w:rPr>
        <w:t>,</w:t>
      </w:r>
      <w:r w:rsidR="005E14F6" w:rsidRPr="00D10E6E">
        <w:rPr>
          <w:rFonts w:ascii="Calibri" w:eastAsia="Times New Roman" w:hAnsi="Calibri" w:cs="Calibri"/>
          <w:color w:val="000000"/>
          <w:lang w:eastAsia="en-GB"/>
        </w:rPr>
        <w:t>672)</w:t>
      </w:r>
      <w:r w:rsidR="005E14F6">
        <w:rPr>
          <w:rFonts w:ascii="Calibri" w:eastAsia="Times New Roman" w:hAnsi="Calibri" w:cs="Calibri"/>
          <w:color w:val="000000"/>
          <w:lang w:eastAsia="en-GB"/>
        </w:rPr>
        <w:t xml:space="preserve"> early-teens.</w:t>
      </w:r>
    </w:p>
    <w:p w14:paraId="4CE2945F" w14:textId="1E69E2FA" w:rsidR="00F87101" w:rsidRDefault="002A4F40" w:rsidP="00F87101">
      <w:pPr>
        <w:spacing w:line="360" w:lineRule="auto"/>
        <w:rPr>
          <w:rFonts w:cstheme="minorHAnsi"/>
        </w:rPr>
      </w:pPr>
      <w:r>
        <w:rPr>
          <w:rFonts w:cstheme="minorHAnsi"/>
        </w:rPr>
        <w:t xml:space="preserve"> </w:t>
      </w:r>
      <w:r w:rsidR="00F87101" w:rsidRPr="00794B4A">
        <w:rPr>
          <w:rFonts w:cstheme="minorHAnsi"/>
        </w:rPr>
        <w:t xml:space="preserve">Children who reported caregiver smoking were </w:t>
      </w:r>
      <w:r w:rsidR="00E3564D" w:rsidRPr="00794B4A">
        <w:rPr>
          <w:rFonts w:cstheme="minorHAnsi"/>
        </w:rPr>
        <w:t xml:space="preserve">more than twice as </w:t>
      </w:r>
      <w:r w:rsidR="00F87101" w:rsidRPr="00794B4A">
        <w:rPr>
          <w:rFonts w:cstheme="minorHAnsi"/>
        </w:rPr>
        <w:t xml:space="preserve">likely to have </w:t>
      </w:r>
      <w:r w:rsidR="00B80EB0" w:rsidRPr="00794B4A">
        <w:rPr>
          <w:rFonts w:cstheme="minorHAnsi"/>
        </w:rPr>
        <w:t>ever smoked</w:t>
      </w:r>
      <w:r w:rsidR="00F87101" w:rsidRPr="00794B4A">
        <w:rPr>
          <w:rFonts w:cstheme="minorHAnsi"/>
        </w:rPr>
        <w:t xml:space="preserve"> tobacco (26.0% vs. 10.9%, AOR 1.69, 1.38; 2.06)</w:t>
      </w:r>
      <w:r w:rsidR="005E14F6">
        <w:rPr>
          <w:rFonts w:cstheme="minorHAnsi"/>
        </w:rPr>
        <w:t xml:space="preserve"> </w:t>
      </w:r>
      <w:r w:rsidR="005E14F6" w:rsidRPr="004943D2">
        <w:rPr>
          <w:rFonts w:cstheme="minorHAnsi"/>
        </w:rPr>
        <w:t>(</w:t>
      </w:r>
      <w:r w:rsidR="005E14F6">
        <w:rPr>
          <w:rFonts w:cstheme="minorHAnsi"/>
          <w:b/>
        </w:rPr>
        <w:t>Table 2</w:t>
      </w:r>
      <w:r w:rsidR="005E14F6" w:rsidRPr="004943D2">
        <w:rPr>
          <w:rFonts w:cstheme="minorHAnsi"/>
        </w:rPr>
        <w:t>)</w:t>
      </w:r>
      <w:r w:rsidR="00F87101" w:rsidRPr="00794B4A">
        <w:rPr>
          <w:rFonts w:cstheme="minorHAnsi"/>
        </w:rPr>
        <w:t>.</w:t>
      </w:r>
      <w:r w:rsidR="00EF4FD8" w:rsidRPr="00794B4A">
        <w:rPr>
          <w:rFonts w:cstheme="minorHAnsi"/>
        </w:rPr>
        <w:t xml:space="preserve"> Among children who reported at least some of their friends smoked 35.1% had tried tobacco, compared with 4.0% of those reporting no tobacco use among their friends (AOR 10.35, 8.35; 12.81). </w:t>
      </w:r>
      <w:r w:rsidR="00794B4A" w:rsidRPr="00794B4A">
        <w:rPr>
          <w:rFonts w:cstheme="minorHAnsi"/>
        </w:rPr>
        <w:t>Current</w:t>
      </w:r>
      <w:r w:rsidR="00F87101" w:rsidRPr="00794B4A">
        <w:rPr>
          <w:rFonts w:cstheme="minorHAnsi"/>
        </w:rPr>
        <w:t xml:space="preserve"> </w:t>
      </w:r>
      <w:r w:rsidR="00E3564D" w:rsidRPr="00794B4A">
        <w:rPr>
          <w:rFonts w:cstheme="minorHAnsi"/>
        </w:rPr>
        <w:t>smoking</w:t>
      </w:r>
      <w:r w:rsidR="00F87101" w:rsidRPr="00794B4A">
        <w:rPr>
          <w:rFonts w:cstheme="minorHAnsi"/>
        </w:rPr>
        <w:t xml:space="preserve"> was </w:t>
      </w:r>
      <w:r w:rsidR="00E3564D" w:rsidRPr="00794B4A">
        <w:rPr>
          <w:rFonts w:cstheme="minorHAnsi"/>
        </w:rPr>
        <w:t xml:space="preserve">also more common among </w:t>
      </w:r>
      <w:r w:rsidR="00794B4A" w:rsidRPr="00794B4A">
        <w:rPr>
          <w:rFonts w:cstheme="minorHAnsi"/>
        </w:rPr>
        <w:t>children whose caregivers smoked</w:t>
      </w:r>
      <w:r w:rsidR="00E3564D" w:rsidRPr="00794B4A">
        <w:rPr>
          <w:rFonts w:cstheme="minorHAnsi"/>
        </w:rPr>
        <w:t xml:space="preserve"> </w:t>
      </w:r>
      <w:r w:rsidR="00F87101" w:rsidRPr="00794B4A">
        <w:rPr>
          <w:rFonts w:cstheme="minorHAnsi"/>
        </w:rPr>
        <w:t xml:space="preserve">(4.9% vs. 1.2%, AOR </w:t>
      </w:r>
      <w:r w:rsidR="00794B4A" w:rsidRPr="00794B4A">
        <w:rPr>
          <w:rFonts w:eastAsia="Times New Roman" w:cstheme="minorHAnsi"/>
          <w:lang w:eastAsia="en-GB"/>
        </w:rPr>
        <w:t>1.92 (</w:t>
      </w:r>
      <w:r w:rsidR="00594CE7" w:rsidRPr="00794B4A">
        <w:rPr>
          <w:rFonts w:eastAsia="Times New Roman" w:cstheme="minorHAnsi"/>
          <w:lang w:eastAsia="en-GB"/>
        </w:rPr>
        <w:t>1.16;</w:t>
      </w:r>
      <w:r w:rsidR="00794B4A" w:rsidRPr="00794B4A">
        <w:rPr>
          <w:rFonts w:eastAsia="Times New Roman" w:cstheme="minorHAnsi"/>
          <w:lang w:eastAsia="en-GB"/>
        </w:rPr>
        <w:t xml:space="preserve"> 3.19</w:t>
      </w:r>
      <w:r w:rsidR="00F87101" w:rsidRPr="00794B4A">
        <w:rPr>
          <w:rFonts w:cstheme="minorHAnsi"/>
        </w:rPr>
        <w:t xml:space="preserve">). Both reporting that at least some of their friends smoke (AOR 22.29, 4.91; 101.21) and not answering this question were related to being a current </w:t>
      </w:r>
      <w:r w:rsidR="00794B4A" w:rsidRPr="00794B4A">
        <w:rPr>
          <w:rFonts w:cstheme="minorHAnsi"/>
        </w:rPr>
        <w:t>smoker</w:t>
      </w:r>
      <w:r w:rsidR="00F87101" w:rsidRPr="00794B4A">
        <w:rPr>
          <w:rFonts w:cstheme="minorHAnsi"/>
        </w:rPr>
        <w:t xml:space="preserve"> (AOR 9.21, 1.64; 51.78).</w:t>
      </w:r>
      <w:r w:rsidR="00B80EB0" w:rsidRPr="00794B4A">
        <w:rPr>
          <w:rFonts w:cstheme="minorHAnsi"/>
        </w:rPr>
        <w:t xml:space="preserve"> </w:t>
      </w:r>
      <w:r w:rsidR="005E14F6">
        <w:rPr>
          <w:rFonts w:cstheme="minorHAnsi"/>
        </w:rPr>
        <w:t>There were also notable differences in smoking prevalence across family income groups.</w:t>
      </w:r>
    </w:p>
    <w:p w14:paraId="44B94B5F" w14:textId="73E60548" w:rsidR="009D7921" w:rsidRDefault="009D7921" w:rsidP="004B0755">
      <w:pPr>
        <w:spacing w:line="360" w:lineRule="auto"/>
        <w:rPr>
          <w:rFonts w:cstheme="minorHAnsi"/>
        </w:rPr>
      </w:pPr>
      <w:r>
        <w:rPr>
          <w:rFonts w:cstheme="minorHAnsi"/>
        </w:rPr>
        <w:t xml:space="preserve">Children exposed to smoking in the same room in at least one survey wave </w:t>
      </w:r>
      <w:r w:rsidR="004B0755" w:rsidRPr="004943D2">
        <w:rPr>
          <w:rFonts w:cstheme="minorHAnsi"/>
        </w:rPr>
        <w:t xml:space="preserve">of the MCS </w:t>
      </w:r>
      <w:r>
        <w:rPr>
          <w:rFonts w:cstheme="minorHAnsi"/>
        </w:rPr>
        <w:t>were more likely to be ever smokers (20.3% vs. 10.3% for those never exposed to smoking in the same room, AOR 1.55, 1.21; 1.98)</w:t>
      </w:r>
      <w:r w:rsidR="005E14F6">
        <w:rPr>
          <w:rFonts w:cstheme="minorHAnsi"/>
        </w:rPr>
        <w:t xml:space="preserve"> </w:t>
      </w:r>
      <w:r w:rsidR="005E14F6" w:rsidRPr="004F5CEC">
        <w:rPr>
          <w:rFonts w:cstheme="minorHAnsi"/>
          <w:b/>
        </w:rPr>
        <w:t>(Figure 1)</w:t>
      </w:r>
      <w:r w:rsidR="005E14F6">
        <w:rPr>
          <w:rFonts w:cstheme="minorHAnsi"/>
          <w:b/>
        </w:rPr>
        <w:t xml:space="preserve"> (Appendix Table 2)</w:t>
      </w:r>
      <w:r w:rsidR="004B0755">
        <w:rPr>
          <w:rFonts w:cstheme="minorHAnsi"/>
        </w:rPr>
        <w:t xml:space="preserve">. </w:t>
      </w:r>
      <w:r w:rsidRPr="004943D2">
        <w:rPr>
          <w:rFonts w:cstheme="minorHAnsi"/>
        </w:rPr>
        <w:t xml:space="preserve">35.8% of those exposed to smoking in the same room </w:t>
      </w:r>
      <w:r>
        <w:rPr>
          <w:rFonts w:cstheme="minorHAnsi"/>
        </w:rPr>
        <w:t>i</w:t>
      </w:r>
      <w:r w:rsidRPr="009D7921">
        <w:rPr>
          <w:rFonts w:cstheme="minorHAnsi"/>
        </w:rPr>
        <w:t>n all survey waves aged 0 - 7 years</w:t>
      </w:r>
      <w:r>
        <w:rPr>
          <w:rFonts w:cstheme="minorHAnsi"/>
        </w:rPr>
        <w:t xml:space="preserve"> </w:t>
      </w:r>
      <w:r w:rsidRPr="004943D2">
        <w:rPr>
          <w:rFonts w:cstheme="minorHAnsi"/>
        </w:rPr>
        <w:t xml:space="preserve">were ever smokers compared with 10.3% of those never exposed to smoking in the same room (AOR 2.67, 1.51; 4.70). </w:t>
      </w:r>
      <w:r w:rsidR="009423BD">
        <w:rPr>
          <w:rFonts w:cstheme="minorHAnsi"/>
        </w:rPr>
        <w:t xml:space="preserve">Children whose mother smoked during pregnancy were more likely to be both ever and current smokers. For example, 5.2% of children whose mothers smoked during pregnancy were current smokers as early-teens compared with 0.9% of children whose mother never smoked during pregnancy (AOR 2.16, </w:t>
      </w:r>
      <w:r w:rsidR="00FF55A6" w:rsidRPr="009423BD">
        <w:rPr>
          <w:rFonts w:cstheme="minorHAnsi"/>
        </w:rPr>
        <w:t>1.42;</w:t>
      </w:r>
      <w:r w:rsidR="009423BD" w:rsidRPr="009423BD">
        <w:rPr>
          <w:rFonts w:cstheme="minorHAnsi"/>
        </w:rPr>
        <w:t xml:space="preserve"> 3.26</w:t>
      </w:r>
      <w:r w:rsidR="009423BD">
        <w:rPr>
          <w:rFonts w:cstheme="minorHAnsi"/>
        </w:rPr>
        <w:t xml:space="preserve">). </w:t>
      </w:r>
    </w:p>
    <w:p w14:paraId="6503D262" w14:textId="59B4D77A" w:rsidR="002A4F40" w:rsidRDefault="008B59B2" w:rsidP="00E854FE">
      <w:pPr>
        <w:spacing w:line="360" w:lineRule="auto"/>
        <w:rPr>
          <w:rFonts w:cstheme="minorHAnsi"/>
        </w:rPr>
      </w:pPr>
      <w:r w:rsidRPr="004943D2">
        <w:rPr>
          <w:rFonts w:cstheme="minorHAnsi"/>
        </w:rPr>
        <w:lastRenderedPageBreak/>
        <w:t xml:space="preserve">Results of </w:t>
      </w:r>
      <w:r w:rsidR="00501944">
        <w:rPr>
          <w:rFonts w:cstheme="minorHAnsi"/>
        </w:rPr>
        <w:t>additional</w:t>
      </w:r>
      <w:r w:rsidRPr="004943D2">
        <w:rPr>
          <w:rFonts w:cstheme="minorHAnsi"/>
        </w:rPr>
        <w:t xml:space="preserve"> analyses are presented in </w:t>
      </w:r>
      <w:r w:rsidRPr="005E14F6">
        <w:rPr>
          <w:rFonts w:cstheme="minorHAnsi"/>
          <w:b/>
        </w:rPr>
        <w:t>Appendix</w:t>
      </w:r>
      <w:r w:rsidR="002A4F40" w:rsidRPr="005E14F6">
        <w:rPr>
          <w:rFonts w:cstheme="minorHAnsi"/>
          <w:b/>
        </w:rPr>
        <w:t xml:space="preserve"> </w:t>
      </w:r>
      <w:r w:rsidR="005E14F6" w:rsidRPr="005E14F6">
        <w:rPr>
          <w:rFonts w:cstheme="minorHAnsi"/>
          <w:b/>
        </w:rPr>
        <w:t>tables 3 and 4</w:t>
      </w:r>
      <w:r w:rsidR="005E14F6">
        <w:rPr>
          <w:rFonts w:cstheme="minorHAnsi"/>
        </w:rPr>
        <w:t xml:space="preserve"> </w:t>
      </w:r>
      <w:r w:rsidR="002A4F40">
        <w:rPr>
          <w:rFonts w:cstheme="minorHAnsi"/>
        </w:rPr>
        <w:t xml:space="preserve">and show that earlier age of first smoking was associated with continuing to smoke as well as evidence of a dose-response effect between friend smoking and child smoking. </w:t>
      </w:r>
    </w:p>
    <w:p w14:paraId="25961E17" w14:textId="77777777" w:rsidR="00800D0E" w:rsidRPr="00FE51D1" w:rsidRDefault="00800D0E" w:rsidP="00BF247E">
      <w:pPr>
        <w:spacing w:line="360" w:lineRule="auto"/>
        <w:rPr>
          <w:rFonts w:cstheme="minorHAnsi"/>
        </w:rPr>
      </w:pPr>
    </w:p>
    <w:p w14:paraId="1ED17DA0" w14:textId="45A92FB7" w:rsidR="00426CD0" w:rsidRPr="004943D2" w:rsidRDefault="00426CD0">
      <w:pPr>
        <w:rPr>
          <w:rFonts w:cstheme="minorHAnsi"/>
          <w:b/>
        </w:rPr>
      </w:pPr>
      <w:r w:rsidRPr="004943D2">
        <w:rPr>
          <w:rFonts w:cstheme="minorHAnsi"/>
          <w:b/>
        </w:rPr>
        <w:t>Discussion</w:t>
      </w:r>
    </w:p>
    <w:p w14:paraId="51DADEF5" w14:textId="4C49B96C" w:rsidR="007315ED" w:rsidRDefault="00712D5D" w:rsidP="00712D5D">
      <w:pPr>
        <w:spacing w:line="360" w:lineRule="auto"/>
        <w:rPr>
          <w:rFonts w:cstheme="minorHAnsi"/>
        </w:rPr>
      </w:pPr>
      <w:r>
        <w:rPr>
          <w:rFonts w:cstheme="minorHAnsi"/>
        </w:rPr>
        <w:t>The principle finding</w:t>
      </w:r>
      <w:r w:rsidR="003476D8">
        <w:rPr>
          <w:rFonts w:cstheme="minorHAnsi"/>
        </w:rPr>
        <w:t>s</w:t>
      </w:r>
      <w:r>
        <w:rPr>
          <w:rFonts w:cstheme="minorHAnsi"/>
        </w:rPr>
        <w:t xml:space="preserve"> </w:t>
      </w:r>
      <w:r w:rsidR="007310E6">
        <w:rPr>
          <w:rFonts w:cstheme="minorHAnsi"/>
        </w:rPr>
        <w:t>from this</w:t>
      </w:r>
      <w:r>
        <w:rPr>
          <w:rFonts w:cstheme="minorHAnsi"/>
        </w:rPr>
        <w:t xml:space="preserve"> nationally representative</w:t>
      </w:r>
      <w:r w:rsidR="00E83BD8">
        <w:rPr>
          <w:rFonts w:cstheme="minorHAnsi"/>
        </w:rPr>
        <w:t xml:space="preserve"> </w:t>
      </w:r>
      <w:r w:rsidR="007462BA">
        <w:rPr>
          <w:rFonts w:cstheme="minorHAnsi"/>
        </w:rPr>
        <w:t xml:space="preserve">UK </w:t>
      </w:r>
      <w:r w:rsidR="00E83BD8">
        <w:rPr>
          <w:rFonts w:cstheme="minorHAnsi"/>
        </w:rPr>
        <w:t>prospective cohort</w:t>
      </w:r>
      <w:r w:rsidR="00EA184B" w:rsidRPr="004943D2">
        <w:rPr>
          <w:rFonts w:cstheme="minorHAnsi"/>
        </w:rPr>
        <w:t xml:space="preserve"> study </w:t>
      </w:r>
      <w:r w:rsidR="003476D8">
        <w:rPr>
          <w:rFonts w:cstheme="minorHAnsi"/>
        </w:rPr>
        <w:t>are</w:t>
      </w:r>
      <w:r w:rsidR="00EA184B" w:rsidRPr="004943D2">
        <w:rPr>
          <w:rFonts w:cstheme="minorHAnsi"/>
        </w:rPr>
        <w:t xml:space="preserve"> that</w:t>
      </w:r>
      <w:r w:rsidR="00407747">
        <w:rPr>
          <w:rFonts w:cstheme="minorHAnsi"/>
        </w:rPr>
        <w:t xml:space="preserve"> smoking among early-</w:t>
      </w:r>
      <w:r w:rsidR="003476D8">
        <w:rPr>
          <w:rFonts w:cstheme="minorHAnsi"/>
        </w:rPr>
        <w:t xml:space="preserve">teens is associated with smoking by caregivers and </w:t>
      </w:r>
      <w:r w:rsidR="007B2E73">
        <w:rPr>
          <w:rFonts w:cstheme="minorHAnsi"/>
        </w:rPr>
        <w:t>peers</w:t>
      </w:r>
      <w:r w:rsidR="003476D8">
        <w:rPr>
          <w:rFonts w:cstheme="minorHAnsi"/>
        </w:rPr>
        <w:t xml:space="preserve"> and specifically </w:t>
      </w:r>
      <w:r w:rsidR="00FD0B3B">
        <w:rPr>
          <w:rFonts w:cstheme="minorHAnsi"/>
        </w:rPr>
        <w:t>with</w:t>
      </w:r>
      <w:r w:rsidR="003476D8">
        <w:rPr>
          <w:rFonts w:cstheme="minorHAnsi"/>
        </w:rPr>
        <w:t xml:space="preserve"> early life </w:t>
      </w:r>
      <w:r w:rsidR="006441A5">
        <w:rPr>
          <w:rFonts w:cstheme="minorHAnsi"/>
        </w:rPr>
        <w:t>exposure to</w:t>
      </w:r>
      <w:r w:rsidR="0015536F">
        <w:rPr>
          <w:rFonts w:cstheme="minorHAnsi"/>
        </w:rPr>
        <w:t xml:space="preserve"> smoking</w:t>
      </w:r>
      <w:r w:rsidR="003476D8">
        <w:rPr>
          <w:rFonts w:cstheme="minorHAnsi"/>
        </w:rPr>
        <w:t>.</w:t>
      </w:r>
      <w:r w:rsidR="006441A5">
        <w:rPr>
          <w:rFonts w:cstheme="minorHAnsi"/>
        </w:rPr>
        <w:t xml:space="preserve"> </w:t>
      </w:r>
      <w:r w:rsidR="0015536F">
        <w:rPr>
          <w:rFonts w:cstheme="minorHAnsi"/>
        </w:rPr>
        <w:t>W</w:t>
      </w:r>
      <w:r w:rsidR="006441A5">
        <w:rPr>
          <w:rFonts w:cstheme="minorHAnsi"/>
        </w:rPr>
        <w:t>e</w:t>
      </w:r>
      <w:r w:rsidR="0015536F">
        <w:rPr>
          <w:rFonts w:cstheme="minorHAnsi"/>
        </w:rPr>
        <w:t xml:space="preserve"> also</w:t>
      </w:r>
      <w:r w:rsidR="006441A5">
        <w:rPr>
          <w:rFonts w:cstheme="minorHAnsi"/>
        </w:rPr>
        <w:t xml:space="preserve"> </w:t>
      </w:r>
      <w:r w:rsidR="00FD0B3B">
        <w:rPr>
          <w:rFonts w:cstheme="minorHAnsi"/>
        </w:rPr>
        <w:t xml:space="preserve">estimate that </w:t>
      </w:r>
      <w:r>
        <w:rPr>
          <w:rFonts w:cstheme="minorHAnsi"/>
        </w:rPr>
        <w:t xml:space="preserve">over </w:t>
      </w:r>
      <w:r w:rsidR="0094508A">
        <w:rPr>
          <w:rFonts w:cstheme="minorHAnsi"/>
        </w:rPr>
        <w:t>220,000</w:t>
      </w:r>
      <w:r>
        <w:rPr>
          <w:rFonts w:cstheme="minorHAnsi"/>
        </w:rPr>
        <w:t xml:space="preserve"> </w:t>
      </w:r>
      <w:r w:rsidR="004F5CEC">
        <w:rPr>
          <w:rFonts w:cstheme="minorHAnsi"/>
        </w:rPr>
        <w:t>13 and 14</w:t>
      </w:r>
      <w:r w:rsidR="006D3EC7">
        <w:rPr>
          <w:rFonts w:cstheme="minorHAnsi"/>
        </w:rPr>
        <w:t xml:space="preserve"> year </w:t>
      </w:r>
      <w:r w:rsidR="004F5CEC">
        <w:rPr>
          <w:rFonts w:cstheme="minorHAnsi"/>
        </w:rPr>
        <w:t>olds in</w:t>
      </w:r>
      <w:r w:rsidR="00FD4FE8">
        <w:rPr>
          <w:rFonts w:cstheme="minorHAnsi"/>
        </w:rPr>
        <w:t xml:space="preserve"> the U</w:t>
      </w:r>
      <w:r>
        <w:rPr>
          <w:rFonts w:cstheme="minorHAnsi"/>
        </w:rPr>
        <w:t>K ha</w:t>
      </w:r>
      <w:r w:rsidR="009F04ED">
        <w:rPr>
          <w:rFonts w:cstheme="minorHAnsi"/>
        </w:rPr>
        <w:t>ve</w:t>
      </w:r>
      <w:r>
        <w:rPr>
          <w:rFonts w:cstheme="minorHAnsi"/>
        </w:rPr>
        <w:t xml:space="preserve"> tried tobacco </w:t>
      </w:r>
      <w:r w:rsidR="0094508A">
        <w:rPr>
          <w:rFonts w:cstheme="minorHAnsi"/>
        </w:rPr>
        <w:t>almost 40,000</w:t>
      </w:r>
      <w:r>
        <w:rPr>
          <w:rFonts w:cstheme="minorHAnsi"/>
        </w:rPr>
        <w:t xml:space="preserve"> </w:t>
      </w:r>
      <w:r w:rsidR="006441A5">
        <w:rPr>
          <w:rFonts w:cstheme="minorHAnsi"/>
        </w:rPr>
        <w:t xml:space="preserve">are </w:t>
      </w:r>
      <w:r>
        <w:rPr>
          <w:rFonts w:cstheme="minorHAnsi"/>
        </w:rPr>
        <w:t xml:space="preserve">current </w:t>
      </w:r>
      <w:r w:rsidR="006441A5">
        <w:rPr>
          <w:rFonts w:cstheme="minorHAnsi"/>
        </w:rPr>
        <w:t>smokers</w:t>
      </w:r>
      <w:r>
        <w:rPr>
          <w:rFonts w:cstheme="minorHAnsi"/>
        </w:rPr>
        <w:t xml:space="preserve">. </w:t>
      </w:r>
    </w:p>
    <w:p w14:paraId="72946AE0" w14:textId="77777777" w:rsidR="00EF4FD8" w:rsidRDefault="00EF4FD8" w:rsidP="00712D5D">
      <w:pPr>
        <w:spacing w:line="360" w:lineRule="auto"/>
        <w:rPr>
          <w:rFonts w:cstheme="minorHAnsi"/>
        </w:rPr>
      </w:pPr>
    </w:p>
    <w:p w14:paraId="65FE8F46" w14:textId="21D45310" w:rsidR="00EF4FD8" w:rsidRDefault="00EF4FD8" w:rsidP="00EF4FD8">
      <w:pPr>
        <w:spacing w:line="360" w:lineRule="auto"/>
        <w:rPr>
          <w:rFonts w:cstheme="minorHAnsi"/>
        </w:rPr>
      </w:pPr>
      <w:r>
        <w:rPr>
          <w:rFonts w:cstheme="minorHAnsi"/>
        </w:rPr>
        <w:t>These findings highlight the “</w:t>
      </w:r>
      <w:r w:rsidR="007B3063">
        <w:rPr>
          <w:rFonts w:cstheme="minorHAnsi"/>
        </w:rPr>
        <w:t>transmissible</w:t>
      </w:r>
      <w:r>
        <w:rPr>
          <w:rFonts w:cstheme="minorHAnsi"/>
        </w:rPr>
        <w:t xml:space="preserve">” nature of the tobacco epidemic and support the need for further urgent and comprehensive action on smoking to protect children. Caregivers and those with children should be further supported to quit given our findings as well as the </w:t>
      </w:r>
      <w:r w:rsidR="007B3063">
        <w:rPr>
          <w:rFonts w:cstheme="minorHAnsi"/>
        </w:rPr>
        <w:t xml:space="preserve">known </w:t>
      </w:r>
      <w:r>
        <w:rPr>
          <w:rFonts w:cstheme="minorHAnsi"/>
        </w:rPr>
        <w:t>increased direct risk to children from passive exposure</w:t>
      </w:r>
      <w:r w:rsidR="007B3063">
        <w:rPr>
          <w:rFonts w:cstheme="minorHAnsi"/>
        </w:rPr>
        <w:t xml:space="preserve"> to smoke</w:t>
      </w:r>
      <w:r>
        <w:rPr>
          <w:rFonts w:cstheme="minorHAnsi"/>
        </w:rPr>
        <w:t xml:space="preserve"> </w:t>
      </w:r>
      <w:r>
        <w:rPr>
          <w:rFonts w:cstheme="minorHAnsi"/>
        </w:rPr>
        <w:fldChar w:fldCharType="begin" w:fldLock="1"/>
      </w:r>
      <w:r w:rsidR="0006533C">
        <w:rPr>
          <w:rFonts w:cstheme="minorHAnsi"/>
        </w:rPr>
        <w:instrText>ADDIN CSL_CITATION { "citationItems" : [ { "id" : "ITEM-1", "itemData" : { "URL" : "http://bookshop.rcplondon.ac.uk/contents/pub305-e37e88a5-4643-4402-9298-6936de103266.pdf", "id" : "ITEM-1", "issued" : { "date-parts" : [ [ "0" ] ] }, "title" : "Royal College of Physicians (2010) Passive smoking and children", "type" : "webpage" }, "uris" : [ "http://www.mendeley.com/documents/?uuid=00a1623d-e3f0-473e-8203-5ae8c9ce9a8c", "http://www.mendeley.com/documents/?uuid=8cc3d15f-e5bc-4578-9c21-d2c5ed5918cb" ] } ], "mendeley" : { "formattedCitation" : "[5]", "plainTextFormattedCitation" : "[5]", "previouslyFormattedCitation" : "[6]" }, "properties" : { "noteIndex" : 0 }, "schema" : "https://github.com/citation-style-language/schema/raw/master/csl-citation.json" }</w:instrText>
      </w:r>
      <w:r>
        <w:rPr>
          <w:rFonts w:cstheme="minorHAnsi"/>
        </w:rPr>
        <w:fldChar w:fldCharType="separate"/>
      </w:r>
      <w:r w:rsidR="0006533C" w:rsidRPr="0006533C">
        <w:rPr>
          <w:rFonts w:cstheme="minorHAnsi"/>
          <w:noProof/>
        </w:rPr>
        <w:t>[5]</w:t>
      </w:r>
      <w:r>
        <w:rPr>
          <w:rFonts w:cstheme="minorHAnsi"/>
        </w:rPr>
        <w:fldChar w:fldCharType="end"/>
      </w:r>
      <w:r>
        <w:rPr>
          <w:rFonts w:cstheme="minorHAnsi"/>
        </w:rPr>
        <w:t>. These findings also reiterate the links between smoking in pregnancy and child smoking uptake,</w:t>
      </w:r>
      <w:r w:rsidR="0094508A">
        <w:rPr>
          <w:rFonts w:cstheme="minorHAnsi"/>
        </w:rPr>
        <w:t xml:space="preserve"> and highlight well known links between these and </w:t>
      </w:r>
      <w:r>
        <w:rPr>
          <w:rFonts w:cstheme="minorHAnsi"/>
        </w:rPr>
        <w:t>adverse SEC</w:t>
      </w:r>
      <w:r w:rsidR="0094508A">
        <w:rPr>
          <w:rFonts w:cstheme="minorHAnsi"/>
        </w:rPr>
        <w:t>s during childhood</w:t>
      </w:r>
      <w:r>
        <w:rPr>
          <w:rFonts w:cstheme="minorHAnsi"/>
        </w:rPr>
        <w:t xml:space="preserve">. School-based strategies such as the ASSIST programme which trains peer supporters in schools are also recommended by </w:t>
      </w:r>
      <w:r w:rsidR="00630FD0">
        <w:rPr>
          <w:rFonts w:cstheme="minorHAnsi"/>
        </w:rPr>
        <w:t>the National Institute for Health and Care Excellence (</w:t>
      </w:r>
      <w:r>
        <w:rPr>
          <w:rFonts w:cstheme="minorHAnsi"/>
        </w:rPr>
        <w:t>NICE</w:t>
      </w:r>
      <w:r w:rsidR="00630FD0">
        <w:rPr>
          <w:rFonts w:cstheme="minorHAnsi"/>
        </w:rPr>
        <w:t>)</w:t>
      </w:r>
      <w:r>
        <w:rPr>
          <w:rFonts w:cstheme="minorHAnsi"/>
        </w:rPr>
        <w:t xml:space="preserve"> to reduce smoking uptake among children </w:t>
      </w:r>
      <w:r w:rsidRPr="00750E1B">
        <w:rPr>
          <w:rFonts w:cstheme="minorHAnsi"/>
        </w:rPr>
        <w:fldChar w:fldCharType="begin" w:fldLock="1"/>
      </w:r>
      <w:r w:rsidR="0006533C">
        <w:rPr>
          <w:rFonts w:cstheme="minorHAnsi"/>
        </w:rPr>
        <w:instrText>ADDIN CSL_CITATION { "citationItems" : [ { "id" : "ITEM-1", "itemData" : { "id" : "ITEM-1", "issued" : { "date-parts" : [ [ "0" ] ] }, "title" : "National Institute for Clinical Excellence. School-based interventions to prevent the uptake of smoking among children and young people. http://wwwncsctcouk/usr/pub/school-based-interventions-to-prevent-the-uptake-of-smokingpdf 2010", "type" : "webpage" }, "uris" : [ "http://www.mendeley.com/documents/?uuid=c6528263-1c3f-41c0-acfb-a339dcc0ec8c" ] } ], "mendeley" : { "formattedCitation" : "[6]", "plainTextFormattedCitation" : "[6]", "previouslyFormattedCitation" : "[7]" }, "properties" : { "noteIndex" : 0 }, "schema" : "https://github.com/citation-style-language/schema/raw/master/csl-citation.json" }</w:instrText>
      </w:r>
      <w:r w:rsidRPr="00750E1B">
        <w:rPr>
          <w:rFonts w:cstheme="minorHAnsi"/>
        </w:rPr>
        <w:fldChar w:fldCharType="separate"/>
      </w:r>
      <w:r w:rsidR="0006533C" w:rsidRPr="0006533C">
        <w:rPr>
          <w:rFonts w:cstheme="minorHAnsi"/>
          <w:noProof/>
        </w:rPr>
        <w:t>[6]</w:t>
      </w:r>
      <w:r w:rsidRPr="00750E1B">
        <w:rPr>
          <w:rFonts w:cstheme="minorHAnsi"/>
        </w:rPr>
        <w:fldChar w:fldCharType="end"/>
      </w:r>
      <w:r>
        <w:rPr>
          <w:rFonts w:cstheme="minorHAnsi"/>
        </w:rPr>
        <w:t>.</w:t>
      </w:r>
    </w:p>
    <w:p w14:paraId="48D26549" w14:textId="77777777" w:rsidR="0027312E" w:rsidRDefault="0027312E" w:rsidP="00EF4FD8">
      <w:pPr>
        <w:spacing w:line="360" w:lineRule="auto"/>
        <w:rPr>
          <w:rFonts w:cstheme="minorHAnsi"/>
        </w:rPr>
      </w:pPr>
    </w:p>
    <w:p w14:paraId="36288750" w14:textId="456B0AE4" w:rsidR="002106A3" w:rsidRDefault="00AF77EF" w:rsidP="002106A3">
      <w:pPr>
        <w:spacing w:line="360" w:lineRule="auto"/>
        <w:rPr>
          <w:rFonts w:cstheme="minorHAnsi"/>
        </w:rPr>
      </w:pPr>
      <w:r>
        <w:rPr>
          <w:rFonts w:cstheme="minorHAnsi"/>
        </w:rPr>
        <w:t>T</w:t>
      </w:r>
      <w:r w:rsidR="00E35AD8" w:rsidRPr="00B74601">
        <w:rPr>
          <w:rFonts w:cstheme="minorHAnsi"/>
        </w:rPr>
        <w:t xml:space="preserve">here are some limitations to this </w:t>
      </w:r>
      <w:r w:rsidR="002106A3" w:rsidRPr="00B74601">
        <w:rPr>
          <w:rFonts w:cstheme="minorHAnsi"/>
        </w:rPr>
        <w:t>work</w:t>
      </w:r>
      <w:r w:rsidR="00407747">
        <w:rPr>
          <w:rFonts w:cstheme="minorHAnsi"/>
        </w:rPr>
        <w:t xml:space="preserve">. </w:t>
      </w:r>
      <w:r w:rsidR="00800D0E" w:rsidRPr="00B74601">
        <w:rPr>
          <w:rFonts w:cstheme="minorHAnsi"/>
        </w:rPr>
        <w:t xml:space="preserve">Our measures of smoking among both caregivers and children were based on self-report, although previous work has found these to be accurate </w:t>
      </w:r>
      <w:r w:rsidR="00800D0E" w:rsidRPr="00B74601">
        <w:rPr>
          <w:rFonts w:cstheme="minorHAnsi"/>
        </w:rPr>
        <w:fldChar w:fldCharType="begin" w:fldLock="1"/>
      </w:r>
      <w:r w:rsidR="0006533C">
        <w:rPr>
          <w:rFonts w:cstheme="minorHAnsi"/>
        </w:rPr>
        <w:instrText>ADDIN CSL_CITATION { "citationItems" : [ { "id" : "ITEM-1", "itemData" : { "DOI" : "10.1371/journal.pone.0178633", "ISBN" : "1111111111", "ISSN" : "19326203", "PMID" : "28575096", "abstract" : "INTRODUCTION To assess the socio-economic gradient in early smoking initiation at age 11 years and the extent to which any inequality was explained after accounting for longitudinal exposure to adult smoking. METHODS Analysis of the UK Millennium Cohort Study, based on 9, 609 children from ages 9 months to 11 years. The outcome was smoking initiation by age 11. Odds ratios (ORs) for smoking initiation were estimated using logistic regression, according to maternal education, whilst adjusting for baseline demographic factors. Longitudinal exposure to a regular smoker in the same room was assessed as potential mediator of the association between maternal education and early smoking, along with other socially patterned risk factors for early smoking initiation, such as parental separation and mental health. RESULTS Overall 2.7% (95% CI: 2.3-3.1) of children had tried a cigarette by age eleven. Children of mothers with no qualifications were more than six times as likely to have tried a cigarette than children of mothers with degree level qualifications or higher (OR 6.0 [95%CI 3.5-10.1]), with clear social gradient. Controlling for potentially mediating variables, particularly exposure to a regular adult smoker reduced the OR smoking initiation in children of mothers with no qualifications by 63% (aOR 2.9 [95%CI 1.7 to 5.1]). CONCLUSIONS Smoking initiation is more common in disadvantaged children, and this is largely explained by regular exposure to an adult smoker in the same room. Reducing adult smoking in front of children may reduce inequalities in smoking initiation in children by over a half.", "author" : [ { "dropping-particle" : "", "family" : "Taylor-Robinson", "given" : "David C.", "non-dropping-particle" : "", "parse-names" : false, "suffix" : "" }, { "dropping-particle" : "", "family" : "Wickham", "given" : "Sophie", "non-dropping-particle" : "", "parse-names" : false, "suffix" : "" }, { "dropping-particle" : "", "family" : "Campbell", "given" : "Melisa", "non-dropping-particle" : "", "parse-names" : false, "suffix" : "" }, { "dropping-particle" : "", "family" : "Robinson", "given" : "Jude", "non-dropping-particle" : "", "parse-names" : false, "suffix" : "" }, { "dropping-particle" : "", "family" : "Pearce", "given" : "Anna", "non-dropping-particle" : "", "parse-names" : false, "suffix" : "" }, { "dropping-particle" : "", "family" : "Barr", "given" : "Ben", "non-dropping-particle" : "", "parse-names" : false, "suffix" : "" } ], "container-title" : "PLoS ONE", "id" : "ITEM-1", "issue" : "6", "issued" : { "date-parts" : [ [ "2017" ] ] }, "title" : "Are social inequalities in early childhood smoking initiation explained by exposure to adult smoking? Findings from the UK Millennium Cohort Study", "type" : "article-journal", "volume" : "12" }, "uris" : [ "http://www.mendeley.com/documents/?uuid=50215216-95fa-4aff-b8c6-f3387dcc7939", "http://www.mendeley.com/documents/?uuid=f8db3d7b-7f7a-42a4-8c79-8a536798d976" ] } ], "mendeley" : { "formattedCitation" : "[7]", "plainTextFormattedCitation" : "[7]", "previouslyFormattedCitation" : "[8]" }, "properties" : { "noteIndex" : 0 }, "schema" : "https://github.com/citation-style-language/schema/raw/master/csl-citation.json" }</w:instrText>
      </w:r>
      <w:r w:rsidR="00800D0E" w:rsidRPr="00B74601">
        <w:rPr>
          <w:rFonts w:cstheme="minorHAnsi"/>
        </w:rPr>
        <w:fldChar w:fldCharType="separate"/>
      </w:r>
      <w:r w:rsidR="0006533C" w:rsidRPr="0006533C">
        <w:rPr>
          <w:rFonts w:cstheme="minorHAnsi"/>
          <w:noProof/>
        </w:rPr>
        <w:t>[7]</w:t>
      </w:r>
      <w:r w:rsidR="00800D0E" w:rsidRPr="00B74601">
        <w:rPr>
          <w:rFonts w:cstheme="minorHAnsi"/>
        </w:rPr>
        <w:fldChar w:fldCharType="end"/>
      </w:r>
      <w:r w:rsidR="00800D0E" w:rsidRPr="00B74601">
        <w:rPr>
          <w:rFonts w:cstheme="minorHAnsi"/>
        </w:rPr>
        <w:t xml:space="preserve">. </w:t>
      </w:r>
      <w:r>
        <w:rPr>
          <w:rFonts w:cstheme="minorHAnsi"/>
        </w:rPr>
        <w:t>S</w:t>
      </w:r>
      <w:r w:rsidR="00EF4FD8" w:rsidRPr="00B74601">
        <w:rPr>
          <w:rFonts w:cstheme="minorHAnsi"/>
        </w:rPr>
        <w:t xml:space="preserve">ome previous research has found differences in associations of caregiver smoking by sex, but we were unable to examine this due to a low number of fathers </w:t>
      </w:r>
      <w:r w:rsidR="00EF4FD8">
        <w:rPr>
          <w:rFonts w:cstheme="minorHAnsi"/>
        </w:rPr>
        <w:t>identified as caregivers in the study</w:t>
      </w:r>
      <w:r w:rsidR="00EF4FD8" w:rsidRPr="00B74601">
        <w:rPr>
          <w:rFonts w:cstheme="minorHAnsi"/>
        </w:rPr>
        <w:t xml:space="preserve"> </w:t>
      </w:r>
      <w:r w:rsidR="00440FD3" w:rsidRPr="00B74601">
        <w:rPr>
          <w:rFonts w:cstheme="minorHAnsi"/>
        </w:rPr>
        <w:fldChar w:fldCharType="begin" w:fldLock="1"/>
      </w:r>
      <w:r w:rsidR="0006533C">
        <w:rPr>
          <w:rFonts w:cstheme="minorHAnsi"/>
        </w:rPr>
        <w:instrText>ADDIN CSL_CITATION { "citationItems" : [ { "id" : "ITEM-1", "itemData" : { "DOI" : "10.1542/peds.2008-2251", "ISBN" : "1098-4275 (Electronic)\\n0031-4005 (Linking)", "ISSN" : "0031-4005", "PMID" : "19171580", "abstract" : "OBJECTIVE: Adolescence is an important period of risk for the development of lifelong smoking behaviors. Compelling, although inconsistent, evidence suggests a relationship between parental smoking and the risk of smoking initiation during adolescence. This study investigates unresolved issues concerning the strength and nature of the association between parent smoking and offspring smoking initiation. METHODS: We enrolled 564 adolescents aged 12 to 17, along with 1 of their parents, into the New England Family Study between 2001 and 2004. Lifetime smoking histories were obtained from parents and their adolescent offspring. Discrete-time survival analysis was used to investigate the influence of parental smoking histories on the risk of adolescent smoking initiation. RESULTS: Parental smoking was associated with a significantly higher risk of smoking initiation in adolescent offspring. In addition, the likelihood of offspring smoking initiation increased with the number of smoking parents and the duration of exposure to parental smoking, suggesting a dose-response relationship between parental smoking and offspring smoking. Offspring of parents who had quit smoking were no more likely to smoke than offspring of parents who had never smoked. The effects of parental smoking on offspring initiation differed by sex (with a stronger effect of fathers' smoking on boys than girls), developmental period (with a stronger effect of parental smoking before the adolescent was age 13 than afterward), and residence of parents (with effects of fathers' smoking being dependent on living in the same household as the adolescent). Parental smoking was also associated with stronger negative reactions to adolescents' first cigarette, a potential marker of the risk of progression to higher levels of use. CONCLUSIONS: Parental smoking is an important source of vulnerability to smoking initiation among adolescents, and parental smoking cessation might attenuate this vulnerability.", "author" : [ { "dropping-particle" : "", "family" : "Gilman", "given" : "S. E.", "non-dropping-particle" : "", "parse-names" : false, "suffix" : "" }, { "dropping-particle" : "", "family" : "Rende", "given" : "R.", "non-dropping-particle" : "", "parse-names" : false, "suffix" : "" }, { "dropping-particle" : "", "family" : "Boergers", "given" : "J.", "non-dropping-particle" : "", "parse-names" : false, "suffix" : "" }, { "dropping-particle" : "", "family" : "Abrams", "given" : "D. B.", "non-dropping-particle" : "", "parse-names" : false, "suffix" : "" }, { "dropping-particle" : "", "family" : "Buka", "given" : "S. L.", "non-dropping-particle" : "", "parse-names" : false, "suffix" : "" }, { "dropping-particle" : "", "family" : "Clark", "given" : "M. A.", "non-dropping-particle" : "", "parse-names" : false, "suffix" : "" }, { "dropping-particle" : "", "family" : "Colby", "given" : "S. M.", "non-dropping-particle" : "", "parse-names" : false, "suffix" : "" }, { "dropping-particle" : "", "family" : "Hitsman", "given" : "B.", "non-dropping-particle" : "", "parse-names" : false, "suffix" : "" }, { "dropping-particle" : "", "family" : "Kazura", "given" : "A. N.", "non-dropping-particle" : "", "parse-names" : false, "suffix" : "" }, { "dropping-particle" : "", "family" : "Lipsitt", "given" : "L. P.", "non-dropping-particle" : "", "parse-names" : false, "suffix" : "" }, { "dropping-particle" : "", "family" : "Lloyd-Richardson", "given" : "E. E.", "non-dropping-particle" : "", "parse-names" : false, "suffix" : "" }, { "dropping-particle" : "", "family" : "Rogers", "given" : "M. L.", "non-dropping-particle" : "", "parse-names" : false, "suffix" : "" }, { "dropping-particle" : "", "family" : "Stanton", "given" : "C. A.", "non-dropping-particle" : "", "parse-names" : false, "suffix" : "" }, { "dropping-particle" : "", "family" : "Stroud", "given" : "L. R.", "non-dropping-particle" : "", "parse-names" : false, "suffix" : "" }, { "dropping-particle" : "", "family" : "Niaura", "given" : "R. S.", "non-dropping-particle" : "", "parse-names" : false, "suffix" : "" } ], "container-title" : "PEDIATRICS", "id" : "ITEM-1", "issue" : "2", "issued" : { "date-parts" : [ [ "2009" ] ] }, "page" : "e274-e281", "title" : "Parental Smoking and Adolescent Smoking Initiation: An Intergenerational Perspective on Tobacco Control", "type" : "article-journal", "volume" : "123" }, "uris" : [ "http://www.mendeley.com/documents/?uuid=9236a5da-6905-480a-a597-3835a52a22f9" ] } ], "mendeley" : { "formattedCitation" : "[8]", "plainTextFormattedCitation" : "[8]", "previouslyFormattedCitation" : "[9]" }, "properties" : { "noteIndex" : 0 }, "schema" : "https://github.com/citation-style-language/schema/raw/master/csl-citation.json" }</w:instrText>
      </w:r>
      <w:r w:rsidR="00440FD3" w:rsidRPr="00B74601">
        <w:rPr>
          <w:rFonts w:cstheme="minorHAnsi"/>
        </w:rPr>
        <w:fldChar w:fldCharType="separate"/>
      </w:r>
      <w:r w:rsidR="0006533C" w:rsidRPr="0006533C">
        <w:rPr>
          <w:rFonts w:cstheme="minorHAnsi"/>
          <w:noProof/>
        </w:rPr>
        <w:t>[8]</w:t>
      </w:r>
      <w:r w:rsidR="00440FD3" w:rsidRPr="00B74601">
        <w:rPr>
          <w:rFonts w:cstheme="minorHAnsi"/>
        </w:rPr>
        <w:fldChar w:fldCharType="end"/>
      </w:r>
      <w:r w:rsidR="00440FD3" w:rsidRPr="00B74601">
        <w:rPr>
          <w:rFonts w:cstheme="minorHAnsi"/>
        </w:rPr>
        <w:t xml:space="preserve">. </w:t>
      </w:r>
      <w:r w:rsidR="000F7FE6">
        <w:rPr>
          <w:rFonts w:cstheme="minorHAnsi"/>
        </w:rPr>
        <w:t>We have not included analyses here of any potential associations between the use of e-cigarettes and tobacco among this age group, although previous analyses</w:t>
      </w:r>
      <w:r w:rsidR="00630FD0">
        <w:rPr>
          <w:rFonts w:cstheme="minorHAnsi"/>
        </w:rPr>
        <w:t xml:space="preserve"> has</w:t>
      </w:r>
      <w:r w:rsidR="000F7FE6">
        <w:rPr>
          <w:rFonts w:cstheme="minorHAnsi"/>
        </w:rPr>
        <w:t xml:space="preserve"> revealed that the majority of e-cigarette use in this age group was among children  using tobacco </w:t>
      </w:r>
      <w:r w:rsidR="000F7FE6">
        <w:rPr>
          <w:rFonts w:cstheme="minorHAnsi"/>
        </w:rPr>
        <w:fldChar w:fldCharType="begin" w:fldLock="1"/>
      </w:r>
      <w:r w:rsidR="0006533C">
        <w:rPr>
          <w:rFonts w:cstheme="minorHAnsi"/>
        </w:rPr>
        <w:instrText>ADDIN CSL_CITATION { "citationItems" : [ { "id" : "ITEM-1", "itemData" : { "DOI" : "10.18332/tpc/89727", "abstract" : "Introduction Using nationally representative data this study examined experimentation with and regular use of e-cigarettes among children not using tobacco at age 11 years, followed up to age 14 years.  Material and Methods Data come from 10 982 children in the UK Millennium Cohort Study. Logistic regression assessed experimentation with and current use of e-cigarettes by age 14 years. We considered associations of sociodemographics at age 11 years with subsequent e-cigarette use, including data on family income, peer and caregiver smoking. Subsequent models were adjusted for current tobacco use to assess both the strength of the assocations between e-cigarette use and tobacco, and whether sociodemographics were associated with e-cigarettes independently of tobacco.  Results Among 10 982 children who reported never smoking at age 11 years, 13.9% (1525) had ever tried an e-cigarette by age 14 years, and of these 18.2% (278) reported being current users. Children in lower income households were more likely to have tried an e-cigarette than those in higher income households (Adjusted Odds Ratio, AOR 1.89, p=0.002). Children who reported friend (AOR 2.28, p&lt;0.001) or caregiver smoking (AOR 1.77, p&lt;0.001) at age 11 years were more likely to have tried an e-cigarette by age 14 years. After adjusting for current tobacco use, there was some attenuation of these associations, although associations of friend and caregiver smoking with e-cigarette use remained statistically significant.  Conclusions Children from lower income families were more likely to experiment with e-cigarettes by age 14 years, although this was heavily mediated by concurrent tobacco use. Caregiver and friend smoking are linked to trying e-cigarettes, although these relationships are less clear for regular e-cigarette use.  ", "author" : [ { "dropping-particle" : "", "family" : "Laverty", "given" : "Anthony A", "non-dropping-particle" : "", "parse-names" : false, "suffix" : "" }, { "dropping-particle" : "", "family" : "Vamos", "given" : "Eszter P", "non-dropping-particle" : "", "parse-names" : false, "suffix" : "" }, { "dropping-particle" : "", "family" : "Filippidis", "given" : "Filippos", "non-dropping-particle" : "", "parse-names" : false, "suffix" : "" } ], "container-title" : "Tobacco Prevention &amp; Cessation", "id" : "ITEM-1", "issue" : "April", "issued" : { "date-parts" : [ [ "2018" ] ] }, "title" : "Uptake of e-cigarettes among a nationally representative cohort of UK children", "type" : "article-journal", "volume" : "4" }, "uris" : [ "http://www.mendeley.com/documents/?uuid=17c550a8-4e59-4d2d-aee1-fdee7c6029cf" ] } ], "mendeley" : { "formattedCitation" : "[9]", "plainTextFormattedCitation" : "[9]", "previouslyFormattedCitation" : "[10]" }, "properties" : { "noteIndex" : 0 }, "schema" : "https://github.com/citation-style-language/schema/raw/master/csl-citation.json" }</w:instrText>
      </w:r>
      <w:r w:rsidR="000F7FE6">
        <w:rPr>
          <w:rFonts w:cstheme="minorHAnsi"/>
        </w:rPr>
        <w:fldChar w:fldCharType="separate"/>
      </w:r>
      <w:r w:rsidR="0006533C" w:rsidRPr="0006533C">
        <w:rPr>
          <w:rFonts w:cstheme="minorHAnsi"/>
          <w:noProof/>
        </w:rPr>
        <w:t>[9]</w:t>
      </w:r>
      <w:r w:rsidR="000F7FE6">
        <w:rPr>
          <w:rFonts w:cstheme="minorHAnsi"/>
        </w:rPr>
        <w:fldChar w:fldCharType="end"/>
      </w:r>
      <w:r w:rsidR="000F7FE6">
        <w:rPr>
          <w:rFonts w:cstheme="minorHAnsi"/>
        </w:rPr>
        <w:fldChar w:fldCharType="begin" w:fldLock="1"/>
      </w:r>
      <w:r w:rsidR="0006533C">
        <w:rPr>
          <w:rFonts w:cstheme="minorHAnsi"/>
        </w:rPr>
        <w:instrText>ADDIN CSL_CITATION { "citationItems" : [ { "id" : "ITEM-1", "itemData" : { "DOI" : "10.3390/ijerph14090973", "ISBN" : "1660-4601 ", "abstract" : "Concern has been expressed about the use of e-cigarettes among young people. Our study reported e-cigarette and tobacco cigarette ever and regular use among 11\u201316 year olds across the UK. Data came from five large scale surveys with different designs and sampling strategies conducted between 2015 and 2017: The Youth Tobacco Policy Survey; the Schools Health Research Network Wales survey; two Action on Smoking and Health (ASH) Smokefree Great Britain-Youth Surveys; and the Scottish Schools Adolescent Lifestyle and Substance Use Survey. Cumulatively these surveys collected data from over 60,000 young people. For 2015/16 data for 11\u201316 year olds: ever smoking ranged from 11% to 20%; regular (at least weekly) smoking between 1% and 4%; ever use of e-cigarettes 7% to 18%; regular (at least weekly) use 1% to 3%; among never smokers, ever e-cigarette use ranged from 4% to 10% with regular use between 0.1% and 0.5%; among regular smokers, ever e-cigarette use ranged from 67% to 92% and regular use 7% to 38%. ASH surveys showed a rise in the prevalence of ever use of e-cigarettes from 7% (2016) to 11% (2017) but prevalence of regular use did not change remaining at 1%. In summary, surveys across the UK show a consistent pattern: most e-cigarette experimentation does not turn into regular use, and levels of regular use in young people who have never smoked remain very low.", "author" : [ { "dropping-particle" : "", "family" : "Bauld", "given" : "Linda", "non-dropping-particle" : "", "parse-names" : false, "suffix" : "" }, { "dropping-particle" : "", "family" : "MacKintosh", "given" : "M Anne", "non-dropping-particle" : "", "parse-names" : false, "suffix" : "" }, { "dropping-particle" : "", "family" : "Eastwood", "given" : "Brian", "non-dropping-particle" : "", "parse-names" : false, "suffix" : "" }, { "dropping-particle" : "", "family" : "Ford", "given" : "Allison", "non-dropping-particle" : "", "parse-names" : false, "suffix" : "" }, { "dropping-particle" : "", "family" : "Moore", "given" : "Graham", "non-dropping-particle" : "", "parse-names" : false, "suffix" : "" }, { "dropping-particle" : "", "family" : "Dockrell", "given" : "Martin", "non-dropping-particle" : "", "parse-names" : false, "suffix" : "" }, { "dropping-particle" : "", "family" : "Arnott", "given" : "Deborah", "non-dropping-particle" : "", "parse-names" : false, "suffix" : "" }, { "dropping-particle" : "", "family" : "Cheeseman", "given" : "Hazel", "non-dropping-particle" : "", "parse-names" : false, "suffix" : "" }, { "dropping-particle" : "", "family" : "McNeill", "given" : "Ann", "non-dropping-particle" : "", "parse-names" : false, "suffix" : "" } ], "container-title" : "International Journal of Environmental Research and Public Health ", "id" : "ITEM-1", "issue" : "9", "issued" : { "date-parts" : [ [ "2017" ] ] }, "title" : "Young People\u2019s Use of E-Cigarettes across the United Kingdom: Findings from Five Surveys 2015\u20132017", "type" : "article", "volume" : "14" }, "uris" : [ "http://www.mendeley.com/documents/?uuid=fb2d6999-8af8-470e-9ee4-885258c2c8d8" ] } ], "mendeley" : { "formattedCitation" : "[10]", "plainTextFormattedCitation" : "[10]", "previouslyFormattedCitation" : "[11]" }, "properties" : { "noteIndex" : 0 }, "schema" : "https://github.com/citation-style-language/schema/raw/master/csl-citation.json" }</w:instrText>
      </w:r>
      <w:r w:rsidR="000F7FE6">
        <w:rPr>
          <w:rFonts w:cstheme="minorHAnsi"/>
        </w:rPr>
        <w:fldChar w:fldCharType="separate"/>
      </w:r>
      <w:r w:rsidR="0006533C" w:rsidRPr="0006533C">
        <w:rPr>
          <w:rFonts w:cstheme="minorHAnsi"/>
          <w:noProof/>
        </w:rPr>
        <w:t>[10]</w:t>
      </w:r>
      <w:r w:rsidR="000F7FE6">
        <w:rPr>
          <w:rFonts w:cstheme="minorHAnsi"/>
        </w:rPr>
        <w:fldChar w:fldCharType="end"/>
      </w:r>
      <w:r w:rsidR="000F7FE6">
        <w:rPr>
          <w:rFonts w:cstheme="minorHAnsi"/>
        </w:rPr>
        <w:t>.</w:t>
      </w:r>
      <w:r w:rsidR="00FC4735" w:rsidRPr="00B74601">
        <w:rPr>
          <w:rFonts w:cstheme="minorHAnsi"/>
        </w:rPr>
        <w:t xml:space="preserve"> </w:t>
      </w:r>
    </w:p>
    <w:p w14:paraId="72E07F77" w14:textId="77777777" w:rsidR="00381472" w:rsidRDefault="00381472" w:rsidP="002106A3">
      <w:pPr>
        <w:spacing w:line="360" w:lineRule="auto"/>
        <w:rPr>
          <w:rFonts w:cstheme="minorHAnsi"/>
        </w:rPr>
      </w:pPr>
    </w:p>
    <w:p w14:paraId="565A290C" w14:textId="1D3FEF44" w:rsidR="00B74601" w:rsidRDefault="007315ED" w:rsidP="00501944">
      <w:pPr>
        <w:spacing w:line="360" w:lineRule="auto"/>
        <w:rPr>
          <w:rFonts w:cstheme="minorHAnsi"/>
        </w:rPr>
      </w:pPr>
      <w:r>
        <w:rPr>
          <w:rFonts w:cstheme="minorHAnsi"/>
        </w:rPr>
        <w:t>Despite declines in prevalence, large</w:t>
      </w:r>
      <w:r w:rsidR="00FD4FE8">
        <w:rPr>
          <w:rFonts w:cstheme="minorHAnsi"/>
        </w:rPr>
        <w:t xml:space="preserve"> numbers of children in the UK</w:t>
      </w:r>
      <w:r>
        <w:rPr>
          <w:rFonts w:cstheme="minorHAnsi"/>
        </w:rPr>
        <w:t xml:space="preserve"> experiment with and continue to </w:t>
      </w:r>
      <w:r w:rsidR="00630FD0">
        <w:rPr>
          <w:rFonts w:cstheme="minorHAnsi"/>
        </w:rPr>
        <w:t>smoke</w:t>
      </w:r>
      <w:r w:rsidR="00EE6003">
        <w:rPr>
          <w:rFonts w:cstheme="minorHAnsi"/>
        </w:rPr>
        <w:t xml:space="preserve">. </w:t>
      </w:r>
      <w:r>
        <w:rPr>
          <w:rFonts w:cstheme="minorHAnsi"/>
        </w:rPr>
        <w:t xml:space="preserve"> Associations with smoking during pregnancy and smoking among peers and caregivers s</w:t>
      </w:r>
      <w:r w:rsidR="0009696E">
        <w:rPr>
          <w:rFonts w:cstheme="minorHAnsi"/>
        </w:rPr>
        <w:t>u</w:t>
      </w:r>
      <w:r>
        <w:rPr>
          <w:rFonts w:cstheme="minorHAnsi"/>
        </w:rPr>
        <w:t xml:space="preserve">ggest the need for further comprehensive action to target this avoidable driver of disease. </w:t>
      </w:r>
    </w:p>
    <w:p w14:paraId="759DCCC1" w14:textId="77777777" w:rsidR="008F3E3E" w:rsidRDefault="008F3E3E" w:rsidP="008F3E3E">
      <w:pPr>
        <w:rPr>
          <w:rFonts w:ascii="Arial" w:hAnsi="Arial" w:cs="Arial"/>
          <w:sz w:val="20"/>
          <w:szCs w:val="20"/>
        </w:rPr>
      </w:pPr>
    </w:p>
    <w:p w14:paraId="41C4FAC1" w14:textId="77777777" w:rsidR="008F3E3E" w:rsidRDefault="008F3E3E" w:rsidP="008F3E3E">
      <w:pPr>
        <w:rPr>
          <w:rFonts w:ascii="Arial" w:hAnsi="Arial" w:cs="Arial"/>
          <w:b/>
          <w:sz w:val="20"/>
          <w:szCs w:val="20"/>
        </w:rPr>
        <w:sectPr w:rsidR="008F3E3E" w:rsidSect="007C2B41">
          <w:headerReference w:type="default" r:id="rId10"/>
          <w:pgSz w:w="11906" w:h="16838"/>
          <w:pgMar w:top="1440" w:right="1440" w:bottom="1440" w:left="1440" w:header="709" w:footer="709" w:gutter="0"/>
          <w:cols w:space="708"/>
          <w:docGrid w:linePitch="360"/>
        </w:sectPr>
      </w:pPr>
    </w:p>
    <w:p w14:paraId="3CD49482" w14:textId="27624D2D" w:rsidR="008F3E3E" w:rsidRPr="009728DC" w:rsidRDefault="00A5338B" w:rsidP="008F3E3E">
      <w:pPr>
        <w:rPr>
          <w:rFonts w:cstheme="minorHAnsi"/>
          <w:b/>
        </w:rPr>
      </w:pPr>
      <w:r>
        <w:rPr>
          <w:rFonts w:cstheme="minorHAnsi"/>
          <w:b/>
        </w:rPr>
        <w:lastRenderedPageBreak/>
        <w:t>Table 1</w:t>
      </w:r>
      <w:r w:rsidR="008F3E3E" w:rsidRPr="009728DC">
        <w:rPr>
          <w:rFonts w:cstheme="minorHAnsi"/>
          <w:b/>
        </w:rPr>
        <w:t xml:space="preserve">: </w:t>
      </w:r>
      <w:r w:rsidR="00594CE7">
        <w:rPr>
          <w:rFonts w:cstheme="minorHAnsi"/>
          <w:b/>
        </w:rPr>
        <w:t xml:space="preserve">Estimated </w:t>
      </w:r>
      <w:r w:rsidR="00594CE7" w:rsidRPr="009728DC">
        <w:rPr>
          <w:rFonts w:cstheme="minorHAnsi"/>
          <w:b/>
        </w:rPr>
        <w:t>ever</w:t>
      </w:r>
      <w:r w:rsidR="008F3E3E" w:rsidRPr="009728DC">
        <w:rPr>
          <w:rFonts w:cstheme="minorHAnsi"/>
          <w:b/>
        </w:rPr>
        <w:t xml:space="preserve"> use and current (at least weekly) use of cigarettes among early-teens year olds by region </w:t>
      </w:r>
    </w:p>
    <w:tbl>
      <w:tblPr>
        <w:tblW w:w="5000" w:type="pct"/>
        <w:tblLook w:val="04A0" w:firstRow="1" w:lastRow="0" w:firstColumn="1" w:lastColumn="0" w:noHBand="0" w:noVBand="1"/>
      </w:tblPr>
      <w:tblGrid>
        <w:gridCol w:w="2540"/>
        <w:gridCol w:w="2377"/>
        <w:gridCol w:w="2639"/>
        <w:gridCol w:w="3178"/>
        <w:gridCol w:w="3440"/>
      </w:tblGrid>
      <w:tr w:rsidR="008F3E3E" w:rsidRPr="00D10E6E" w14:paraId="1C1597F9" w14:textId="77777777" w:rsidTr="007C2B41">
        <w:trPr>
          <w:trHeight w:val="300"/>
        </w:trPr>
        <w:tc>
          <w:tcPr>
            <w:tcW w:w="936" w:type="pct"/>
            <w:tcBorders>
              <w:top w:val="single" w:sz="4" w:space="0" w:color="auto"/>
              <w:left w:val="nil"/>
              <w:bottom w:val="single" w:sz="4" w:space="0" w:color="auto"/>
              <w:right w:val="nil"/>
            </w:tcBorders>
            <w:shd w:val="clear" w:color="auto" w:fill="auto"/>
            <w:noWrap/>
            <w:vAlign w:val="center"/>
            <w:hideMark/>
          </w:tcPr>
          <w:p w14:paraId="42520343"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Region</w:t>
            </w:r>
          </w:p>
        </w:tc>
        <w:tc>
          <w:tcPr>
            <w:tcW w:w="936" w:type="pct"/>
            <w:tcBorders>
              <w:top w:val="single" w:sz="4" w:space="0" w:color="auto"/>
              <w:left w:val="nil"/>
              <w:bottom w:val="single" w:sz="4" w:space="0" w:color="auto"/>
              <w:right w:val="nil"/>
            </w:tcBorders>
            <w:shd w:val="clear" w:color="auto" w:fill="auto"/>
            <w:noWrap/>
            <w:vAlign w:val="center"/>
            <w:hideMark/>
          </w:tcPr>
          <w:p w14:paraId="5F53F87B"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 xml:space="preserve">% </w:t>
            </w:r>
            <w:r>
              <w:rPr>
                <w:rFonts w:ascii="Calibri" w:eastAsia="Times New Roman" w:hAnsi="Calibri" w:cs="Calibri"/>
                <w:color w:val="000000"/>
                <w:lang w:eastAsia="en-GB"/>
              </w:rPr>
              <w:t>ever smokers</w:t>
            </w:r>
            <w:r w:rsidRPr="00D10E6E">
              <w:rPr>
                <w:rFonts w:ascii="Calibri" w:eastAsia="Times New Roman" w:hAnsi="Calibri" w:cs="Calibri"/>
                <w:color w:val="000000"/>
                <w:lang w:eastAsia="en-GB"/>
              </w:rPr>
              <w:t xml:space="preserve"> (95% CI)</w:t>
            </w:r>
          </w:p>
        </w:tc>
        <w:tc>
          <w:tcPr>
            <w:tcW w:w="870" w:type="pct"/>
            <w:tcBorders>
              <w:top w:val="single" w:sz="4" w:space="0" w:color="auto"/>
              <w:left w:val="nil"/>
              <w:bottom w:val="single" w:sz="4" w:space="0" w:color="auto"/>
              <w:right w:val="nil"/>
            </w:tcBorders>
            <w:shd w:val="clear" w:color="auto" w:fill="auto"/>
            <w:noWrap/>
            <w:vAlign w:val="center"/>
            <w:hideMark/>
          </w:tcPr>
          <w:p w14:paraId="33706A0A"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 xml:space="preserve">% current </w:t>
            </w:r>
            <w:r>
              <w:rPr>
                <w:rFonts w:ascii="Calibri" w:eastAsia="Times New Roman" w:hAnsi="Calibri" w:cs="Calibri"/>
                <w:color w:val="000000"/>
                <w:lang w:eastAsia="en-GB"/>
              </w:rPr>
              <w:t>smokers</w:t>
            </w:r>
            <w:r w:rsidRPr="00D10E6E">
              <w:rPr>
                <w:rFonts w:ascii="Calibri" w:eastAsia="Times New Roman" w:hAnsi="Calibri" w:cs="Calibri"/>
                <w:color w:val="000000"/>
                <w:lang w:eastAsia="en-GB"/>
              </w:rPr>
              <w:t xml:space="preserve"> (95% CI)</w:t>
            </w:r>
          </w:p>
        </w:tc>
        <w:tc>
          <w:tcPr>
            <w:tcW w:w="1170" w:type="pct"/>
            <w:tcBorders>
              <w:top w:val="single" w:sz="4" w:space="0" w:color="auto"/>
              <w:left w:val="nil"/>
              <w:bottom w:val="single" w:sz="4" w:space="0" w:color="auto"/>
              <w:right w:val="nil"/>
            </w:tcBorders>
            <w:shd w:val="clear" w:color="auto" w:fill="auto"/>
            <w:noWrap/>
            <w:vAlign w:val="center"/>
            <w:hideMark/>
          </w:tcPr>
          <w:p w14:paraId="7AA0D5ED"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 xml:space="preserve">Number </w:t>
            </w:r>
            <w:r>
              <w:rPr>
                <w:rFonts w:ascii="Calibri" w:eastAsia="Times New Roman" w:hAnsi="Calibri" w:cs="Calibri"/>
                <w:color w:val="000000"/>
                <w:lang w:eastAsia="en-GB"/>
              </w:rPr>
              <w:t>of ever smokers</w:t>
            </w:r>
            <w:r w:rsidRPr="00D10E6E">
              <w:rPr>
                <w:rFonts w:ascii="Calibri" w:eastAsia="Times New Roman" w:hAnsi="Calibri" w:cs="Calibri"/>
                <w:color w:val="000000"/>
                <w:lang w:eastAsia="en-GB"/>
              </w:rPr>
              <w:t xml:space="preserve"> (95% CI)</w:t>
            </w:r>
          </w:p>
        </w:tc>
        <w:tc>
          <w:tcPr>
            <w:tcW w:w="1089" w:type="pct"/>
            <w:tcBorders>
              <w:top w:val="single" w:sz="4" w:space="0" w:color="auto"/>
              <w:left w:val="nil"/>
              <w:bottom w:val="single" w:sz="4" w:space="0" w:color="auto"/>
              <w:right w:val="nil"/>
            </w:tcBorders>
            <w:shd w:val="clear" w:color="auto" w:fill="auto"/>
            <w:noWrap/>
            <w:vAlign w:val="center"/>
            <w:hideMark/>
          </w:tcPr>
          <w:p w14:paraId="073BCC34"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 xml:space="preserve">Number </w:t>
            </w:r>
            <w:r>
              <w:rPr>
                <w:rFonts w:ascii="Calibri" w:eastAsia="Times New Roman" w:hAnsi="Calibri" w:cs="Calibri"/>
                <w:color w:val="000000"/>
                <w:lang w:eastAsia="en-GB"/>
              </w:rPr>
              <w:t>of current smokers</w:t>
            </w:r>
            <w:r w:rsidRPr="00D10E6E">
              <w:rPr>
                <w:rFonts w:ascii="Calibri" w:eastAsia="Times New Roman" w:hAnsi="Calibri" w:cs="Calibri"/>
                <w:color w:val="000000"/>
                <w:lang w:eastAsia="en-GB"/>
              </w:rPr>
              <w:t xml:space="preserve"> (95% CI)</w:t>
            </w:r>
          </w:p>
        </w:tc>
      </w:tr>
      <w:tr w:rsidR="008F3E3E" w:rsidRPr="00D10E6E" w14:paraId="2F9C565B" w14:textId="77777777" w:rsidTr="007C2B41">
        <w:trPr>
          <w:trHeight w:val="300"/>
        </w:trPr>
        <w:tc>
          <w:tcPr>
            <w:tcW w:w="936" w:type="pct"/>
            <w:tcBorders>
              <w:top w:val="nil"/>
              <w:left w:val="nil"/>
              <w:bottom w:val="nil"/>
              <w:right w:val="nil"/>
            </w:tcBorders>
            <w:shd w:val="clear" w:color="auto" w:fill="auto"/>
            <w:noWrap/>
            <w:vAlign w:val="center"/>
            <w:hideMark/>
          </w:tcPr>
          <w:p w14:paraId="0373DDF6"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North east</w:t>
            </w:r>
          </w:p>
        </w:tc>
        <w:tc>
          <w:tcPr>
            <w:tcW w:w="936" w:type="pct"/>
            <w:tcBorders>
              <w:top w:val="nil"/>
              <w:left w:val="nil"/>
              <w:bottom w:val="nil"/>
              <w:right w:val="nil"/>
            </w:tcBorders>
            <w:shd w:val="clear" w:color="auto" w:fill="auto"/>
            <w:noWrap/>
            <w:vAlign w:val="center"/>
            <w:hideMark/>
          </w:tcPr>
          <w:p w14:paraId="0F16EA2E"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22.5 (16.1 ; 28.9)</w:t>
            </w:r>
          </w:p>
        </w:tc>
        <w:tc>
          <w:tcPr>
            <w:tcW w:w="870" w:type="pct"/>
            <w:tcBorders>
              <w:top w:val="nil"/>
              <w:left w:val="nil"/>
              <w:bottom w:val="nil"/>
              <w:right w:val="nil"/>
            </w:tcBorders>
            <w:shd w:val="clear" w:color="auto" w:fill="auto"/>
            <w:noWrap/>
            <w:vAlign w:val="center"/>
            <w:hideMark/>
          </w:tcPr>
          <w:p w14:paraId="7D22A8F2"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5.4 (1.8 ; 9.1)</w:t>
            </w:r>
          </w:p>
        </w:tc>
        <w:tc>
          <w:tcPr>
            <w:tcW w:w="1170" w:type="pct"/>
            <w:tcBorders>
              <w:top w:val="nil"/>
              <w:left w:val="nil"/>
              <w:bottom w:val="nil"/>
              <w:right w:val="nil"/>
            </w:tcBorders>
            <w:shd w:val="clear" w:color="auto" w:fill="auto"/>
            <w:noWrap/>
            <w:vAlign w:val="center"/>
            <w:hideMark/>
          </w:tcPr>
          <w:p w14:paraId="35B83BA2"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12387 (8856 ; 15917)</w:t>
            </w:r>
          </w:p>
        </w:tc>
        <w:tc>
          <w:tcPr>
            <w:tcW w:w="1089" w:type="pct"/>
            <w:tcBorders>
              <w:top w:val="nil"/>
              <w:left w:val="nil"/>
              <w:bottom w:val="nil"/>
              <w:right w:val="nil"/>
            </w:tcBorders>
            <w:shd w:val="clear" w:color="auto" w:fill="auto"/>
            <w:noWrap/>
            <w:vAlign w:val="center"/>
            <w:hideMark/>
          </w:tcPr>
          <w:p w14:paraId="77D48918"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2994 (988 ; 5000)</w:t>
            </w:r>
          </w:p>
        </w:tc>
      </w:tr>
      <w:tr w:rsidR="008F3E3E" w:rsidRPr="00D10E6E" w14:paraId="2AD424B2" w14:textId="77777777" w:rsidTr="007C2B41">
        <w:trPr>
          <w:trHeight w:val="300"/>
        </w:trPr>
        <w:tc>
          <w:tcPr>
            <w:tcW w:w="936" w:type="pct"/>
            <w:tcBorders>
              <w:top w:val="nil"/>
              <w:left w:val="nil"/>
              <w:bottom w:val="nil"/>
              <w:right w:val="nil"/>
            </w:tcBorders>
            <w:shd w:val="clear" w:color="auto" w:fill="auto"/>
            <w:noWrap/>
            <w:vAlign w:val="center"/>
            <w:hideMark/>
          </w:tcPr>
          <w:p w14:paraId="1BA9A578"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North west</w:t>
            </w:r>
          </w:p>
        </w:tc>
        <w:tc>
          <w:tcPr>
            <w:tcW w:w="936" w:type="pct"/>
            <w:tcBorders>
              <w:top w:val="nil"/>
              <w:left w:val="nil"/>
              <w:bottom w:val="nil"/>
              <w:right w:val="nil"/>
            </w:tcBorders>
            <w:shd w:val="clear" w:color="auto" w:fill="auto"/>
            <w:noWrap/>
            <w:vAlign w:val="center"/>
            <w:hideMark/>
          </w:tcPr>
          <w:p w14:paraId="563DC036"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17.6 (13.9 ; 21.4)</w:t>
            </w:r>
          </w:p>
        </w:tc>
        <w:tc>
          <w:tcPr>
            <w:tcW w:w="870" w:type="pct"/>
            <w:tcBorders>
              <w:top w:val="nil"/>
              <w:left w:val="nil"/>
              <w:bottom w:val="nil"/>
              <w:right w:val="nil"/>
            </w:tcBorders>
            <w:shd w:val="clear" w:color="auto" w:fill="auto"/>
            <w:noWrap/>
            <w:vAlign w:val="center"/>
            <w:hideMark/>
          </w:tcPr>
          <w:p w14:paraId="1A03CCBC"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3.3 (1.5 ; 5</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w:t>
            </w:r>
          </w:p>
        </w:tc>
        <w:tc>
          <w:tcPr>
            <w:tcW w:w="1170" w:type="pct"/>
            <w:tcBorders>
              <w:top w:val="nil"/>
              <w:left w:val="nil"/>
              <w:bottom w:val="nil"/>
              <w:right w:val="nil"/>
            </w:tcBorders>
            <w:shd w:val="clear" w:color="auto" w:fill="auto"/>
            <w:noWrap/>
            <w:vAlign w:val="center"/>
            <w:hideMark/>
          </w:tcPr>
          <w:p w14:paraId="1ED1F81A"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27879 (21963 ; 33796)</w:t>
            </w:r>
          </w:p>
        </w:tc>
        <w:tc>
          <w:tcPr>
            <w:tcW w:w="1089" w:type="pct"/>
            <w:tcBorders>
              <w:top w:val="nil"/>
              <w:left w:val="nil"/>
              <w:bottom w:val="nil"/>
              <w:right w:val="nil"/>
            </w:tcBorders>
            <w:shd w:val="clear" w:color="auto" w:fill="auto"/>
            <w:noWrap/>
            <w:vAlign w:val="center"/>
            <w:hideMark/>
          </w:tcPr>
          <w:p w14:paraId="7827D2EF"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5162 (2360 ; 7964)</w:t>
            </w:r>
          </w:p>
        </w:tc>
      </w:tr>
      <w:tr w:rsidR="008F3E3E" w:rsidRPr="00D10E6E" w14:paraId="42DD99BF" w14:textId="77777777" w:rsidTr="007C2B41">
        <w:trPr>
          <w:trHeight w:val="300"/>
        </w:trPr>
        <w:tc>
          <w:tcPr>
            <w:tcW w:w="936" w:type="pct"/>
            <w:tcBorders>
              <w:top w:val="nil"/>
              <w:left w:val="nil"/>
              <w:bottom w:val="nil"/>
              <w:right w:val="nil"/>
            </w:tcBorders>
            <w:shd w:val="clear" w:color="auto" w:fill="auto"/>
            <w:noWrap/>
            <w:vAlign w:val="center"/>
            <w:hideMark/>
          </w:tcPr>
          <w:p w14:paraId="27907C89"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Yorkshire and the Humber</w:t>
            </w:r>
          </w:p>
        </w:tc>
        <w:tc>
          <w:tcPr>
            <w:tcW w:w="936" w:type="pct"/>
            <w:tcBorders>
              <w:top w:val="nil"/>
              <w:left w:val="nil"/>
              <w:bottom w:val="nil"/>
              <w:right w:val="nil"/>
            </w:tcBorders>
            <w:shd w:val="clear" w:color="auto" w:fill="auto"/>
            <w:noWrap/>
            <w:vAlign w:val="center"/>
            <w:hideMark/>
          </w:tcPr>
          <w:p w14:paraId="6D064C43"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16.6 (14.4 ; 18.7)</w:t>
            </w:r>
          </w:p>
        </w:tc>
        <w:tc>
          <w:tcPr>
            <w:tcW w:w="870" w:type="pct"/>
            <w:tcBorders>
              <w:top w:val="nil"/>
              <w:left w:val="nil"/>
              <w:bottom w:val="nil"/>
              <w:right w:val="nil"/>
            </w:tcBorders>
            <w:shd w:val="clear" w:color="auto" w:fill="auto"/>
            <w:noWrap/>
            <w:vAlign w:val="center"/>
            <w:hideMark/>
          </w:tcPr>
          <w:p w14:paraId="25A8A4E5"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3.3 (1.5 ; 5</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w:t>
            </w:r>
          </w:p>
        </w:tc>
        <w:tc>
          <w:tcPr>
            <w:tcW w:w="1170" w:type="pct"/>
            <w:tcBorders>
              <w:top w:val="nil"/>
              <w:left w:val="nil"/>
              <w:bottom w:val="nil"/>
              <w:right w:val="nil"/>
            </w:tcBorders>
            <w:shd w:val="clear" w:color="auto" w:fill="auto"/>
            <w:noWrap/>
            <w:vAlign w:val="center"/>
            <w:hideMark/>
          </w:tcPr>
          <w:p w14:paraId="51CAB716"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19570 (17029 ; 22110)</w:t>
            </w:r>
          </w:p>
        </w:tc>
        <w:tc>
          <w:tcPr>
            <w:tcW w:w="1089" w:type="pct"/>
            <w:tcBorders>
              <w:top w:val="nil"/>
              <w:left w:val="nil"/>
              <w:bottom w:val="nil"/>
              <w:right w:val="nil"/>
            </w:tcBorders>
            <w:shd w:val="clear" w:color="auto" w:fill="auto"/>
            <w:noWrap/>
            <w:vAlign w:val="center"/>
            <w:hideMark/>
          </w:tcPr>
          <w:p w14:paraId="68DEB549"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3854 (1754 ; 5955)</w:t>
            </w:r>
          </w:p>
        </w:tc>
      </w:tr>
      <w:tr w:rsidR="008F3E3E" w:rsidRPr="00D10E6E" w14:paraId="3B0C81E3" w14:textId="77777777" w:rsidTr="007C2B41">
        <w:trPr>
          <w:trHeight w:val="300"/>
        </w:trPr>
        <w:tc>
          <w:tcPr>
            <w:tcW w:w="936" w:type="pct"/>
            <w:tcBorders>
              <w:top w:val="nil"/>
              <w:left w:val="nil"/>
              <w:bottom w:val="nil"/>
              <w:right w:val="nil"/>
            </w:tcBorders>
            <w:shd w:val="clear" w:color="auto" w:fill="auto"/>
            <w:noWrap/>
            <w:vAlign w:val="center"/>
            <w:hideMark/>
          </w:tcPr>
          <w:p w14:paraId="4A600143"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East midlands</w:t>
            </w:r>
          </w:p>
        </w:tc>
        <w:tc>
          <w:tcPr>
            <w:tcW w:w="936" w:type="pct"/>
            <w:tcBorders>
              <w:top w:val="nil"/>
              <w:left w:val="nil"/>
              <w:bottom w:val="nil"/>
              <w:right w:val="nil"/>
            </w:tcBorders>
            <w:shd w:val="clear" w:color="auto" w:fill="auto"/>
            <w:noWrap/>
            <w:vAlign w:val="center"/>
            <w:hideMark/>
          </w:tcPr>
          <w:p w14:paraId="601D4F1D"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16.5 (12.4 ; 20.6)</w:t>
            </w:r>
          </w:p>
        </w:tc>
        <w:tc>
          <w:tcPr>
            <w:tcW w:w="870" w:type="pct"/>
            <w:tcBorders>
              <w:top w:val="nil"/>
              <w:left w:val="nil"/>
              <w:bottom w:val="nil"/>
              <w:right w:val="nil"/>
            </w:tcBorders>
            <w:shd w:val="clear" w:color="auto" w:fill="auto"/>
            <w:noWrap/>
            <w:vAlign w:val="center"/>
            <w:hideMark/>
          </w:tcPr>
          <w:p w14:paraId="5F70FB54"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1.5 (0.2 ; 2.8)</w:t>
            </w:r>
          </w:p>
        </w:tc>
        <w:tc>
          <w:tcPr>
            <w:tcW w:w="1170" w:type="pct"/>
            <w:tcBorders>
              <w:top w:val="nil"/>
              <w:left w:val="nil"/>
              <w:bottom w:val="nil"/>
              <w:right w:val="nil"/>
            </w:tcBorders>
            <w:shd w:val="clear" w:color="auto" w:fill="auto"/>
            <w:noWrap/>
            <w:vAlign w:val="center"/>
            <w:hideMark/>
          </w:tcPr>
          <w:p w14:paraId="0C669FA8"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16913 (12699 ; 21126)</w:t>
            </w:r>
          </w:p>
        </w:tc>
        <w:tc>
          <w:tcPr>
            <w:tcW w:w="1089" w:type="pct"/>
            <w:tcBorders>
              <w:top w:val="nil"/>
              <w:left w:val="nil"/>
              <w:bottom w:val="nil"/>
              <w:right w:val="nil"/>
            </w:tcBorders>
            <w:shd w:val="clear" w:color="auto" w:fill="auto"/>
            <w:noWrap/>
            <w:vAlign w:val="center"/>
            <w:hideMark/>
          </w:tcPr>
          <w:p w14:paraId="5807B736"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1487 (156 ; 2819)</w:t>
            </w:r>
          </w:p>
        </w:tc>
      </w:tr>
      <w:tr w:rsidR="008F3E3E" w:rsidRPr="00D10E6E" w14:paraId="1E205BD9" w14:textId="77777777" w:rsidTr="007C2B41">
        <w:trPr>
          <w:trHeight w:val="300"/>
        </w:trPr>
        <w:tc>
          <w:tcPr>
            <w:tcW w:w="936" w:type="pct"/>
            <w:tcBorders>
              <w:top w:val="nil"/>
              <w:left w:val="nil"/>
              <w:bottom w:val="nil"/>
              <w:right w:val="nil"/>
            </w:tcBorders>
            <w:shd w:val="clear" w:color="auto" w:fill="auto"/>
            <w:noWrap/>
            <w:vAlign w:val="center"/>
            <w:hideMark/>
          </w:tcPr>
          <w:p w14:paraId="69DFB130"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West midlands</w:t>
            </w:r>
          </w:p>
        </w:tc>
        <w:tc>
          <w:tcPr>
            <w:tcW w:w="936" w:type="pct"/>
            <w:tcBorders>
              <w:top w:val="nil"/>
              <w:left w:val="nil"/>
              <w:bottom w:val="nil"/>
              <w:right w:val="nil"/>
            </w:tcBorders>
            <w:shd w:val="clear" w:color="auto" w:fill="auto"/>
            <w:noWrap/>
            <w:vAlign w:val="center"/>
            <w:hideMark/>
          </w:tcPr>
          <w:p w14:paraId="459D6277"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15.1 (10.9 ; 19.3)</w:t>
            </w:r>
          </w:p>
        </w:tc>
        <w:tc>
          <w:tcPr>
            <w:tcW w:w="870" w:type="pct"/>
            <w:tcBorders>
              <w:top w:val="nil"/>
              <w:left w:val="nil"/>
              <w:bottom w:val="nil"/>
              <w:right w:val="nil"/>
            </w:tcBorders>
            <w:shd w:val="clear" w:color="auto" w:fill="auto"/>
            <w:noWrap/>
            <w:vAlign w:val="center"/>
            <w:hideMark/>
          </w:tcPr>
          <w:p w14:paraId="41D75BE0"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2.2 (1.2 ; 3.2)</w:t>
            </w:r>
          </w:p>
        </w:tc>
        <w:tc>
          <w:tcPr>
            <w:tcW w:w="1170" w:type="pct"/>
            <w:tcBorders>
              <w:top w:val="nil"/>
              <w:left w:val="nil"/>
              <w:bottom w:val="nil"/>
              <w:right w:val="nil"/>
            </w:tcBorders>
            <w:shd w:val="clear" w:color="auto" w:fill="auto"/>
            <w:noWrap/>
            <w:vAlign w:val="center"/>
            <w:hideMark/>
          </w:tcPr>
          <w:p w14:paraId="7DEC88BF"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19918 (14326 ; 25509)</w:t>
            </w:r>
          </w:p>
        </w:tc>
        <w:tc>
          <w:tcPr>
            <w:tcW w:w="1089" w:type="pct"/>
            <w:tcBorders>
              <w:top w:val="nil"/>
              <w:left w:val="nil"/>
              <w:bottom w:val="nil"/>
              <w:right w:val="nil"/>
            </w:tcBorders>
            <w:shd w:val="clear" w:color="auto" w:fill="auto"/>
            <w:noWrap/>
            <w:vAlign w:val="center"/>
            <w:hideMark/>
          </w:tcPr>
          <w:p w14:paraId="7647088F"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2920 (1571 ; 4270)</w:t>
            </w:r>
          </w:p>
        </w:tc>
      </w:tr>
      <w:tr w:rsidR="008F3E3E" w:rsidRPr="00D10E6E" w14:paraId="0BCD70B4" w14:textId="77777777" w:rsidTr="007C2B41">
        <w:trPr>
          <w:trHeight w:val="300"/>
        </w:trPr>
        <w:tc>
          <w:tcPr>
            <w:tcW w:w="936" w:type="pct"/>
            <w:tcBorders>
              <w:top w:val="nil"/>
              <w:left w:val="nil"/>
              <w:bottom w:val="nil"/>
              <w:right w:val="nil"/>
            </w:tcBorders>
            <w:shd w:val="clear" w:color="auto" w:fill="auto"/>
            <w:noWrap/>
            <w:vAlign w:val="center"/>
            <w:hideMark/>
          </w:tcPr>
          <w:p w14:paraId="5A705E16"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East of England</w:t>
            </w:r>
          </w:p>
        </w:tc>
        <w:tc>
          <w:tcPr>
            <w:tcW w:w="936" w:type="pct"/>
            <w:tcBorders>
              <w:top w:val="nil"/>
              <w:left w:val="nil"/>
              <w:bottom w:val="nil"/>
              <w:right w:val="nil"/>
            </w:tcBorders>
            <w:shd w:val="clear" w:color="auto" w:fill="auto"/>
            <w:noWrap/>
            <w:vAlign w:val="center"/>
            <w:hideMark/>
          </w:tcPr>
          <w:p w14:paraId="23D64C0F"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13.3 (9.2 ; 17.5)</w:t>
            </w:r>
          </w:p>
        </w:tc>
        <w:tc>
          <w:tcPr>
            <w:tcW w:w="870" w:type="pct"/>
            <w:tcBorders>
              <w:top w:val="nil"/>
              <w:left w:val="nil"/>
              <w:bottom w:val="nil"/>
              <w:right w:val="nil"/>
            </w:tcBorders>
            <w:shd w:val="clear" w:color="auto" w:fill="auto"/>
            <w:noWrap/>
            <w:vAlign w:val="center"/>
            <w:hideMark/>
          </w:tcPr>
          <w:p w14:paraId="6F309BA9"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2.5 (1</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 xml:space="preserve"> ; 3.9)</w:t>
            </w:r>
          </w:p>
        </w:tc>
        <w:tc>
          <w:tcPr>
            <w:tcW w:w="1170" w:type="pct"/>
            <w:tcBorders>
              <w:top w:val="nil"/>
              <w:left w:val="nil"/>
              <w:bottom w:val="nil"/>
              <w:right w:val="nil"/>
            </w:tcBorders>
            <w:shd w:val="clear" w:color="auto" w:fill="auto"/>
            <w:noWrap/>
            <w:vAlign w:val="center"/>
            <w:hideMark/>
          </w:tcPr>
          <w:p w14:paraId="36D095C9"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17986 (12380 ; 23592)</w:t>
            </w:r>
          </w:p>
        </w:tc>
        <w:tc>
          <w:tcPr>
            <w:tcW w:w="1089" w:type="pct"/>
            <w:tcBorders>
              <w:top w:val="nil"/>
              <w:left w:val="nil"/>
              <w:bottom w:val="nil"/>
              <w:right w:val="nil"/>
            </w:tcBorders>
            <w:shd w:val="clear" w:color="auto" w:fill="auto"/>
            <w:noWrap/>
            <w:vAlign w:val="center"/>
            <w:hideMark/>
          </w:tcPr>
          <w:p w14:paraId="7B0F0F5E"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3326 (1331 ; 5320)</w:t>
            </w:r>
          </w:p>
        </w:tc>
      </w:tr>
      <w:tr w:rsidR="008F3E3E" w:rsidRPr="00D10E6E" w14:paraId="38959F38" w14:textId="77777777" w:rsidTr="007C2B41">
        <w:trPr>
          <w:trHeight w:val="300"/>
        </w:trPr>
        <w:tc>
          <w:tcPr>
            <w:tcW w:w="936" w:type="pct"/>
            <w:tcBorders>
              <w:top w:val="nil"/>
              <w:left w:val="nil"/>
              <w:bottom w:val="nil"/>
              <w:right w:val="nil"/>
            </w:tcBorders>
            <w:shd w:val="clear" w:color="auto" w:fill="auto"/>
            <w:noWrap/>
            <w:vAlign w:val="center"/>
            <w:hideMark/>
          </w:tcPr>
          <w:p w14:paraId="63695DEA"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London</w:t>
            </w:r>
          </w:p>
        </w:tc>
        <w:tc>
          <w:tcPr>
            <w:tcW w:w="936" w:type="pct"/>
            <w:tcBorders>
              <w:top w:val="nil"/>
              <w:left w:val="nil"/>
              <w:bottom w:val="nil"/>
              <w:right w:val="nil"/>
            </w:tcBorders>
            <w:shd w:val="clear" w:color="auto" w:fill="auto"/>
            <w:noWrap/>
            <w:vAlign w:val="center"/>
            <w:hideMark/>
          </w:tcPr>
          <w:p w14:paraId="5C44C082"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11.1 (7.9 ; 14.4)</w:t>
            </w:r>
          </w:p>
        </w:tc>
        <w:tc>
          <w:tcPr>
            <w:tcW w:w="870" w:type="pct"/>
            <w:tcBorders>
              <w:top w:val="nil"/>
              <w:left w:val="nil"/>
              <w:bottom w:val="nil"/>
              <w:right w:val="nil"/>
            </w:tcBorders>
            <w:shd w:val="clear" w:color="auto" w:fill="auto"/>
            <w:noWrap/>
            <w:vAlign w:val="center"/>
            <w:hideMark/>
          </w:tcPr>
          <w:p w14:paraId="549A27A6"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 xml:space="preserve"> (0.3 ; 1.6)</w:t>
            </w:r>
          </w:p>
        </w:tc>
        <w:tc>
          <w:tcPr>
            <w:tcW w:w="1170" w:type="pct"/>
            <w:tcBorders>
              <w:top w:val="nil"/>
              <w:left w:val="nil"/>
              <w:bottom w:val="nil"/>
              <w:right w:val="nil"/>
            </w:tcBorders>
            <w:shd w:val="clear" w:color="auto" w:fill="auto"/>
            <w:noWrap/>
            <w:vAlign w:val="center"/>
            <w:hideMark/>
          </w:tcPr>
          <w:p w14:paraId="38EFDEC7"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20321 (14364 ; 26277)</w:t>
            </w:r>
          </w:p>
        </w:tc>
        <w:tc>
          <w:tcPr>
            <w:tcW w:w="1089" w:type="pct"/>
            <w:tcBorders>
              <w:top w:val="nil"/>
              <w:left w:val="nil"/>
              <w:bottom w:val="nil"/>
              <w:right w:val="nil"/>
            </w:tcBorders>
            <w:shd w:val="clear" w:color="auto" w:fill="auto"/>
            <w:noWrap/>
            <w:vAlign w:val="center"/>
            <w:hideMark/>
          </w:tcPr>
          <w:p w14:paraId="6542391B"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1817 (629 ; 3004)</w:t>
            </w:r>
          </w:p>
        </w:tc>
      </w:tr>
      <w:tr w:rsidR="008F3E3E" w:rsidRPr="00D10E6E" w14:paraId="3445CBE1" w14:textId="77777777" w:rsidTr="007C2B41">
        <w:trPr>
          <w:trHeight w:val="300"/>
        </w:trPr>
        <w:tc>
          <w:tcPr>
            <w:tcW w:w="936" w:type="pct"/>
            <w:tcBorders>
              <w:top w:val="nil"/>
              <w:left w:val="nil"/>
              <w:bottom w:val="nil"/>
              <w:right w:val="nil"/>
            </w:tcBorders>
            <w:shd w:val="clear" w:color="auto" w:fill="auto"/>
            <w:noWrap/>
            <w:vAlign w:val="center"/>
            <w:hideMark/>
          </w:tcPr>
          <w:p w14:paraId="5F09FC16"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South east</w:t>
            </w:r>
          </w:p>
        </w:tc>
        <w:tc>
          <w:tcPr>
            <w:tcW w:w="936" w:type="pct"/>
            <w:tcBorders>
              <w:top w:val="nil"/>
              <w:left w:val="nil"/>
              <w:bottom w:val="nil"/>
              <w:right w:val="nil"/>
            </w:tcBorders>
            <w:shd w:val="clear" w:color="auto" w:fill="auto"/>
            <w:noWrap/>
            <w:vAlign w:val="center"/>
            <w:hideMark/>
          </w:tcPr>
          <w:p w14:paraId="1D18C28B"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16.1 (12.1 ; 20</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w:t>
            </w:r>
          </w:p>
        </w:tc>
        <w:tc>
          <w:tcPr>
            <w:tcW w:w="870" w:type="pct"/>
            <w:tcBorders>
              <w:top w:val="nil"/>
              <w:left w:val="nil"/>
              <w:bottom w:val="nil"/>
              <w:right w:val="nil"/>
            </w:tcBorders>
            <w:shd w:val="clear" w:color="auto" w:fill="auto"/>
            <w:noWrap/>
            <w:vAlign w:val="center"/>
            <w:hideMark/>
          </w:tcPr>
          <w:p w14:paraId="59EC0D36"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2.7 (1.6 ; 3.8)</w:t>
            </w:r>
          </w:p>
        </w:tc>
        <w:tc>
          <w:tcPr>
            <w:tcW w:w="1170" w:type="pct"/>
            <w:tcBorders>
              <w:top w:val="nil"/>
              <w:left w:val="nil"/>
              <w:bottom w:val="nil"/>
              <w:right w:val="nil"/>
            </w:tcBorders>
            <w:shd w:val="clear" w:color="auto" w:fill="auto"/>
            <w:noWrap/>
            <w:vAlign w:val="center"/>
            <w:hideMark/>
          </w:tcPr>
          <w:p w14:paraId="4FC3ABBB"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32399 (24343 ; 40456)</w:t>
            </w:r>
          </w:p>
        </w:tc>
        <w:tc>
          <w:tcPr>
            <w:tcW w:w="1089" w:type="pct"/>
            <w:tcBorders>
              <w:top w:val="nil"/>
              <w:left w:val="nil"/>
              <w:bottom w:val="nil"/>
              <w:right w:val="nil"/>
            </w:tcBorders>
            <w:shd w:val="clear" w:color="auto" w:fill="auto"/>
            <w:noWrap/>
            <w:vAlign w:val="center"/>
            <w:hideMark/>
          </w:tcPr>
          <w:p w14:paraId="209FF9FB"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5480 (3271 ; 7689)</w:t>
            </w:r>
          </w:p>
        </w:tc>
      </w:tr>
      <w:tr w:rsidR="008F3E3E" w:rsidRPr="00D10E6E" w14:paraId="3BC3F292" w14:textId="77777777" w:rsidTr="007C2B41">
        <w:trPr>
          <w:trHeight w:val="300"/>
        </w:trPr>
        <w:tc>
          <w:tcPr>
            <w:tcW w:w="936" w:type="pct"/>
            <w:tcBorders>
              <w:top w:val="nil"/>
              <w:left w:val="nil"/>
              <w:bottom w:val="nil"/>
              <w:right w:val="nil"/>
            </w:tcBorders>
            <w:shd w:val="clear" w:color="auto" w:fill="auto"/>
            <w:noWrap/>
            <w:vAlign w:val="center"/>
            <w:hideMark/>
          </w:tcPr>
          <w:p w14:paraId="74AB4B54"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South west</w:t>
            </w:r>
          </w:p>
        </w:tc>
        <w:tc>
          <w:tcPr>
            <w:tcW w:w="936" w:type="pct"/>
            <w:tcBorders>
              <w:top w:val="nil"/>
              <w:left w:val="nil"/>
              <w:bottom w:val="nil"/>
              <w:right w:val="nil"/>
            </w:tcBorders>
            <w:shd w:val="clear" w:color="auto" w:fill="auto"/>
            <w:noWrap/>
            <w:vAlign w:val="center"/>
            <w:hideMark/>
          </w:tcPr>
          <w:p w14:paraId="6A75D87D"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15.2 (12.6 ; 17.9)</w:t>
            </w:r>
          </w:p>
        </w:tc>
        <w:tc>
          <w:tcPr>
            <w:tcW w:w="870" w:type="pct"/>
            <w:tcBorders>
              <w:top w:val="nil"/>
              <w:left w:val="nil"/>
              <w:bottom w:val="nil"/>
              <w:right w:val="nil"/>
            </w:tcBorders>
            <w:shd w:val="clear" w:color="auto" w:fill="auto"/>
            <w:noWrap/>
            <w:vAlign w:val="center"/>
            <w:hideMark/>
          </w:tcPr>
          <w:p w14:paraId="45FF20BB"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2.3 (1.1 ; 3.5)</w:t>
            </w:r>
          </w:p>
        </w:tc>
        <w:tc>
          <w:tcPr>
            <w:tcW w:w="1170" w:type="pct"/>
            <w:tcBorders>
              <w:top w:val="nil"/>
              <w:left w:val="nil"/>
              <w:bottom w:val="nil"/>
              <w:right w:val="nil"/>
            </w:tcBorders>
            <w:shd w:val="clear" w:color="auto" w:fill="auto"/>
            <w:noWrap/>
            <w:vAlign w:val="center"/>
            <w:hideMark/>
          </w:tcPr>
          <w:p w14:paraId="6797804C"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17615 (14526 ; 20704)</w:t>
            </w:r>
          </w:p>
        </w:tc>
        <w:tc>
          <w:tcPr>
            <w:tcW w:w="1089" w:type="pct"/>
            <w:tcBorders>
              <w:top w:val="nil"/>
              <w:left w:val="nil"/>
              <w:bottom w:val="nil"/>
              <w:right w:val="nil"/>
            </w:tcBorders>
            <w:shd w:val="clear" w:color="auto" w:fill="auto"/>
            <w:noWrap/>
            <w:vAlign w:val="center"/>
            <w:hideMark/>
          </w:tcPr>
          <w:p w14:paraId="3A21BFB2"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2653 (1298 ; 4008)</w:t>
            </w:r>
          </w:p>
        </w:tc>
      </w:tr>
      <w:tr w:rsidR="008F3E3E" w:rsidRPr="00D10E6E" w14:paraId="78817888" w14:textId="77777777" w:rsidTr="007C2B41">
        <w:trPr>
          <w:trHeight w:val="300"/>
        </w:trPr>
        <w:tc>
          <w:tcPr>
            <w:tcW w:w="936" w:type="pct"/>
            <w:tcBorders>
              <w:top w:val="nil"/>
              <w:left w:val="nil"/>
              <w:bottom w:val="nil"/>
              <w:right w:val="nil"/>
            </w:tcBorders>
            <w:shd w:val="clear" w:color="auto" w:fill="auto"/>
            <w:noWrap/>
            <w:vAlign w:val="center"/>
            <w:hideMark/>
          </w:tcPr>
          <w:p w14:paraId="673D9BE2"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Wales</w:t>
            </w:r>
          </w:p>
        </w:tc>
        <w:tc>
          <w:tcPr>
            <w:tcW w:w="936" w:type="pct"/>
            <w:tcBorders>
              <w:top w:val="nil"/>
              <w:left w:val="nil"/>
              <w:bottom w:val="nil"/>
              <w:right w:val="nil"/>
            </w:tcBorders>
            <w:shd w:val="clear" w:color="auto" w:fill="auto"/>
            <w:noWrap/>
            <w:vAlign w:val="center"/>
            <w:hideMark/>
          </w:tcPr>
          <w:p w14:paraId="41922CEE"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15.3 (11.6 ; 19</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w:t>
            </w:r>
          </w:p>
        </w:tc>
        <w:tc>
          <w:tcPr>
            <w:tcW w:w="870" w:type="pct"/>
            <w:tcBorders>
              <w:top w:val="nil"/>
              <w:left w:val="nil"/>
              <w:bottom w:val="nil"/>
              <w:right w:val="nil"/>
            </w:tcBorders>
            <w:shd w:val="clear" w:color="auto" w:fill="auto"/>
            <w:noWrap/>
            <w:vAlign w:val="center"/>
            <w:hideMark/>
          </w:tcPr>
          <w:p w14:paraId="1FD27BA8"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2.3 (0.6 ; 4)</w:t>
            </w:r>
          </w:p>
        </w:tc>
        <w:tc>
          <w:tcPr>
            <w:tcW w:w="1170" w:type="pct"/>
            <w:tcBorders>
              <w:top w:val="nil"/>
              <w:left w:val="nil"/>
              <w:bottom w:val="nil"/>
              <w:right w:val="nil"/>
            </w:tcBorders>
            <w:shd w:val="clear" w:color="auto" w:fill="auto"/>
            <w:noWrap/>
            <w:vAlign w:val="center"/>
            <w:hideMark/>
          </w:tcPr>
          <w:p w14:paraId="68DEA3A9"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10388 (7867 ; 12909)</w:t>
            </w:r>
          </w:p>
        </w:tc>
        <w:tc>
          <w:tcPr>
            <w:tcW w:w="1089" w:type="pct"/>
            <w:tcBorders>
              <w:top w:val="nil"/>
              <w:left w:val="nil"/>
              <w:bottom w:val="nil"/>
              <w:right w:val="nil"/>
            </w:tcBorders>
            <w:shd w:val="clear" w:color="auto" w:fill="auto"/>
            <w:noWrap/>
            <w:vAlign w:val="center"/>
            <w:hideMark/>
          </w:tcPr>
          <w:p w14:paraId="40397D1C"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1586 (432 ; 2740)</w:t>
            </w:r>
          </w:p>
        </w:tc>
      </w:tr>
      <w:tr w:rsidR="008F3E3E" w:rsidRPr="00D10E6E" w14:paraId="6D89042A" w14:textId="77777777" w:rsidTr="007C2B41">
        <w:trPr>
          <w:trHeight w:val="300"/>
        </w:trPr>
        <w:tc>
          <w:tcPr>
            <w:tcW w:w="936" w:type="pct"/>
            <w:tcBorders>
              <w:top w:val="nil"/>
              <w:left w:val="nil"/>
              <w:bottom w:val="nil"/>
              <w:right w:val="nil"/>
            </w:tcBorders>
            <w:shd w:val="clear" w:color="auto" w:fill="auto"/>
            <w:noWrap/>
            <w:vAlign w:val="center"/>
            <w:hideMark/>
          </w:tcPr>
          <w:p w14:paraId="19F9DFB0"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Scotland</w:t>
            </w:r>
          </w:p>
        </w:tc>
        <w:tc>
          <w:tcPr>
            <w:tcW w:w="936" w:type="pct"/>
            <w:tcBorders>
              <w:top w:val="nil"/>
              <w:left w:val="nil"/>
              <w:bottom w:val="nil"/>
              <w:right w:val="nil"/>
            </w:tcBorders>
            <w:shd w:val="clear" w:color="auto" w:fill="auto"/>
            <w:noWrap/>
            <w:vAlign w:val="center"/>
            <w:hideMark/>
          </w:tcPr>
          <w:p w14:paraId="2207142B"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22</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 xml:space="preserve"> (13.8 ; 30.2)</w:t>
            </w:r>
          </w:p>
        </w:tc>
        <w:tc>
          <w:tcPr>
            <w:tcW w:w="870" w:type="pct"/>
            <w:tcBorders>
              <w:top w:val="nil"/>
              <w:left w:val="nil"/>
              <w:bottom w:val="nil"/>
              <w:right w:val="nil"/>
            </w:tcBorders>
            <w:shd w:val="clear" w:color="auto" w:fill="auto"/>
            <w:noWrap/>
            <w:vAlign w:val="center"/>
            <w:hideMark/>
          </w:tcPr>
          <w:p w14:paraId="049D7610" w14:textId="77777777" w:rsidR="008F3E3E" w:rsidRPr="00D10E6E" w:rsidRDefault="008F3E3E" w:rsidP="007C2B41">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6.5 (&lt;0.1</w:t>
            </w:r>
            <w:r w:rsidRPr="00D10E6E">
              <w:rPr>
                <w:rFonts w:ascii="Calibri" w:eastAsia="Times New Roman" w:hAnsi="Calibri" w:cs="Calibri"/>
                <w:color w:val="000000"/>
                <w:lang w:eastAsia="en-GB"/>
              </w:rPr>
              <w:t xml:space="preserve"> ; 14</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w:t>
            </w:r>
          </w:p>
        </w:tc>
        <w:tc>
          <w:tcPr>
            <w:tcW w:w="1170" w:type="pct"/>
            <w:tcBorders>
              <w:top w:val="nil"/>
              <w:left w:val="nil"/>
              <w:bottom w:val="nil"/>
              <w:right w:val="nil"/>
            </w:tcBorders>
            <w:shd w:val="clear" w:color="auto" w:fill="auto"/>
            <w:noWrap/>
            <w:vAlign w:val="center"/>
            <w:hideMark/>
          </w:tcPr>
          <w:p w14:paraId="27C6FF62"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24481 (15367 ; 33596)</w:t>
            </w:r>
          </w:p>
        </w:tc>
        <w:tc>
          <w:tcPr>
            <w:tcW w:w="1089" w:type="pct"/>
            <w:tcBorders>
              <w:top w:val="nil"/>
              <w:left w:val="nil"/>
              <w:bottom w:val="nil"/>
              <w:right w:val="nil"/>
            </w:tcBorders>
            <w:shd w:val="clear" w:color="auto" w:fill="auto"/>
            <w:noWrap/>
            <w:vAlign w:val="center"/>
            <w:hideMark/>
          </w:tcPr>
          <w:p w14:paraId="18401597"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7258 (</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 xml:space="preserve"> ; 15552)</w:t>
            </w:r>
          </w:p>
        </w:tc>
      </w:tr>
      <w:tr w:rsidR="008F3E3E" w:rsidRPr="00D10E6E" w14:paraId="08BDAC22" w14:textId="77777777" w:rsidTr="007C2B41">
        <w:trPr>
          <w:trHeight w:val="300"/>
        </w:trPr>
        <w:tc>
          <w:tcPr>
            <w:tcW w:w="936" w:type="pct"/>
            <w:tcBorders>
              <w:top w:val="nil"/>
              <w:left w:val="nil"/>
              <w:bottom w:val="single" w:sz="4" w:space="0" w:color="auto"/>
              <w:right w:val="nil"/>
            </w:tcBorders>
            <w:shd w:val="clear" w:color="auto" w:fill="auto"/>
            <w:noWrap/>
            <w:vAlign w:val="center"/>
            <w:hideMark/>
          </w:tcPr>
          <w:p w14:paraId="3C71B5F2"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Northern Ireland</w:t>
            </w:r>
          </w:p>
        </w:tc>
        <w:tc>
          <w:tcPr>
            <w:tcW w:w="936" w:type="pct"/>
            <w:tcBorders>
              <w:top w:val="nil"/>
              <w:left w:val="nil"/>
              <w:bottom w:val="single" w:sz="4" w:space="0" w:color="auto"/>
              <w:right w:val="nil"/>
            </w:tcBorders>
            <w:shd w:val="clear" w:color="auto" w:fill="auto"/>
            <w:noWrap/>
            <w:vAlign w:val="center"/>
            <w:hideMark/>
          </w:tcPr>
          <w:p w14:paraId="715DD3F6"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14.5 (11.6 ; 17.3)</w:t>
            </w:r>
          </w:p>
        </w:tc>
        <w:tc>
          <w:tcPr>
            <w:tcW w:w="870" w:type="pct"/>
            <w:tcBorders>
              <w:top w:val="nil"/>
              <w:left w:val="nil"/>
              <w:bottom w:val="single" w:sz="4" w:space="0" w:color="auto"/>
              <w:right w:val="nil"/>
            </w:tcBorders>
            <w:shd w:val="clear" w:color="auto" w:fill="auto"/>
            <w:noWrap/>
            <w:vAlign w:val="center"/>
            <w:hideMark/>
          </w:tcPr>
          <w:p w14:paraId="37997669"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0.7 (0.3 ; 1.2)</w:t>
            </w:r>
          </w:p>
        </w:tc>
        <w:tc>
          <w:tcPr>
            <w:tcW w:w="1170" w:type="pct"/>
            <w:tcBorders>
              <w:top w:val="nil"/>
              <w:left w:val="nil"/>
              <w:bottom w:val="single" w:sz="4" w:space="0" w:color="auto"/>
              <w:right w:val="nil"/>
            </w:tcBorders>
            <w:shd w:val="clear" w:color="auto" w:fill="auto"/>
            <w:noWrap/>
            <w:vAlign w:val="center"/>
            <w:hideMark/>
          </w:tcPr>
          <w:p w14:paraId="15605F28"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6570 (5258 ; 7883)</w:t>
            </w:r>
          </w:p>
        </w:tc>
        <w:tc>
          <w:tcPr>
            <w:tcW w:w="1089" w:type="pct"/>
            <w:tcBorders>
              <w:top w:val="nil"/>
              <w:left w:val="nil"/>
              <w:bottom w:val="single" w:sz="4" w:space="0" w:color="auto"/>
              <w:right w:val="nil"/>
            </w:tcBorders>
            <w:shd w:val="clear" w:color="auto" w:fill="auto"/>
            <w:noWrap/>
            <w:vAlign w:val="center"/>
            <w:hideMark/>
          </w:tcPr>
          <w:p w14:paraId="2D2F402C"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339 (121 ; 557)</w:t>
            </w:r>
          </w:p>
        </w:tc>
      </w:tr>
      <w:tr w:rsidR="008F3E3E" w:rsidRPr="00D10E6E" w14:paraId="26971A51" w14:textId="77777777" w:rsidTr="007C2B41">
        <w:trPr>
          <w:trHeight w:val="300"/>
        </w:trPr>
        <w:tc>
          <w:tcPr>
            <w:tcW w:w="936" w:type="pct"/>
            <w:tcBorders>
              <w:top w:val="nil"/>
              <w:left w:val="nil"/>
              <w:bottom w:val="single" w:sz="4" w:space="0" w:color="auto"/>
              <w:right w:val="nil"/>
            </w:tcBorders>
            <w:shd w:val="clear" w:color="auto" w:fill="auto"/>
            <w:noWrap/>
            <w:vAlign w:val="center"/>
            <w:hideMark/>
          </w:tcPr>
          <w:p w14:paraId="6F814726" w14:textId="77777777" w:rsidR="008F3E3E" w:rsidRPr="00D10E6E" w:rsidRDefault="008F3E3E" w:rsidP="007C2B41">
            <w:pPr>
              <w:spacing w:after="0" w:line="240" w:lineRule="auto"/>
              <w:rPr>
                <w:rFonts w:ascii="Calibri" w:eastAsia="Times New Roman" w:hAnsi="Calibri" w:cs="Calibri"/>
                <w:color w:val="000000"/>
                <w:lang w:eastAsia="en-GB"/>
              </w:rPr>
            </w:pPr>
            <w:r w:rsidRPr="00D10E6E">
              <w:rPr>
                <w:rFonts w:ascii="Calibri" w:eastAsia="Times New Roman" w:hAnsi="Calibri" w:cs="Calibri"/>
                <w:color w:val="000000"/>
                <w:lang w:eastAsia="en-GB"/>
              </w:rPr>
              <w:t>Overall</w:t>
            </w:r>
          </w:p>
        </w:tc>
        <w:tc>
          <w:tcPr>
            <w:tcW w:w="936" w:type="pct"/>
            <w:tcBorders>
              <w:top w:val="nil"/>
              <w:left w:val="nil"/>
              <w:bottom w:val="single" w:sz="4" w:space="0" w:color="auto"/>
              <w:right w:val="nil"/>
            </w:tcBorders>
            <w:shd w:val="clear" w:color="auto" w:fill="auto"/>
            <w:noWrap/>
            <w:vAlign w:val="center"/>
            <w:hideMark/>
          </w:tcPr>
          <w:p w14:paraId="4D9382DA"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16</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 xml:space="preserve"> (14.7 ; 17.3)</w:t>
            </w:r>
          </w:p>
        </w:tc>
        <w:tc>
          <w:tcPr>
            <w:tcW w:w="870" w:type="pct"/>
            <w:tcBorders>
              <w:top w:val="nil"/>
              <w:left w:val="nil"/>
              <w:bottom w:val="single" w:sz="4" w:space="0" w:color="auto"/>
              <w:right w:val="nil"/>
            </w:tcBorders>
            <w:shd w:val="clear" w:color="auto" w:fill="auto"/>
            <w:noWrap/>
            <w:vAlign w:val="center"/>
            <w:hideMark/>
          </w:tcPr>
          <w:p w14:paraId="2F0FBD63"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2.8 (2</w:t>
            </w:r>
            <w:r>
              <w:rPr>
                <w:rFonts w:ascii="Calibri" w:eastAsia="Times New Roman" w:hAnsi="Calibri" w:cs="Calibri"/>
                <w:color w:val="000000"/>
                <w:lang w:eastAsia="en-GB"/>
              </w:rPr>
              <w:t>.0</w:t>
            </w:r>
            <w:r w:rsidRPr="00D10E6E">
              <w:rPr>
                <w:rFonts w:ascii="Calibri" w:eastAsia="Times New Roman" w:hAnsi="Calibri" w:cs="Calibri"/>
                <w:color w:val="000000"/>
                <w:lang w:eastAsia="en-GB"/>
              </w:rPr>
              <w:t xml:space="preserve"> ; 3.6)</w:t>
            </w:r>
          </w:p>
        </w:tc>
        <w:tc>
          <w:tcPr>
            <w:tcW w:w="1170" w:type="pct"/>
            <w:tcBorders>
              <w:top w:val="nil"/>
              <w:left w:val="nil"/>
              <w:bottom w:val="single" w:sz="4" w:space="0" w:color="auto"/>
              <w:right w:val="nil"/>
            </w:tcBorders>
            <w:shd w:val="clear" w:color="auto" w:fill="auto"/>
            <w:noWrap/>
            <w:vAlign w:val="center"/>
            <w:hideMark/>
          </w:tcPr>
          <w:p w14:paraId="09E150CA"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228136 (209980 ; 246293)</w:t>
            </w:r>
          </w:p>
        </w:tc>
        <w:tc>
          <w:tcPr>
            <w:tcW w:w="1089" w:type="pct"/>
            <w:tcBorders>
              <w:top w:val="nil"/>
              <w:left w:val="nil"/>
              <w:bottom w:val="single" w:sz="4" w:space="0" w:color="auto"/>
              <w:right w:val="nil"/>
            </w:tcBorders>
            <w:shd w:val="clear" w:color="auto" w:fill="auto"/>
            <w:noWrap/>
            <w:vAlign w:val="center"/>
            <w:hideMark/>
          </w:tcPr>
          <w:p w14:paraId="23E51659" w14:textId="77777777" w:rsidR="008F3E3E" w:rsidRPr="00D10E6E" w:rsidRDefault="008F3E3E" w:rsidP="007C2B41">
            <w:pPr>
              <w:spacing w:after="0" w:line="240" w:lineRule="auto"/>
              <w:jc w:val="right"/>
              <w:rPr>
                <w:rFonts w:ascii="Calibri" w:eastAsia="Times New Roman" w:hAnsi="Calibri" w:cs="Calibri"/>
                <w:color w:val="000000"/>
                <w:lang w:eastAsia="en-GB"/>
              </w:rPr>
            </w:pPr>
            <w:r w:rsidRPr="00D10E6E">
              <w:rPr>
                <w:rFonts w:ascii="Calibri" w:eastAsia="Times New Roman" w:hAnsi="Calibri" w:cs="Calibri"/>
                <w:color w:val="000000"/>
                <w:lang w:eastAsia="en-GB"/>
              </w:rPr>
              <w:t>39653 (28634 ; 50672)</w:t>
            </w:r>
          </w:p>
        </w:tc>
      </w:tr>
    </w:tbl>
    <w:p w14:paraId="0DD961EE" w14:textId="77777777" w:rsidR="008F3E3E" w:rsidRPr="009728DC" w:rsidRDefault="008F3E3E" w:rsidP="008F3E3E">
      <w:pPr>
        <w:rPr>
          <w:rFonts w:cstheme="minorHAnsi"/>
        </w:rPr>
      </w:pPr>
    </w:p>
    <w:p w14:paraId="678EAC65" w14:textId="77777777" w:rsidR="008F3E3E" w:rsidRDefault="008F3E3E" w:rsidP="008F3E3E">
      <w:r>
        <w:t xml:space="preserve">These percentages adjusted for survey </w:t>
      </w:r>
      <w:proofErr w:type="gramStart"/>
      <w:r>
        <w:t>weighting .</w:t>
      </w:r>
      <w:proofErr w:type="gramEnd"/>
      <w:r>
        <w:t xml:space="preserve"> CI = Confidence Interval </w:t>
      </w:r>
    </w:p>
    <w:p w14:paraId="67787CB9" w14:textId="77777777" w:rsidR="008F3E3E" w:rsidRDefault="008F3E3E" w:rsidP="008F3E3E"/>
    <w:p w14:paraId="1455C3D7" w14:textId="77777777" w:rsidR="008F3E3E" w:rsidRDefault="008F3E3E" w:rsidP="008F3E3E"/>
    <w:p w14:paraId="3946C188" w14:textId="77777777" w:rsidR="008F3E3E" w:rsidRDefault="008F3E3E" w:rsidP="008F3E3E"/>
    <w:p w14:paraId="6A7B619C" w14:textId="77777777" w:rsidR="008F3E3E" w:rsidRDefault="008F3E3E" w:rsidP="008F3E3E"/>
    <w:p w14:paraId="1A5C8A65" w14:textId="77777777" w:rsidR="008F3E3E" w:rsidRDefault="008F3E3E" w:rsidP="008F3E3E"/>
    <w:p w14:paraId="6B360DAB" w14:textId="77777777" w:rsidR="008F3E3E" w:rsidRDefault="008F3E3E" w:rsidP="008F3E3E"/>
    <w:p w14:paraId="13B7562E" w14:textId="77777777" w:rsidR="008F3E3E" w:rsidRDefault="008F3E3E" w:rsidP="008F3E3E">
      <w:pPr>
        <w:rPr>
          <w:rFonts w:ascii="Arial" w:hAnsi="Arial" w:cs="Arial"/>
          <w:b/>
          <w:sz w:val="20"/>
          <w:szCs w:val="20"/>
        </w:rPr>
      </w:pPr>
    </w:p>
    <w:p w14:paraId="7B71DC54" w14:textId="6F35AF91" w:rsidR="008F3E3E" w:rsidRPr="009728DC" w:rsidRDefault="008F3E3E" w:rsidP="008F3E3E">
      <w:pPr>
        <w:rPr>
          <w:rFonts w:cstheme="minorHAnsi"/>
          <w:b/>
        </w:rPr>
      </w:pPr>
      <w:r w:rsidRPr="009728DC">
        <w:rPr>
          <w:rFonts w:cstheme="minorHAnsi"/>
          <w:b/>
        </w:rPr>
        <w:lastRenderedPageBreak/>
        <w:t xml:space="preserve">Table </w:t>
      </w:r>
      <w:r w:rsidR="00A5338B">
        <w:rPr>
          <w:rFonts w:cstheme="minorHAnsi"/>
          <w:b/>
        </w:rPr>
        <w:t>2</w:t>
      </w:r>
      <w:r w:rsidRPr="009728DC">
        <w:rPr>
          <w:rFonts w:cstheme="minorHAnsi"/>
          <w:b/>
        </w:rPr>
        <w:t>: Fully-adjusted associations with smoking among early-teens</w:t>
      </w:r>
    </w:p>
    <w:tbl>
      <w:tblPr>
        <w:tblW w:w="5000" w:type="pct"/>
        <w:tblLook w:val="04A0" w:firstRow="1" w:lastRow="0" w:firstColumn="1" w:lastColumn="0" w:noHBand="0" w:noVBand="1"/>
      </w:tblPr>
      <w:tblGrid>
        <w:gridCol w:w="2177"/>
        <w:gridCol w:w="2656"/>
        <w:gridCol w:w="644"/>
        <w:gridCol w:w="2356"/>
        <w:gridCol w:w="605"/>
        <w:gridCol w:w="2495"/>
        <w:gridCol w:w="644"/>
        <w:gridCol w:w="2597"/>
      </w:tblGrid>
      <w:tr w:rsidR="008F3E3E" w:rsidRPr="009728DC" w14:paraId="1057E92D" w14:textId="77777777" w:rsidTr="007C2B41">
        <w:trPr>
          <w:trHeight w:val="255"/>
        </w:trPr>
        <w:tc>
          <w:tcPr>
            <w:tcW w:w="773" w:type="pct"/>
            <w:tcBorders>
              <w:top w:val="single" w:sz="4" w:space="0" w:color="auto"/>
              <w:left w:val="nil"/>
              <w:bottom w:val="single" w:sz="4" w:space="0" w:color="auto"/>
              <w:right w:val="nil"/>
            </w:tcBorders>
            <w:shd w:val="clear" w:color="auto" w:fill="auto"/>
            <w:noWrap/>
            <w:vAlign w:val="bottom"/>
            <w:hideMark/>
          </w:tcPr>
          <w:p w14:paraId="5A1E7681"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942" w:type="pct"/>
            <w:tcBorders>
              <w:top w:val="single" w:sz="4" w:space="0" w:color="auto"/>
              <w:left w:val="nil"/>
              <w:bottom w:val="single" w:sz="4" w:space="0" w:color="auto"/>
              <w:right w:val="nil"/>
            </w:tcBorders>
            <w:shd w:val="clear" w:color="auto" w:fill="auto"/>
            <w:noWrap/>
            <w:vAlign w:val="bottom"/>
            <w:hideMark/>
          </w:tcPr>
          <w:p w14:paraId="5DB51398"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1068" w:type="pct"/>
            <w:gridSpan w:val="2"/>
            <w:tcBorders>
              <w:top w:val="single" w:sz="4" w:space="0" w:color="auto"/>
              <w:left w:val="nil"/>
              <w:bottom w:val="single" w:sz="4" w:space="0" w:color="auto"/>
              <w:right w:val="nil"/>
            </w:tcBorders>
            <w:shd w:val="clear" w:color="auto" w:fill="auto"/>
            <w:noWrap/>
            <w:vAlign w:val="bottom"/>
            <w:hideMark/>
          </w:tcPr>
          <w:p w14:paraId="06BD9B2B" w14:textId="77777777" w:rsidR="008F3E3E"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 xml:space="preserve">Ever </w:t>
            </w:r>
            <w:r>
              <w:rPr>
                <w:rFonts w:eastAsia="Times New Roman" w:cstheme="minorHAnsi"/>
                <w:lang w:eastAsia="en-GB"/>
              </w:rPr>
              <w:t>smoking</w:t>
            </w:r>
          </w:p>
          <w:p w14:paraId="32F67825"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N = 11,557</w:t>
            </w:r>
          </w:p>
        </w:tc>
        <w:tc>
          <w:tcPr>
            <w:tcW w:w="1064" w:type="pct"/>
            <w:gridSpan w:val="2"/>
            <w:tcBorders>
              <w:top w:val="single" w:sz="4" w:space="0" w:color="auto"/>
              <w:left w:val="nil"/>
              <w:bottom w:val="single" w:sz="4" w:space="0" w:color="auto"/>
              <w:right w:val="nil"/>
            </w:tcBorders>
            <w:shd w:val="clear" w:color="auto" w:fill="auto"/>
            <w:noWrap/>
            <w:vAlign w:val="bottom"/>
            <w:hideMark/>
          </w:tcPr>
          <w:p w14:paraId="346BEDC5" w14:textId="77777777" w:rsidR="008F3E3E"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 xml:space="preserve">Current </w:t>
            </w:r>
            <w:r>
              <w:rPr>
                <w:rFonts w:eastAsia="Times New Roman" w:cstheme="minorHAnsi"/>
                <w:lang w:eastAsia="en-GB"/>
              </w:rPr>
              <w:t>smoking</w:t>
            </w:r>
          </w:p>
          <w:p w14:paraId="2B8D7F9A"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N = 11,557</w:t>
            </w:r>
          </w:p>
        </w:tc>
        <w:tc>
          <w:tcPr>
            <w:tcW w:w="1153" w:type="pct"/>
            <w:gridSpan w:val="2"/>
            <w:tcBorders>
              <w:top w:val="single" w:sz="4" w:space="0" w:color="auto"/>
              <w:left w:val="nil"/>
              <w:bottom w:val="single" w:sz="4" w:space="0" w:color="auto"/>
              <w:right w:val="nil"/>
            </w:tcBorders>
            <w:shd w:val="clear" w:color="auto" w:fill="auto"/>
            <w:noWrap/>
            <w:vAlign w:val="bottom"/>
            <w:hideMark/>
          </w:tcPr>
          <w:p w14:paraId="6E64F309" w14:textId="77777777" w:rsidR="008F3E3E" w:rsidRDefault="008F3E3E" w:rsidP="007C2B41">
            <w:pPr>
              <w:spacing w:after="0" w:line="240" w:lineRule="auto"/>
              <w:jc w:val="center"/>
              <w:rPr>
                <w:rFonts w:eastAsia="Times New Roman" w:cstheme="minorHAnsi"/>
                <w:lang w:eastAsia="en-GB"/>
              </w:rPr>
            </w:pPr>
            <w:r>
              <w:rPr>
                <w:rFonts w:eastAsia="Times New Roman" w:cstheme="minorHAnsi"/>
                <w:lang w:eastAsia="en-GB"/>
              </w:rPr>
              <w:t>Continuing</w:t>
            </w:r>
            <w:r w:rsidRPr="009728DC">
              <w:rPr>
                <w:rFonts w:eastAsia="Times New Roman" w:cstheme="minorHAnsi"/>
                <w:lang w:eastAsia="en-GB"/>
              </w:rPr>
              <w:t xml:space="preserve"> current smoking </w:t>
            </w:r>
          </w:p>
          <w:p w14:paraId="31CC9409"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N = 1,598</w:t>
            </w:r>
          </w:p>
        </w:tc>
      </w:tr>
      <w:tr w:rsidR="008F3E3E" w:rsidRPr="009728DC" w14:paraId="0BECFB4C" w14:textId="77777777" w:rsidTr="007C2B41">
        <w:trPr>
          <w:trHeight w:val="255"/>
        </w:trPr>
        <w:tc>
          <w:tcPr>
            <w:tcW w:w="773" w:type="pct"/>
            <w:tcBorders>
              <w:top w:val="nil"/>
              <w:left w:val="nil"/>
              <w:bottom w:val="single" w:sz="4" w:space="0" w:color="auto"/>
              <w:right w:val="nil"/>
            </w:tcBorders>
            <w:shd w:val="clear" w:color="auto" w:fill="auto"/>
            <w:noWrap/>
            <w:vAlign w:val="bottom"/>
            <w:hideMark/>
          </w:tcPr>
          <w:p w14:paraId="179916E7"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942" w:type="pct"/>
            <w:tcBorders>
              <w:top w:val="nil"/>
              <w:left w:val="nil"/>
              <w:bottom w:val="single" w:sz="4" w:space="0" w:color="auto"/>
              <w:right w:val="nil"/>
            </w:tcBorders>
            <w:shd w:val="clear" w:color="auto" w:fill="auto"/>
            <w:noWrap/>
            <w:vAlign w:val="bottom"/>
            <w:hideMark/>
          </w:tcPr>
          <w:p w14:paraId="67104E31"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232" w:type="pct"/>
            <w:tcBorders>
              <w:top w:val="nil"/>
              <w:left w:val="nil"/>
              <w:bottom w:val="single" w:sz="4" w:space="0" w:color="auto"/>
              <w:right w:val="nil"/>
            </w:tcBorders>
            <w:shd w:val="clear" w:color="auto" w:fill="auto"/>
            <w:noWrap/>
            <w:vAlign w:val="bottom"/>
            <w:hideMark/>
          </w:tcPr>
          <w:p w14:paraId="7794A96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w:t>
            </w:r>
          </w:p>
        </w:tc>
        <w:tc>
          <w:tcPr>
            <w:tcW w:w="836" w:type="pct"/>
            <w:tcBorders>
              <w:top w:val="nil"/>
              <w:left w:val="nil"/>
              <w:bottom w:val="single" w:sz="4" w:space="0" w:color="auto"/>
              <w:right w:val="nil"/>
            </w:tcBorders>
            <w:shd w:val="clear" w:color="auto" w:fill="auto"/>
            <w:noWrap/>
            <w:vAlign w:val="bottom"/>
            <w:hideMark/>
          </w:tcPr>
          <w:p w14:paraId="1D34D5ED"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AOR (CI)</w:t>
            </w:r>
          </w:p>
        </w:tc>
        <w:tc>
          <w:tcPr>
            <w:tcW w:w="179" w:type="pct"/>
            <w:tcBorders>
              <w:top w:val="nil"/>
              <w:left w:val="nil"/>
              <w:bottom w:val="single" w:sz="4" w:space="0" w:color="auto"/>
              <w:right w:val="nil"/>
            </w:tcBorders>
            <w:shd w:val="clear" w:color="auto" w:fill="auto"/>
            <w:noWrap/>
            <w:vAlign w:val="bottom"/>
            <w:hideMark/>
          </w:tcPr>
          <w:p w14:paraId="0EFFAD68"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w:t>
            </w:r>
          </w:p>
        </w:tc>
        <w:tc>
          <w:tcPr>
            <w:tcW w:w="885" w:type="pct"/>
            <w:tcBorders>
              <w:top w:val="nil"/>
              <w:left w:val="nil"/>
              <w:bottom w:val="single" w:sz="4" w:space="0" w:color="auto"/>
              <w:right w:val="nil"/>
            </w:tcBorders>
            <w:shd w:val="clear" w:color="auto" w:fill="auto"/>
            <w:noWrap/>
            <w:vAlign w:val="bottom"/>
            <w:hideMark/>
          </w:tcPr>
          <w:p w14:paraId="01AC2D20"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AOR (CI)</w:t>
            </w:r>
          </w:p>
        </w:tc>
        <w:tc>
          <w:tcPr>
            <w:tcW w:w="232" w:type="pct"/>
            <w:tcBorders>
              <w:top w:val="nil"/>
              <w:left w:val="nil"/>
              <w:bottom w:val="single" w:sz="4" w:space="0" w:color="auto"/>
              <w:right w:val="nil"/>
            </w:tcBorders>
            <w:shd w:val="clear" w:color="auto" w:fill="auto"/>
            <w:noWrap/>
            <w:vAlign w:val="bottom"/>
            <w:hideMark/>
          </w:tcPr>
          <w:p w14:paraId="454BDCE5"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w:t>
            </w:r>
          </w:p>
        </w:tc>
        <w:tc>
          <w:tcPr>
            <w:tcW w:w="921" w:type="pct"/>
            <w:tcBorders>
              <w:top w:val="nil"/>
              <w:left w:val="nil"/>
              <w:bottom w:val="single" w:sz="4" w:space="0" w:color="auto"/>
              <w:right w:val="nil"/>
            </w:tcBorders>
            <w:shd w:val="clear" w:color="auto" w:fill="auto"/>
            <w:noWrap/>
            <w:vAlign w:val="bottom"/>
            <w:hideMark/>
          </w:tcPr>
          <w:p w14:paraId="0A6626D9"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AOR (CI)</w:t>
            </w:r>
          </w:p>
        </w:tc>
      </w:tr>
      <w:tr w:rsidR="008F3E3E" w:rsidRPr="009728DC" w14:paraId="3D0AC73C" w14:textId="77777777" w:rsidTr="007C2B41">
        <w:trPr>
          <w:trHeight w:val="255"/>
        </w:trPr>
        <w:tc>
          <w:tcPr>
            <w:tcW w:w="773" w:type="pct"/>
            <w:tcBorders>
              <w:top w:val="nil"/>
              <w:left w:val="nil"/>
              <w:bottom w:val="nil"/>
              <w:right w:val="nil"/>
            </w:tcBorders>
            <w:shd w:val="clear" w:color="auto" w:fill="auto"/>
            <w:noWrap/>
            <w:vAlign w:val="bottom"/>
            <w:hideMark/>
          </w:tcPr>
          <w:p w14:paraId="1D714962"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Age (years)</w:t>
            </w:r>
          </w:p>
        </w:tc>
        <w:tc>
          <w:tcPr>
            <w:tcW w:w="942" w:type="pct"/>
            <w:tcBorders>
              <w:top w:val="nil"/>
              <w:left w:val="nil"/>
              <w:bottom w:val="nil"/>
              <w:right w:val="nil"/>
            </w:tcBorders>
            <w:shd w:val="clear" w:color="auto" w:fill="auto"/>
            <w:noWrap/>
            <w:vAlign w:val="bottom"/>
            <w:hideMark/>
          </w:tcPr>
          <w:p w14:paraId="1E1905FA"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13</w:t>
            </w:r>
          </w:p>
        </w:tc>
        <w:tc>
          <w:tcPr>
            <w:tcW w:w="232" w:type="pct"/>
            <w:tcBorders>
              <w:top w:val="nil"/>
              <w:left w:val="nil"/>
              <w:bottom w:val="nil"/>
              <w:right w:val="nil"/>
            </w:tcBorders>
            <w:shd w:val="clear" w:color="auto" w:fill="auto"/>
            <w:noWrap/>
            <w:vAlign w:val="bottom"/>
          </w:tcPr>
          <w:p w14:paraId="41070556"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10.5</w:t>
            </w:r>
          </w:p>
        </w:tc>
        <w:tc>
          <w:tcPr>
            <w:tcW w:w="836" w:type="pct"/>
            <w:tcBorders>
              <w:top w:val="nil"/>
              <w:left w:val="nil"/>
              <w:bottom w:val="nil"/>
              <w:right w:val="nil"/>
            </w:tcBorders>
            <w:shd w:val="clear" w:color="auto" w:fill="auto"/>
            <w:noWrap/>
            <w:vAlign w:val="bottom"/>
            <w:hideMark/>
          </w:tcPr>
          <w:p w14:paraId="456492F4"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179" w:type="pct"/>
            <w:tcBorders>
              <w:top w:val="nil"/>
              <w:left w:val="nil"/>
              <w:bottom w:val="nil"/>
              <w:right w:val="nil"/>
            </w:tcBorders>
            <w:shd w:val="clear" w:color="auto" w:fill="auto"/>
            <w:noWrap/>
            <w:vAlign w:val="center"/>
            <w:hideMark/>
          </w:tcPr>
          <w:p w14:paraId="3E6664E5"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1.1</w:t>
            </w:r>
          </w:p>
        </w:tc>
        <w:tc>
          <w:tcPr>
            <w:tcW w:w="885" w:type="pct"/>
            <w:tcBorders>
              <w:top w:val="nil"/>
              <w:left w:val="nil"/>
              <w:bottom w:val="nil"/>
              <w:right w:val="nil"/>
            </w:tcBorders>
            <w:shd w:val="clear" w:color="auto" w:fill="auto"/>
            <w:noWrap/>
            <w:vAlign w:val="bottom"/>
            <w:hideMark/>
          </w:tcPr>
          <w:p w14:paraId="79397F41"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232" w:type="pct"/>
            <w:tcBorders>
              <w:top w:val="nil"/>
              <w:left w:val="nil"/>
              <w:bottom w:val="nil"/>
              <w:right w:val="nil"/>
            </w:tcBorders>
            <w:shd w:val="clear" w:color="auto" w:fill="auto"/>
            <w:noWrap/>
            <w:vAlign w:val="bottom"/>
            <w:hideMark/>
          </w:tcPr>
          <w:p w14:paraId="2DD3C731"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10.4</w:t>
            </w:r>
          </w:p>
        </w:tc>
        <w:tc>
          <w:tcPr>
            <w:tcW w:w="921" w:type="pct"/>
            <w:tcBorders>
              <w:top w:val="nil"/>
              <w:left w:val="nil"/>
              <w:bottom w:val="nil"/>
              <w:right w:val="nil"/>
            </w:tcBorders>
            <w:shd w:val="clear" w:color="auto" w:fill="auto"/>
            <w:noWrap/>
            <w:vAlign w:val="bottom"/>
            <w:hideMark/>
          </w:tcPr>
          <w:p w14:paraId="308D6FE7"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r>
      <w:tr w:rsidR="008F3E3E" w:rsidRPr="009728DC" w14:paraId="4C8E4B43" w14:textId="77777777" w:rsidTr="007C2B41">
        <w:trPr>
          <w:trHeight w:val="255"/>
        </w:trPr>
        <w:tc>
          <w:tcPr>
            <w:tcW w:w="773" w:type="pct"/>
            <w:tcBorders>
              <w:top w:val="nil"/>
              <w:left w:val="nil"/>
              <w:bottom w:val="single" w:sz="4" w:space="0" w:color="auto"/>
              <w:right w:val="nil"/>
            </w:tcBorders>
            <w:shd w:val="clear" w:color="auto" w:fill="auto"/>
            <w:noWrap/>
            <w:vAlign w:val="bottom"/>
            <w:hideMark/>
          </w:tcPr>
          <w:p w14:paraId="618A2C3A"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942" w:type="pct"/>
            <w:tcBorders>
              <w:top w:val="nil"/>
              <w:left w:val="nil"/>
              <w:bottom w:val="single" w:sz="4" w:space="0" w:color="auto"/>
              <w:right w:val="nil"/>
            </w:tcBorders>
            <w:shd w:val="clear" w:color="auto" w:fill="auto"/>
            <w:noWrap/>
            <w:vAlign w:val="bottom"/>
            <w:hideMark/>
          </w:tcPr>
          <w:p w14:paraId="0CCF8856"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14 / 15</w:t>
            </w:r>
          </w:p>
        </w:tc>
        <w:tc>
          <w:tcPr>
            <w:tcW w:w="232" w:type="pct"/>
            <w:tcBorders>
              <w:top w:val="nil"/>
              <w:left w:val="nil"/>
              <w:bottom w:val="single" w:sz="4" w:space="0" w:color="auto"/>
              <w:right w:val="nil"/>
            </w:tcBorders>
            <w:shd w:val="clear" w:color="auto" w:fill="auto"/>
            <w:noWrap/>
            <w:vAlign w:val="bottom"/>
          </w:tcPr>
          <w:p w14:paraId="10AE07DD"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14.9</w:t>
            </w:r>
          </w:p>
        </w:tc>
        <w:tc>
          <w:tcPr>
            <w:tcW w:w="836" w:type="pct"/>
            <w:tcBorders>
              <w:top w:val="nil"/>
              <w:left w:val="nil"/>
              <w:bottom w:val="single" w:sz="4" w:space="0" w:color="auto"/>
              <w:right w:val="nil"/>
            </w:tcBorders>
            <w:shd w:val="clear" w:color="auto" w:fill="auto"/>
            <w:noWrap/>
            <w:vAlign w:val="bottom"/>
            <w:hideMark/>
          </w:tcPr>
          <w:p w14:paraId="7F705AB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1.31 (1.07 ; 1.6)</w:t>
            </w:r>
          </w:p>
        </w:tc>
        <w:tc>
          <w:tcPr>
            <w:tcW w:w="179" w:type="pct"/>
            <w:tcBorders>
              <w:top w:val="nil"/>
              <w:left w:val="nil"/>
              <w:bottom w:val="single" w:sz="4" w:space="0" w:color="auto"/>
              <w:right w:val="nil"/>
            </w:tcBorders>
            <w:shd w:val="clear" w:color="auto" w:fill="auto"/>
            <w:noWrap/>
            <w:vAlign w:val="center"/>
            <w:hideMark/>
          </w:tcPr>
          <w:p w14:paraId="1455DA02"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2.2</w:t>
            </w:r>
          </w:p>
        </w:tc>
        <w:tc>
          <w:tcPr>
            <w:tcW w:w="885" w:type="pct"/>
            <w:tcBorders>
              <w:top w:val="nil"/>
              <w:left w:val="nil"/>
              <w:bottom w:val="single" w:sz="4" w:space="0" w:color="auto"/>
              <w:right w:val="nil"/>
            </w:tcBorders>
            <w:shd w:val="clear" w:color="auto" w:fill="auto"/>
            <w:noWrap/>
            <w:vAlign w:val="bottom"/>
            <w:hideMark/>
          </w:tcPr>
          <w:p w14:paraId="3C992E02"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1.46 (0.83 ; 2.56)</w:t>
            </w:r>
          </w:p>
        </w:tc>
        <w:tc>
          <w:tcPr>
            <w:tcW w:w="232" w:type="pct"/>
            <w:tcBorders>
              <w:top w:val="nil"/>
              <w:left w:val="nil"/>
              <w:bottom w:val="single" w:sz="4" w:space="0" w:color="auto"/>
              <w:right w:val="nil"/>
            </w:tcBorders>
            <w:shd w:val="clear" w:color="auto" w:fill="auto"/>
            <w:noWrap/>
            <w:vAlign w:val="bottom"/>
            <w:hideMark/>
          </w:tcPr>
          <w:p w14:paraId="5B86CDC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14.6</w:t>
            </w:r>
          </w:p>
        </w:tc>
        <w:tc>
          <w:tcPr>
            <w:tcW w:w="921" w:type="pct"/>
            <w:tcBorders>
              <w:top w:val="nil"/>
              <w:left w:val="nil"/>
              <w:bottom w:val="single" w:sz="4" w:space="0" w:color="auto"/>
              <w:right w:val="nil"/>
            </w:tcBorders>
            <w:shd w:val="clear" w:color="auto" w:fill="auto"/>
            <w:noWrap/>
            <w:vAlign w:val="bottom"/>
            <w:hideMark/>
          </w:tcPr>
          <w:p w14:paraId="5D9231D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1.4 (0.78 ; 2.51)</w:t>
            </w:r>
          </w:p>
        </w:tc>
      </w:tr>
      <w:tr w:rsidR="008F3E3E" w:rsidRPr="009728DC" w14:paraId="4345D6B6" w14:textId="77777777" w:rsidTr="007C2B41">
        <w:trPr>
          <w:trHeight w:val="255"/>
        </w:trPr>
        <w:tc>
          <w:tcPr>
            <w:tcW w:w="773" w:type="pct"/>
            <w:tcBorders>
              <w:top w:val="nil"/>
              <w:left w:val="nil"/>
              <w:bottom w:val="nil"/>
              <w:right w:val="nil"/>
            </w:tcBorders>
            <w:shd w:val="clear" w:color="auto" w:fill="auto"/>
            <w:noWrap/>
            <w:vAlign w:val="bottom"/>
            <w:hideMark/>
          </w:tcPr>
          <w:p w14:paraId="09EA1A7E"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Gender</w:t>
            </w:r>
          </w:p>
        </w:tc>
        <w:tc>
          <w:tcPr>
            <w:tcW w:w="942" w:type="pct"/>
            <w:tcBorders>
              <w:top w:val="nil"/>
              <w:left w:val="nil"/>
              <w:bottom w:val="nil"/>
              <w:right w:val="nil"/>
            </w:tcBorders>
            <w:shd w:val="clear" w:color="auto" w:fill="auto"/>
            <w:noWrap/>
            <w:vAlign w:val="bottom"/>
            <w:hideMark/>
          </w:tcPr>
          <w:p w14:paraId="7506FC62"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Female</w:t>
            </w:r>
          </w:p>
        </w:tc>
        <w:tc>
          <w:tcPr>
            <w:tcW w:w="232" w:type="pct"/>
            <w:tcBorders>
              <w:top w:val="nil"/>
              <w:left w:val="nil"/>
              <w:bottom w:val="nil"/>
              <w:right w:val="nil"/>
            </w:tcBorders>
            <w:shd w:val="clear" w:color="auto" w:fill="auto"/>
            <w:noWrap/>
            <w:vAlign w:val="bottom"/>
          </w:tcPr>
          <w:p w14:paraId="280D26AD"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14.9</w:t>
            </w:r>
          </w:p>
        </w:tc>
        <w:tc>
          <w:tcPr>
            <w:tcW w:w="836" w:type="pct"/>
            <w:tcBorders>
              <w:top w:val="nil"/>
              <w:left w:val="nil"/>
              <w:bottom w:val="nil"/>
              <w:right w:val="nil"/>
            </w:tcBorders>
            <w:shd w:val="clear" w:color="auto" w:fill="auto"/>
            <w:noWrap/>
            <w:vAlign w:val="bottom"/>
            <w:hideMark/>
          </w:tcPr>
          <w:p w14:paraId="1B91840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179" w:type="pct"/>
            <w:tcBorders>
              <w:top w:val="nil"/>
              <w:left w:val="nil"/>
              <w:bottom w:val="nil"/>
              <w:right w:val="nil"/>
            </w:tcBorders>
            <w:shd w:val="clear" w:color="auto" w:fill="auto"/>
            <w:noWrap/>
            <w:vAlign w:val="center"/>
            <w:hideMark/>
          </w:tcPr>
          <w:p w14:paraId="3883D252"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2.4</w:t>
            </w:r>
          </w:p>
        </w:tc>
        <w:tc>
          <w:tcPr>
            <w:tcW w:w="885" w:type="pct"/>
            <w:tcBorders>
              <w:top w:val="nil"/>
              <w:left w:val="nil"/>
              <w:bottom w:val="nil"/>
              <w:right w:val="nil"/>
            </w:tcBorders>
            <w:shd w:val="clear" w:color="auto" w:fill="auto"/>
            <w:noWrap/>
            <w:vAlign w:val="bottom"/>
            <w:hideMark/>
          </w:tcPr>
          <w:p w14:paraId="34286756"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232" w:type="pct"/>
            <w:tcBorders>
              <w:top w:val="nil"/>
              <w:left w:val="nil"/>
              <w:bottom w:val="nil"/>
              <w:right w:val="nil"/>
            </w:tcBorders>
            <w:shd w:val="clear" w:color="auto" w:fill="auto"/>
            <w:noWrap/>
            <w:vAlign w:val="bottom"/>
            <w:hideMark/>
          </w:tcPr>
          <w:p w14:paraId="0D111607"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16.2</w:t>
            </w:r>
          </w:p>
        </w:tc>
        <w:tc>
          <w:tcPr>
            <w:tcW w:w="921" w:type="pct"/>
            <w:tcBorders>
              <w:top w:val="nil"/>
              <w:left w:val="nil"/>
              <w:bottom w:val="nil"/>
              <w:right w:val="nil"/>
            </w:tcBorders>
            <w:shd w:val="clear" w:color="auto" w:fill="auto"/>
            <w:noWrap/>
            <w:vAlign w:val="bottom"/>
            <w:hideMark/>
          </w:tcPr>
          <w:p w14:paraId="6386BE77"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r>
      <w:tr w:rsidR="008F3E3E" w:rsidRPr="009728DC" w14:paraId="35792A33" w14:textId="77777777" w:rsidTr="007C2B41">
        <w:trPr>
          <w:trHeight w:val="255"/>
        </w:trPr>
        <w:tc>
          <w:tcPr>
            <w:tcW w:w="773" w:type="pct"/>
            <w:tcBorders>
              <w:top w:val="nil"/>
              <w:left w:val="nil"/>
              <w:bottom w:val="single" w:sz="4" w:space="0" w:color="auto"/>
              <w:right w:val="nil"/>
            </w:tcBorders>
            <w:shd w:val="clear" w:color="auto" w:fill="auto"/>
            <w:noWrap/>
            <w:vAlign w:val="bottom"/>
            <w:hideMark/>
          </w:tcPr>
          <w:p w14:paraId="694AEB24"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942" w:type="pct"/>
            <w:tcBorders>
              <w:top w:val="nil"/>
              <w:left w:val="nil"/>
              <w:bottom w:val="single" w:sz="4" w:space="0" w:color="auto"/>
              <w:right w:val="nil"/>
            </w:tcBorders>
            <w:shd w:val="clear" w:color="auto" w:fill="auto"/>
            <w:noWrap/>
            <w:vAlign w:val="bottom"/>
            <w:hideMark/>
          </w:tcPr>
          <w:p w14:paraId="7A2BBAE9"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Male</w:t>
            </w:r>
          </w:p>
        </w:tc>
        <w:tc>
          <w:tcPr>
            <w:tcW w:w="232" w:type="pct"/>
            <w:tcBorders>
              <w:top w:val="nil"/>
              <w:left w:val="nil"/>
              <w:bottom w:val="single" w:sz="4" w:space="0" w:color="auto"/>
              <w:right w:val="nil"/>
            </w:tcBorders>
            <w:shd w:val="clear" w:color="auto" w:fill="auto"/>
            <w:noWrap/>
            <w:vAlign w:val="bottom"/>
          </w:tcPr>
          <w:p w14:paraId="7AAE7FFE"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12.7</w:t>
            </w:r>
          </w:p>
        </w:tc>
        <w:tc>
          <w:tcPr>
            <w:tcW w:w="836" w:type="pct"/>
            <w:tcBorders>
              <w:top w:val="nil"/>
              <w:left w:val="nil"/>
              <w:bottom w:val="single" w:sz="4" w:space="0" w:color="auto"/>
              <w:right w:val="nil"/>
            </w:tcBorders>
            <w:shd w:val="clear" w:color="auto" w:fill="auto"/>
            <w:noWrap/>
            <w:vAlign w:val="bottom"/>
            <w:hideMark/>
          </w:tcPr>
          <w:p w14:paraId="13711D26"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0.81 (0.67 ; 0.97)</w:t>
            </w:r>
          </w:p>
        </w:tc>
        <w:tc>
          <w:tcPr>
            <w:tcW w:w="179" w:type="pct"/>
            <w:tcBorders>
              <w:top w:val="nil"/>
              <w:left w:val="nil"/>
              <w:bottom w:val="single" w:sz="4" w:space="0" w:color="auto"/>
              <w:right w:val="nil"/>
            </w:tcBorders>
            <w:shd w:val="clear" w:color="auto" w:fill="auto"/>
            <w:noWrap/>
            <w:vAlign w:val="center"/>
            <w:hideMark/>
          </w:tcPr>
          <w:p w14:paraId="7578079A"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1.4</w:t>
            </w:r>
          </w:p>
        </w:tc>
        <w:tc>
          <w:tcPr>
            <w:tcW w:w="885" w:type="pct"/>
            <w:tcBorders>
              <w:top w:val="nil"/>
              <w:left w:val="nil"/>
              <w:bottom w:val="single" w:sz="4" w:space="0" w:color="auto"/>
              <w:right w:val="nil"/>
            </w:tcBorders>
            <w:shd w:val="clear" w:color="auto" w:fill="auto"/>
            <w:noWrap/>
            <w:vAlign w:val="bottom"/>
            <w:hideMark/>
          </w:tcPr>
          <w:p w14:paraId="18C8A61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0.62 (0.40 ; 0.95)</w:t>
            </w:r>
          </w:p>
        </w:tc>
        <w:tc>
          <w:tcPr>
            <w:tcW w:w="232" w:type="pct"/>
            <w:tcBorders>
              <w:top w:val="nil"/>
              <w:left w:val="nil"/>
              <w:bottom w:val="single" w:sz="4" w:space="0" w:color="auto"/>
              <w:right w:val="nil"/>
            </w:tcBorders>
            <w:shd w:val="clear" w:color="auto" w:fill="auto"/>
            <w:noWrap/>
            <w:vAlign w:val="bottom"/>
            <w:hideMark/>
          </w:tcPr>
          <w:p w14:paraId="64999A7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11.0</w:t>
            </w:r>
          </w:p>
        </w:tc>
        <w:tc>
          <w:tcPr>
            <w:tcW w:w="921" w:type="pct"/>
            <w:tcBorders>
              <w:top w:val="nil"/>
              <w:left w:val="nil"/>
              <w:bottom w:val="single" w:sz="4" w:space="0" w:color="auto"/>
              <w:right w:val="nil"/>
            </w:tcBorders>
            <w:shd w:val="clear" w:color="auto" w:fill="auto"/>
            <w:noWrap/>
            <w:vAlign w:val="bottom"/>
            <w:hideMark/>
          </w:tcPr>
          <w:p w14:paraId="73C7078A"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0.75 (0.49 ; 1.15)</w:t>
            </w:r>
          </w:p>
        </w:tc>
      </w:tr>
      <w:tr w:rsidR="008F3E3E" w:rsidRPr="009728DC" w14:paraId="2E79F16F" w14:textId="77777777" w:rsidTr="007C2B41">
        <w:trPr>
          <w:trHeight w:val="255"/>
        </w:trPr>
        <w:tc>
          <w:tcPr>
            <w:tcW w:w="773" w:type="pct"/>
            <w:tcBorders>
              <w:top w:val="nil"/>
              <w:left w:val="nil"/>
              <w:bottom w:val="nil"/>
              <w:right w:val="nil"/>
            </w:tcBorders>
            <w:shd w:val="clear" w:color="auto" w:fill="auto"/>
            <w:noWrap/>
            <w:vAlign w:val="bottom"/>
            <w:hideMark/>
          </w:tcPr>
          <w:p w14:paraId="0454C41E"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xml:space="preserve">Country </w:t>
            </w:r>
          </w:p>
        </w:tc>
        <w:tc>
          <w:tcPr>
            <w:tcW w:w="942" w:type="pct"/>
            <w:tcBorders>
              <w:top w:val="nil"/>
              <w:left w:val="nil"/>
              <w:bottom w:val="nil"/>
              <w:right w:val="nil"/>
            </w:tcBorders>
            <w:shd w:val="clear" w:color="auto" w:fill="auto"/>
            <w:noWrap/>
            <w:vAlign w:val="bottom"/>
            <w:hideMark/>
          </w:tcPr>
          <w:p w14:paraId="42F4615B"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England</w:t>
            </w:r>
          </w:p>
        </w:tc>
        <w:tc>
          <w:tcPr>
            <w:tcW w:w="232" w:type="pct"/>
            <w:tcBorders>
              <w:top w:val="nil"/>
              <w:left w:val="nil"/>
              <w:bottom w:val="nil"/>
              <w:right w:val="nil"/>
            </w:tcBorders>
            <w:shd w:val="clear" w:color="auto" w:fill="auto"/>
            <w:noWrap/>
            <w:vAlign w:val="bottom"/>
          </w:tcPr>
          <w:p w14:paraId="3447AB36"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13.6</w:t>
            </w:r>
          </w:p>
        </w:tc>
        <w:tc>
          <w:tcPr>
            <w:tcW w:w="836" w:type="pct"/>
            <w:tcBorders>
              <w:top w:val="nil"/>
              <w:left w:val="nil"/>
              <w:bottom w:val="nil"/>
              <w:right w:val="nil"/>
            </w:tcBorders>
            <w:shd w:val="clear" w:color="auto" w:fill="auto"/>
            <w:noWrap/>
            <w:vAlign w:val="bottom"/>
            <w:hideMark/>
          </w:tcPr>
          <w:p w14:paraId="3C80179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179" w:type="pct"/>
            <w:tcBorders>
              <w:top w:val="nil"/>
              <w:left w:val="nil"/>
              <w:bottom w:val="nil"/>
              <w:right w:val="nil"/>
            </w:tcBorders>
            <w:shd w:val="clear" w:color="auto" w:fill="auto"/>
            <w:noWrap/>
            <w:vAlign w:val="center"/>
            <w:hideMark/>
          </w:tcPr>
          <w:p w14:paraId="19153DE4"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2.0</w:t>
            </w:r>
          </w:p>
        </w:tc>
        <w:tc>
          <w:tcPr>
            <w:tcW w:w="885" w:type="pct"/>
            <w:tcBorders>
              <w:top w:val="nil"/>
              <w:left w:val="nil"/>
              <w:bottom w:val="nil"/>
              <w:right w:val="nil"/>
            </w:tcBorders>
            <w:shd w:val="clear" w:color="auto" w:fill="auto"/>
            <w:noWrap/>
            <w:vAlign w:val="bottom"/>
            <w:hideMark/>
          </w:tcPr>
          <w:p w14:paraId="5EF42559"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232" w:type="pct"/>
            <w:tcBorders>
              <w:top w:val="nil"/>
              <w:left w:val="nil"/>
              <w:bottom w:val="nil"/>
              <w:right w:val="nil"/>
            </w:tcBorders>
            <w:shd w:val="clear" w:color="auto" w:fill="auto"/>
            <w:noWrap/>
            <w:vAlign w:val="bottom"/>
            <w:hideMark/>
          </w:tcPr>
          <w:p w14:paraId="5749B926"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14.4</w:t>
            </w:r>
          </w:p>
        </w:tc>
        <w:tc>
          <w:tcPr>
            <w:tcW w:w="921" w:type="pct"/>
            <w:tcBorders>
              <w:top w:val="nil"/>
              <w:left w:val="nil"/>
              <w:bottom w:val="nil"/>
              <w:right w:val="nil"/>
            </w:tcBorders>
            <w:shd w:val="clear" w:color="auto" w:fill="auto"/>
            <w:noWrap/>
            <w:vAlign w:val="bottom"/>
            <w:hideMark/>
          </w:tcPr>
          <w:p w14:paraId="4250BD46"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r>
      <w:tr w:rsidR="008F3E3E" w:rsidRPr="009728DC" w14:paraId="2E311F9B" w14:textId="77777777" w:rsidTr="007C2B41">
        <w:trPr>
          <w:trHeight w:val="255"/>
        </w:trPr>
        <w:tc>
          <w:tcPr>
            <w:tcW w:w="773" w:type="pct"/>
            <w:tcBorders>
              <w:top w:val="nil"/>
              <w:left w:val="nil"/>
              <w:bottom w:val="nil"/>
              <w:right w:val="nil"/>
            </w:tcBorders>
            <w:shd w:val="clear" w:color="auto" w:fill="auto"/>
            <w:noWrap/>
            <w:vAlign w:val="bottom"/>
            <w:hideMark/>
          </w:tcPr>
          <w:p w14:paraId="17300259" w14:textId="77777777" w:rsidR="008F3E3E" w:rsidRPr="009728DC" w:rsidRDefault="008F3E3E" w:rsidP="007C2B41">
            <w:pPr>
              <w:spacing w:after="0" w:line="240" w:lineRule="auto"/>
              <w:rPr>
                <w:rFonts w:eastAsia="Times New Roman" w:cstheme="minorHAnsi"/>
                <w:lang w:eastAsia="en-GB"/>
              </w:rPr>
            </w:pPr>
          </w:p>
        </w:tc>
        <w:tc>
          <w:tcPr>
            <w:tcW w:w="942" w:type="pct"/>
            <w:tcBorders>
              <w:top w:val="nil"/>
              <w:left w:val="nil"/>
              <w:bottom w:val="nil"/>
              <w:right w:val="nil"/>
            </w:tcBorders>
            <w:shd w:val="clear" w:color="auto" w:fill="auto"/>
            <w:noWrap/>
            <w:vAlign w:val="bottom"/>
            <w:hideMark/>
          </w:tcPr>
          <w:p w14:paraId="27D6CDB3"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Wales</w:t>
            </w:r>
          </w:p>
        </w:tc>
        <w:tc>
          <w:tcPr>
            <w:tcW w:w="232" w:type="pct"/>
            <w:tcBorders>
              <w:top w:val="nil"/>
              <w:left w:val="nil"/>
              <w:bottom w:val="nil"/>
              <w:right w:val="nil"/>
            </w:tcBorders>
            <w:shd w:val="clear" w:color="auto" w:fill="auto"/>
            <w:noWrap/>
            <w:vAlign w:val="bottom"/>
          </w:tcPr>
          <w:p w14:paraId="769E1CCC"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15.8</w:t>
            </w:r>
          </w:p>
        </w:tc>
        <w:tc>
          <w:tcPr>
            <w:tcW w:w="836" w:type="pct"/>
            <w:tcBorders>
              <w:top w:val="nil"/>
              <w:left w:val="nil"/>
              <w:bottom w:val="nil"/>
              <w:right w:val="nil"/>
            </w:tcBorders>
            <w:shd w:val="clear" w:color="auto" w:fill="auto"/>
            <w:noWrap/>
            <w:vAlign w:val="bottom"/>
            <w:hideMark/>
          </w:tcPr>
          <w:p w14:paraId="2AC3B6F8"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0.97 (0.76 ; 1.24)</w:t>
            </w:r>
          </w:p>
        </w:tc>
        <w:tc>
          <w:tcPr>
            <w:tcW w:w="179" w:type="pct"/>
            <w:tcBorders>
              <w:top w:val="nil"/>
              <w:left w:val="nil"/>
              <w:bottom w:val="nil"/>
              <w:right w:val="nil"/>
            </w:tcBorders>
            <w:shd w:val="clear" w:color="auto" w:fill="auto"/>
            <w:noWrap/>
            <w:vAlign w:val="center"/>
            <w:hideMark/>
          </w:tcPr>
          <w:p w14:paraId="314F217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2.1</w:t>
            </w:r>
          </w:p>
        </w:tc>
        <w:tc>
          <w:tcPr>
            <w:tcW w:w="885" w:type="pct"/>
            <w:tcBorders>
              <w:top w:val="nil"/>
              <w:left w:val="nil"/>
              <w:bottom w:val="nil"/>
              <w:right w:val="nil"/>
            </w:tcBorders>
            <w:shd w:val="clear" w:color="auto" w:fill="auto"/>
            <w:noWrap/>
            <w:vAlign w:val="bottom"/>
            <w:hideMark/>
          </w:tcPr>
          <w:p w14:paraId="43C46046"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0.67 (0.40 ; 1.14)</w:t>
            </w:r>
          </w:p>
        </w:tc>
        <w:tc>
          <w:tcPr>
            <w:tcW w:w="232" w:type="pct"/>
            <w:tcBorders>
              <w:top w:val="nil"/>
              <w:left w:val="nil"/>
              <w:bottom w:val="nil"/>
              <w:right w:val="nil"/>
            </w:tcBorders>
            <w:shd w:val="clear" w:color="auto" w:fill="auto"/>
            <w:noWrap/>
            <w:vAlign w:val="bottom"/>
            <w:hideMark/>
          </w:tcPr>
          <w:p w14:paraId="5FAE292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13.4</w:t>
            </w:r>
          </w:p>
        </w:tc>
        <w:tc>
          <w:tcPr>
            <w:tcW w:w="921" w:type="pct"/>
            <w:tcBorders>
              <w:top w:val="nil"/>
              <w:left w:val="nil"/>
              <w:bottom w:val="nil"/>
              <w:right w:val="nil"/>
            </w:tcBorders>
            <w:shd w:val="clear" w:color="auto" w:fill="auto"/>
            <w:noWrap/>
            <w:vAlign w:val="bottom"/>
            <w:hideMark/>
          </w:tcPr>
          <w:p w14:paraId="376EBC0D"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0.64 (0.37 ; 1.1)</w:t>
            </w:r>
          </w:p>
        </w:tc>
      </w:tr>
      <w:tr w:rsidR="008F3E3E" w:rsidRPr="009728DC" w14:paraId="1791E7AE" w14:textId="77777777" w:rsidTr="007C2B41">
        <w:trPr>
          <w:trHeight w:val="255"/>
        </w:trPr>
        <w:tc>
          <w:tcPr>
            <w:tcW w:w="773" w:type="pct"/>
            <w:tcBorders>
              <w:top w:val="nil"/>
              <w:left w:val="nil"/>
              <w:bottom w:val="nil"/>
              <w:right w:val="nil"/>
            </w:tcBorders>
            <w:shd w:val="clear" w:color="auto" w:fill="auto"/>
            <w:noWrap/>
            <w:vAlign w:val="bottom"/>
            <w:hideMark/>
          </w:tcPr>
          <w:p w14:paraId="2D9651D4" w14:textId="77777777" w:rsidR="008F3E3E" w:rsidRPr="009728DC" w:rsidRDefault="008F3E3E" w:rsidP="007C2B41">
            <w:pPr>
              <w:spacing w:after="0" w:line="240" w:lineRule="auto"/>
              <w:rPr>
                <w:rFonts w:eastAsia="Times New Roman" w:cstheme="minorHAnsi"/>
                <w:lang w:eastAsia="en-GB"/>
              </w:rPr>
            </w:pPr>
          </w:p>
        </w:tc>
        <w:tc>
          <w:tcPr>
            <w:tcW w:w="942" w:type="pct"/>
            <w:tcBorders>
              <w:top w:val="nil"/>
              <w:left w:val="nil"/>
              <w:bottom w:val="nil"/>
              <w:right w:val="nil"/>
            </w:tcBorders>
            <w:shd w:val="clear" w:color="auto" w:fill="auto"/>
            <w:noWrap/>
            <w:vAlign w:val="bottom"/>
            <w:hideMark/>
          </w:tcPr>
          <w:p w14:paraId="7ACE07A8"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Scotland</w:t>
            </w:r>
          </w:p>
        </w:tc>
        <w:tc>
          <w:tcPr>
            <w:tcW w:w="232" w:type="pct"/>
            <w:tcBorders>
              <w:top w:val="nil"/>
              <w:left w:val="nil"/>
              <w:bottom w:val="nil"/>
              <w:right w:val="nil"/>
            </w:tcBorders>
            <w:shd w:val="clear" w:color="auto" w:fill="auto"/>
            <w:noWrap/>
            <w:vAlign w:val="bottom"/>
          </w:tcPr>
          <w:p w14:paraId="4D08A979"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14.9</w:t>
            </w:r>
          </w:p>
        </w:tc>
        <w:tc>
          <w:tcPr>
            <w:tcW w:w="836" w:type="pct"/>
            <w:tcBorders>
              <w:top w:val="nil"/>
              <w:left w:val="nil"/>
              <w:bottom w:val="nil"/>
              <w:right w:val="nil"/>
            </w:tcBorders>
            <w:shd w:val="clear" w:color="auto" w:fill="auto"/>
            <w:noWrap/>
            <w:vAlign w:val="bottom"/>
            <w:hideMark/>
          </w:tcPr>
          <w:p w14:paraId="605A60F2"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1.55 (1.04 ; 2.30)</w:t>
            </w:r>
          </w:p>
        </w:tc>
        <w:tc>
          <w:tcPr>
            <w:tcW w:w="179" w:type="pct"/>
            <w:tcBorders>
              <w:top w:val="nil"/>
              <w:left w:val="nil"/>
              <w:bottom w:val="nil"/>
              <w:right w:val="nil"/>
            </w:tcBorders>
            <w:shd w:val="clear" w:color="auto" w:fill="auto"/>
            <w:noWrap/>
            <w:vAlign w:val="center"/>
            <w:hideMark/>
          </w:tcPr>
          <w:p w14:paraId="06460387"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2.2</w:t>
            </w:r>
          </w:p>
        </w:tc>
        <w:tc>
          <w:tcPr>
            <w:tcW w:w="885" w:type="pct"/>
            <w:tcBorders>
              <w:top w:val="nil"/>
              <w:left w:val="nil"/>
              <w:bottom w:val="nil"/>
              <w:right w:val="nil"/>
            </w:tcBorders>
            <w:shd w:val="clear" w:color="auto" w:fill="auto"/>
            <w:noWrap/>
            <w:vAlign w:val="bottom"/>
            <w:hideMark/>
          </w:tcPr>
          <w:p w14:paraId="4701FCD4"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2.45 (0.83 ; 7.22)</w:t>
            </w:r>
          </w:p>
        </w:tc>
        <w:tc>
          <w:tcPr>
            <w:tcW w:w="232" w:type="pct"/>
            <w:tcBorders>
              <w:top w:val="nil"/>
              <w:left w:val="nil"/>
              <w:bottom w:val="nil"/>
              <w:right w:val="nil"/>
            </w:tcBorders>
            <w:shd w:val="clear" w:color="auto" w:fill="auto"/>
            <w:noWrap/>
            <w:vAlign w:val="bottom"/>
            <w:hideMark/>
          </w:tcPr>
          <w:p w14:paraId="324D1FF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15.0</w:t>
            </w:r>
          </w:p>
        </w:tc>
        <w:tc>
          <w:tcPr>
            <w:tcW w:w="921" w:type="pct"/>
            <w:tcBorders>
              <w:top w:val="nil"/>
              <w:left w:val="nil"/>
              <w:bottom w:val="nil"/>
              <w:right w:val="nil"/>
            </w:tcBorders>
            <w:shd w:val="clear" w:color="auto" w:fill="auto"/>
            <w:noWrap/>
            <w:vAlign w:val="bottom"/>
            <w:hideMark/>
          </w:tcPr>
          <w:p w14:paraId="53D117FB"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1.59 (0.55 ; 4.64)</w:t>
            </w:r>
          </w:p>
        </w:tc>
      </w:tr>
      <w:tr w:rsidR="008F3E3E" w:rsidRPr="009728DC" w14:paraId="20E94700" w14:textId="77777777" w:rsidTr="007C2B41">
        <w:trPr>
          <w:trHeight w:val="255"/>
        </w:trPr>
        <w:tc>
          <w:tcPr>
            <w:tcW w:w="773" w:type="pct"/>
            <w:tcBorders>
              <w:top w:val="nil"/>
              <w:left w:val="nil"/>
              <w:bottom w:val="single" w:sz="4" w:space="0" w:color="auto"/>
              <w:right w:val="nil"/>
            </w:tcBorders>
            <w:shd w:val="clear" w:color="auto" w:fill="auto"/>
            <w:noWrap/>
            <w:vAlign w:val="bottom"/>
            <w:hideMark/>
          </w:tcPr>
          <w:p w14:paraId="5371BC7A"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942" w:type="pct"/>
            <w:tcBorders>
              <w:top w:val="nil"/>
              <w:left w:val="nil"/>
              <w:bottom w:val="single" w:sz="4" w:space="0" w:color="auto"/>
              <w:right w:val="nil"/>
            </w:tcBorders>
            <w:shd w:val="clear" w:color="auto" w:fill="auto"/>
            <w:noWrap/>
            <w:vAlign w:val="bottom"/>
            <w:hideMark/>
          </w:tcPr>
          <w:p w14:paraId="4D586BFC"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N. Ireland</w:t>
            </w:r>
          </w:p>
        </w:tc>
        <w:tc>
          <w:tcPr>
            <w:tcW w:w="232" w:type="pct"/>
            <w:tcBorders>
              <w:top w:val="nil"/>
              <w:left w:val="nil"/>
              <w:bottom w:val="single" w:sz="4" w:space="0" w:color="auto"/>
              <w:right w:val="nil"/>
            </w:tcBorders>
            <w:shd w:val="clear" w:color="auto" w:fill="auto"/>
            <w:noWrap/>
            <w:vAlign w:val="bottom"/>
          </w:tcPr>
          <w:p w14:paraId="54339051"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11.5</w:t>
            </w:r>
          </w:p>
        </w:tc>
        <w:tc>
          <w:tcPr>
            <w:tcW w:w="836" w:type="pct"/>
            <w:tcBorders>
              <w:top w:val="nil"/>
              <w:left w:val="nil"/>
              <w:bottom w:val="single" w:sz="4" w:space="0" w:color="auto"/>
              <w:right w:val="nil"/>
            </w:tcBorders>
            <w:shd w:val="clear" w:color="auto" w:fill="auto"/>
            <w:noWrap/>
            <w:vAlign w:val="bottom"/>
            <w:hideMark/>
          </w:tcPr>
          <w:p w14:paraId="5934513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1.00 (0.77 ; 1.29)</w:t>
            </w:r>
          </w:p>
        </w:tc>
        <w:tc>
          <w:tcPr>
            <w:tcW w:w="179" w:type="pct"/>
            <w:tcBorders>
              <w:top w:val="nil"/>
              <w:left w:val="nil"/>
              <w:bottom w:val="single" w:sz="4" w:space="0" w:color="auto"/>
              <w:right w:val="nil"/>
            </w:tcBorders>
            <w:shd w:val="clear" w:color="auto" w:fill="auto"/>
            <w:noWrap/>
            <w:vAlign w:val="center"/>
            <w:hideMark/>
          </w:tcPr>
          <w:p w14:paraId="471D5485"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0.9</w:t>
            </w:r>
          </w:p>
        </w:tc>
        <w:tc>
          <w:tcPr>
            <w:tcW w:w="885" w:type="pct"/>
            <w:tcBorders>
              <w:top w:val="nil"/>
              <w:left w:val="nil"/>
              <w:bottom w:val="single" w:sz="4" w:space="0" w:color="auto"/>
              <w:right w:val="nil"/>
            </w:tcBorders>
            <w:shd w:val="clear" w:color="auto" w:fill="auto"/>
            <w:noWrap/>
            <w:vAlign w:val="bottom"/>
            <w:hideMark/>
          </w:tcPr>
          <w:p w14:paraId="4B405778"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0.41 (0.16 ; 1.02)</w:t>
            </w:r>
          </w:p>
        </w:tc>
        <w:tc>
          <w:tcPr>
            <w:tcW w:w="232" w:type="pct"/>
            <w:tcBorders>
              <w:top w:val="nil"/>
              <w:left w:val="nil"/>
              <w:bottom w:val="single" w:sz="4" w:space="0" w:color="auto"/>
              <w:right w:val="nil"/>
            </w:tcBorders>
            <w:shd w:val="clear" w:color="auto" w:fill="auto"/>
            <w:noWrap/>
            <w:vAlign w:val="bottom"/>
            <w:hideMark/>
          </w:tcPr>
          <w:p w14:paraId="7E6878A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8.2</w:t>
            </w:r>
          </w:p>
        </w:tc>
        <w:tc>
          <w:tcPr>
            <w:tcW w:w="921" w:type="pct"/>
            <w:tcBorders>
              <w:top w:val="nil"/>
              <w:left w:val="nil"/>
              <w:bottom w:val="single" w:sz="4" w:space="0" w:color="auto"/>
              <w:right w:val="nil"/>
            </w:tcBorders>
            <w:shd w:val="clear" w:color="auto" w:fill="auto"/>
            <w:noWrap/>
            <w:vAlign w:val="bottom"/>
            <w:hideMark/>
          </w:tcPr>
          <w:p w14:paraId="08EA55C6"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0.39 (0.15 ; 1.04)</w:t>
            </w:r>
          </w:p>
        </w:tc>
      </w:tr>
      <w:tr w:rsidR="008F3E3E" w:rsidRPr="009728DC" w14:paraId="4C46D14B" w14:textId="77777777" w:rsidTr="007C2B41">
        <w:trPr>
          <w:trHeight w:val="255"/>
        </w:trPr>
        <w:tc>
          <w:tcPr>
            <w:tcW w:w="773" w:type="pct"/>
            <w:tcBorders>
              <w:top w:val="nil"/>
              <w:left w:val="nil"/>
              <w:bottom w:val="nil"/>
              <w:right w:val="nil"/>
            </w:tcBorders>
            <w:shd w:val="clear" w:color="auto" w:fill="auto"/>
            <w:noWrap/>
            <w:vAlign w:val="bottom"/>
            <w:hideMark/>
          </w:tcPr>
          <w:p w14:paraId="30559C13"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xml:space="preserve">Family income group </w:t>
            </w:r>
          </w:p>
        </w:tc>
        <w:tc>
          <w:tcPr>
            <w:tcW w:w="942" w:type="pct"/>
            <w:tcBorders>
              <w:top w:val="nil"/>
              <w:left w:val="nil"/>
              <w:bottom w:val="nil"/>
              <w:right w:val="nil"/>
            </w:tcBorders>
            <w:shd w:val="clear" w:color="auto" w:fill="auto"/>
            <w:noWrap/>
            <w:vAlign w:val="bottom"/>
            <w:hideMark/>
          </w:tcPr>
          <w:p w14:paraId="5F514CE8"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1 (highest)</w:t>
            </w:r>
          </w:p>
        </w:tc>
        <w:tc>
          <w:tcPr>
            <w:tcW w:w="232" w:type="pct"/>
            <w:tcBorders>
              <w:top w:val="nil"/>
              <w:left w:val="nil"/>
              <w:bottom w:val="nil"/>
              <w:right w:val="nil"/>
            </w:tcBorders>
            <w:shd w:val="clear" w:color="auto" w:fill="auto"/>
            <w:noWrap/>
            <w:vAlign w:val="bottom"/>
          </w:tcPr>
          <w:p w14:paraId="4D004F79"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8.5</w:t>
            </w:r>
          </w:p>
        </w:tc>
        <w:tc>
          <w:tcPr>
            <w:tcW w:w="836" w:type="pct"/>
            <w:tcBorders>
              <w:top w:val="nil"/>
              <w:left w:val="nil"/>
              <w:bottom w:val="nil"/>
              <w:right w:val="nil"/>
            </w:tcBorders>
            <w:shd w:val="clear" w:color="auto" w:fill="auto"/>
            <w:noWrap/>
            <w:vAlign w:val="bottom"/>
            <w:hideMark/>
          </w:tcPr>
          <w:p w14:paraId="1FF5C414"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179" w:type="pct"/>
            <w:tcBorders>
              <w:top w:val="nil"/>
              <w:left w:val="nil"/>
              <w:bottom w:val="nil"/>
              <w:right w:val="nil"/>
            </w:tcBorders>
            <w:shd w:val="clear" w:color="auto" w:fill="auto"/>
            <w:noWrap/>
            <w:vAlign w:val="center"/>
            <w:hideMark/>
          </w:tcPr>
          <w:p w14:paraId="326FF50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0.3</w:t>
            </w:r>
          </w:p>
        </w:tc>
        <w:tc>
          <w:tcPr>
            <w:tcW w:w="885" w:type="pct"/>
            <w:tcBorders>
              <w:top w:val="nil"/>
              <w:left w:val="nil"/>
              <w:bottom w:val="nil"/>
              <w:right w:val="nil"/>
            </w:tcBorders>
            <w:shd w:val="clear" w:color="auto" w:fill="auto"/>
            <w:noWrap/>
            <w:vAlign w:val="bottom"/>
            <w:hideMark/>
          </w:tcPr>
          <w:p w14:paraId="0C18DFFF"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232" w:type="pct"/>
            <w:tcBorders>
              <w:top w:val="nil"/>
              <w:left w:val="nil"/>
              <w:bottom w:val="nil"/>
              <w:right w:val="nil"/>
            </w:tcBorders>
            <w:shd w:val="clear" w:color="auto" w:fill="auto"/>
            <w:noWrap/>
            <w:vAlign w:val="bottom"/>
            <w:hideMark/>
          </w:tcPr>
          <w:p w14:paraId="3155FF2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3.4</w:t>
            </w:r>
          </w:p>
        </w:tc>
        <w:tc>
          <w:tcPr>
            <w:tcW w:w="921" w:type="pct"/>
            <w:tcBorders>
              <w:top w:val="nil"/>
              <w:left w:val="nil"/>
              <w:bottom w:val="nil"/>
              <w:right w:val="nil"/>
            </w:tcBorders>
            <w:shd w:val="clear" w:color="auto" w:fill="auto"/>
            <w:noWrap/>
            <w:vAlign w:val="bottom"/>
            <w:hideMark/>
          </w:tcPr>
          <w:p w14:paraId="4B2B040A"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r>
      <w:tr w:rsidR="008F3E3E" w:rsidRPr="009728DC" w14:paraId="7EB98D34" w14:textId="77777777" w:rsidTr="007C2B41">
        <w:trPr>
          <w:trHeight w:val="255"/>
        </w:trPr>
        <w:tc>
          <w:tcPr>
            <w:tcW w:w="773" w:type="pct"/>
            <w:tcBorders>
              <w:top w:val="nil"/>
              <w:left w:val="nil"/>
              <w:bottom w:val="nil"/>
              <w:right w:val="nil"/>
            </w:tcBorders>
            <w:shd w:val="clear" w:color="auto" w:fill="auto"/>
            <w:noWrap/>
            <w:vAlign w:val="bottom"/>
            <w:hideMark/>
          </w:tcPr>
          <w:p w14:paraId="53D80608" w14:textId="77777777" w:rsidR="008F3E3E" w:rsidRPr="009728DC" w:rsidRDefault="008F3E3E" w:rsidP="007C2B41">
            <w:pPr>
              <w:spacing w:after="0" w:line="240" w:lineRule="auto"/>
              <w:rPr>
                <w:rFonts w:eastAsia="Times New Roman" w:cstheme="minorHAnsi"/>
                <w:lang w:eastAsia="en-GB"/>
              </w:rPr>
            </w:pPr>
          </w:p>
        </w:tc>
        <w:tc>
          <w:tcPr>
            <w:tcW w:w="942" w:type="pct"/>
            <w:tcBorders>
              <w:top w:val="nil"/>
              <w:left w:val="nil"/>
              <w:bottom w:val="nil"/>
              <w:right w:val="nil"/>
            </w:tcBorders>
            <w:shd w:val="clear" w:color="auto" w:fill="auto"/>
            <w:noWrap/>
            <w:vAlign w:val="bottom"/>
            <w:hideMark/>
          </w:tcPr>
          <w:p w14:paraId="216C4E4E"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2</w:t>
            </w:r>
          </w:p>
        </w:tc>
        <w:tc>
          <w:tcPr>
            <w:tcW w:w="232" w:type="pct"/>
            <w:tcBorders>
              <w:top w:val="nil"/>
              <w:left w:val="nil"/>
              <w:bottom w:val="nil"/>
              <w:right w:val="nil"/>
            </w:tcBorders>
            <w:shd w:val="clear" w:color="auto" w:fill="auto"/>
            <w:noWrap/>
            <w:vAlign w:val="bottom"/>
          </w:tcPr>
          <w:p w14:paraId="5304C14E"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11.0</w:t>
            </w:r>
          </w:p>
        </w:tc>
        <w:tc>
          <w:tcPr>
            <w:tcW w:w="836" w:type="pct"/>
            <w:tcBorders>
              <w:top w:val="nil"/>
              <w:left w:val="nil"/>
              <w:bottom w:val="nil"/>
              <w:right w:val="nil"/>
            </w:tcBorders>
            <w:shd w:val="clear" w:color="auto" w:fill="auto"/>
            <w:noWrap/>
            <w:vAlign w:val="bottom"/>
            <w:hideMark/>
          </w:tcPr>
          <w:p w14:paraId="7878A54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1.35 (1.06 ; 1.72)</w:t>
            </w:r>
          </w:p>
        </w:tc>
        <w:tc>
          <w:tcPr>
            <w:tcW w:w="179" w:type="pct"/>
            <w:tcBorders>
              <w:top w:val="nil"/>
              <w:left w:val="nil"/>
              <w:bottom w:val="nil"/>
              <w:right w:val="nil"/>
            </w:tcBorders>
            <w:shd w:val="clear" w:color="auto" w:fill="auto"/>
            <w:noWrap/>
            <w:vAlign w:val="center"/>
            <w:hideMark/>
          </w:tcPr>
          <w:p w14:paraId="476A5E41"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1.4</w:t>
            </w:r>
          </w:p>
        </w:tc>
        <w:tc>
          <w:tcPr>
            <w:tcW w:w="885" w:type="pct"/>
            <w:tcBorders>
              <w:top w:val="nil"/>
              <w:left w:val="nil"/>
              <w:bottom w:val="nil"/>
              <w:right w:val="nil"/>
            </w:tcBorders>
            <w:shd w:val="clear" w:color="auto" w:fill="auto"/>
            <w:noWrap/>
            <w:vAlign w:val="bottom"/>
            <w:hideMark/>
          </w:tcPr>
          <w:p w14:paraId="56AEB10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5.63 (2.28 ; 13.95)</w:t>
            </w:r>
          </w:p>
        </w:tc>
        <w:tc>
          <w:tcPr>
            <w:tcW w:w="232" w:type="pct"/>
            <w:tcBorders>
              <w:top w:val="nil"/>
              <w:left w:val="nil"/>
              <w:bottom w:val="nil"/>
              <w:right w:val="nil"/>
            </w:tcBorders>
            <w:shd w:val="clear" w:color="auto" w:fill="auto"/>
            <w:noWrap/>
            <w:vAlign w:val="bottom"/>
            <w:hideMark/>
          </w:tcPr>
          <w:p w14:paraId="06C9B249"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12.8</w:t>
            </w:r>
          </w:p>
        </w:tc>
        <w:tc>
          <w:tcPr>
            <w:tcW w:w="921" w:type="pct"/>
            <w:tcBorders>
              <w:top w:val="nil"/>
              <w:left w:val="nil"/>
              <w:bottom w:val="nil"/>
              <w:right w:val="nil"/>
            </w:tcBorders>
            <w:shd w:val="clear" w:color="auto" w:fill="auto"/>
            <w:noWrap/>
            <w:vAlign w:val="bottom"/>
            <w:hideMark/>
          </w:tcPr>
          <w:p w14:paraId="02C9471B"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4.94 (1.99 ; 12.3)</w:t>
            </w:r>
          </w:p>
        </w:tc>
      </w:tr>
      <w:tr w:rsidR="008F3E3E" w:rsidRPr="009728DC" w14:paraId="0A443927" w14:textId="77777777" w:rsidTr="007C2B41">
        <w:trPr>
          <w:trHeight w:val="255"/>
        </w:trPr>
        <w:tc>
          <w:tcPr>
            <w:tcW w:w="773" w:type="pct"/>
            <w:tcBorders>
              <w:top w:val="nil"/>
              <w:left w:val="nil"/>
              <w:bottom w:val="nil"/>
              <w:right w:val="nil"/>
            </w:tcBorders>
            <w:shd w:val="clear" w:color="auto" w:fill="auto"/>
            <w:noWrap/>
            <w:vAlign w:val="bottom"/>
            <w:hideMark/>
          </w:tcPr>
          <w:p w14:paraId="2F6AFF27" w14:textId="77777777" w:rsidR="008F3E3E" w:rsidRPr="009728DC" w:rsidRDefault="008F3E3E" w:rsidP="007C2B41">
            <w:pPr>
              <w:spacing w:after="0" w:line="240" w:lineRule="auto"/>
              <w:rPr>
                <w:rFonts w:eastAsia="Times New Roman" w:cstheme="minorHAnsi"/>
                <w:lang w:eastAsia="en-GB"/>
              </w:rPr>
            </w:pPr>
          </w:p>
        </w:tc>
        <w:tc>
          <w:tcPr>
            <w:tcW w:w="942" w:type="pct"/>
            <w:tcBorders>
              <w:top w:val="nil"/>
              <w:left w:val="nil"/>
              <w:bottom w:val="nil"/>
              <w:right w:val="nil"/>
            </w:tcBorders>
            <w:shd w:val="clear" w:color="auto" w:fill="auto"/>
            <w:noWrap/>
            <w:vAlign w:val="bottom"/>
            <w:hideMark/>
          </w:tcPr>
          <w:p w14:paraId="36CB3DEE"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3</w:t>
            </w:r>
          </w:p>
        </w:tc>
        <w:tc>
          <w:tcPr>
            <w:tcW w:w="232" w:type="pct"/>
            <w:tcBorders>
              <w:top w:val="nil"/>
              <w:left w:val="nil"/>
              <w:bottom w:val="nil"/>
              <w:right w:val="nil"/>
            </w:tcBorders>
            <w:shd w:val="clear" w:color="auto" w:fill="auto"/>
            <w:noWrap/>
            <w:vAlign w:val="bottom"/>
          </w:tcPr>
          <w:p w14:paraId="2E13A73B"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13.4</w:t>
            </w:r>
          </w:p>
        </w:tc>
        <w:tc>
          <w:tcPr>
            <w:tcW w:w="836" w:type="pct"/>
            <w:tcBorders>
              <w:top w:val="nil"/>
              <w:left w:val="nil"/>
              <w:bottom w:val="nil"/>
              <w:right w:val="nil"/>
            </w:tcBorders>
            <w:shd w:val="clear" w:color="auto" w:fill="auto"/>
            <w:noWrap/>
            <w:vAlign w:val="bottom"/>
            <w:hideMark/>
          </w:tcPr>
          <w:p w14:paraId="43035F1F"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1.85 (1.42 ; 2.42)</w:t>
            </w:r>
          </w:p>
        </w:tc>
        <w:tc>
          <w:tcPr>
            <w:tcW w:w="179" w:type="pct"/>
            <w:tcBorders>
              <w:top w:val="nil"/>
              <w:left w:val="nil"/>
              <w:bottom w:val="nil"/>
              <w:right w:val="nil"/>
            </w:tcBorders>
            <w:shd w:val="clear" w:color="auto" w:fill="auto"/>
            <w:noWrap/>
            <w:vAlign w:val="center"/>
            <w:hideMark/>
          </w:tcPr>
          <w:p w14:paraId="7364F62F"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1.6</w:t>
            </w:r>
          </w:p>
        </w:tc>
        <w:tc>
          <w:tcPr>
            <w:tcW w:w="885" w:type="pct"/>
            <w:tcBorders>
              <w:top w:val="nil"/>
              <w:left w:val="nil"/>
              <w:bottom w:val="nil"/>
              <w:right w:val="nil"/>
            </w:tcBorders>
            <w:shd w:val="clear" w:color="auto" w:fill="auto"/>
            <w:noWrap/>
            <w:vAlign w:val="bottom"/>
            <w:hideMark/>
          </w:tcPr>
          <w:p w14:paraId="034565AF"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6.29 (2.66 ; 14.87)</w:t>
            </w:r>
          </w:p>
        </w:tc>
        <w:tc>
          <w:tcPr>
            <w:tcW w:w="232" w:type="pct"/>
            <w:tcBorders>
              <w:top w:val="nil"/>
              <w:left w:val="nil"/>
              <w:bottom w:val="nil"/>
              <w:right w:val="nil"/>
            </w:tcBorders>
            <w:shd w:val="clear" w:color="auto" w:fill="auto"/>
            <w:noWrap/>
            <w:vAlign w:val="bottom"/>
            <w:hideMark/>
          </w:tcPr>
          <w:p w14:paraId="185AA0C0"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12.2</w:t>
            </w:r>
          </w:p>
        </w:tc>
        <w:tc>
          <w:tcPr>
            <w:tcW w:w="921" w:type="pct"/>
            <w:tcBorders>
              <w:top w:val="nil"/>
              <w:left w:val="nil"/>
              <w:bottom w:val="nil"/>
              <w:right w:val="nil"/>
            </w:tcBorders>
            <w:shd w:val="clear" w:color="auto" w:fill="auto"/>
            <w:noWrap/>
            <w:vAlign w:val="bottom"/>
            <w:hideMark/>
          </w:tcPr>
          <w:p w14:paraId="67D5A5BD"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4.14 (1.75 ; 9.83)</w:t>
            </w:r>
          </w:p>
        </w:tc>
      </w:tr>
      <w:tr w:rsidR="008F3E3E" w:rsidRPr="009728DC" w14:paraId="3736779A" w14:textId="77777777" w:rsidTr="007C2B41">
        <w:trPr>
          <w:trHeight w:val="255"/>
        </w:trPr>
        <w:tc>
          <w:tcPr>
            <w:tcW w:w="773" w:type="pct"/>
            <w:tcBorders>
              <w:top w:val="nil"/>
              <w:left w:val="nil"/>
              <w:bottom w:val="nil"/>
              <w:right w:val="nil"/>
            </w:tcBorders>
            <w:shd w:val="clear" w:color="auto" w:fill="auto"/>
            <w:noWrap/>
            <w:vAlign w:val="bottom"/>
            <w:hideMark/>
          </w:tcPr>
          <w:p w14:paraId="76513973" w14:textId="77777777" w:rsidR="008F3E3E" w:rsidRPr="009728DC" w:rsidRDefault="008F3E3E" w:rsidP="007C2B41">
            <w:pPr>
              <w:spacing w:after="0" w:line="240" w:lineRule="auto"/>
              <w:rPr>
                <w:rFonts w:eastAsia="Times New Roman" w:cstheme="minorHAnsi"/>
                <w:lang w:eastAsia="en-GB"/>
              </w:rPr>
            </w:pPr>
          </w:p>
        </w:tc>
        <w:tc>
          <w:tcPr>
            <w:tcW w:w="942" w:type="pct"/>
            <w:tcBorders>
              <w:top w:val="nil"/>
              <w:left w:val="nil"/>
              <w:bottom w:val="nil"/>
              <w:right w:val="nil"/>
            </w:tcBorders>
            <w:shd w:val="clear" w:color="auto" w:fill="auto"/>
            <w:noWrap/>
            <w:vAlign w:val="bottom"/>
            <w:hideMark/>
          </w:tcPr>
          <w:p w14:paraId="2515D808"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4</w:t>
            </w:r>
          </w:p>
        </w:tc>
        <w:tc>
          <w:tcPr>
            <w:tcW w:w="232" w:type="pct"/>
            <w:tcBorders>
              <w:top w:val="nil"/>
              <w:left w:val="nil"/>
              <w:bottom w:val="nil"/>
              <w:right w:val="nil"/>
            </w:tcBorders>
            <w:shd w:val="clear" w:color="auto" w:fill="auto"/>
            <w:noWrap/>
            <w:vAlign w:val="bottom"/>
          </w:tcPr>
          <w:p w14:paraId="520D69EC"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20.7</w:t>
            </w:r>
          </w:p>
        </w:tc>
        <w:tc>
          <w:tcPr>
            <w:tcW w:w="836" w:type="pct"/>
            <w:tcBorders>
              <w:top w:val="nil"/>
              <w:left w:val="nil"/>
              <w:bottom w:val="nil"/>
              <w:right w:val="nil"/>
            </w:tcBorders>
            <w:shd w:val="clear" w:color="auto" w:fill="auto"/>
            <w:noWrap/>
            <w:vAlign w:val="bottom"/>
            <w:hideMark/>
          </w:tcPr>
          <w:p w14:paraId="67A5535B"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2.56 (1.87 ; 3.53)</w:t>
            </w:r>
          </w:p>
        </w:tc>
        <w:tc>
          <w:tcPr>
            <w:tcW w:w="179" w:type="pct"/>
            <w:tcBorders>
              <w:top w:val="nil"/>
              <w:left w:val="nil"/>
              <w:bottom w:val="nil"/>
              <w:right w:val="nil"/>
            </w:tcBorders>
            <w:shd w:val="clear" w:color="auto" w:fill="auto"/>
            <w:noWrap/>
            <w:vAlign w:val="center"/>
            <w:hideMark/>
          </w:tcPr>
          <w:p w14:paraId="4C7BB4FB"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3.8</w:t>
            </w:r>
          </w:p>
        </w:tc>
        <w:tc>
          <w:tcPr>
            <w:tcW w:w="885" w:type="pct"/>
            <w:tcBorders>
              <w:top w:val="nil"/>
              <w:left w:val="nil"/>
              <w:bottom w:val="nil"/>
              <w:right w:val="nil"/>
            </w:tcBorders>
            <w:shd w:val="clear" w:color="auto" w:fill="auto"/>
            <w:noWrap/>
            <w:vAlign w:val="bottom"/>
            <w:hideMark/>
          </w:tcPr>
          <w:p w14:paraId="40DAE2B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16.03 (5.90 ; 43.57)</w:t>
            </w:r>
          </w:p>
        </w:tc>
        <w:tc>
          <w:tcPr>
            <w:tcW w:w="232" w:type="pct"/>
            <w:tcBorders>
              <w:top w:val="nil"/>
              <w:left w:val="nil"/>
              <w:bottom w:val="nil"/>
              <w:right w:val="nil"/>
            </w:tcBorders>
            <w:shd w:val="clear" w:color="auto" w:fill="auto"/>
            <w:noWrap/>
            <w:vAlign w:val="bottom"/>
            <w:hideMark/>
          </w:tcPr>
          <w:p w14:paraId="28395988"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18.1</w:t>
            </w:r>
          </w:p>
        </w:tc>
        <w:tc>
          <w:tcPr>
            <w:tcW w:w="921" w:type="pct"/>
            <w:tcBorders>
              <w:top w:val="nil"/>
              <w:left w:val="nil"/>
              <w:bottom w:val="nil"/>
              <w:right w:val="nil"/>
            </w:tcBorders>
            <w:shd w:val="clear" w:color="auto" w:fill="auto"/>
            <w:noWrap/>
            <w:vAlign w:val="bottom"/>
            <w:hideMark/>
          </w:tcPr>
          <w:p w14:paraId="3B2C8D5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10.06 (3.92 ; 25.83)</w:t>
            </w:r>
          </w:p>
        </w:tc>
      </w:tr>
      <w:tr w:rsidR="008F3E3E" w:rsidRPr="009728DC" w14:paraId="246BB270" w14:textId="77777777" w:rsidTr="007C2B41">
        <w:trPr>
          <w:trHeight w:val="255"/>
        </w:trPr>
        <w:tc>
          <w:tcPr>
            <w:tcW w:w="773" w:type="pct"/>
            <w:tcBorders>
              <w:top w:val="nil"/>
              <w:left w:val="nil"/>
              <w:bottom w:val="single" w:sz="4" w:space="0" w:color="auto"/>
              <w:right w:val="nil"/>
            </w:tcBorders>
            <w:shd w:val="clear" w:color="auto" w:fill="auto"/>
            <w:noWrap/>
            <w:vAlign w:val="bottom"/>
            <w:hideMark/>
          </w:tcPr>
          <w:p w14:paraId="3F972F9A"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942" w:type="pct"/>
            <w:tcBorders>
              <w:top w:val="nil"/>
              <w:left w:val="nil"/>
              <w:bottom w:val="single" w:sz="4" w:space="0" w:color="auto"/>
              <w:right w:val="nil"/>
            </w:tcBorders>
            <w:shd w:val="clear" w:color="auto" w:fill="auto"/>
            <w:noWrap/>
            <w:vAlign w:val="bottom"/>
            <w:hideMark/>
          </w:tcPr>
          <w:p w14:paraId="260A0CED"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5 (lowest)</w:t>
            </w:r>
          </w:p>
        </w:tc>
        <w:tc>
          <w:tcPr>
            <w:tcW w:w="232" w:type="pct"/>
            <w:tcBorders>
              <w:top w:val="nil"/>
              <w:left w:val="nil"/>
              <w:bottom w:val="single" w:sz="4" w:space="0" w:color="auto"/>
              <w:right w:val="nil"/>
            </w:tcBorders>
            <w:shd w:val="clear" w:color="auto" w:fill="auto"/>
            <w:noWrap/>
            <w:vAlign w:val="bottom"/>
          </w:tcPr>
          <w:p w14:paraId="6A9E9BBD"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20.0</w:t>
            </w:r>
          </w:p>
        </w:tc>
        <w:tc>
          <w:tcPr>
            <w:tcW w:w="836" w:type="pct"/>
            <w:tcBorders>
              <w:top w:val="nil"/>
              <w:left w:val="nil"/>
              <w:bottom w:val="single" w:sz="4" w:space="0" w:color="auto"/>
              <w:right w:val="nil"/>
            </w:tcBorders>
            <w:shd w:val="clear" w:color="auto" w:fill="auto"/>
            <w:noWrap/>
            <w:vAlign w:val="bottom"/>
            <w:hideMark/>
          </w:tcPr>
          <w:p w14:paraId="61C991FA"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2.74 (2.00 ; 3.75)</w:t>
            </w:r>
          </w:p>
        </w:tc>
        <w:tc>
          <w:tcPr>
            <w:tcW w:w="179" w:type="pct"/>
            <w:tcBorders>
              <w:top w:val="nil"/>
              <w:left w:val="nil"/>
              <w:bottom w:val="single" w:sz="4" w:space="0" w:color="auto"/>
              <w:right w:val="nil"/>
            </w:tcBorders>
            <w:shd w:val="clear" w:color="auto" w:fill="auto"/>
            <w:noWrap/>
            <w:vAlign w:val="center"/>
            <w:hideMark/>
          </w:tcPr>
          <w:p w14:paraId="0CF20861"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3.6</w:t>
            </w:r>
          </w:p>
        </w:tc>
        <w:tc>
          <w:tcPr>
            <w:tcW w:w="885" w:type="pct"/>
            <w:tcBorders>
              <w:top w:val="nil"/>
              <w:left w:val="nil"/>
              <w:bottom w:val="single" w:sz="4" w:space="0" w:color="auto"/>
              <w:right w:val="nil"/>
            </w:tcBorders>
            <w:shd w:val="clear" w:color="auto" w:fill="auto"/>
            <w:noWrap/>
            <w:vAlign w:val="bottom"/>
            <w:hideMark/>
          </w:tcPr>
          <w:p w14:paraId="3C381B9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13.58 (5.51 ; 33.47)</w:t>
            </w:r>
          </w:p>
        </w:tc>
        <w:tc>
          <w:tcPr>
            <w:tcW w:w="232" w:type="pct"/>
            <w:tcBorders>
              <w:top w:val="nil"/>
              <w:left w:val="nil"/>
              <w:bottom w:val="single" w:sz="4" w:space="0" w:color="auto"/>
              <w:right w:val="nil"/>
            </w:tcBorders>
            <w:shd w:val="clear" w:color="auto" w:fill="auto"/>
            <w:noWrap/>
            <w:vAlign w:val="bottom"/>
            <w:hideMark/>
          </w:tcPr>
          <w:p w14:paraId="4F86A1E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18.3</w:t>
            </w:r>
          </w:p>
        </w:tc>
        <w:tc>
          <w:tcPr>
            <w:tcW w:w="921" w:type="pct"/>
            <w:tcBorders>
              <w:top w:val="nil"/>
              <w:left w:val="nil"/>
              <w:bottom w:val="single" w:sz="4" w:space="0" w:color="auto"/>
              <w:right w:val="nil"/>
            </w:tcBorders>
            <w:shd w:val="clear" w:color="auto" w:fill="auto"/>
            <w:noWrap/>
            <w:vAlign w:val="bottom"/>
            <w:hideMark/>
          </w:tcPr>
          <w:p w14:paraId="7AFF04E5"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8.07 (3.24 ; 20.12)</w:t>
            </w:r>
          </w:p>
        </w:tc>
      </w:tr>
      <w:tr w:rsidR="008F3E3E" w:rsidRPr="009728DC" w14:paraId="57FA2D41" w14:textId="77777777" w:rsidTr="007C2B41">
        <w:trPr>
          <w:trHeight w:val="255"/>
        </w:trPr>
        <w:tc>
          <w:tcPr>
            <w:tcW w:w="773" w:type="pct"/>
            <w:tcBorders>
              <w:top w:val="nil"/>
              <w:left w:val="nil"/>
              <w:bottom w:val="nil"/>
              <w:right w:val="nil"/>
            </w:tcBorders>
            <w:shd w:val="clear" w:color="auto" w:fill="auto"/>
            <w:noWrap/>
            <w:vAlign w:val="bottom"/>
            <w:hideMark/>
          </w:tcPr>
          <w:p w14:paraId="52A94615"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Ethnic group</w:t>
            </w:r>
          </w:p>
        </w:tc>
        <w:tc>
          <w:tcPr>
            <w:tcW w:w="942" w:type="pct"/>
            <w:tcBorders>
              <w:top w:val="nil"/>
              <w:left w:val="nil"/>
              <w:bottom w:val="nil"/>
              <w:right w:val="nil"/>
            </w:tcBorders>
            <w:shd w:val="clear" w:color="auto" w:fill="auto"/>
            <w:noWrap/>
            <w:vAlign w:val="bottom"/>
            <w:hideMark/>
          </w:tcPr>
          <w:p w14:paraId="42F273D6"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White</w:t>
            </w:r>
          </w:p>
        </w:tc>
        <w:tc>
          <w:tcPr>
            <w:tcW w:w="232" w:type="pct"/>
            <w:tcBorders>
              <w:top w:val="nil"/>
              <w:left w:val="nil"/>
              <w:bottom w:val="nil"/>
              <w:right w:val="nil"/>
            </w:tcBorders>
            <w:shd w:val="clear" w:color="auto" w:fill="auto"/>
            <w:noWrap/>
            <w:vAlign w:val="bottom"/>
          </w:tcPr>
          <w:p w14:paraId="6A52BB45"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15.0</w:t>
            </w:r>
          </w:p>
        </w:tc>
        <w:tc>
          <w:tcPr>
            <w:tcW w:w="836" w:type="pct"/>
            <w:tcBorders>
              <w:top w:val="nil"/>
              <w:left w:val="nil"/>
              <w:bottom w:val="nil"/>
              <w:right w:val="nil"/>
            </w:tcBorders>
            <w:shd w:val="clear" w:color="auto" w:fill="auto"/>
            <w:noWrap/>
            <w:vAlign w:val="bottom"/>
            <w:hideMark/>
          </w:tcPr>
          <w:p w14:paraId="02E740C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179" w:type="pct"/>
            <w:tcBorders>
              <w:top w:val="nil"/>
              <w:left w:val="nil"/>
              <w:bottom w:val="nil"/>
              <w:right w:val="nil"/>
            </w:tcBorders>
            <w:shd w:val="clear" w:color="auto" w:fill="auto"/>
            <w:noWrap/>
            <w:vAlign w:val="center"/>
            <w:hideMark/>
          </w:tcPr>
          <w:p w14:paraId="7CADC02D"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2.1</w:t>
            </w:r>
          </w:p>
        </w:tc>
        <w:tc>
          <w:tcPr>
            <w:tcW w:w="885" w:type="pct"/>
            <w:tcBorders>
              <w:top w:val="nil"/>
              <w:left w:val="nil"/>
              <w:bottom w:val="nil"/>
              <w:right w:val="nil"/>
            </w:tcBorders>
            <w:shd w:val="clear" w:color="auto" w:fill="auto"/>
            <w:noWrap/>
            <w:vAlign w:val="bottom"/>
            <w:hideMark/>
          </w:tcPr>
          <w:p w14:paraId="30B27809"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232" w:type="pct"/>
            <w:tcBorders>
              <w:top w:val="nil"/>
              <w:left w:val="nil"/>
              <w:bottom w:val="nil"/>
              <w:right w:val="nil"/>
            </w:tcBorders>
            <w:shd w:val="clear" w:color="auto" w:fill="auto"/>
            <w:noWrap/>
            <w:vAlign w:val="bottom"/>
            <w:hideMark/>
          </w:tcPr>
          <w:p w14:paraId="49B3BB1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14.2</w:t>
            </w:r>
          </w:p>
        </w:tc>
        <w:tc>
          <w:tcPr>
            <w:tcW w:w="921" w:type="pct"/>
            <w:tcBorders>
              <w:top w:val="nil"/>
              <w:left w:val="nil"/>
              <w:bottom w:val="nil"/>
              <w:right w:val="nil"/>
            </w:tcBorders>
            <w:shd w:val="clear" w:color="auto" w:fill="auto"/>
            <w:noWrap/>
            <w:vAlign w:val="bottom"/>
            <w:hideMark/>
          </w:tcPr>
          <w:p w14:paraId="0F1C9E86"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r>
      <w:tr w:rsidR="008F3E3E" w:rsidRPr="009728DC" w14:paraId="02190882" w14:textId="77777777" w:rsidTr="007C2B41">
        <w:trPr>
          <w:trHeight w:val="255"/>
        </w:trPr>
        <w:tc>
          <w:tcPr>
            <w:tcW w:w="773" w:type="pct"/>
            <w:tcBorders>
              <w:top w:val="nil"/>
              <w:left w:val="nil"/>
              <w:bottom w:val="nil"/>
              <w:right w:val="nil"/>
            </w:tcBorders>
            <w:shd w:val="clear" w:color="auto" w:fill="auto"/>
            <w:noWrap/>
            <w:vAlign w:val="bottom"/>
            <w:hideMark/>
          </w:tcPr>
          <w:p w14:paraId="33A707C2" w14:textId="77777777" w:rsidR="008F3E3E" w:rsidRPr="009728DC" w:rsidRDefault="008F3E3E" w:rsidP="007C2B41">
            <w:pPr>
              <w:spacing w:after="0" w:line="240" w:lineRule="auto"/>
              <w:rPr>
                <w:rFonts w:eastAsia="Times New Roman" w:cstheme="minorHAnsi"/>
                <w:lang w:eastAsia="en-GB"/>
              </w:rPr>
            </w:pPr>
          </w:p>
        </w:tc>
        <w:tc>
          <w:tcPr>
            <w:tcW w:w="942" w:type="pct"/>
            <w:tcBorders>
              <w:top w:val="nil"/>
              <w:left w:val="nil"/>
              <w:bottom w:val="nil"/>
              <w:right w:val="nil"/>
            </w:tcBorders>
            <w:shd w:val="clear" w:color="auto" w:fill="auto"/>
            <w:noWrap/>
            <w:vAlign w:val="bottom"/>
            <w:hideMark/>
          </w:tcPr>
          <w:p w14:paraId="29E15B98"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Mixed</w:t>
            </w:r>
          </w:p>
        </w:tc>
        <w:tc>
          <w:tcPr>
            <w:tcW w:w="232" w:type="pct"/>
            <w:tcBorders>
              <w:top w:val="nil"/>
              <w:left w:val="nil"/>
              <w:bottom w:val="nil"/>
              <w:right w:val="nil"/>
            </w:tcBorders>
            <w:shd w:val="clear" w:color="auto" w:fill="auto"/>
            <w:noWrap/>
            <w:vAlign w:val="bottom"/>
          </w:tcPr>
          <w:p w14:paraId="45839FF3"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13.1</w:t>
            </w:r>
          </w:p>
        </w:tc>
        <w:tc>
          <w:tcPr>
            <w:tcW w:w="836" w:type="pct"/>
            <w:tcBorders>
              <w:top w:val="nil"/>
              <w:left w:val="nil"/>
              <w:bottom w:val="nil"/>
              <w:right w:val="nil"/>
            </w:tcBorders>
            <w:shd w:val="clear" w:color="auto" w:fill="auto"/>
            <w:noWrap/>
            <w:vAlign w:val="bottom"/>
            <w:hideMark/>
          </w:tcPr>
          <w:p w14:paraId="659BFCED"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0.45 (0.23 ; 0.89)</w:t>
            </w:r>
          </w:p>
        </w:tc>
        <w:tc>
          <w:tcPr>
            <w:tcW w:w="179" w:type="pct"/>
            <w:tcBorders>
              <w:top w:val="nil"/>
              <w:left w:val="nil"/>
              <w:bottom w:val="nil"/>
              <w:right w:val="nil"/>
            </w:tcBorders>
            <w:shd w:val="clear" w:color="auto" w:fill="auto"/>
            <w:noWrap/>
            <w:vAlign w:val="center"/>
            <w:hideMark/>
          </w:tcPr>
          <w:p w14:paraId="2C42ED29"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4.0</w:t>
            </w:r>
          </w:p>
        </w:tc>
        <w:tc>
          <w:tcPr>
            <w:tcW w:w="885" w:type="pct"/>
            <w:tcBorders>
              <w:top w:val="nil"/>
              <w:left w:val="nil"/>
              <w:bottom w:val="nil"/>
              <w:right w:val="nil"/>
            </w:tcBorders>
            <w:shd w:val="clear" w:color="auto" w:fill="auto"/>
            <w:noWrap/>
            <w:vAlign w:val="bottom"/>
            <w:hideMark/>
          </w:tcPr>
          <w:p w14:paraId="1E91084D"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0.79 (0.29 ; 2.11)</w:t>
            </w:r>
          </w:p>
        </w:tc>
        <w:tc>
          <w:tcPr>
            <w:tcW w:w="232" w:type="pct"/>
            <w:tcBorders>
              <w:top w:val="nil"/>
              <w:left w:val="nil"/>
              <w:bottom w:val="nil"/>
              <w:right w:val="nil"/>
            </w:tcBorders>
            <w:shd w:val="clear" w:color="auto" w:fill="auto"/>
            <w:noWrap/>
            <w:vAlign w:val="bottom"/>
            <w:hideMark/>
          </w:tcPr>
          <w:p w14:paraId="3CF8339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30.8</w:t>
            </w:r>
          </w:p>
        </w:tc>
        <w:tc>
          <w:tcPr>
            <w:tcW w:w="921" w:type="pct"/>
            <w:tcBorders>
              <w:top w:val="nil"/>
              <w:left w:val="nil"/>
              <w:bottom w:val="nil"/>
              <w:right w:val="nil"/>
            </w:tcBorders>
            <w:shd w:val="clear" w:color="auto" w:fill="auto"/>
            <w:noWrap/>
            <w:vAlign w:val="bottom"/>
            <w:hideMark/>
          </w:tcPr>
          <w:p w14:paraId="18E0C602"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1.25 (0.28 ; 5.47)</w:t>
            </w:r>
          </w:p>
        </w:tc>
      </w:tr>
      <w:tr w:rsidR="008F3E3E" w:rsidRPr="009728DC" w14:paraId="3D354E5B" w14:textId="77777777" w:rsidTr="007C2B41">
        <w:trPr>
          <w:trHeight w:val="255"/>
        </w:trPr>
        <w:tc>
          <w:tcPr>
            <w:tcW w:w="773" w:type="pct"/>
            <w:tcBorders>
              <w:top w:val="nil"/>
              <w:left w:val="nil"/>
              <w:bottom w:val="nil"/>
              <w:right w:val="nil"/>
            </w:tcBorders>
            <w:shd w:val="clear" w:color="auto" w:fill="auto"/>
            <w:noWrap/>
            <w:vAlign w:val="bottom"/>
            <w:hideMark/>
          </w:tcPr>
          <w:p w14:paraId="1568052C" w14:textId="77777777" w:rsidR="008F3E3E" w:rsidRPr="009728DC" w:rsidRDefault="008F3E3E" w:rsidP="007C2B41">
            <w:pPr>
              <w:spacing w:after="0" w:line="240" w:lineRule="auto"/>
              <w:rPr>
                <w:rFonts w:eastAsia="Times New Roman" w:cstheme="minorHAnsi"/>
                <w:lang w:eastAsia="en-GB"/>
              </w:rPr>
            </w:pPr>
          </w:p>
        </w:tc>
        <w:tc>
          <w:tcPr>
            <w:tcW w:w="942" w:type="pct"/>
            <w:tcBorders>
              <w:top w:val="nil"/>
              <w:left w:val="nil"/>
              <w:bottom w:val="nil"/>
              <w:right w:val="nil"/>
            </w:tcBorders>
            <w:shd w:val="clear" w:color="auto" w:fill="auto"/>
            <w:noWrap/>
            <w:vAlign w:val="bottom"/>
            <w:hideMark/>
          </w:tcPr>
          <w:p w14:paraId="529B2754"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Indian</w:t>
            </w:r>
          </w:p>
        </w:tc>
        <w:tc>
          <w:tcPr>
            <w:tcW w:w="232" w:type="pct"/>
            <w:tcBorders>
              <w:top w:val="nil"/>
              <w:left w:val="nil"/>
              <w:bottom w:val="nil"/>
              <w:right w:val="nil"/>
            </w:tcBorders>
            <w:shd w:val="clear" w:color="auto" w:fill="auto"/>
            <w:noWrap/>
            <w:vAlign w:val="bottom"/>
          </w:tcPr>
          <w:p w14:paraId="254090CB"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4.3</w:t>
            </w:r>
          </w:p>
        </w:tc>
        <w:tc>
          <w:tcPr>
            <w:tcW w:w="836" w:type="pct"/>
            <w:tcBorders>
              <w:top w:val="nil"/>
              <w:left w:val="nil"/>
              <w:bottom w:val="nil"/>
              <w:right w:val="nil"/>
            </w:tcBorders>
            <w:shd w:val="clear" w:color="auto" w:fill="auto"/>
            <w:noWrap/>
            <w:vAlign w:val="bottom"/>
            <w:hideMark/>
          </w:tcPr>
          <w:p w14:paraId="38FF75F7"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0.39 (0.20 ; 0.75)</w:t>
            </w:r>
          </w:p>
        </w:tc>
        <w:tc>
          <w:tcPr>
            <w:tcW w:w="179" w:type="pct"/>
            <w:tcBorders>
              <w:top w:val="nil"/>
              <w:left w:val="nil"/>
              <w:bottom w:val="nil"/>
              <w:right w:val="nil"/>
            </w:tcBorders>
            <w:shd w:val="clear" w:color="auto" w:fill="auto"/>
            <w:noWrap/>
            <w:vAlign w:val="center"/>
            <w:hideMark/>
          </w:tcPr>
          <w:p w14:paraId="3B5D63BD"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0.7</w:t>
            </w:r>
          </w:p>
        </w:tc>
        <w:tc>
          <w:tcPr>
            <w:tcW w:w="885" w:type="pct"/>
            <w:tcBorders>
              <w:top w:val="nil"/>
              <w:left w:val="nil"/>
              <w:bottom w:val="nil"/>
              <w:right w:val="nil"/>
            </w:tcBorders>
            <w:shd w:val="clear" w:color="auto" w:fill="auto"/>
            <w:noWrap/>
            <w:vAlign w:val="bottom"/>
            <w:hideMark/>
          </w:tcPr>
          <w:p w14:paraId="08C82FCB"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0.46 (0.10 ; 2.05)</w:t>
            </w:r>
          </w:p>
        </w:tc>
        <w:tc>
          <w:tcPr>
            <w:tcW w:w="232" w:type="pct"/>
            <w:tcBorders>
              <w:top w:val="nil"/>
              <w:left w:val="nil"/>
              <w:bottom w:val="nil"/>
              <w:right w:val="nil"/>
            </w:tcBorders>
            <w:shd w:val="clear" w:color="auto" w:fill="auto"/>
            <w:noWrap/>
            <w:vAlign w:val="bottom"/>
            <w:hideMark/>
          </w:tcPr>
          <w:p w14:paraId="02DE21F7"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15.4</w:t>
            </w:r>
          </w:p>
        </w:tc>
        <w:tc>
          <w:tcPr>
            <w:tcW w:w="921" w:type="pct"/>
            <w:tcBorders>
              <w:top w:val="nil"/>
              <w:left w:val="nil"/>
              <w:bottom w:val="nil"/>
              <w:right w:val="nil"/>
            </w:tcBorders>
            <w:shd w:val="clear" w:color="auto" w:fill="auto"/>
            <w:noWrap/>
            <w:vAlign w:val="bottom"/>
            <w:hideMark/>
          </w:tcPr>
          <w:p w14:paraId="1EC9C272"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1.16 (0.22 ; 6.18)</w:t>
            </w:r>
          </w:p>
        </w:tc>
      </w:tr>
      <w:tr w:rsidR="008F3E3E" w:rsidRPr="009728DC" w14:paraId="256826AD" w14:textId="77777777" w:rsidTr="007C2B41">
        <w:trPr>
          <w:trHeight w:val="255"/>
        </w:trPr>
        <w:tc>
          <w:tcPr>
            <w:tcW w:w="773" w:type="pct"/>
            <w:tcBorders>
              <w:top w:val="nil"/>
              <w:left w:val="nil"/>
              <w:bottom w:val="nil"/>
              <w:right w:val="nil"/>
            </w:tcBorders>
            <w:shd w:val="clear" w:color="auto" w:fill="auto"/>
            <w:noWrap/>
            <w:vAlign w:val="bottom"/>
            <w:hideMark/>
          </w:tcPr>
          <w:p w14:paraId="410BD9B7" w14:textId="77777777" w:rsidR="008F3E3E" w:rsidRPr="009728DC" w:rsidRDefault="008F3E3E" w:rsidP="007C2B41">
            <w:pPr>
              <w:spacing w:after="0" w:line="240" w:lineRule="auto"/>
              <w:rPr>
                <w:rFonts w:eastAsia="Times New Roman" w:cstheme="minorHAnsi"/>
                <w:lang w:eastAsia="en-GB"/>
              </w:rPr>
            </w:pPr>
          </w:p>
        </w:tc>
        <w:tc>
          <w:tcPr>
            <w:tcW w:w="942" w:type="pct"/>
            <w:tcBorders>
              <w:top w:val="nil"/>
              <w:left w:val="nil"/>
              <w:bottom w:val="nil"/>
              <w:right w:val="nil"/>
            </w:tcBorders>
            <w:shd w:val="clear" w:color="auto" w:fill="auto"/>
            <w:noWrap/>
            <w:vAlign w:val="bottom"/>
            <w:hideMark/>
          </w:tcPr>
          <w:p w14:paraId="7EAC2774"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Pakistani and Bangladeshi</w:t>
            </w:r>
          </w:p>
        </w:tc>
        <w:tc>
          <w:tcPr>
            <w:tcW w:w="232" w:type="pct"/>
            <w:tcBorders>
              <w:top w:val="nil"/>
              <w:left w:val="nil"/>
              <w:bottom w:val="nil"/>
              <w:right w:val="nil"/>
            </w:tcBorders>
            <w:shd w:val="clear" w:color="auto" w:fill="auto"/>
            <w:noWrap/>
            <w:vAlign w:val="bottom"/>
          </w:tcPr>
          <w:p w14:paraId="2D729583"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8.6</w:t>
            </w:r>
          </w:p>
        </w:tc>
        <w:tc>
          <w:tcPr>
            <w:tcW w:w="836" w:type="pct"/>
            <w:tcBorders>
              <w:top w:val="nil"/>
              <w:left w:val="nil"/>
              <w:bottom w:val="nil"/>
              <w:right w:val="nil"/>
            </w:tcBorders>
            <w:shd w:val="clear" w:color="auto" w:fill="auto"/>
            <w:noWrap/>
            <w:vAlign w:val="bottom"/>
            <w:hideMark/>
          </w:tcPr>
          <w:p w14:paraId="1FDE8C8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0.53 (0.33 ; 0.85)</w:t>
            </w:r>
          </w:p>
        </w:tc>
        <w:tc>
          <w:tcPr>
            <w:tcW w:w="179" w:type="pct"/>
            <w:tcBorders>
              <w:top w:val="nil"/>
              <w:left w:val="nil"/>
              <w:bottom w:val="nil"/>
              <w:right w:val="nil"/>
            </w:tcBorders>
            <w:shd w:val="clear" w:color="auto" w:fill="auto"/>
            <w:noWrap/>
            <w:vAlign w:val="center"/>
            <w:hideMark/>
          </w:tcPr>
          <w:p w14:paraId="37C2950D"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0.5</w:t>
            </w:r>
          </w:p>
        </w:tc>
        <w:tc>
          <w:tcPr>
            <w:tcW w:w="885" w:type="pct"/>
            <w:tcBorders>
              <w:top w:val="nil"/>
              <w:left w:val="nil"/>
              <w:bottom w:val="nil"/>
              <w:right w:val="nil"/>
            </w:tcBorders>
            <w:shd w:val="clear" w:color="auto" w:fill="auto"/>
            <w:noWrap/>
            <w:vAlign w:val="bottom"/>
            <w:hideMark/>
          </w:tcPr>
          <w:p w14:paraId="3EDCE46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0.27 (0.09 ; 0.84)</w:t>
            </w:r>
          </w:p>
        </w:tc>
        <w:tc>
          <w:tcPr>
            <w:tcW w:w="232" w:type="pct"/>
            <w:tcBorders>
              <w:top w:val="nil"/>
              <w:left w:val="nil"/>
              <w:bottom w:val="nil"/>
              <w:right w:val="nil"/>
            </w:tcBorders>
            <w:shd w:val="clear" w:color="auto" w:fill="auto"/>
            <w:noWrap/>
            <w:vAlign w:val="bottom"/>
            <w:hideMark/>
          </w:tcPr>
          <w:p w14:paraId="3B33CEC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5.7</w:t>
            </w:r>
          </w:p>
        </w:tc>
        <w:tc>
          <w:tcPr>
            <w:tcW w:w="921" w:type="pct"/>
            <w:tcBorders>
              <w:top w:val="nil"/>
              <w:left w:val="nil"/>
              <w:bottom w:val="nil"/>
              <w:right w:val="nil"/>
            </w:tcBorders>
            <w:shd w:val="clear" w:color="auto" w:fill="auto"/>
            <w:noWrap/>
            <w:vAlign w:val="bottom"/>
            <w:hideMark/>
          </w:tcPr>
          <w:p w14:paraId="4D8FEC46"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0.33 (0.09 ; 1.20)</w:t>
            </w:r>
          </w:p>
        </w:tc>
      </w:tr>
      <w:tr w:rsidR="008F3E3E" w:rsidRPr="009728DC" w14:paraId="29779480" w14:textId="77777777" w:rsidTr="007C2B41">
        <w:trPr>
          <w:trHeight w:val="255"/>
        </w:trPr>
        <w:tc>
          <w:tcPr>
            <w:tcW w:w="773" w:type="pct"/>
            <w:tcBorders>
              <w:top w:val="nil"/>
              <w:left w:val="nil"/>
              <w:bottom w:val="nil"/>
              <w:right w:val="nil"/>
            </w:tcBorders>
            <w:shd w:val="clear" w:color="auto" w:fill="auto"/>
            <w:noWrap/>
            <w:vAlign w:val="bottom"/>
            <w:hideMark/>
          </w:tcPr>
          <w:p w14:paraId="27A08E3F" w14:textId="77777777" w:rsidR="008F3E3E" w:rsidRPr="009728DC" w:rsidRDefault="008F3E3E" w:rsidP="007C2B41">
            <w:pPr>
              <w:spacing w:after="0" w:line="240" w:lineRule="auto"/>
              <w:rPr>
                <w:rFonts w:eastAsia="Times New Roman" w:cstheme="minorHAnsi"/>
                <w:lang w:eastAsia="en-GB"/>
              </w:rPr>
            </w:pPr>
          </w:p>
        </w:tc>
        <w:tc>
          <w:tcPr>
            <w:tcW w:w="942" w:type="pct"/>
            <w:tcBorders>
              <w:top w:val="nil"/>
              <w:left w:val="nil"/>
              <w:bottom w:val="nil"/>
              <w:right w:val="nil"/>
            </w:tcBorders>
            <w:shd w:val="clear" w:color="auto" w:fill="auto"/>
            <w:noWrap/>
            <w:vAlign w:val="bottom"/>
            <w:hideMark/>
          </w:tcPr>
          <w:p w14:paraId="557DC0BB"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xml:space="preserve">Black </w:t>
            </w:r>
          </w:p>
        </w:tc>
        <w:tc>
          <w:tcPr>
            <w:tcW w:w="232" w:type="pct"/>
            <w:tcBorders>
              <w:top w:val="nil"/>
              <w:left w:val="nil"/>
              <w:bottom w:val="nil"/>
              <w:right w:val="nil"/>
            </w:tcBorders>
            <w:shd w:val="clear" w:color="auto" w:fill="auto"/>
            <w:noWrap/>
            <w:vAlign w:val="bottom"/>
          </w:tcPr>
          <w:p w14:paraId="5457A877"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7.9</w:t>
            </w:r>
          </w:p>
        </w:tc>
        <w:tc>
          <w:tcPr>
            <w:tcW w:w="836" w:type="pct"/>
            <w:tcBorders>
              <w:top w:val="nil"/>
              <w:left w:val="nil"/>
              <w:bottom w:val="nil"/>
              <w:right w:val="nil"/>
            </w:tcBorders>
            <w:shd w:val="clear" w:color="auto" w:fill="auto"/>
            <w:noWrap/>
            <w:vAlign w:val="bottom"/>
            <w:hideMark/>
          </w:tcPr>
          <w:p w14:paraId="41E6B19A"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0.56 (0.31 ; 1.00)</w:t>
            </w:r>
          </w:p>
        </w:tc>
        <w:tc>
          <w:tcPr>
            <w:tcW w:w="179" w:type="pct"/>
            <w:tcBorders>
              <w:top w:val="nil"/>
              <w:left w:val="nil"/>
              <w:bottom w:val="nil"/>
              <w:right w:val="nil"/>
            </w:tcBorders>
            <w:shd w:val="clear" w:color="auto" w:fill="auto"/>
            <w:noWrap/>
            <w:vAlign w:val="center"/>
            <w:hideMark/>
          </w:tcPr>
          <w:p w14:paraId="4A3828A7"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0.5</w:t>
            </w:r>
          </w:p>
        </w:tc>
        <w:tc>
          <w:tcPr>
            <w:tcW w:w="885" w:type="pct"/>
            <w:tcBorders>
              <w:top w:val="nil"/>
              <w:left w:val="nil"/>
              <w:bottom w:val="nil"/>
              <w:right w:val="nil"/>
            </w:tcBorders>
            <w:shd w:val="clear" w:color="auto" w:fill="auto"/>
            <w:noWrap/>
            <w:vAlign w:val="bottom"/>
            <w:hideMark/>
          </w:tcPr>
          <w:p w14:paraId="677C61F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0.21 (0.05 ; 0.94)</w:t>
            </w:r>
          </w:p>
        </w:tc>
        <w:tc>
          <w:tcPr>
            <w:tcW w:w="232" w:type="pct"/>
            <w:tcBorders>
              <w:top w:val="nil"/>
              <w:left w:val="nil"/>
              <w:bottom w:val="nil"/>
              <w:right w:val="nil"/>
            </w:tcBorders>
            <w:shd w:val="clear" w:color="auto" w:fill="auto"/>
            <w:noWrap/>
            <w:vAlign w:val="bottom"/>
            <w:hideMark/>
          </w:tcPr>
          <w:p w14:paraId="29C80027"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6.5</w:t>
            </w:r>
          </w:p>
        </w:tc>
        <w:tc>
          <w:tcPr>
            <w:tcW w:w="921" w:type="pct"/>
            <w:tcBorders>
              <w:top w:val="nil"/>
              <w:left w:val="nil"/>
              <w:bottom w:val="nil"/>
              <w:right w:val="nil"/>
            </w:tcBorders>
            <w:shd w:val="clear" w:color="auto" w:fill="auto"/>
            <w:noWrap/>
            <w:vAlign w:val="bottom"/>
            <w:hideMark/>
          </w:tcPr>
          <w:p w14:paraId="78BA9874"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0.28 (0.07 ; 1.10)</w:t>
            </w:r>
          </w:p>
        </w:tc>
      </w:tr>
      <w:tr w:rsidR="008F3E3E" w:rsidRPr="009728DC" w14:paraId="60BBCD44" w14:textId="77777777" w:rsidTr="007C2B41">
        <w:trPr>
          <w:trHeight w:val="255"/>
        </w:trPr>
        <w:tc>
          <w:tcPr>
            <w:tcW w:w="773" w:type="pct"/>
            <w:tcBorders>
              <w:top w:val="nil"/>
              <w:left w:val="nil"/>
              <w:bottom w:val="single" w:sz="4" w:space="0" w:color="auto"/>
              <w:right w:val="nil"/>
            </w:tcBorders>
            <w:shd w:val="clear" w:color="auto" w:fill="auto"/>
            <w:noWrap/>
            <w:vAlign w:val="bottom"/>
            <w:hideMark/>
          </w:tcPr>
          <w:p w14:paraId="6B88BDCD"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942" w:type="pct"/>
            <w:tcBorders>
              <w:top w:val="nil"/>
              <w:left w:val="nil"/>
              <w:bottom w:val="single" w:sz="4" w:space="0" w:color="auto"/>
              <w:right w:val="nil"/>
            </w:tcBorders>
            <w:shd w:val="clear" w:color="auto" w:fill="auto"/>
            <w:noWrap/>
            <w:vAlign w:val="bottom"/>
            <w:hideMark/>
          </w:tcPr>
          <w:p w14:paraId="77E6505D"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xml:space="preserve">Other Ethnic group </w:t>
            </w:r>
          </w:p>
        </w:tc>
        <w:tc>
          <w:tcPr>
            <w:tcW w:w="232" w:type="pct"/>
            <w:tcBorders>
              <w:top w:val="nil"/>
              <w:left w:val="nil"/>
              <w:bottom w:val="single" w:sz="4" w:space="0" w:color="auto"/>
              <w:right w:val="nil"/>
            </w:tcBorders>
            <w:shd w:val="clear" w:color="auto" w:fill="auto"/>
            <w:noWrap/>
            <w:vAlign w:val="bottom"/>
          </w:tcPr>
          <w:p w14:paraId="59A5F964"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6.7</w:t>
            </w:r>
          </w:p>
        </w:tc>
        <w:tc>
          <w:tcPr>
            <w:tcW w:w="836" w:type="pct"/>
            <w:tcBorders>
              <w:top w:val="nil"/>
              <w:left w:val="nil"/>
              <w:bottom w:val="single" w:sz="4" w:space="0" w:color="auto"/>
              <w:right w:val="nil"/>
            </w:tcBorders>
            <w:shd w:val="clear" w:color="auto" w:fill="auto"/>
            <w:noWrap/>
            <w:vAlign w:val="bottom"/>
            <w:hideMark/>
          </w:tcPr>
          <w:p w14:paraId="4F5D6A09"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0.95 (0.43 ; 2.10)</w:t>
            </w:r>
          </w:p>
        </w:tc>
        <w:tc>
          <w:tcPr>
            <w:tcW w:w="179" w:type="pct"/>
            <w:tcBorders>
              <w:top w:val="nil"/>
              <w:left w:val="nil"/>
              <w:bottom w:val="single" w:sz="4" w:space="0" w:color="auto"/>
              <w:right w:val="nil"/>
            </w:tcBorders>
            <w:shd w:val="clear" w:color="auto" w:fill="auto"/>
            <w:noWrap/>
            <w:vAlign w:val="center"/>
            <w:hideMark/>
          </w:tcPr>
          <w:p w14:paraId="4DB9CD0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0.5</w:t>
            </w:r>
          </w:p>
        </w:tc>
        <w:tc>
          <w:tcPr>
            <w:tcW w:w="885" w:type="pct"/>
            <w:tcBorders>
              <w:top w:val="nil"/>
              <w:left w:val="nil"/>
              <w:bottom w:val="single" w:sz="4" w:space="0" w:color="auto"/>
              <w:right w:val="nil"/>
            </w:tcBorders>
            <w:shd w:val="clear" w:color="auto" w:fill="auto"/>
            <w:noWrap/>
            <w:vAlign w:val="bottom"/>
            <w:hideMark/>
          </w:tcPr>
          <w:p w14:paraId="6BFABB96"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0.86 (0.10 ; 7.20)</w:t>
            </w:r>
          </w:p>
        </w:tc>
        <w:tc>
          <w:tcPr>
            <w:tcW w:w="232" w:type="pct"/>
            <w:tcBorders>
              <w:top w:val="nil"/>
              <w:left w:val="nil"/>
              <w:bottom w:val="single" w:sz="4" w:space="0" w:color="auto"/>
              <w:right w:val="nil"/>
            </w:tcBorders>
            <w:shd w:val="clear" w:color="auto" w:fill="auto"/>
            <w:noWrap/>
            <w:vAlign w:val="bottom"/>
            <w:hideMark/>
          </w:tcPr>
          <w:p w14:paraId="0CFB5EF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7.1</w:t>
            </w:r>
          </w:p>
        </w:tc>
        <w:tc>
          <w:tcPr>
            <w:tcW w:w="921" w:type="pct"/>
            <w:tcBorders>
              <w:top w:val="nil"/>
              <w:left w:val="nil"/>
              <w:bottom w:val="single" w:sz="4" w:space="0" w:color="auto"/>
              <w:right w:val="nil"/>
            </w:tcBorders>
            <w:shd w:val="clear" w:color="auto" w:fill="auto"/>
            <w:noWrap/>
            <w:vAlign w:val="bottom"/>
            <w:hideMark/>
          </w:tcPr>
          <w:p w14:paraId="227795D5"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0.67 (0.07 ; 6.82)</w:t>
            </w:r>
          </w:p>
        </w:tc>
      </w:tr>
      <w:tr w:rsidR="008F3E3E" w:rsidRPr="009728DC" w14:paraId="12BAB082" w14:textId="77777777" w:rsidTr="007C2B41">
        <w:trPr>
          <w:trHeight w:val="255"/>
        </w:trPr>
        <w:tc>
          <w:tcPr>
            <w:tcW w:w="773" w:type="pct"/>
            <w:tcBorders>
              <w:top w:val="nil"/>
              <w:left w:val="nil"/>
              <w:bottom w:val="nil"/>
              <w:right w:val="nil"/>
            </w:tcBorders>
            <w:shd w:val="clear" w:color="auto" w:fill="auto"/>
            <w:noWrap/>
            <w:vAlign w:val="bottom"/>
            <w:hideMark/>
          </w:tcPr>
          <w:p w14:paraId="1FBE8F15" w14:textId="77777777" w:rsidR="008F3E3E" w:rsidRPr="009728DC" w:rsidRDefault="008F3E3E" w:rsidP="007C2B41">
            <w:pPr>
              <w:spacing w:after="0" w:line="240" w:lineRule="auto"/>
              <w:rPr>
                <w:rFonts w:eastAsia="Times New Roman" w:cstheme="minorHAnsi"/>
                <w:lang w:eastAsia="en-GB"/>
              </w:rPr>
            </w:pPr>
            <w:r>
              <w:rPr>
                <w:rFonts w:eastAsia="Times New Roman" w:cstheme="minorHAnsi"/>
                <w:lang w:eastAsia="en-GB"/>
              </w:rPr>
              <w:t>Caregiver</w:t>
            </w:r>
            <w:r w:rsidRPr="009728DC">
              <w:rPr>
                <w:rFonts w:eastAsia="Times New Roman" w:cstheme="minorHAnsi"/>
                <w:lang w:eastAsia="en-GB"/>
              </w:rPr>
              <w:t xml:space="preserve"> smoking</w:t>
            </w:r>
          </w:p>
        </w:tc>
        <w:tc>
          <w:tcPr>
            <w:tcW w:w="942" w:type="pct"/>
            <w:tcBorders>
              <w:top w:val="nil"/>
              <w:left w:val="nil"/>
              <w:bottom w:val="nil"/>
              <w:right w:val="nil"/>
            </w:tcBorders>
            <w:shd w:val="clear" w:color="auto" w:fill="auto"/>
            <w:noWrap/>
            <w:vAlign w:val="bottom"/>
            <w:hideMark/>
          </w:tcPr>
          <w:p w14:paraId="6C83E940"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No</w:t>
            </w:r>
          </w:p>
        </w:tc>
        <w:tc>
          <w:tcPr>
            <w:tcW w:w="232" w:type="pct"/>
            <w:tcBorders>
              <w:top w:val="nil"/>
              <w:left w:val="nil"/>
              <w:bottom w:val="nil"/>
              <w:right w:val="nil"/>
            </w:tcBorders>
            <w:shd w:val="clear" w:color="auto" w:fill="auto"/>
            <w:noWrap/>
            <w:vAlign w:val="bottom"/>
          </w:tcPr>
          <w:p w14:paraId="1B98272D"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10.9</w:t>
            </w:r>
          </w:p>
        </w:tc>
        <w:tc>
          <w:tcPr>
            <w:tcW w:w="836" w:type="pct"/>
            <w:tcBorders>
              <w:top w:val="nil"/>
              <w:left w:val="nil"/>
              <w:bottom w:val="nil"/>
              <w:right w:val="nil"/>
            </w:tcBorders>
            <w:shd w:val="clear" w:color="auto" w:fill="auto"/>
            <w:noWrap/>
            <w:vAlign w:val="bottom"/>
            <w:hideMark/>
          </w:tcPr>
          <w:p w14:paraId="3723A49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179" w:type="pct"/>
            <w:tcBorders>
              <w:top w:val="nil"/>
              <w:left w:val="nil"/>
              <w:bottom w:val="nil"/>
              <w:right w:val="nil"/>
            </w:tcBorders>
            <w:shd w:val="clear" w:color="auto" w:fill="auto"/>
            <w:noWrap/>
            <w:vAlign w:val="center"/>
            <w:hideMark/>
          </w:tcPr>
          <w:p w14:paraId="6D6F0EDF"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1.2</w:t>
            </w:r>
          </w:p>
        </w:tc>
        <w:tc>
          <w:tcPr>
            <w:tcW w:w="885" w:type="pct"/>
            <w:tcBorders>
              <w:top w:val="nil"/>
              <w:left w:val="nil"/>
              <w:bottom w:val="nil"/>
              <w:right w:val="nil"/>
            </w:tcBorders>
            <w:shd w:val="clear" w:color="auto" w:fill="auto"/>
            <w:noWrap/>
            <w:vAlign w:val="bottom"/>
            <w:hideMark/>
          </w:tcPr>
          <w:p w14:paraId="589A7A2B"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232" w:type="pct"/>
            <w:tcBorders>
              <w:top w:val="nil"/>
              <w:left w:val="nil"/>
              <w:bottom w:val="nil"/>
              <w:right w:val="nil"/>
            </w:tcBorders>
            <w:shd w:val="clear" w:color="auto" w:fill="auto"/>
            <w:noWrap/>
            <w:vAlign w:val="bottom"/>
            <w:hideMark/>
          </w:tcPr>
          <w:p w14:paraId="394DB8E2"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10.8</w:t>
            </w:r>
          </w:p>
        </w:tc>
        <w:tc>
          <w:tcPr>
            <w:tcW w:w="921" w:type="pct"/>
            <w:tcBorders>
              <w:top w:val="nil"/>
              <w:left w:val="nil"/>
              <w:bottom w:val="nil"/>
              <w:right w:val="nil"/>
            </w:tcBorders>
            <w:shd w:val="clear" w:color="auto" w:fill="auto"/>
            <w:noWrap/>
            <w:vAlign w:val="bottom"/>
            <w:hideMark/>
          </w:tcPr>
          <w:p w14:paraId="75BA9A34"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r>
      <w:tr w:rsidR="008F3E3E" w:rsidRPr="009728DC" w14:paraId="0DB99F54" w14:textId="77777777" w:rsidTr="007C2B41">
        <w:trPr>
          <w:trHeight w:val="255"/>
        </w:trPr>
        <w:tc>
          <w:tcPr>
            <w:tcW w:w="773" w:type="pct"/>
            <w:tcBorders>
              <w:top w:val="nil"/>
              <w:left w:val="nil"/>
              <w:bottom w:val="single" w:sz="4" w:space="0" w:color="auto"/>
              <w:right w:val="nil"/>
            </w:tcBorders>
            <w:shd w:val="clear" w:color="auto" w:fill="auto"/>
            <w:noWrap/>
            <w:vAlign w:val="bottom"/>
            <w:hideMark/>
          </w:tcPr>
          <w:p w14:paraId="1F122932"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942" w:type="pct"/>
            <w:tcBorders>
              <w:top w:val="nil"/>
              <w:left w:val="nil"/>
              <w:bottom w:val="single" w:sz="4" w:space="0" w:color="auto"/>
              <w:right w:val="nil"/>
            </w:tcBorders>
            <w:shd w:val="clear" w:color="auto" w:fill="auto"/>
            <w:noWrap/>
            <w:vAlign w:val="bottom"/>
            <w:hideMark/>
          </w:tcPr>
          <w:p w14:paraId="16C31EF6"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Yes</w:t>
            </w:r>
          </w:p>
        </w:tc>
        <w:tc>
          <w:tcPr>
            <w:tcW w:w="232" w:type="pct"/>
            <w:tcBorders>
              <w:top w:val="nil"/>
              <w:left w:val="nil"/>
              <w:bottom w:val="single" w:sz="4" w:space="0" w:color="auto"/>
              <w:right w:val="nil"/>
            </w:tcBorders>
            <w:shd w:val="clear" w:color="auto" w:fill="auto"/>
            <w:noWrap/>
            <w:vAlign w:val="bottom"/>
          </w:tcPr>
          <w:p w14:paraId="568774E5"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26.0</w:t>
            </w:r>
          </w:p>
        </w:tc>
        <w:tc>
          <w:tcPr>
            <w:tcW w:w="836" w:type="pct"/>
            <w:tcBorders>
              <w:top w:val="nil"/>
              <w:left w:val="nil"/>
              <w:bottom w:val="single" w:sz="4" w:space="0" w:color="auto"/>
              <w:right w:val="nil"/>
            </w:tcBorders>
            <w:shd w:val="clear" w:color="auto" w:fill="auto"/>
            <w:noWrap/>
            <w:vAlign w:val="bottom"/>
            <w:hideMark/>
          </w:tcPr>
          <w:p w14:paraId="259C5181"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1.69 (1.38 ; 2.06)</w:t>
            </w:r>
          </w:p>
        </w:tc>
        <w:tc>
          <w:tcPr>
            <w:tcW w:w="179" w:type="pct"/>
            <w:tcBorders>
              <w:top w:val="nil"/>
              <w:left w:val="nil"/>
              <w:bottom w:val="single" w:sz="4" w:space="0" w:color="auto"/>
              <w:right w:val="nil"/>
            </w:tcBorders>
            <w:shd w:val="clear" w:color="auto" w:fill="auto"/>
            <w:noWrap/>
            <w:vAlign w:val="center"/>
            <w:hideMark/>
          </w:tcPr>
          <w:p w14:paraId="78EF934F"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4.9</w:t>
            </w:r>
          </w:p>
        </w:tc>
        <w:tc>
          <w:tcPr>
            <w:tcW w:w="885" w:type="pct"/>
            <w:tcBorders>
              <w:top w:val="nil"/>
              <w:left w:val="nil"/>
              <w:bottom w:val="single" w:sz="4" w:space="0" w:color="auto"/>
              <w:right w:val="nil"/>
            </w:tcBorders>
            <w:shd w:val="clear" w:color="auto" w:fill="auto"/>
            <w:noWrap/>
            <w:vAlign w:val="bottom"/>
            <w:hideMark/>
          </w:tcPr>
          <w:p w14:paraId="19F3288D"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1.92 (1.16 ; 3.19)</w:t>
            </w:r>
          </w:p>
        </w:tc>
        <w:tc>
          <w:tcPr>
            <w:tcW w:w="232" w:type="pct"/>
            <w:tcBorders>
              <w:top w:val="nil"/>
              <w:left w:val="nil"/>
              <w:bottom w:val="single" w:sz="4" w:space="0" w:color="auto"/>
              <w:right w:val="nil"/>
            </w:tcBorders>
            <w:shd w:val="clear" w:color="auto" w:fill="auto"/>
            <w:noWrap/>
            <w:vAlign w:val="bottom"/>
            <w:hideMark/>
          </w:tcPr>
          <w:p w14:paraId="20675D7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18.8</w:t>
            </w:r>
          </w:p>
        </w:tc>
        <w:tc>
          <w:tcPr>
            <w:tcW w:w="921" w:type="pct"/>
            <w:tcBorders>
              <w:top w:val="nil"/>
              <w:left w:val="nil"/>
              <w:bottom w:val="single" w:sz="4" w:space="0" w:color="auto"/>
              <w:right w:val="nil"/>
            </w:tcBorders>
            <w:shd w:val="clear" w:color="auto" w:fill="auto"/>
            <w:noWrap/>
            <w:vAlign w:val="bottom"/>
            <w:hideMark/>
          </w:tcPr>
          <w:p w14:paraId="3878CF68"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1.49 (0.92 ; 2.41)</w:t>
            </w:r>
          </w:p>
        </w:tc>
      </w:tr>
      <w:tr w:rsidR="008F3E3E" w:rsidRPr="009728DC" w14:paraId="4B9EFF65" w14:textId="77777777" w:rsidTr="007C2B41">
        <w:trPr>
          <w:trHeight w:val="255"/>
        </w:trPr>
        <w:tc>
          <w:tcPr>
            <w:tcW w:w="773" w:type="pct"/>
            <w:tcBorders>
              <w:top w:val="nil"/>
              <w:left w:val="nil"/>
              <w:bottom w:val="nil"/>
              <w:right w:val="nil"/>
            </w:tcBorders>
            <w:shd w:val="clear" w:color="auto" w:fill="auto"/>
            <w:noWrap/>
            <w:vAlign w:val="bottom"/>
            <w:hideMark/>
          </w:tcPr>
          <w:p w14:paraId="25220520" w14:textId="77777777" w:rsidR="008F3E3E" w:rsidRPr="009728DC" w:rsidRDefault="008F3E3E" w:rsidP="007C2B41">
            <w:pPr>
              <w:spacing w:after="0" w:line="240" w:lineRule="auto"/>
              <w:rPr>
                <w:rFonts w:eastAsia="Times New Roman" w:cstheme="minorHAnsi"/>
                <w:lang w:eastAsia="en-GB"/>
              </w:rPr>
            </w:pPr>
            <w:r>
              <w:rPr>
                <w:rFonts w:eastAsia="Times New Roman" w:cstheme="minorHAnsi"/>
                <w:lang w:eastAsia="en-GB"/>
              </w:rPr>
              <w:t>Peer</w:t>
            </w:r>
            <w:r w:rsidRPr="009728DC">
              <w:rPr>
                <w:rFonts w:eastAsia="Times New Roman" w:cstheme="minorHAnsi"/>
                <w:lang w:eastAsia="en-GB"/>
              </w:rPr>
              <w:t xml:space="preserve"> smoking</w:t>
            </w:r>
          </w:p>
        </w:tc>
        <w:tc>
          <w:tcPr>
            <w:tcW w:w="942" w:type="pct"/>
            <w:tcBorders>
              <w:top w:val="nil"/>
              <w:left w:val="nil"/>
              <w:bottom w:val="nil"/>
              <w:right w:val="nil"/>
            </w:tcBorders>
            <w:shd w:val="clear" w:color="auto" w:fill="auto"/>
            <w:noWrap/>
            <w:vAlign w:val="bottom"/>
            <w:hideMark/>
          </w:tcPr>
          <w:p w14:paraId="252B6B87"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No</w:t>
            </w:r>
          </w:p>
        </w:tc>
        <w:tc>
          <w:tcPr>
            <w:tcW w:w="232" w:type="pct"/>
            <w:tcBorders>
              <w:top w:val="nil"/>
              <w:left w:val="nil"/>
              <w:bottom w:val="nil"/>
              <w:right w:val="nil"/>
            </w:tcBorders>
            <w:shd w:val="clear" w:color="auto" w:fill="auto"/>
            <w:noWrap/>
            <w:vAlign w:val="bottom"/>
          </w:tcPr>
          <w:p w14:paraId="0DC8D7CA"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4.0</w:t>
            </w:r>
          </w:p>
        </w:tc>
        <w:tc>
          <w:tcPr>
            <w:tcW w:w="836" w:type="pct"/>
            <w:tcBorders>
              <w:top w:val="nil"/>
              <w:left w:val="nil"/>
              <w:bottom w:val="nil"/>
              <w:right w:val="nil"/>
            </w:tcBorders>
            <w:shd w:val="clear" w:color="auto" w:fill="auto"/>
            <w:noWrap/>
            <w:vAlign w:val="bottom"/>
            <w:hideMark/>
          </w:tcPr>
          <w:p w14:paraId="6D0B0745"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179" w:type="pct"/>
            <w:tcBorders>
              <w:top w:val="nil"/>
              <w:left w:val="nil"/>
              <w:bottom w:val="nil"/>
              <w:right w:val="nil"/>
            </w:tcBorders>
            <w:shd w:val="clear" w:color="auto" w:fill="auto"/>
            <w:noWrap/>
            <w:vAlign w:val="center"/>
            <w:hideMark/>
          </w:tcPr>
          <w:p w14:paraId="5B22C652"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&lt;0.1</w:t>
            </w:r>
          </w:p>
        </w:tc>
        <w:tc>
          <w:tcPr>
            <w:tcW w:w="885" w:type="pct"/>
            <w:tcBorders>
              <w:top w:val="nil"/>
              <w:left w:val="nil"/>
              <w:bottom w:val="nil"/>
              <w:right w:val="nil"/>
            </w:tcBorders>
            <w:shd w:val="clear" w:color="auto" w:fill="auto"/>
            <w:noWrap/>
            <w:vAlign w:val="bottom"/>
            <w:hideMark/>
          </w:tcPr>
          <w:p w14:paraId="601F12FA"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c>
          <w:tcPr>
            <w:tcW w:w="232" w:type="pct"/>
            <w:tcBorders>
              <w:top w:val="nil"/>
              <w:left w:val="nil"/>
              <w:bottom w:val="nil"/>
              <w:right w:val="nil"/>
            </w:tcBorders>
            <w:shd w:val="clear" w:color="auto" w:fill="auto"/>
            <w:noWrap/>
            <w:vAlign w:val="bottom"/>
            <w:hideMark/>
          </w:tcPr>
          <w:p w14:paraId="2327DCD6"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1.1</w:t>
            </w:r>
          </w:p>
        </w:tc>
        <w:tc>
          <w:tcPr>
            <w:tcW w:w="921" w:type="pct"/>
            <w:tcBorders>
              <w:top w:val="nil"/>
              <w:left w:val="nil"/>
              <w:bottom w:val="nil"/>
              <w:right w:val="nil"/>
            </w:tcBorders>
            <w:shd w:val="clear" w:color="auto" w:fill="auto"/>
            <w:noWrap/>
            <w:vAlign w:val="bottom"/>
            <w:hideMark/>
          </w:tcPr>
          <w:p w14:paraId="4B4FB351"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ref</w:t>
            </w:r>
          </w:p>
        </w:tc>
      </w:tr>
      <w:tr w:rsidR="008F3E3E" w:rsidRPr="009728DC" w14:paraId="7068DEFA" w14:textId="77777777" w:rsidTr="007C2B41">
        <w:trPr>
          <w:trHeight w:val="255"/>
        </w:trPr>
        <w:tc>
          <w:tcPr>
            <w:tcW w:w="773" w:type="pct"/>
            <w:tcBorders>
              <w:top w:val="nil"/>
              <w:left w:val="nil"/>
              <w:bottom w:val="nil"/>
              <w:right w:val="nil"/>
            </w:tcBorders>
            <w:shd w:val="clear" w:color="auto" w:fill="auto"/>
            <w:noWrap/>
            <w:vAlign w:val="bottom"/>
            <w:hideMark/>
          </w:tcPr>
          <w:p w14:paraId="2DB89EC8" w14:textId="77777777" w:rsidR="008F3E3E" w:rsidRPr="009728DC" w:rsidRDefault="008F3E3E" w:rsidP="007C2B41">
            <w:pPr>
              <w:spacing w:after="0" w:line="240" w:lineRule="auto"/>
              <w:rPr>
                <w:rFonts w:eastAsia="Times New Roman" w:cstheme="minorHAnsi"/>
                <w:lang w:eastAsia="en-GB"/>
              </w:rPr>
            </w:pPr>
          </w:p>
        </w:tc>
        <w:tc>
          <w:tcPr>
            <w:tcW w:w="942" w:type="pct"/>
            <w:tcBorders>
              <w:top w:val="nil"/>
              <w:left w:val="nil"/>
              <w:bottom w:val="nil"/>
              <w:right w:val="nil"/>
            </w:tcBorders>
            <w:shd w:val="clear" w:color="auto" w:fill="auto"/>
            <w:noWrap/>
            <w:vAlign w:val="bottom"/>
            <w:hideMark/>
          </w:tcPr>
          <w:p w14:paraId="1EB03760"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Some/most/all</w:t>
            </w:r>
          </w:p>
        </w:tc>
        <w:tc>
          <w:tcPr>
            <w:tcW w:w="232" w:type="pct"/>
            <w:tcBorders>
              <w:top w:val="nil"/>
              <w:left w:val="nil"/>
              <w:bottom w:val="nil"/>
              <w:right w:val="nil"/>
            </w:tcBorders>
            <w:shd w:val="clear" w:color="auto" w:fill="auto"/>
            <w:noWrap/>
            <w:vAlign w:val="bottom"/>
          </w:tcPr>
          <w:p w14:paraId="694913BF"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35.1</w:t>
            </w:r>
          </w:p>
        </w:tc>
        <w:tc>
          <w:tcPr>
            <w:tcW w:w="836" w:type="pct"/>
            <w:tcBorders>
              <w:top w:val="nil"/>
              <w:left w:val="nil"/>
              <w:bottom w:val="nil"/>
              <w:right w:val="nil"/>
            </w:tcBorders>
            <w:shd w:val="clear" w:color="auto" w:fill="auto"/>
            <w:noWrap/>
            <w:vAlign w:val="bottom"/>
            <w:hideMark/>
          </w:tcPr>
          <w:p w14:paraId="3387773B"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10.35 (8.35 ; 12.81)</w:t>
            </w:r>
          </w:p>
        </w:tc>
        <w:tc>
          <w:tcPr>
            <w:tcW w:w="179" w:type="pct"/>
            <w:tcBorders>
              <w:top w:val="nil"/>
              <w:left w:val="nil"/>
              <w:bottom w:val="nil"/>
              <w:right w:val="nil"/>
            </w:tcBorders>
            <w:shd w:val="clear" w:color="auto" w:fill="auto"/>
            <w:noWrap/>
            <w:vAlign w:val="center"/>
            <w:hideMark/>
          </w:tcPr>
          <w:p w14:paraId="6EF5DB09"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6.0</w:t>
            </w:r>
          </w:p>
        </w:tc>
        <w:tc>
          <w:tcPr>
            <w:tcW w:w="885" w:type="pct"/>
            <w:tcBorders>
              <w:top w:val="nil"/>
              <w:left w:val="nil"/>
              <w:bottom w:val="nil"/>
              <w:right w:val="nil"/>
            </w:tcBorders>
            <w:shd w:val="clear" w:color="auto" w:fill="auto"/>
            <w:noWrap/>
            <w:vAlign w:val="bottom"/>
            <w:hideMark/>
          </w:tcPr>
          <w:p w14:paraId="68E0E8D8"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115.57 (26.03 ; 513.08)</w:t>
            </w:r>
          </w:p>
        </w:tc>
        <w:tc>
          <w:tcPr>
            <w:tcW w:w="232" w:type="pct"/>
            <w:tcBorders>
              <w:top w:val="nil"/>
              <w:left w:val="nil"/>
              <w:bottom w:val="nil"/>
              <w:right w:val="nil"/>
            </w:tcBorders>
            <w:shd w:val="clear" w:color="auto" w:fill="auto"/>
            <w:noWrap/>
            <w:vAlign w:val="bottom"/>
            <w:hideMark/>
          </w:tcPr>
          <w:p w14:paraId="17519AFC"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17.2</w:t>
            </w:r>
          </w:p>
        </w:tc>
        <w:tc>
          <w:tcPr>
            <w:tcW w:w="921" w:type="pct"/>
            <w:tcBorders>
              <w:top w:val="nil"/>
              <w:left w:val="nil"/>
              <w:bottom w:val="nil"/>
              <w:right w:val="nil"/>
            </w:tcBorders>
            <w:shd w:val="clear" w:color="auto" w:fill="auto"/>
            <w:noWrap/>
            <w:vAlign w:val="bottom"/>
            <w:hideMark/>
          </w:tcPr>
          <w:p w14:paraId="30B37A55"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22.29 (4.91 ; 101.21)</w:t>
            </w:r>
          </w:p>
        </w:tc>
      </w:tr>
      <w:tr w:rsidR="008F3E3E" w:rsidRPr="009728DC" w14:paraId="7DBDED31" w14:textId="77777777" w:rsidTr="007C2B41">
        <w:trPr>
          <w:trHeight w:val="255"/>
        </w:trPr>
        <w:tc>
          <w:tcPr>
            <w:tcW w:w="773" w:type="pct"/>
            <w:tcBorders>
              <w:top w:val="nil"/>
              <w:left w:val="nil"/>
              <w:bottom w:val="single" w:sz="4" w:space="0" w:color="auto"/>
              <w:right w:val="nil"/>
            </w:tcBorders>
            <w:shd w:val="clear" w:color="auto" w:fill="auto"/>
            <w:noWrap/>
            <w:vAlign w:val="bottom"/>
            <w:hideMark/>
          </w:tcPr>
          <w:p w14:paraId="023EFD55"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 </w:t>
            </w:r>
          </w:p>
        </w:tc>
        <w:tc>
          <w:tcPr>
            <w:tcW w:w="942" w:type="pct"/>
            <w:tcBorders>
              <w:top w:val="nil"/>
              <w:left w:val="nil"/>
              <w:bottom w:val="single" w:sz="4" w:space="0" w:color="auto"/>
              <w:right w:val="nil"/>
            </w:tcBorders>
            <w:shd w:val="clear" w:color="auto" w:fill="auto"/>
            <w:noWrap/>
            <w:vAlign w:val="bottom"/>
            <w:hideMark/>
          </w:tcPr>
          <w:p w14:paraId="4589578E" w14:textId="77777777" w:rsidR="008F3E3E" w:rsidRPr="009728DC" w:rsidRDefault="008F3E3E" w:rsidP="007C2B41">
            <w:pPr>
              <w:spacing w:after="0" w:line="240" w:lineRule="auto"/>
              <w:rPr>
                <w:rFonts w:eastAsia="Times New Roman" w:cstheme="minorHAnsi"/>
                <w:lang w:eastAsia="en-GB"/>
              </w:rPr>
            </w:pPr>
            <w:r w:rsidRPr="009728DC">
              <w:rPr>
                <w:rFonts w:eastAsia="Times New Roman" w:cstheme="minorHAnsi"/>
                <w:lang w:eastAsia="en-GB"/>
              </w:rPr>
              <w:t>No answer</w:t>
            </w:r>
          </w:p>
        </w:tc>
        <w:tc>
          <w:tcPr>
            <w:tcW w:w="232" w:type="pct"/>
            <w:tcBorders>
              <w:top w:val="nil"/>
              <w:left w:val="nil"/>
              <w:bottom w:val="single" w:sz="4" w:space="0" w:color="auto"/>
              <w:right w:val="nil"/>
            </w:tcBorders>
            <w:shd w:val="clear" w:color="auto" w:fill="auto"/>
            <w:noWrap/>
            <w:vAlign w:val="bottom"/>
          </w:tcPr>
          <w:p w14:paraId="40F0CCD6" w14:textId="77777777" w:rsidR="008F3E3E" w:rsidRPr="009728DC" w:rsidRDefault="008F3E3E" w:rsidP="007C2B41">
            <w:pPr>
              <w:spacing w:after="0" w:line="240" w:lineRule="auto"/>
              <w:jc w:val="center"/>
              <w:rPr>
                <w:rFonts w:eastAsia="Times New Roman" w:cstheme="minorHAnsi"/>
                <w:lang w:eastAsia="en-GB"/>
              </w:rPr>
            </w:pPr>
            <w:r>
              <w:rPr>
                <w:rFonts w:eastAsia="Times New Roman" w:cstheme="minorHAnsi"/>
                <w:lang w:eastAsia="en-GB"/>
              </w:rPr>
              <w:t>9.3</w:t>
            </w:r>
          </w:p>
        </w:tc>
        <w:tc>
          <w:tcPr>
            <w:tcW w:w="836" w:type="pct"/>
            <w:tcBorders>
              <w:top w:val="nil"/>
              <w:left w:val="nil"/>
              <w:bottom w:val="single" w:sz="4" w:space="0" w:color="auto"/>
              <w:right w:val="nil"/>
            </w:tcBorders>
            <w:shd w:val="clear" w:color="auto" w:fill="auto"/>
            <w:noWrap/>
            <w:vAlign w:val="bottom"/>
            <w:hideMark/>
          </w:tcPr>
          <w:p w14:paraId="70EF0DF3"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1.96 (1.34 ; 2.88)</w:t>
            </w:r>
          </w:p>
        </w:tc>
        <w:tc>
          <w:tcPr>
            <w:tcW w:w="179" w:type="pct"/>
            <w:tcBorders>
              <w:top w:val="nil"/>
              <w:left w:val="nil"/>
              <w:bottom w:val="single" w:sz="4" w:space="0" w:color="auto"/>
              <w:right w:val="nil"/>
            </w:tcBorders>
            <w:shd w:val="clear" w:color="auto" w:fill="auto"/>
            <w:noWrap/>
            <w:vAlign w:val="bottom"/>
            <w:hideMark/>
          </w:tcPr>
          <w:p w14:paraId="1DF705CF"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7.1</w:t>
            </w:r>
          </w:p>
        </w:tc>
        <w:tc>
          <w:tcPr>
            <w:tcW w:w="885" w:type="pct"/>
            <w:tcBorders>
              <w:top w:val="nil"/>
              <w:left w:val="nil"/>
              <w:bottom w:val="single" w:sz="4" w:space="0" w:color="auto"/>
              <w:right w:val="nil"/>
            </w:tcBorders>
            <w:shd w:val="clear" w:color="auto" w:fill="auto"/>
            <w:noWrap/>
            <w:vAlign w:val="bottom"/>
            <w:hideMark/>
          </w:tcPr>
          <w:p w14:paraId="28A6AAA5"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14.51 (2.58 ; 81.66)</w:t>
            </w:r>
          </w:p>
        </w:tc>
        <w:tc>
          <w:tcPr>
            <w:tcW w:w="232" w:type="pct"/>
            <w:tcBorders>
              <w:top w:val="nil"/>
              <w:left w:val="nil"/>
              <w:bottom w:val="single" w:sz="4" w:space="0" w:color="auto"/>
              <w:right w:val="nil"/>
            </w:tcBorders>
            <w:shd w:val="clear" w:color="auto" w:fill="auto"/>
            <w:noWrap/>
            <w:vAlign w:val="bottom"/>
            <w:hideMark/>
          </w:tcPr>
          <w:p w14:paraId="1CED4A9E"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7.6</w:t>
            </w:r>
          </w:p>
        </w:tc>
        <w:tc>
          <w:tcPr>
            <w:tcW w:w="921" w:type="pct"/>
            <w:tcBorders>
              <w:top w:val="nil"/>
              <w:left w:val="nil"/>
              <w:bottom w:val="single" w:sz="4" w:space="0" w:color="auto"/>
              <w:right w:val="nil"/>
            </w:tcBorders>
            <w:shd w:val="clear" w:color="auto" w:fill="auto"/>
            <w:noWrap/>
            <w:vAlign w:val="bottom"/>
            <w:hideMark/>
          </w:tcPr>
          <w:p w14:paraId="56545E99" w14:textId="77777777" w:rsidR="008F3E3E" w:rsidRPr="009728DC" w:rsidRDefault="008F3E3E" w:rsidP="007C2B41">
            <w:pPr>
              <w:spacing w:after="0" w:line="240" w:lineRule="auto"/>
              <w:jc w:val="center"/>
              <w:rPr>
                <w:rFonts w:eastAsia="Times New Roman" w:cstheme="minorHAnsi"/>
                <w:lang w:eastAsia="en-GB"/>
              </w:rPr>
            </w:pPr>
            <w:r w:rsidRPr="009728DC">
              <w:rPr>
                <w:rFonts w:eastAsia="Times New Roman" w:cstheme="minorHAnsi"/>
                <w:lang w:eastAsia="en-GB"/>
              </w:rPr>
              <w:t>9.2</w:t>
            </w:r>
            <w:r>
              <w:rPr>
                <w:rFonts w:eastAsia="Times New Roman" w:cstheme="minorHAnsi"/>
                <w:lang w:eastAsia="en-GB"/>
              </w:rPr>
              <w:t>1</w:t>
            </w:r>
            <w:r w:rsidRPr="009728DC">
              <w:rPr>
                <w:rFonts w:eastAsia="Times New Roman" w:cstheme="minorHAnsi"/>
                <w:lang w:eastAsia="en-GB"/>
              </w:rPr>
              <w:t xml:space="preserve"> (1.64 ; 51.78)</w:t>
            </w:r>
          </w:p>
        </w:tc>
      </w:tr>
    </w:tbl>
    <w:p w14:paraId="7A417A4A" w14:textId="77777777" w:rsidR="008F3E3E" w:rsidRPr="009728DC" w:rsidRDefault="008F3E3E" w:rsidP="008F3E3E">
      <w:pPr>
        <w:rPr>
          <w:rFonts w:cstheme="minorHAnsi"/>
        </w:rPr>
      </w:pPr>
    </w:p>
    <w:p w14:paraId="3CFD7513" w14:textId="165B0247" w:rsidR="008F3E3E" w:rsidRPr="009728DC" w:rsidRDefault="008F3E3E" w:rsidP="008F3E3E">
      <w:pPr>
        <w:rPr>
          <w:rFonts w:cstheme="minorHAnsi"/>
        </w:rPr>
      </w:pPr>
      <w:r w:rsidRPr="009728DC">
        <w:rPr>
          <w:rFonts w:cstheme="minorHAnsi"/>
        </w:rPr>
        <w:t>AOR = Adjusted Odds Ratio, adjusted for all other covariates in table, CI = Confidence Intervals</w:t>
      </w:r>
      <w:r>
        <w:rPr>
          <w:rFonts w:cstheme="minorHAnsi"/>
        </w:rPr>
        <w:t xml:space="preserve">. </w:t>
      </w:r>
      <w:r w:rsidR="0063183D">
        <w:rPr>
          <w:rFonts w:cstheme="minorHAnsi"/>
        </w:rPr>
        <w:t>Continuing smoker</w:t>
      </w:r>
      <w:r>
        <w:rPr>
          <w:rFonts w:cstheme="minorHAnsi"/>
        </w:rPr>
        <w:t xml:space="preserve"> refers to those reporting having ever smoked at age 11 who </w:t>
      </w:r>
      <w:proofErr w:type="gramStart"/>
      <w:r w:rsidR="0063183D">
        <w:rPr>
          <w:rFonts w:cstheme="minorHAnsi"/>
        </w:rPr>
        <w:t>were</w:t>
      </w:r>
      <w:proofErr w:type="gramEnd"/>
      <w:r>
        <w:rPr>
          <w:rFonts w:cstheme="minorHAnsi"/>
        </w:rPr>
        <w:t xml:space="preserve"> current smokers.</w:t>
      </w:r>
    </w:p>
    <w:p w14:paraId="49DD6749" w14:textId="624951E3" w:rsidR="008F3E3E" w:rsidRDefault="008F3E3E">
      <w:pPr>
        <w:rPr>
          <w:rFonts w:cstheme="minorHAnsi"/>
          <w:b/>
          <w:lang w:val="da-DK"/>
        </w:rPr>
        <w:sectPr w:rsidR="008F3E3E" w:rsidSect="00F86891">
          <w:footerReference w:type="default" r:id="rId11"/>
          <w:pgSz w:w="16838" w:h="11906" w:orient="landscape"/>
          <w:pgMar w:top="1440" w:right="1440" w:bottom="1440" w:left="1440" w:header="708" w:footer="708" w:gutter="0"/>
          <w:cols w:space="708"/>
          <w:docGrid w:linePitch="360"/>
        </w:sectPr>
      </w:pPr>
      <w:bookmarkStart w:id="0" w:name="_GoBack"/>
      <w:bookmarkEnd w:id="0"/>
    </w:p>
    <w:p w14:paraId="706FAE13" w14:textId="1EFC2328" w:rsidR="003E0EC0" w:rsidRPr="008F00F1" w:rsidRDefault="00882D21">
      <w:pPr>
        <w:rPr>
          <w:rFonts w:cstheme="minorHAnsi"/>
          <w:b/>
          <w:lang w:val="da-DK"/>
        </w:rPr>
      </w:pPr>
      <w:r w:rsidRPr="008F00F1">
        <w:rPr>
          <w:rFonts w:cstheme="minorHAnsi"/>
          <w:b/>
          <w:lang w:val="da-DK"/>
        </w:rPr>
        <w:lastRenderedPageBreak/>
        <w:t>References</w:t>
      </w:r>
    </w:p>
    <w:p w14:paraId="0C3AD9AF" w14:textId="6E25EF1A" w:rsidR="0006533C" w:rsidRPr="0006533C" w:rsidRDefault="00882D21" w:rsidP="0006533C">
      <w:pPr>
        <w:widowControl w:val="0"/>
        <w:autoSpaceDE w:val="0"/>
        <w:autoSpaceDN w:val="0"/>
        <w:adjustRightInd w:val="0"/>
        <w:spacing w:line="240" w:lineRule="auto"/>
        <w:ind w:left="640" w:hanging="640"/>
        <w:rPr>
          <w:rFonts w:ascii="Calibri" w:hAnsi="Calibri" w:cs="Calibri"/>
          <w:noProof/>
          <w:szCs w:val="24"/>
        </w:rPr>
      </w:pPr>
      <w:r w:rsidRPr="004943D2">
        <w:rPr>
          <w:rFonts w:cstheme="minorHAnsi"/>
          <w:b/>
          <w:noProof/>
        </w:rPr>
        <w:fldChar w:fldCharType="begin" w:fldLock="1"/>
      </w:r>
      <w:r w:rsidRPr="008F00F1">
        <w:rPr>
          <w:rFonts w:cstheme="minorHAnsi"/>
          <w:b/>
          <w:noProof/>
          <w:lang w:val="da-DK"/>
        </w:rPr>
        <w:instrText xml:space="preserve">ADDIN Mendeley Bibliography CSL_BIBLIOGRAPHY </w:instrText>
      </w:r>
      <w:r w:rsidRPr="004943D2">
        <w:rPr>
          <w:rFonts w:cstheme="minorHAnsi"/>
          <w:b/>
          <w:noProof/>
        </w:rPr>
        <w:fldChar w:fldCharType="separate"/>
      </w:r>
      <w:r w:rsidR="0006533C" w:rsidRPr="0006533C">
        <w:rPr>
          <w:rFonts w:ascii="Calibri" w:hAnsi="Calibri" w:cs="Calibri"/>
          <w:noProof/>
          <w:szCs w:val="24"/>
        </w:rPr>
        <w:t xml:space="preserve">1 </w:t>
      </w:r>
      <w:r w:rsidR="0006533C" w:rsidRPr="0006533C">
        <w:rPr>
          <w:rFonts w:ascii="Calibri" w:hAnsi="Calibri" w:cs="Calibri"/>
          <w:noProof/>
          <w:szCs w:val="24"/>
        </w:rPr>
        <w:tab/>
        <w:t xml:space="preserve">Hopkinson NS, Lester-George A, Ormiston-Smith N, </w:t>
      </w:r>
      <w:r w:rsidR="0006533C" w:rsidRPr="0006533C">
        <w:rPr>
          <w:rFonts w:ascii="Calibri" w:hAnsi="Calibri" w:cs="Calibri"/>
          <w:i/>
          <w:iCs/>
          <w:noProof/>
          <w:szCs w:val="24"/>
        </w:rPr>
        <w:t>et al.</w:t>
      </w:r>
      <w:r w:rsidR="0006533C" w:rsidRPr="0006533C">
        <w:rPr>
          <w:rFonts w:ascii="Calibri" w:hAnsi="Calibri" w:cs="Calibri"/>
          <w:noProof/>
          <w:szCs w:val="24"/>
        </w:rPr>
        <w:t xml:space="preserve"> Child uptake of smoking by area across the uk. </w:t>
      </w:r>
      <w:r w:rsidR="0006533C" w:rsidRPr="0006533C">
        <w:rPr>
          <w:rFonts w:ascii="Calibri" w:hAnsi="Calibri" w:cs="Calibri"/>
          <w:i/>
          <w:iCs/>
          <w:noProof/>
          <w:szCs w:val="24"/>
        </w:rPr>
        <w:t>Thorax</w:t>
      </w:r>
      <w:r w:rsidR="0006533C" w:rsidRPr="0006533C">
        <w:rPr>
          <w:rFonts w:ascii="Calibri" w:hAnsi="Calibri" w:cs="Calibri"/>
          <w:noProof/>
          <w:szCs w:val="24"/>
        </w:rPr>
        <w:t xml:space="preserve"> 2014;</w:t>
      </w:r>
      <w:r w:rsidR="0006533C" w:rsidRPr="0006533C">
        <w:rPr>
          <w:rFonts w:ascii="Calibri" w:hAnsi="Calibri" w:cs="Calibri"/>
          <w:b/>
          <w:bCs/>
          <w:noProof/>
          <w:szCs w:val="24"/>
        </w:rPr>
        <w:t>69</w:t>
      </w:r>
      <w:r w:rsidR="0006533C" w:rsidRPr="0006533C">
        <w:rPr>
          <w:rFonts w:ascii="Calibri" w:hAnsi="Calibri" w:cs="Calibri"/>
          <w:noProof/>
          <w:szCs w:val="24"/>
        </w:rPr>
        <w:t>:873–5. doi:10.1136/thoraxjnl-2013-204379</w:t>
      </w:r>
    </w:p>
    <w:p w14:paraId="48BDBA2F" w14:textId="77777777" w:rsidR="0006533C" w:rsidRPr="0006533C" w:rsidRDefault="0006533C" w:rsidP="0006533C">
      <w:pPr>
        <w:widowControl w:val="0"/>
        <w:autoSpaceDE w:val="0"/>
        <w:autoSpaceDN w:val="0"/>
        <w:adjustRightInd w:val="0"/>
        <w:spacing w:line="240" w:lineRule="auto"/>
        <w:ind w:left="640" w:hanging="640"/>
        <w:rPr>
          <w:rFonts w:ascii="Calibri" w:hAnsi="Calibri" w:cs="Calibri"/>
          <w:noProof/>
          <w:szCs w:val="24"/>
        </w:rPr>
      </w:pPr>
      <w:r w:rsidRPr="0006533C">
        <w:rPr>
          <w:rFonts w:ascii="Calibri" w:hAnsi="Calibri" w:cs="Calibri"/>
          <w:noProof/>
          <w:szCs w:val="24"/>
        </w:rPr>
        <w:t xml:space="preserve">2 </w:t>
      </w:r>
      <w:r w:rsidRPr="0006533C">
        <w:rPr>
          <w:rFonts w:ascii="Calibri" w:hAnsi="Calibri" w:cs="Calibri"/>
          <w:noProof/>
          <w:szCs w:val="24"/>
        </w:rPr>
        <w:tab/>
        <w:t xml:space="preserve">Department of Health (UK). Towards a Smokefree Generation. A Tobacco Control Plan for England. https://wwwgovuk/government/publications/towards-a-smoke-free-generation-tobacco-control-plan-for-england. </w:t>
      </w:r>
    </w:p>
    <w:p w14:paraId="319C6BFA" w14:textId="77777777" w:rsidR="0006533C" w:rsidRPr="0006533C" w:rsidRDefault="0006533C" w:rsidP="0006533C">
      <w:pPr>
        <w:widowControl w:val="0"/>
        <w:autoSpaceDE w:val="0"/>
        <w:autoSpaceDN w:val="0"/>
        <w:adjustRightInd w:val="0"/>
        <w:spacing w:line="240" w:lineRule="auto"/>
        <w:ind w:left="640" w:hanging="640"/>
        <w:rPr>
          <w:rFonts w:ascii="Calibri" w:hAnsi="Calibri" w:cs="Calibri"/>
          <w:noProof/>
          <w:szCs w:val="24"/>
        </w:rPr>
      </w:pPr>
      <w:r w:rsidRPr="0006533C">
        <w:rPr>
          <w:rFonts w:ascii="Calibri" w:hAnsi="Calibri" w:cs="Calibri"/>
          <w:noProof/>
          <w:szCs w:val="24"/>
        </w:rPr>
        <w:t xml:space="preserve">3 </w:t>
      </w:r>
      <w:r w:rsidRPr="0006533C">
        <w:rPr>
          <w:rFonts w:ascii="Calibri" w:hAnsi="Calibri" w:cs="Calibri"/>
          <w:noProof/>
          <w:szCs w:val="24"/>
        </w:rPr>
        <w:tab/>
        <w:t>NHS Digital. Statistics on Smoking, England - 2017. http://digital.nhs.uk/catalogue/PUB24228 (accessed 29 Mar2018).</w:t>
      </w:r>
    </w:p>
    <w:p w14:paraId="58E7138F" w14:textId="77777777" w:rsidR="0006533C" w:rsidRPr="0006533C" w:rsidRDefault="0006533C" w:rsidP="0006533C">
      <w:pPr>
        <w:widowControl w:val="0"/>
        <w:autoSpaceDE w:val="0"/>
        <w:autoSpaceDN w:val="0"/>
        <w:adjustRightInd w:val="0"/>
        <w:spacing w:line="240" w:lineRule="auto"/>
        <w:ind w:left="640" w:hanging="640"/>
        <w:rPr>
          <w:rFonts w:ascii="Calibri" w:hAnsi="Calibri" w:cs="Calibri"/>
          <w:noProof/>
          <w:szCs w:val="24"/>
        </w:rPr>
      </w:pPr>
      <w:r w:rsidRPr="0006533C">
        <w:rPr>
          <w:rFonts w:ascii="Calibri" w:hAnsi="Calibri" w:cs="Calibri"/>
          <w:noProof/>
          <w:szCs w:val="24"/>
        </w:rPr>
        <w:t xml:space="preserve">4 </w:t>
      </w:r>
      <w:r w:rsidRPr="0006533C">
        <w:rPr>
          <w:rFonts w:ascii="Calibri" w:hAnsi="Calibri" w:cs="Calibri"/>
          <w:noProof/>
          <w:szCs w:val="24"/>
        </w:rPr>
        <w:tab/>
        <w:t xml:space="preserve">Connelly R, Platt L. Cohort profile: UK Millennium Cohort Study (mcs). </w:t>
      </w:r>
      <w:r w:rsidRPr="0006533C">
        <w:rPr>
          <w:rFonts w:ascii="Calibri" w:hAnsi="Calibri" w:cs="Calibri"/>
          <w:i/>
          <w:iCs/>
          <w:noProof/>
          <w:szCs w:val="24"/>
        </w:rPr>
        <w:t>Int J Epidemiol</w:t>
      </w:r>
      <w:r w:rsidRPr="0006533C">
        <w:rPr>
          <w:rFonts w:ascii="Calibri" w:hAnsi="Calibri" w:cs="Calibri"/>
          <w:noProof/>
          <w:szCs w:val="24"/>
        </w:rPr>
        <w:t xml:space="preserve"> 2014;</w:t>
      </w:r>
      <w:r w:rsidRPr="0006533C">
        <w:rPr>
          <w:rFonts w:ascii="Calibri" w:hAnsi="Calibri" w:cs="Calibri"/>
          <w:b/>
          <w:bCs/>
          <w:noProof/>
          <w:szCs w:val="24"/>
        </w:rPr>
        <w:t>43</w:t>
      </w:r>
      <w:r w:rsidRPr="0006533C">
        <w:rPr>
          <w:rFonts w:ascii="Calibri" w:hAnsi="Calibri" w:cs="Calibri"/>
          <w:noProof/>
          <w:szCs w:val="24"/>
        </w:rPr>
        <w:t>:1719–25. doi:10.1093/ije/dyu001</w:t>
      </w:r>
    </w:p>
    <w:p w14:paraId="33E64891" w14:textId="77777777" w:rsidR="0006533C" w:rsidRPr="0006533C" w:rsidRDefault="0006533C" w:rsidP="0006533C">
      <w:pPr>
        <w:widowControl w:val="0"/>
        <w:autoSpaceDE w:val="0"/>
        <w:autoSpaceDN w:val="0"/>
        <w:adjustRightInd w:val="0"/>
        <w:spacing w:line="240" w:lineRule="auto"/>
        <w:ind w:left="640" w:hanging="640"/>
        <w:rPr>
          <w:rFonts w:ascii="Calibri" w:hAnsi="Calibri" w:cs="Calibri"/>
          <w:noProof/>
          <w:szCs w:val="24"/>
        </w:rPr>
      </w:pPr>
      <w:r w:rsidRPr="0006533C">
        <w:rPr>
          <w:rFonts w:ascii="Calibri" w:hAnsi="Calibri" w:cs="Calibri"/>
          <w:noProof/>
          <w:szCs w:val="24"/>
        </w:rPr>
        <w:t xml:space="preserve">5 </w:t>
      </w:r>
      <w:r w:rsidRPr="0006533C">
        <w:rPr>
          <w:rFonts w:ascii="Calibri" w:hAnsi="Calibri" w:cs="Calibri"/>
          <w:noProof/>
          <w:szCs w:val="24"/>
        </w:rPr>
        <w:tab/>
        <w:t>Royal College of Physicians (2010) Passive smoking and children. http://bookshop.rcplondon.ac.uk/contents/pub305-e37e88a5-4643-4402-9298-6936de103266.pdf</w:t>
      </w:r>
    </w:p>
    <w:p w14:paraId="247AA092" w14:textId="77777777" w:rsidR="0006533C" w:rsidRPr="0006533C" w:rsidRDefault="0006533C" w:rsidP="0006533C">
      <w:pPr>
        <w:widowControl w:val="0"/>
        <w:autoSpaceDE w:val="0"/>
        <w:autoSpaceDN w:val="0"/>
        <w:adjustRightInd w:val="0"/>
        <w:spacing w:line="240" w:lineRule="auto"/>
        <w:ind w:left="640" w:hanging="640"/>
        <w:rPr>
          <w:rFonts w:ascii="Calibri" w:hAnsi="Calibri" w:cs="Calibri"/>
          <w:noProof/>
          <w:szCs w:val="24"/>
        </w:rPr>
      </w:pPr>
      <w:r w:rsidRPr="0006533C">
        <w:rPr>
          <w:rFonts w:ascii="Calibri" w:hAnsi="Calibri" w:cs="Calibri"/>
          <w:noProof/>
          <w:szCs w:val="24"/>
        </w:rPr>
        <w:t xml:space="preserve">6 </w:t>
      </w:r>
      <w:r w:rsidRPr="0006533C">
        <w:rPr>
          <w:rFonts w:ascii="Calibri" w:hAnsi="Calibri" w:cs="Calibri"/>
          <w:noProof/>
          <w:szCs w:val="24"/>
        </w:rPr>
        <w:tab/>
        <w:t xml:space="preserve">National Institute for Clinical Excellence. School-based interventions to prevent the uptake of smoking among children and young people. http://wwwncsctcouk/usr/pub/school-based-interventions-to-prevent-the-uptake-of-smokingpdf 2010. </w:t>
      </w:r>
    </w:p>
    <w:p w14:paraId="0F6EB5DE" w14:textId="77777777" w:rsidR="0006533C" w:rsidRPr="0006533C" w:rsidRDefault="0006533C" w:rsidP="0006533C">
      <w:pPr>
        <w:widowControl w:val="0"/>
        <w:autoSpaceDE w:val="0"/>
        <w:autoSpaceDN w:val="0"/>
        <w:adjustRightInd w:val="0"/>
        <w:spacing w:line="240" w:lineRule="auto"/>
        <w:ind w:left="640" w:hanging="640"/>
        <w:rPr>
          <w:rFonts w:ascii="Calibri" w:hAnsi="Calibri" w:cs="Calibri"/>
          <w:noProof/>
          <w:szCs w:val="24"/>
        </w:rPr>
      </w:pPr>
      <w:r w:rsidRPr="0006533C">
        <w:rPr>
          <w:rFonts w:ascii="Calibri" w:hAnsi="Calibri" w:cs="Calibri"/>
          <w:noProof/>
          <w:szCs w:val="24"/>
        </w:rPr>
        <w:t xml:space="preserve">7 </w:t>
      </w:r>
      <w:r w:rsidRPr="0006533C">
        <w:rPr>
          <w:rFonts w:ascii="Calibri" w:hAnsi="Calibri" w:cs="Calibri"/>
          <w:noProof/>
          <w:szCs w:val="24"/>
        </w:rPr>
        <w:tab/>
        <w:t xml:space="preserve">Taylor-Robinson DC, Wickham S, Campbell M, </w:t>
      </w:r>
      <w:r w:rsidRPr="0006533C">
        <w:rPr>
          <w:rFonts w:ascii="Calibri" w:hAnsi="Calibri" w:cs="Calibri"/>
          <w:i/>
          <w:iCs/>
          <w:noProof/>
          <w:szCs w:val="24"/>
        </w:rPr>
        <w:t>et al.</w:t>
      </w:r>
      <w:r w:rsidRPr="0006533C">
        <w:rPr>
          <w:rFonts w:ascii="Calibri" w:hAnsi="Calibri" w:cs="Calibri"/>
          <w:noProof/>
          <w:szCs w:val="24"/>
        </w:rPr>
        <w:t xml:space="preserve"> Are social inequalities in early childhood smoking initiation explained by exposure to adult smoking? Findings from the UK Millennium Cohort Study. </w:t>
      </w:r>
      <w:r w:rsidRPr="0006533C">
        <w:rPr>
          <w:rFonts w:ascii="Calibri" w:hAnsi="Calibri" w:cs="Calibri"/>
          <w:i/>
          <w:iCs/>
          <w:noProof/>
          <w:szCs w:val="24"/>
        </w:rPr>
        <w:t>PLoS One</w:t>
      </w:r>
      <w:r w:rsidRPr="0006533C">
        <w:rPr>
          <w:rFonts w:ascii="Calibri" w:hAnsi="Calibri" w:cs="Calibri"/>
          <w:noProof/>
          <w:szCs w:val="24"/>
        </w:rPr>
        <w:t xml:space="preserve"> 2017;</w:t>
      </w:r>
      <w:r w:rsidRPr="0006533C">
        <w:rPr>
          <w:rFonts w:ascii="Calibri" w:hAnsi="Calibri" w:cs="Calibri"/>
          <w:b/>
          <w:bCs/>
          <w:noProof/>
          <w:szCs w:val="24"/>
        </w:rPr>
        <w:t>12</w:t>
      </w:r>
      <w:r w:rsidRPr="0006533C">
        <w:rPr>
          <w:rFonts w:ascii="Calibri" w:hAnsi="Calibri" w:cs="Calibri"/>
          <w:noProof/>
          <w:szCs w:val="24"/>
        </w:rPr>
        <w:t>. doi:10.1371/journal.pone.0178633</w:t>
      </w:r>
    </w:p>
    <w:p w14:paraId="2543BB4D" w14:textId="77777777" w:rsidR="0006533C" w:rsidRPr="0006533C" w:rsidRDefault="0006533C" w:rsidP="0006533C">
      <w:pPr>
        <w:widowControl w:val="0"/>
        <w:autoSpaceDE w:val="0"/>
        <w:autoSpaceDN w:val="0"/>
        <w:adjustRightInd w:val="0"/>
        <w:spacing w:line="240" w:lineRule="auto"/>
        <w:ind w:left="640" w:hanging="640"/>
        <w:rPr>
          <w:rFonts w:ascii="Calibri" w:hAnsi="Calibri" w:cs="Calibri"/>
          <w:noProof/>
          <w:szCs w:val="24"/>
        </w:rPr>
      </w:pPr>
      <w:r w:rsidRPr="0006533C">
        <w:rPr>
          <w:rFonts w:ascii="Calibri" w:hAnsi="Calibri" w:cs="Calibri"/>
          <w:noProof/>
          <w:szCs w:val="24"/>
        </w:rPr>
        <w:t xml:space="preserve">8 </w:t>
      </w:r>
      <w:r w:rsidRPr="0006533C">
        <w:rPr>
          <w:rFonts w:ascii="Calibri" w:hAnsi="Calibri" w:cs="Calibri"/>
          <w:noProof/>
          <w:szCs w:val="24"/>
        </w:rPr>
        <w:tab/>
        <w:t xml:space="preserve">Gilman SE, Rende R, Boergers J, </w:t>
      </w:r>
      <w:r w:rsidRPr="0006533C">
        <w:rPr>
          <w:rFonts w:ascii="Calibri" w:hAnsi="Calibri" w:cs="Calibri"/>
          <w:i/>
          <w:iCs/>
          <w:noProof/>
          <w:szCs w:val="24"/>
        </w:rPr>
        <w:t>et al.</w:t>
      </w:r>
      <w:r w:rsidRPr="0006533C">
        <w:rPr>
          <w:rFonts w:ascii="Calibri" w:hAnsi="Calibri" w:cs="Calibri"/>
          <w:noProof/>
          <w:szCs w:val="24"/>
        </w:rPr>
        <w:t xml:space="preserve"> Parental Smoking and Adolescent Smoking Initiation: An Intergenerational Perspective on Tobacco Control. </w:t>
      </w:r>
      <w:r w:rsidRPr="0006533C">
        <w:rPr>
          <w:rFonts w:ascii="Calibri" w:hAnsi="Calibri" w:cs="Calibri"/>
          <w:i/>
          <w:iCs/>
          <w:noProof/>
          <w:szCs w:val="24"/>
        </w:rPr>
        <w:t>Pediatrics</w:t>
      </w:r>
      <w:r w:rsidRPr="0006533C">
        <w:rPr>
          <w:rFonts w:ascii="Calibri" w:hAnsi="Calibri" w:cs="Calibri"/>
          <w:noProof/>
          <w:szCs w:val="24"/>
        </w:rPr>
        <w:t xml:space="preserve"> 2009;</w:t>
      </w:r>
      <w:r w:rsidRPr="0006533C">
        <w:rPr>
          <w:rFonts w:ascii="Calibri" w:hAnsi="Calibri" w:cs="Calibri"/>
          <w:b/>
          <w:bCs/>
          <w:noProof/>
          <w:szCs w:val="24"/>
        </w:rPr>
        <w:t>123</w:t>
      </w:r>
      <w:r w:rsidRPr="0006533C">
        <w:rPr>
          <w:rFonts w:ascii="Calibri" w:hAnsi="Calibri" w:cs="Calibri"/>
          <w:noProof/>
          <w:szCs w:val="24"/>
        </w:rPr>
        <w:t>:e274–81. doi:10.1542/peds.2008-2251</w:t>
      </w:r>
    </w:p>
    <w:p w14:paraId="32752E8C" w14:textId="77777777" w:rsidR="0006533C" w:rsidRPr="0006533C" w:rsidRDefault="0006533C" w:rsidP="0006533C">
      <w:pPr>
        <w:widowControl w:val="0"/>
        <w:autoSpaceDE w:val="0"/>
        <w:autoSpaceDN w:val="0"/>
        <w:adjustRightInd w:val="0"/>
        <w:spacing w:line="240" w:lineRule="auto"/>
        <w:ind w:left="640" w:hanging="640"/>
        <w:rPr>
          <w:rFonts w:ascii="Calibri" w:hAnsi="Calibri" w:cs="Calibri"/>
          <w:noProof/>
          <w:szCs w:val="24"/>
        </w:rPr>
      </w:pPr>
      <w:r w:rsidRPr="0006533C">
        <w:rPr>
          <w:rFonts w:ascii="Calibri" w:hAnsi="Calibri" w:cs="Calibri"/>
          <w:noProof/>
          <w:szCs w:val="24"/>
        </w:rPr>
        <w:t xml:space="preserve">9 </w:t>
      </w:r>
      <w:r w:rsidRPr="0006533C">
        <w:rPr>
          <w:rFonts w:ascii="Calibri" w:hAnsi="Calibri" w:cs="Calibri"/>
          <w:noProof/>
          <w:szCs w:val="24"/>
        </w:rPr>
        <w:tab/>
        <w:t xml:space="preserve">Laverty AA, Vamos EP, Filippidis F. Uptake of e-cigarettes among a nationally representative cohort of UK children. </w:t>
      </w:r>
      <w:r w:rsidRPr="0006533C">
        <w:rPr>
          <w:rFonts w:ascii="Calibri" w:hAnsi="Calibri" w:cs="Calibri"/>
          <w:i/>
          <w:iCs/>
          <w:noProof/>
          <w:szCs w:val="24"/>
        </w:rPr>
        <w:t>Tob Prev Cessat</w:t>
      </w:r>
      <w:r w:rsidRPr="0006533C">
        <w:rPr>
          <w:rFonts w:ascii="Calibri" w:hAnsi="Calibri" w:cs="Calibri"/>
          <w:noProof/>
          <w:szCs w:val="24"/>
        </w:rPr>
        <w:t xml:space="preserve"> 2018;</w:t>
      </w:r>
      <w:r w:rsidRPr="0006533C">
        <w:rPr>
          <w:rFonts w:ascii="Calibri" w:hAnsi="Calibri" w:cs="Calibri"/>
          <w:b/>
          <w:bCs/>
          <w:noProof/>
          <w:szCs w:val="24"/>
        </w:rPr>
        <w:t>4</w:t>
      </w:r>
      <w:r w:rsidRPr="0006533C">
        <w:rPr>
          <w:rFonts w:ascii="Calibri" w:hAnsi="Calibri" w:cs="Calibri"/>
          <w:noProof/>
          <w:szCs w:val="24"/>
        </w:rPr>
        <w:t>. doi:10.18332/tpc/89727</w:t>
      </w:r>
    </w:p>
    <w:p w14:paraId="548785D4" w14:textId="77777777" w:rsidR="0006533C" w:rsidRPr="0006533C" w:rsidRDefault="0006533C" w:rsidP="0006533C">
      <w:pPr>
        <w:widowControl w:val="0"/>
        <w:autoSpaceDE w:val="0"/>
        <w:autoSpaceDN w:val="0"/>
        <w:adjustRightInd w:val="0"/>
        <w:spacing w:line="240" w:lineRule="auto"/>
        <w:ind w:left="640" w:hanging="640"/>
        <w:rPr>
          <w:rFonts w:ascii="Calibri" w:hAnsi="Calibri" w:cs="Calibri"/>
          <w:noProof/>
        </w:rPr>
      </w:pPr>
      <w:r w:rsidRPr="0006533C">
        <w:rPr>
          <w:rFonts w:ascii="Calibri" w:hAnsi="Calibri" w:cs="Calibri"/>
          <w:noProof/>
          <w:szCs w:val="24"/>
        </w:rPr>
        <w:t xml:space="preserve">10 </w:t>
      </w:r>
      <w:r w:rsidRPr="0006533C">
        <w:rPr>
          <w:rFonts w:ascii="Calibri" w:hAnsi="Calibri" w:cs="Calibri"/>
          <w:noProof/>
          <w:szCs w:val="24"/>
        </w:rPr>
        <w:tab/>
        <w:t xml:space="preserve">Bauld L, MacKintosh MA, Eastwood B, </w:t>
      </w:r>
      <w:r w:rsidRPr="0006533C">
        <w:rPr>
          <w:rFonts w:ascii="Calibri" w:hAnsi="Calibri" w:cs="Calibri"/>
          <w:i/>
          <w:iCs/>
          <w:noProof/>
          <w:szCs w:val="24"/>
        </w:rPr>
        <w:t>et al.</w:t>
      </w:r>
      <w:r w:rsidRPr="0006533C">
        <w:rPr>
          <w:rFonts w:ascii="Calibri" w:hAnsi="Calibri" w:cs="Calibri"/>
          <w:noProof/>
          <w:szCs w:val="24"/>
        </w:rPr>
        <w:t xml:space="preserve"> Young People’s Use of E-Cigarettes across the United Kingdom: Findings from Five Surveys 2015–2017. Int. J. Environ. Res. Public Heal. . 2017;</w:t>
      </w:r>
      <w:r w:rsidRPr="0006533C">
        <w:rPr>
          <w:rFonts w:ascii="Calibri" w:hAnsi="Calibri" w:cs="Calibri"/>
          <w:b/>
          <w:bCs/>
          <w:noProof/>
          <w:szCs w:val="24"/>
        </w:rPr>
        <w:t>14</w:t>
      </w:r>
      <w:r w:rsidRPr="0006533C">
        <w:rPr>
          <w:rFonts w:ascii="Calibri" w:hAnsi="Calibri" w:cs="Calibri"/>
          <w:noProof/>
          <w:szCs w:val="24"/>
        </w:rPr>
        <w:t>. doi:10.3390/ijerph14090973</w:t>
      </w:r>
    </w:p>
    <w:p w14:paraId="5C211761" w14:textId="1D3389BB" w:rsidR="00146F40" w:rsidRPr="004943D2" w:rsidRDefault="00882D21" w:rsidP="0006533C">
      <w:pPr>
        <w:widowControl w:val="0"/>
        <w:autoSpaceDE w:val="0"/>
        <w:autoSpaceDN w:val="0"/>
        <w:adjustRightInd w:val="0"/>
        <w:spacing w:line="240" w:lineRule="auto"/>
        <w:ind w:left="640" w:hanging="640"/>
        <w:rPr>
          <w:rFonts w:cstheme="minorHAnsi"/>
          <w:b/>
        </w:rPr>
      </w:pPr>
      <w:r w:rsidRPr="004943D2">
        <w:rPr>
          <w:rFonts w:cstheme="minorHAnsi"/>
          <w:b/>
          <w:noProof/>
        </w:rPr>
        <w:fldChar w:fldCharType="end"/>
      </w:r>
      <w:r w:rsidR="003E0EC0" w:rsidRPr="004943D2">
        <w:rPr>
          <w:rFonts w:cstheme="minorHAnsi"/>
          <w:b/>
          <w:noProof/>
        </w:rPr>
        <w:fldChar w:fldCharType="begin"/>
      </w:r>
      <w:r w:rsidR="003E0EC0" w:rsidRPr="004943D2">
        <w:rPr>
          <w:rFonts w:cstheme="minorHAnsi"/>
          <w:b/>
        </w:rPr>
        <w:instrText xml:space="preserve"> ADDIN EN.REFLIST </w:instrText>
      </w:r>
      <w:r w:rsidR="003E0EC0" w:rsidRPr="004943D2">
        <w:rPr>
          <w:rFonts w:cstheme="minorHAnsi"/>
          <w:b/>
          <w:noProof/>
        </w:rPr>
        <w:fldChar w:fldCharType="end"/>
      </w:r>
    </w:p>
    <w:sectPr w:rsidR="00146F40" w:rsidRPr="004943D2" w:rsidSect="0027312E">
      <w:pgSz w:w="11906" w:h="16838"/>
      <w:pgMar w:top="1440" w:right="1440" w:bottom="1440" w:left="1440"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AB78F4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E0A896" w16cid:durableId="1E909A4E"/>
  <w16cid:commentId w16cid:paraId="033C8552" w16cid:durableId="1E909B3A"/>
  <w16cid:commentId w16cid:paraId="12635EA1" w16cid:durableId="1E909CB8"/>
  <w16cid:commentId w16cid:paraId="560E3368" w16cid:durableId="1E909DC1"/>
  <w16cid:commentId w16cid:paraId="4D6269FF" w16cid:durableId="1E91A0ED"/>
  <w16cid:commentId w16cid:paraId="39E474CA" w16cid:durableId="1E91A161"/>
  <w16cid:commentId w16cid:paraId="7AF6EE1A" w16cid:durableId="1E91A233"/>
  <w16cid:commentId w16cid:paraId="27C9D2CD" w16cid:durableId="1E91A61E"/>
  <w16cid:commentId w16cid:paraId="44C70220" w16cid:durableId="1E91A89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4BB79E" w14:textId="77777777" w:rsidR="007C2B41" w:rsidRDefault="007C2B41" w:rsidP="001716F6">
      <w:pPr>
        <w:spacing w:after="0" w:line="240" w:lineRule="auto"/>
      </w:pPr>
      <w:r>
        <w:separator/>
      </w:r>
    </w:p>
  </w:endnote>
  <w:endnote w:type="continuationSeparator" w:id="0">
    <w:p w14:paraId="4A967C6A" w14:textId="77777777" w:rsidR="007C2B41" w:rsidRDefault="007C2B41" w:rsidP="00171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366950"/>
      <w:docPartObj>
        <w:docPartGallery w:val="Page Numbers (Bottom of Page)"/>
        <w:docPartUnique/>
      </w:docPartObj>
    </w:sdtPr>
    <w:sdtEndPr>
      <w:rPr>
        <w:noProof/>
      </w:rPr>
    </w:sdtEndPr>
    <w:sdtContent>
      <w:p w14:paraId="2E473794" w14:textId="1BE88BEF" w:rsidR="007C2B41" w:rsidRDefault="007C2B41">
        <w:pPr>
          <w:pStyle w:val="Footer"/>
          <w:jc w:val="right"/>
        </w:pPr>
        <w:r>
          <w:fldChar w:fldCharType="begin"/>
        </w:r>
        <w:r>
          <w:instrText xml:space="preserve"> PAGE   \* MERGEFORMAT </w:instrText>
        </w:r>
        <w:r>
          <w:fldChar w:fldCharType="separate"/>
        </w:r>
        <w:r w:rsidR="00E07ECD">
          <w:rPr>
            <w:noProof/>
          </w:rPr>
          <w:t>7</w:t>
        </w:r>
        <w:r>
          <w:rPr>
            <w:noProof/>
          </w:rPr>
          <w:fldChar w:fldCharType="end"/>
        </w:r>
      </w:p>
    </w:sdtContent>
  </w:sdt>
  <w:p w14:paraId="0FC42E5F" w14:textId="77777777" w:rsidR="007C2B41" w:rsidRDefault="007C2B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EEDCA7" w14:textId="77777777" w:rsidR="007C2B41" w:rsidRDefault="007C2B41" w:rsidP="001716F6">
      <w:pPr>
        <w:spacing w:after="0" w:line="240" w:lineRule="auto"/>
      </w:pPr>
      <w:r>
        <w:separator/>
      </w:r>
    </w:p>
  </w:footnote>
  <w:footnote w:type="continuationSeparator" w:id="0">
    <w:p w14:paraId="72667859" w14:textId="77777777" w:rsidR="007C2B41" w:rsidRDefault="007C2B41" w:rsidP="001716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149803"/>
      <w:docPartObj>
        <w:docPartGallery w:val="Page Numbers (Top of Page)"/>
        <w:docPartUnique/>
      </w:docPartObj>
    </w:sdtPr>
    <w:sdtEndPr>
      <w:rPr>
        <w:noProof/>
      </w:rPr>
    </w:sdtEndPr>
    <w:sdtContent>
      <w:p w14:paraId="102398DF" w14:textId="31532A7E" w:rsidR="00F86891" w:rsidRDefault="00F86891">
        <w:pPr>
          <w:pStyle w:val="Header"/>
          <w:jc w:val="right"/>
        </w:pPr>
        <w:r>
          <w:fldChar w:fldCharType="begin"/>
        </w:r>
        <w:r>
          <w:instrText xml:space="preserve"> PAGE   \* MERGEFORMAT </w:instrText>
        </w:r>
        <w:r>
          <w:fldChar w:fldCharType="separate"/>
        </w:r>
        <w:r w:rsidR="00E07ECD">
          <w:rPr>
            <w:noProof/>
          </w:rPr>
          <w:t>7</w:t>
        </w:r>
        <w:r>
          <w:rPr>
            <w:noProof/>
          </w:rPr>
          <w:fldChar w:fldCharType="end"/>
        </w:r>
      </w:p>
    </w:sdtContent>
  </w:sdt>
  <w:p w14:paraId="4C232530" w14:textId="77777777" w:rsidR="00F86891" w:rsidRDefault="00F868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1F49"/>
    <w:multiLevelType w:val="hybridMultilevel"/>
    <w:tmpl w:val="BA7A5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54733"/>
    <w:multiLevelType w:val="multilevel"/>
    <w:tmpl w:val="6BC4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6A95511"/>
    <w:multiLevelType w:val="hybridMultilevel"/>
    <w:tmpl w:val="040C8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F252D5C"/>
    <w:multiLevelType w:val="hybridMultilevel"/>
    <w:tmpl w:val="8AF8E1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268147D"/>
    <w:multiLevelType w:val="hybridMultilevel"/>
    <w:tmpl w:val="5CE29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2F1E0F"/>
    <w:multiLevelType w:val="hybridMultilevel"/>
    <w:tmpl w:val="B9B880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18A01DE"/>
    <w:multiLevelType w:val="hybridMultilevel"/>
    <w:tmpl w:val="410CD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6"/>
  </w:num>
  <w:num w:numId="6">
    <w:abstractNumId w:val="5"/>
  </w:num>
  <w:num w:numId="7">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opkinson, Nick S">
    <w15:presenceInfo w15:providerId="AD" w15:userId="S-1-5-21-243037206-41955558-561332275-681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D446CC"/>
    <w:rsid w:val="00012350"/>
    <w:rsid w:val="000138F1"/>
    <w:rsid w:val="000146C2"/>
    <w:rsid w:val="0002386F"/>
    <w:rsid w:val="000335FE"/>
    <w:rsid w:val="00037E2A"/>
    <w:rsid w:val="00043CCD"/>
    <w:rsid w:val="00050C2E"/>
    <w:rsid w:val="00051E69"/>
    <w:rsid w:val="000537FF"/>
    <w:rsid w:val="00064B6D"/>
    <w:rsid w:val="0006533C"/>
    <w:rsid w:val="00067C44"/>
    <w:rsid w:val="00084883"/>
    <w:rsid w:val="0009696E"/>
    <w:rsid w:val="000975ED"/>
    <w:rsid w:val="000A70DD"/>
    <w:rsid w:val="000C6B0A"/>
    <w:rsid w:val="000D4246"/>
    <w:rsid w:val="000E395E"/>
    <w:rsid w:val="000F7FE6"/>
    <w:rsid w:val="00107BF6"/>
    <w:rsid w:val="00111500"/>
    <w:rsid w:val="0011644B"/>
    <w:rsid w:val="001174B9"/>
    <w:rsid w:val="00143907"/>
    <w:rsid w:val="00146241"/>
    <w:rsid w:val="00146F40"/>
    <w:rsid w:val="0015536F"/>
    <w:rsid w:val="001716F6"/>
    <w:rsid w:val="00171F33"/>
    <w:rsid w:val="00194771"/>
    <w:rsid w:val="001A036B"/>
    <w:rsid w:val="001A10D6"/>
    <w:rsid w:val="001A3168"/>
    <w:rsid w:val="001A519D"/>
    <w:rsid w:val="001A6195"/>
    <w:rsid w:val="001A69EB"/>
    <w:rsid w:val="001B34AD"/>
    <w:rsid w:val="001B6280"/>
    <w:rsid w:val="001B7A23"/>
    <w:rsid w:val="001C3FEB"/>
    <w:rsid w:val="001F3589"/>
    <w:rsid w:val="001F59AC"/>
    <w:rsid w:val="002024C3"/>
    <w:rsid w:val="0020411C"/>
    <w:rsid w:val="002106A3"/>
    <w:rsid w:val="00214468"/>
    <w:rsid w:val="002219DF"/>
    <w:rsid w:val="0022503C"/>
    <w:rsid w:val="0022688A"/>
    <w:rsid w:val="002317A0"/>
    <w:rsid w:val="0023727F"/>
    <w:rsid w:val="002402C6"/>
    <w:rsid w:val="00256CBB"/>
    <w:rsid w:val="00270557"/>
    <w:rsid w:val="0027312E"/>
    <w:rsid w:val="00277274"/>
    <w:rsid w:val="00280AAC"/>
    <w:rsid w:val="00286249"/>
    <w:rsid w:val="00287520"/>
    <w:rsid w:val="00290F9B"/>
    <w:rsid w:val="00292F1B"/>
    <w:rsid w:val="00294481"/>
    <w:rsid w:val="002A4F40"/>
    <w:rsid w:val="002B5B85"/>
    <w:rsid w:val="002C7740"/>
    <w:rsid w:val="002D4413"/>
    <w:rsid w:val="002D47FF"/>
    <w:rsid w:val="002E6445"/>
    <w:rsid w:val="00305DE6"/>
    <w:rsid w:val="00323841"/>
    <w:rsid w:val="00325E29"/>
    <w:rsid w:val="003361BB"/>
    <w:rsid w:val="0034454C"/>
    <w:rsid w:val="003476D8"/>
    <w:rsid w:val="00347FEF"/>
    <w:rsid w:val="00356C34"/>
    <w:rsid w:val="00381472"/>
    <w:rsid w:val="003A10BD"/>
    <w:rsid w:val="003C0B60"/>
    <w:rsid w:val="003C1459"/>
    <w:rsid w:val="003C247B"/>
    <w:rsid w:val="003E0A10"/>
    <w:rsid w:val="003E0EC0"/>
    <w:rsid w:val="00407747"/>
    <w:rsid w:val="00426CD0"/>
    <w:rsid w:val="004303FD"/>
    <w:rsid w:val="00440FD3"/>
    <w:rsid w:val="00442C00"/>
    <w:rsid w:val="00452459"/>
    <w:rsid w:val="00464BB4"/>
    <w:rsid w:val="004750D6"/>
    <w:rsid w:val="00480FEF"/>
    <w:rsid w:val="00484811"/>
    <w:rsid w:val="004943D2"/>
    <w:rsid w:val="00495B03"/>
    <w:rsid w:val="004A1945"/>
    <w:rsid w:val="004A39D1"/>
    <w:rsid w:val="004B0755"/>
    <w:rsid w:val="004E0EF5"/>
    <w:rsid w:val="004E193C"/>
    <w:rsid w:val="004E2FD1"/>
    <w:rsid w:val="004F4828"/>
    <w:rsid w:val="004F5CEC"/>
    <w:rsid w:val="004F7CF1"/>
    <w:rsid w:val="00501944"/>
    <w:rsid w:val="00505858"/>
    <w:rsid w:val="00506BEB"/>
    <w:rsid w:val="00543EA1"/>
    <w:rsid w:val="00555219"/>
    <w:rsid w:val="00566ED9"/>
    <w:rsid w:val="0057427A"/>
    <w:rsid w:val="00585E2C"/>
    <w:rsid w:val="00586565"/>
    <w:rsid w:val="00587EA3"/>
    <w:rsid w:val="00594CE7"/>
    <w:rsid w:val="005D573F"/>
    <w:rsid w:val="005E14F6"/>
    <w:rsid w:val="005E2277"/>
    <w:rsid w:val="005E3C63"/>
    <w:rsid w:val="00603E10"/>
    <w:rsid w:val="00603E28"/>
    <w:rsid w:val="00603F40"/>
    <w:rsid w:val="006075C5"/>
    <w:rsid w:val="00617E79"/>
    <w:rsid w:val="006217F8"/>
    <w:rsid w:val="006219BA"/>
    <w:rsid w:val="00626764"/>
    <w:rsid w:val="00630FD0"/>
    <w:rsid w:val="0063183D"/>
    <w:rsid w:val="00637638"/>
    <w:rsid w:val="00643E23"/>
    <w:rsid w:val="006441A5"/>
    <w:rsid w:val="00644A9F"/>
    <w:rsid w:val="00644C04"/>
    <w:rsid w:val="00645F49"/>
    <w:rsid w:val="00662788"/>
    <w:rsid w:val="00664985"/>
    <w:rsid w:val="006662FB"/>
    <w:rsid w:val="00687406"/>
    <w:rsid w:val="00692280"/>
    <w:rsid w:val="006A149A"/>
    <w:rsid w:val="006A4A14"/>
    <w:rsid w:val="006B08A6"/>
    <w:rsid w:val="006B2CE7"/>
    <w:rsid w:val="006C4804"/>
    <w:rsid w:val="006D2AA5"/>
    <w:rsid w:val="006D3EC7"/>
    <w:rsid w:val="006F1865"/>
    <w:rsid w:val="00703E31"/>
    <w:rsid w:val="00712D5D"/>
    <w:rsid w:val="00720954"/>
    <w:rsid w:val="007310E6"/>
    <w:rsid w:val="007315ED"/>
    <w:rsid w:val="007461E4"/>
    <w:rsid w:val="007462BA"/>
    <w:rsid w:val="00746B4D"/>
    <w:rsid w:val="00747E95"/>
    <w:rsid w:val="00750E1B"/>
    <w:rsid w:val="0075110F"/>
    <w:rsid w:val="00751FDE"/>
    <w:rsid w:val="00756796"/>
    <w:rsid w:val="007618D4"/>
    <w:rsid w:val="00764D8C"/>
    <w:rsid w:val="00771D69"/>
    <w:rsid w:val="007824D3"/>
    <w:rsid w:val="00787CD2"/>
    <w:rsid w:val="00794B4A"/>
    <w:rsid w:val="00795A54"/>
    <w:rsid w:val="00797F5D"/>
    <w:rsid w:val="007B2E73"/>
    <w:rsid w:val="007B3063"/>
    <w:rsid w:val="007B3115"/>
    <w:rsid w:val="007B6441"/>
    <w:rsid w:val="007C2B41"/>
    <w:rsid w:val="007C4A1F"/>
    <w:rsid w:val="007C5271"/>
    <w:rsid w:val="007C748E"/>
    <w:rsid w:val="007D0232"/>
    <w:rsid w:val="007D1842"/>
    <w:rsid w:val="007E3187"/>
    <w:rsid w:val="00800D0E"/>
    <w:rsid w:val="00814372"/>
    <w:rsid w:val="00822577"/>
    <w:rsid w:val="00824E8D"/>
    <w:rsid w:val="00826D31"/>
    <w:rsid w:val="00834DC5"/>
    <w:rsid w:val="00843162"/>
    <w:rsid w:val="00850F3A"/>
    <w:rsid w:val="00860F35"/>
    <w:rsid w:val="00861FAB"/>
    <w:rsid w:val="00863972"/>
    <w:rsid w:val="00882D21"/>
    <w:rsid w:val="008869AA"/>
    <w:rsid w:val="008B59B2"/>
    <w:rsid w:val="008B6021"/>
    <w:rsid w:val="008C1F00"/>
    <w:rsid w:val="008C73A5"/>
    <w:rsid w:val="008D0528"/>
    <w:rsid w:val="008D4C24"/>
    <w:rsid w:val="008E0A6C"/>
    <w:rsid w:val="008E4C72"/>
    <w:rsid w:val="008E6A3B"/>
    <w:rsid w:val="008E73AD"/>
    <w:rsid w:val="008F00F1"/>
    <w:rsid w:val="008F1FD2"/>
    <w:rsid w:val="008F3E3E"/>
    <w:rsid w:val="00901BA4"/>
    <w:rsid w:val="00904E7C"/>
    <w:rsid w:val="00907B3B"/>
    <w:rsid w:val="00910316"/>
    <w:rsid w:val="0093169E"/>
    <w:rsid w:val="009423BD"/>
    <w:rsid w:val="0094508A"/>
    <w:rsid w:val="00945BFD"/>
    <w:rsid w:val="00947237"/>
    <w:rsid w:val="00955F33"/>
    <w:rsid w:val="00957ABC"/>
    <w:rsid w:val="0096000D"/>
    <w:rsid w:val="009604B4"/>
    <w:rsid w:val="00967602"/>
    <w:rsid w:val="00967692"/>
    <w:rsid w:val="00971BA4"/>
    <w:rsid w:val="00972F12"/>
    <w:rsid w:val="00977FF6"/>
    <w:rsid w:val="00980BFB"/>
    <w:rsid w:val="00981EBB"/>
    <w:rsid w:val="00990BA4"/>
    <w:rsid w:val="009A3955"/>
    <w:rsid w:val="009A3996"/>
    <w:rsid w:val="009C301F"/>
    <w:rsid w:val="009C6477"/>
    <w:rsid w:val="009D620F"/>
    <w:rsid w:val="009D7921"/>
    <w:rsid w:val="009E1FDC"/>
    <w:rsid w:val="009F04ED"/>
    <w:rsid w:val="00A01318"/>
    <w:rsid w:val="00A0168B"/>
    <w:rsid w:val="00A051B2"/>
    <w:rsid w:val="00A07722"/>
    <w:rsid w:val="00A231FF"/>
    <w:rsid w:val="00A45836"/>
    <w:rsid w:val="00A45CEA"/>
    <w:rsid w:val="00A5338B"/>
    <w:rsid w:val="00A62AB6"/>
    <w:rsid w:val="00A73906"/>
    <w:rsid w:val="00A7708E"/>
    <w:rsid w:val="00A80375"/>
    <w:rsid w:val="00A8382B"/>
    <w:rsid w:val="00A858B1"/>
    <w:rsid w:val="00AC249D"/>
    <w:rsid w:val="00AC53D9"/>
    <w:rsid w:val="00AC5F7D"/>
    <w:rsid w:val="00AC7087"/>
    <w:rsid w:val="00AD2516"/>
    <w:rsid w:val="00AD29F1"/>
    <w:rsid w:val="00AD49C4"/>
    <w:rsid w:val="00AE1185"/>
    <w:rsid w:val="00AE278E"/>
    <w:rsid w:val="00AE316C"/>
    <w:rsid w:val="00AE356C"/>
    <w:rsid w:val="00AF77EF"/>
    <w:rsid w:val="00B027D5"/>
    <w:rsid w:val="00B22791"/>
    <w:rsid w:val="00B24C10"/>
    <w:rsid w:val="00B2568B"/>
    <w:rsid w:val="00B304EA"/>
    <w:rsid w:val="00B450EC"/>
    <w:rsid w:val="00B51765"/>
    <w:rsid w:val="00B74601"/>
    <w:rsid w:val="00B80EB0"/>
    <w:rsid w:val="00B95B19"/>
    <w:rsid w:val="00B96CAF"/>
    <w:rsid w:val="00B97AF7"/>
    <w:rsid w:val="00BD6B41"/>
    <w:rsid w:val="00BF247E"/>
    <w:rsid w:val="00BF27AD"/>
    <w:rsid w:val="00BF5438"/>
    <w:rsid w:val="00C00E8B"/>
    <w:rsid w:val="00C027E2"/>
    <w:rsid w:val="00C03995"/>
    <w:rsid w:val="00C03A7E"/>
    <w:rsid w:val="00C03B78"/>
    <w:rsid w:val="00C05AF6"/>
    <w:rsid w:val="00C06FF7"/>
    <w:rsid w:val="00C26C01"/>
    <w:rsid w:val="00C3376C"/>
    <w:rsid w:val="00C423AA"/>
    <w:rsid w:val="00C45CBF"/>
    <w:rsid w:val="00C4754D"/>
    <w:rsid w:val="00C516BD"/>
    <w:rsid w:val="00C56371"/>
    <w:rsid w:val="00C60F8F"/>
    <w:rsid w:val="00C63733"/>
    <w:rsid w:val="00C66F26"/>
    <w:rsid w:val="00C7092F"/>
    <w:rsid w:val="00C750CE"/>
    <w:rsid w:val="00C77122"/>
    <w:rsid w:val="00C77A0C"/>
    <w:rsid w:val="00C92809"/>
    <w:rsid w:val="00CA60E0"/>
    <w:rsid w:val="00CB5082"/>
    <w:rsid w:val="00CD1B53"/>
    <w:rsid w:val="00CD3109"/>
    <w:rsid w:val="00CF1F0E"/>
    <w:rsid w:val="00CF5020"/>
    <w:rsid w:val="00CF52C6"/>
    <w:rsid w:val="00CF75FF"/>
    <w:rsid w:val="00CF7B8A"/>
    <w:rsid w:val="00D008BF"/>
    <w:rsid w:val="00D06328"/>
    <w:rsid w:val="00D20CEF"/>
    <w:rsid w:val="00D2725D"/>
    <w:rsid w:val="00D320EB"/>
    <w:rsid w:val="00D37E03"/>
    <w:rsid w:val="00D42D3C"/>
    <w:rsid w:val="00D42F0E"/>
    <w:rsid w:val="00D446CC"/>
    <w:rsid w:val="00D57FE3"/>
    <w:rsid w:val="00D76330"/>
    <w:rsid w:val="00DA571F"/>
    <w:rsid w:val="00DA7DAA"/>
    <w:rsid w:val="00DB6154"/>
    <w:rsid w:val="00DB7791"/>
    <w:rsid w:val="00DC018B"/>
    <w:rsid w:val="00DC2E6F"/>
    <w:rsid w:val="00DC5119"/>
    <w:rsid w:val="00DC55B8"/>
    <w:rsid w:val="00DC576A"/>
    <w:rsid w:val="00DD6527"/>
    <w:rsid w:val="00DD78E7"/>
    <w:rsid w:val="00DE1FE7"/>
    <w:rsid w:val="00DF0F3B"/>
    <w:rsid w:val="00E07ECD"/>
    <w:rsid w:val="00E14B5C"/>
    <w:rsid w:val="00E3564D"/>
    <w:rsid w:val="00E35AD8"/>
    <w:rsid w:val="00E4743E"/>
    <w:rsid w:val="00E5496F"/>
    <w:rsid w:val="00E56FB8"/>
    <w:rsid w:val="00E64412"/>
    <w:rsid w:val="00E8113C"/>
    <w:rsid w:val="00E83BD8"/>
    <w:rsid w:val="00E854FE"/>
    <w:rsid w:val="00E90A2B"/>
    <w:rsid w:val="00E90E47"/>
    <w:rsid w:val="00EA1133"/>
    <w:rsid w:val="00EA184B"/>
    <w:rsid w:val="00EA3ADA"/>
    <w:rsid w:val="00EA5AAB"/>
    <w:rsid w:val="00EB1839"/>
    <w:rsid w:val="00EB2ABB"/>
    <w:rsid w:val="00EB31A4"/>
    <w:rsid w:val="00EC22D3"/>
    <w:rsid w:val="00ED5511"/>
    <w:rsid w:val="00ED70E2"/>
    <w:rsid w:val="00EE487A"/>
    <w:rsid w:val="00EE6003"/>
    <w:rsid w:val="00EF4586"/>
    <w:rsid w:val="00EF4FD8"/>
    <w:rsid w:val="00F004B0"/>
    <w:rsid w:val="00F032F1"/>
    <w:rsid w:val="00F06454"/>
    <w:rsid w:val="00F104E5"/>
    <w:rsid w:val="00F11036"/>
    <w:rsid w:val="00F27528"/>
    <w:rsid w:val="00F34D5A"/>
    <w:rsid w:val="00F44298"/>
    <w:rsid w:val="00F455DF"/>
    <w:rsid w:val="00F74A93"/>
    <w:rsid w:val="00F86891"/>
    <w:rsid w:val="00F87101"/>
    <w:rsid w:val="00F930AC"/>
    <w:rsid w:val="00F967E1"/>
    <w:rsid w:val="00FB0E07"/>
    <w:rsid w:val="00FB7E2B"/>
    <w:rsid w:val="00FC4735"/>
    <w:rsid w:val="00FD0B3B"/>
    <w:rsid w:val="00FD0D94"/>
    <w:rsid w:val="00FD4FE8"/>
    <w:rsid w:val="00FD6ECD"/>
    <w:rsid w:val="00FE2997"/>
    <w:rsid w:val="00FE3F4F"/>
    <w:rsid w:val="00FE51D1"/>
    <w:rsid w:val="00FE70DA"/>
    <w:rsid w:val="00FF53DF"/>
    <w:rsid w:val="00FF55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E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ref">
    <w:name w:val="citationref"/>
    <w:basedOn w:val="DefaultParagraphFont"/>
    <w:rsid w:val="00F27528"/>
  </w:style>
  <w:style w:type="character" w:styleId="Hyperlink">
    <w:name w:val="Hyperlink"/>
    <w:basedOn w:val="DefaultParagraphFont"/>
    <w:uiPriority w:val="99"/>
    <w:unhideWhenUsed/>
    <w:rsid w:val="00F27528"/>
    <w:rPr>
      <w:color w:val="0000FF"/>
      <w:u w:val="single"/>
    </w:rPr>
  </w:style>
  <w:style w:type="paragraph" w:styleId="ListParagraph">
    <w:name w:val="List Paragraph"/>
    <w:basedOn w:val="Normal"/>
    <w:uiPriority w:val="34"/>
    <w:qFormat/>
    <w:rsid w:val="00146F40"/>
    <w:pPr>
      <w:ind w:left="720"/>
      <w:contextualSpacing/>
    </w:pPr>
  </w:style>
  <w:style w:type="paragraph" w:customStyle="1" w:styleId="EndNoteBibliographyTitle">
    <w:name w:val="EndNote Bibliography Title"/>
    <w:basedOn w:val="Normal"/>
    <w:link w:val="EndNoteBibliographyTitleChar"/>
    <w:rsid w:val="003E0EC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E0EC0"/>
    <w:rPr>
      <w:rFonts w:ascii="Calibri" w:hAnsi="Calibri" w:cs="Calibri"/>
      <w:noProof/>
      <w:lang w:val="en-US"/>
    </w:rPr>
  </w:style>
  <w:style w:type="paragraph" w:customStyle="1" w:styleId="EndNoteBibliography">
    <w:name w:val="EndNote Bibliography"/>
    <w:basedOn w:val="Normal"/>
    <w:link w:val="EndNoteBibliographyChar"/>
    <w:rsid w:val="003E0EC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E0EC0"/>
    <w:rPr>
      <w:rFonts w:ascii="Calibri" w:hAnsi="Calibri" w:cs="Calibri"/>
      <w:noProof/>
      <w:lang w:val="en-US"/>
    </w:rPr>
  </w:style>
  <w:style w:type="paragraph" w:styleId="BalloonText">
    <w:name w:val="Balloon Text"/>
    <w:basedOn w:val="Normal"/>
    <w:link w:val="BalloonTextChar"/>
    <w:uiPriority w:val="99"/>
    <w:semiHidden/>
    <w:unhideWhenUsed/>
    <w:rsid w:val="00EA18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84B"/>
    <w:rPr>
      <w:rFonts w:ascii="Segoe UI" w:hAnsi="Segoe UI" w:cs="Segoe UI"/>
      <w:sz w:val="18"/>
      <w:szCs w:val="18"/>
    </w:rPr>
  </w:style>
  <w:style w:type="character" w:styleId="CommentReference">
    <w:name w:val="annotation reference"/>
    <w:basedOn w:val="DefaultParagraphFont"/>
    <w:uiPriority w:val="99"/>
    <w:semiHidden/>
    <w:unhideWhenUsed/>
    <w:rsid w:val="00A45CEA"/>
    <w:rPr>
      <w:sz w:val="16"/>
      <w:szCs w:val="16"/>
    </w:rPr>
  </w:style>
  <w:style w:type="paragraph" w:styleId="CommentText">
    <w:name w:val="annotation text"/>
    <w:basedOn w:val="Normal"/>
    <w:link w:val="CommentTextChar"/>
    <w:uiPriority w:val="99"/>
    <w:unhideWhenUsed/>
    <w:rsid w:val="00A45CEA"/>
    <w:pPr>
      <w:spacing w:line="240" w:lineRule="auto"/>
    </w:pPr>
    <w:rPr>
      <w:sz w:val="20"/>
      <w:szCs w:val="20"/>
    </w:rPr>
  </w:style>
  <w:style w:type="character" w:customStyle="1" w:styleId="CommentTextChar">
    <w:name w:val="Comment Text Char"/>
    <w:basedOn w:val="DefaultParagraphFont"/>
    <w:link w:val="CommentText"/>
    <w:uiPriority w:val="99"/>
    <w:rsid w:val="00A45CEA"/>
    <w:rPr>
      <w:sz w:val="20"/>
      <w:szCs w:val="20"/>
    </w:rPr>
  </w:style>
  <w:style w:type="paragraph" w:styleId="CommentSubject">
    <w:name w:val="annotation subject"/>
    <w:basedOn w:val="CommentText"/>
    <w:next w:val="CommentText"/>
    <w:link w:val="CommentSubjectChar"/>
    <w:uiPriority w:val="99"/>
    <w:semiHidden/>
    <w:unhideWhenUsed/>
    <w:rsid w:val="00A45CEA"/>
    <w:rPr>
      <w:b/>
      <w:bCs/>
    </w:rPr>
  </w:style>
  <w:style w:type="character" w:customStyle="1" w:styleId="CommentSubjectChar">
    <w:name w:val="Comment Subject Char"/>
    <w:basedOn w:val="CommentTextChar"/>
    <w:link w:val="CommentSubject"/>
    <w:uiPriority w:val="99"/>
    <w:semiHidden/>
    <w:rsid w:val="00A45CEA"/>
    <w:rPr>
      <w:b/>
      <w:bCs/>
      <w:sz w:val="20"/>
      <w:szCs w:val="20"/>
    </w:rPr>
  </w:style>
  <w:style w:type="paragraph" w:styleId="Revision">
    <w:name w:val="Revision"/>
    <w:hidden/>
    <w:uiPriority w:val="99"/>
    <w:semiHidden/>
    <w:rsid w:val="00A45CEA"/>
    <w:pPr>
      <w:spacing w:after="0" w:line="240" w:lineRule="auto"/>
    </w:pPr>
  </w:style>
  <w:style w:type="paragraph" w:styleId="NormalWeb">
    <w:name w:val="Normal (Web)"/>
    <w:basedOn w:val="Normal"/>
    <w:uiPriority w:val="99"/>
    <w:semiHidden/>
    <w:unhideWhenUsed/>
    <w:rsid w:val="008D4C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1A036B"/>
    <w:rPr>
      <w:color w:val="954F72" w:themeColor="followedHyperlink"/>
      <w:u w:val="single"/>
    </w:rPr>
  </w:style>
  <w:style w:type="character" w:styleId="Strong">
    <w:name w:val="Strong"/>
    <w:basedOn w:val="DefaultParagraphFont"/>
    <w:uiPriority w:val="22"/>
    <w:qFormat/>
    <w:rsid w:val="007462BA"/>
    <w:rPr>
      <w:b/>
      <w:bCs/>
    </w:rPr>
  </w:style>
  <w:style w:type="paragraph" w:styleId="Header">
    <w:name w:val="header"/>
    <w:basedOn w:val="Normal"/>
    <w:link w:val="HeaderChar"/>
    <w:uiPriority w:val="99"/>
    <w:unhideWhenUsed/>
    <w:rsid w:val="00171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6F6"/>
  </w:style>
  <w:style w:type="paragraph" w:styleId="Footer">
    <w:name w:val="footer"/>
    <w:basedOn w:val="Normal"/>
    <w:link w:val="FooterChar"/>
    <w:uiPriority w:val="99"/>
    <w:unhideWhenUsed/>
    <w:rsid w:val="00171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16F6"/>
  </w:style>
  <w:style w:type="paragraph" w:styleId="PlainText">
    <w:name w:val="Plain Text"/>
    <w:basedOn w:val="Normal"/>
    <w:link w:val="PlainTextChar"/>
    <w:uiPriority w:val="99"/>
    <w:semiHidden/>
    <w:unhideWhenUsed/>
    <w:rsid w:val="007C2B4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C2B41"/>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ref">
    <w:name w:val="citationref"/>
    <w:basedOn w:val="DefaultParagraphFont"/>
    <w:rsid w:val="00F27528"/>
  </w:style>
  <w:style w:type="character" w:styleId="Hyperlink">
    <w:name w:val="Hyperlink"/>
    <w:basedOn w:val="DefaultParagraphFont"/>
    <w:uiPriority w:val="99"/>
    <w:unhideWhenUsed/>
    <w:rsid w:val="00F27528"/>
    <w:rPr>
      <w:color w:val="0000FF"/>
      <w:u w:val="single"/>
    </w:rPr>
  </w:style>
  <w:style w:type="paragraph" w:styleId="ListParagraph">
    <w:name w:val="List Paragraph"/>
    <w:basedOn w:val="Normal"/>
    <w:uiPriority w:val="34"/>
    <w:qFormat/>
    <w:rsid w:val="00146F40"/>
    <w:pPr>
      <w:ind w:left="720"/>
      <w:contextualSpacing/>
    </w:pPr>
  </w:style>
  <w:style w:type="paragraph" w:customStyle="1" w:styleId="EndNoteBibliographyTitle">
    <w:name w:val="EndNote Bibliography Title"/>
    <w:basedOn w:val="Normal"/>
    <w:link w:val="EndNoteBibliographyTitleChar"/>
    <w:rsid w:val="003E0EC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E0EC0"/>
    <w:rPr>
      <w:rFonts w:ascii="Calibri" w:hAnsi="Calibri" w:cs="Calibri"/>
      <w:noProof/>
      <w:lang w:val="en-US"/>
    </w:rPr>
  </w:style>
  <w:style w:type="paragraph" w:customStyle="1" w:styleId="EndNoteBibliography">
    <w:name w:val="EndNote Bibliography"/>
    <w:basedOn w:val="Normal"/>
    <w:link w:val="EndNoteBibliographyChar"/>
    <w:rsid w:val="003E0EC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E0EC0"/>
    <w:rPr>
      <w:rFonts w:ascii="Calibri" w:hAnsi="Calibri" w:cs="Calibri"/>
      <w:noProof/>
      <w:lang w:val="en-US"/>
    </w:rPr>
  </w:style>
  <w:style w:type="paragraph" w:styleId="BalloonText">
    <w:name w:val="Balloon Text"/>
    <w:basedOn w:val="Normal"/>
    <w:link w:val="BalloonTextChar"/>
    <w:uiPriority w:val="99"/>
    <w:semiHidden/>
    <w:unhideWhenUsed/>
    <w:rsid w:val="00EA18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84B"/>
    <w:rPr>
      <w:rFonts w:ascii="Segoe UI" w:hAnsi="Segoe UI" w:cs="Segoe UI"/>
      <w:sz w:val="18"/>
      <w:szCs w:val="18"/>
    </w:rPr>
  </w:style>
  <w:style w:type="character" w:styleId="CommentReference">
    <w:name w:val="annotation reference"/>
    <w:basedOn w:val="DefaultParagraphFont"/>
    <w:uiPriority w:val="99"/>
    <w:semiHidden/>
    <w:unhideWhenUsed/>
    <w:rsid w:val="00A45CEA"/>
    <w:rPr>
      <w:sz w:val="16"/>
      <w:szCs w:val="16"/>
    </w:rPr>
  </w:style>
  <w:style w:type="paragraph" w:styleId="CommentText">
    <w:name w:val="annotation text"/>
    <w:basedOn w:val="Normal"/>
    <w:link w:val="CommentTextChar"/>
    <w:uiPriority w:val="99"/>
    <w:unhideWhenUsed/>
    <w:rsid w:val="00A45CEA"/>
    <w:pPr>
      <w:spacing w:line="240" w:lineRule="auto"/>
    </w:pPr>
    <w:rPr>
      <w:sz w:val="20"/>
      <w:szCs w:val="20"/>
    </w:rPr>
  </w:style>
  <w:style w:type="character" w:customStyle="1" w:styleId="CommentTextChar">
    <w:name w:val="Comment Text Char"/>
    <w:basedOn w:val="DefaultParagraphFont"/>
    <w:link w:val="CommentText"/>
    <w:uiPriority w:val="99"/>
    <w:rsid w:val="00A45CEA"/>
    <w:rPr>
      <w:sz w:val="20"/>
      <w:szCs w:val="20"/>
    </w:rPr>
  </w:style>
  <w:style w:type="paragraph" w:styleId="CommentSubject">
    <w:name w:val="annotation subject"/>
    <w:basedOn w:val="CommentText"/>
    <w:next w:val="CommentText"/>
    <w:link w:val="CommentSubjectChar"/>
    <w:uiPriority w:val="99"/>
    <w:semiHidden/>
    <w:unhideWhenUsed/>
    <w:rsid w:val="00A45CEA"/>
    <w:rPr>
      <w:b/>
      <w:bCs/>
    </w:rPr>
  </w:style>
  <w:style w:type="character" w:customStyle="1" w:styleId="CommentSubjectChar">
    <w:name w:val="Comment Subject Char"/>
    <w:basedOn w:val="CommentTextChar"/>
    <w:link w:val="CommentSubject"/>
    <w:uiPriority w:val="99"/>
    <w:semiHidden/>
    <w:rsid w:val="00A45CEA"/>
    <w:rPr>
      <w:b/>
      <w:bCs/>
      <w:sz w:val="20"/>
      <w:szCs w:val="20"/>
    </w:rPr>
  </w:style>
  <w:style w:type="paragraph" w:styleId="Revision">
    <w:name w:val="Revision"/>
    <w:hidden/>
    <w:uiPriority w:val="99"/>
    <w:semiHidden/>
    <w:rsid w:val="00A45CEA"/>
    <w:pPr>
      <w:spacing w:after="0" w:line="240" w:lineRule="auto"/>
    </w:pPr>
  </w:style>
  <w:style w:type="paragraph" w:styleId="NormalWeb">
    <w:name w:val="Normal (Web)"/>
    <w:basedOn w:val="Normal"/>
    <w:uiPriority w:val="99"/>
    <w:semiHidden/>
    <w:unhideWhenUsed/>
    <w:rsid w:val="008D4C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1A036B"/>
    <w:rPr>
      <w:color w:val="954F72" w:themeColor="followedHyperlink"/>
      <w:u w:val="single"/>
    </w:rPr>
  </w:style>
  <w:style w:type="character" w:styleId="Strong">
    <w:name w:val="Strong"/>
    <w:basedOn w:val="DefaultParagraphFont"/>
    <w:uiPriority w:val="22"/>
    <w:qFormat/>
    <w:rsid w:val="007462BA"/>
    <w:rPr>
      <w:b/>
      <w:bCs/>
    </w:rPr>
  </w:style>
  <w:style w:type="paragraph" w:styleId="Header">
    <w:name w:val="header"/>
    <w:basedOn w:val="Normal"/>
    <w:link w:val="HeaderChar"/>
    <w:uiPriority w:val="99"/>
    <w:unhideWhenUsed/>
    <w:rsid w:val="00171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6F6"/>
  </w:style>
  <w:style w:type="paragraph" w:styleId="Footer">
    <w:name w:val="footer"/>
    <w:basedOn w:val="Normal"/>
    <w:link w:val="FooterChar"/>
    <w:uiPriority w:val="99"/>
    <w:unhideWhenUsed/>
    <w:rsid w:val="00171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16F6"/>
  </w:style>
  <w:style w:type="paragraph" w:styleId="PlainText">
    <w:name w:val="Plain Text"/>
    <w:basedOn w:val="Normal"/>
    <w:link w:val="PlainTextChar"/>
    <w:uiPriority w:val="99"/>
    <w:semiHidden/>
    <w:unhideWhenUsed/>
    <w:rsid w:val="007C2B4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C2B41"/>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9472">
      <w:bodyDiv w:val="1"/>
      <w:marLeft w:val="0"/>
      <w:marRight w:val="0"/>
      <w:marTop w:val="0"/>
      <w:marBottom w:val="0"/>
      <w:divBdr>
        <w:top w:val="none" w:sz="0" w:space="0" w:color="auto"/>
        <w:left w:val="none" w:sz="0" w:space="0" w:color="auto"/>
        <w:bottom w:val="none" w:sz="0" w:space="0" w:color="auto"/>
        <w:right w:val="none" w:sz="0" w:space="0" w:color="auto"/>
      </w:divBdr>
    </w:div>
    <w:div w:id="86469564">
      <w:bodyDiv w:val="1"/>
      <w:marLeft w:val="0"/>
      <w:marRight w:val="0"/>
      <w:marTop w:val="0"/>
      <w:marBottom w:val="0"/>
      <w:divBdr>
        <w:top w:val="none" w:sz="0" w:space="0" w:color="auto"/>
        <w:left w:val="none" w:sz="0" w:space="0" w:color="auto"/>
        <w:bottom w:val="none" w:sz="0" w:space="0" w:color="auto"/>
        <w:right w:val="none" w:sz="0" w:space="0" w:color="auto"/>
      </w:divBdr>
    </w:div>
    <w:div w:id="95492626">
      <w:bodyDiv w:val="1"/>
      <w:marLeft w:val="0"/>
      <w:marRight w:val="0"/>
      <w:marTop w:val="0"/>
      <w:marBottom w:val="0"/>
      <w:divBdr>
        <w:top w:val="none" w:sz="0" w:space="0" w:color="auto"/>
        <w:left w:val="none" w:sz="0" w:space="0" w:color="auto"/>
        <w:bottom w:val="none" w:sz="0" w:space="0" w:color="auto"/>
        <w:right w:val="none" w:sz="0" w:space="0" w:color="auto"/>
      </w:divBdr>
    </w:div>
    <w:div w:id="231548296">
      <w:bodyDiv w:val="1"/>
      <w:marLeft w:val="0"/>
      <w:marRight w:val="0"/>
      <w:marTop w:val="0"/>
      <w:marBottom w:val="0"/>
      <w:divBdr>
        <w:top w:val="none" w:sz="0" w:space="0" w:color="auto"/>
        <w:left w:val="none" w:sz="0" w:space="0" w:color="auto"/>
        <w:bottom w:val="none" w:sz="0" w:space="0" w:color="auto"/>
        <w:right w:val="none" w:sz="0" w:space="0" w:color="auto"/>
      </w:divBdr>
    </w:div>
    <w:div w:id="577322310">
      <w:bodyDiv w:val="1"/>
      <w:marLeft w:val="0"/>
      <w:marRight w:val="0"/>
      <w:marTop w:val="0"/>
      <w:marBottom w:val="0"/>
      <w:divBdr>
        <w:top w:val="none" w:sz="0" w:space="0" w:color="auto"/>
        <w:left w:val="none" w:sz="0" w:space="0" w:color="auto"/>
        <w:bottom w:val="none" w:sz="0" w:space="0" w:color="auto"/>
        <w:right w:val="none" w:sz="0" w:space="0" w:color="auto"/>
      </w:divBdr>
    </w:div>
    <w:div w:id="687803108">
      <w:bodyDiv w:val="1"/>
      <w:marLeft w:val="0"/>
      <w:marRight w:val="0"/>
      <w:marTop w:val="0"/>
      <w:marBottom w:val="0"/>
      <w:divBdr>
        <w:top w:val="none" w:sz="0" w:space="0" w:color="auto"/>
        <w:left w:val="none" w:sz="0" w:space="0" w:color="auto"/>
        <w:bottom w:val="none" w:sz="0" w:space="0" w:color="auto"/>
        <w:right w:val="none" w:sz="0" w:space="0" w:color="auto"/>
      </w:divBdr>
    </w:div>
    <w:div w:id="858545220">
      <w:bodyDiv w:val="1"/>
      <w:marLeft w:val="0"/>
      <w:marRight w:val="0"/>
      <w:marTop w:val="0"/>
      <w:marBottom w:val="0"/>
      <w:divBdr>
        <w:top w:val="none" w:sz="0" w:space="0" w:color="auto"/>
        <w:left w:val="none" w:sz="0" w:space="0" w:color="auto"/>
        <w:bottom w:val="none" w:sz="0" w:space="0" w:color="auto"/>
        <w:right w:val="none" w:sz="0" w:space="0" w:color="auto"/>
      </w:divBdr>
    </w:div>
    <w:div w:id="913245998">
      <w:bodyDiv w:val="1"/>
      <w:marLeft w:val="0"/>
      <w:marRight w:val="0"/>
      <w:marTop w:val="0"/>
      <w:marBottom w:val="0"/>
      <w:divBdr>
        <w:top w:val="none" w:sz="0" w:space="0" w:color="auto"/>
        <w:left w:val="none" w:sz="0" w:space="0" w:color="auto"/>
        <w:bottom w:val="none" w:sz="0" w:space="0" w:color="auto"/>
        <w:right w:val="none" w:sz="0" w:space="0" w:color="auto"/>
      </w:divBdr>
    </w:div>
    <w:div w:id="962811312">
      <w:bodyDiv w:val="1"/>
      <w:marLeft w:val="0"/>
      <w:marRight w:val="0"/>
      <w:marTop w:val="0"/>
      <w:marBottom w:val="0"/>
      <w:divBdr>
        <w:top w:val="none" w:sz="0" w:space="0" w:color="auto"/>
        <w:left w:val="none" w:sz="0" w:space="0" w:color="auto"/>
        <w:bottom w:val="none" w:sz="0" w:space="0" w:color="auto"/>
        <w:right w:val="none" w:sz="0" w:space="0" w:color="auto"/>
      </w:divBdr>
    </w:div>
    <w:div w:id="1071270401">
      <w:bodyDiv w:val="1"/>
      <w:marLeft w:val="0"/>
      <w:marRight w:val="0"/>
      <w:marTop w:val="0"/>
      <w:marBottom w:val="0"/>
      <w:divBdr>
        <w:top w:val="none" w:sz="0" w:space="0" w:color="auto"/>
        <w:left w:val="none" w:sz="0" w:space="0" w:color="auto"/>
        <w:bottom w:val="none" w:sz="0" w:space="0" w:color="auto"/>
        <w:right w:val="none" w:sz="0" w:space="0" w:color="auto"/>
      </w:divBdr>
    </w:div>
    <w:div w:id="1089160022">
      <w:bodyDiv w:val="1"/>
      <w:marLeft w:val="0"/>
      <w:marRight w:val="0"/>
      <w:marTop w:val="0"/>
      <w:marBottom w:val="0"/>
      <w:divBdr>
        <w:top w:val="none" w:sz="0" w:space="0" w:color="auto"/>
        <w:left w:val="none" w:sz="0" w:space="0" w:color="auto"/>
        <w:bottom w:val="none" w:sz="0" w:space="0" w:color="auto"/>
        <w:right w:val="none" w:sz="0" w:space="0" w:color="auto"/>
      </w:divBdr>
    </w:div>
    <w:div w:id="1214806762">
      <w:bodyDiv w:val="1"/>
      <w:marLeft w:val="0"/>
      <w:marRight w:val="0"/>
      <w:marTop w:val="0"/>
      <w:marBottom w:val="0"/>
      <w:divBdr>
        <w:top w:val="none" w:sz="0" w:space="0" w:color="auto"/>
        <w:left w:val="none" w:sz="0" w:space="0" w:color="auto"/>
        <w:bottom w:val="none" w:sz="0" w:space="0" w:color="auto"/>
        <w:right w:val="none" w:sz="0" w:space="0" w:color="auto"/>
      </w:divBdr>
    </w:div>
    <w:div w:id="1396464156">
      <w:bodyDiv w:val="1"/>
      <w:marLeft w:val="0"/>
      <w:marRight w:val="0"/>
      <w:marTop w:val="0"/>
      <w:marBottom w:val="0"/>
      <w:divBdr>
        <w:top w:val="none" w:sz="0" w:space="0" w:color="auto"/>
        <w:left w:val="none" w:sz="0" w:space="0" w:color="auto"/>
        <w:bottom w:val="none" w:sz="0" w:space="0" w:color="auto"/>
        <w:right w:val="none" w:sz="0" w:space="0" w:color="auto"/>
      </w:divBdr>
    </w:div>
    <w:div w:id="1492333549">
      <w:bodyDiv w:val="1"/>
      <w:marLeft w:val="0"/>
      <w:marRight w:val="0"/>
      <w:marTop w:val="0"/>
      <w:marBottom w:val="0"/>
      <w:divBdr>
        <w:top w:val="none" w:sz="0" w:space="0" w:color="auto"/>
        <w:left w:val="none" w:sz="0" w:space="0" w:color="auto"/>
        <w:bottom w:val="none" w:sz="0" w:space="0" w:color="auto"/>
        <w:right w:val="none" w:sz="0" w:space="0" w:color="auto"/>
      </w:divBdr>
    </w:div>
    <w:div w:id="1562715257">
      <w:bodyDiv w:val="1"/>
      <w:marLeft w:val="0"/>
      <w:marRight w:val="0"/>
      <w:marTop w:val="0"/>
      <w:marBottom w:val="0"/>
      <w:divBdr>
        <w:top w:val="none" w:sz="0" w:space="0" w:color="auto"/>
        <w:left w:val="none" w:sz="0" w:space="0" w:color="auto"/>
        <w:bottom w:val="none" w:sz="0" w:space="0" w:color="auto"/>
        <w:right w:val="none" w:sz="0" w:space="0" w:color="auto"/>
      </w:divBdr>
    </w:div>
    <w:div w:id="1655988497">
      <w:bodyDiv w:val="1"/>
      <w:marLeft w:val="0"/>
      <w:marRight w:val="0"/>
      <w:marTop w:val="0"/>
      <w:marBottom w:val="0"/>
      <w:divBdr>
        <w:top w:val="none" w:sz="0" w:space="0" w:color="auto"/>
        <w:left w:val="none" w:sz="0" w:space="0" w:color="auto"/>
        <w:bottom w:val="none" w:sz="0" w:space="0" w:color="auto"/>
        <w:right w:val="none" w:sz="0" w:space="0" w:color="auto"/>
      </w:divBdr>
    </w:div>
    <w:div w:id="2019502072">
      <w:bodyDiv w:val="1"/>
      <w:marLeft w:val="0"/>
      <w:marRight w:val="0"/>
      <w:marTop w:val="0"/>
      <w:marBottom w:val="0"/>
      <w:divBdr>
        <w:top w:val="none" w:sz="0" w:space="0" w:color="auto"/>
        <w:left w:val="none" w:sz="0" w:space="0" w:color="auto"/>
        <w:bottom w:val="none" w:sz="0" w:space="0" w:color="auto"/>
        <w:right w:val="none" w:sz="0" w:space="0" w:color="auto"/>
      </w:divBdr>
    </w:div>
    <w:div w:id="2112160250">
      <w:bodyDiv w:val="1"/>
      <w:marLeft w:val="0"/>
      <w:marRight w:val="0"/>
      <w:marTop w:val="0"/>
      <w:marBottom w:val="0"/>
      <w:divBdr>
        <w:top w:val="none" w:sz="0" w:space="0" w:color="auto"/>
        <w:left w:val="none" w:sz="0" w:space="0" w:color="auto"/>
        <w:bottom w:val="none" w:sz="0" w:space="0" w:color="auto"/>
        <w:right w:val="none" w:sz="0" w:space="0" w:color="auto"/>
      </w:divBdr>
    </w:div>
    <w:div w:id="213524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laverty@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E2752-0A0D-489C-80DB-0709294AE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5439</Words>
  <Characters>31008</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36375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Laverty, Anthony A</dc:creator>
  <cp:lastModifiedBy>Laverty, Anthony A</cp:lastModifiedBy>
  <cp:revision>7</cp:revision>
  <dcterms:created xsi:type="dcterms:W3CDTF">2018-06-22T16:37:00Z</dcterms:created>
  <dcterms:modified xsi:type="dcterms:W3CDTF">2018-06-25T13:35:00Z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http://www.zotero.org/styles/bmj</vt:lpwstr>
  </property>
  <property fmtid="{D5CDD505-2E9C-101B-9397-08002B2CF9AE}" pid="11" name="Mendeley Recent Style Name 4_1">
    <vt:lpwstr>BMJ</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16th edition (author-date)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(author-date)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http://www.zotero.org/styles/tobacco-control</vt:lpwstr>
  </property>
  <property fmtid="{D5CDD505-2E9C-101B-9397-08002B2CF9AE}" pid="21" name="Mendeley Recent Style Name 9_1">
    <vt:lpwstr>Tobacco Control</vt:lpwstr>
  </property>
  <property fmtid="{D5CDD505-2E9C-101B-9397-08002B2CF9AE}" pid="22" name="Mendeley Document_1">
    <vt:lpwstr>True</vt:lpwstr>
  </property>
  <property fmtid="{D5CDD505-2E9C-101B-9397-08002B2CF9AE}" pid="23" name="Mendeley Unique User Id_1">
    <vt:lpwstr>Self UUID Temp</vt:lpwstr>
  </property>
  <property fmtid="{D5CDD505-2E9C-101B-9397-08002B2CF9AE}" pid="24" name="Mendeley Citation Style_1">
    <vt:lpwstr>http://www.zotero.org/styles/bmj</vt:lpwstr>
  </property>
</Properties>
</file>