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48A" w:rsidRDefault="00E4248A" w:rsidP="00E4248A">
      <w:pPr>
        <w:spacing w:line="360" w:lineRule="auto"/>
        <w:jc w:val="both"/>
        <w:rPr>
          <w:b/>
          <w:sz w:val="28"/>
          <w:szCs w:val="28"/>
        </w:rPr>
      </w:pPr>
      <w:bookmarkStart w:id="0" w:name="_Toc430940570"/>
      <w:bookmarkStart w:id="1" w:name="_Toc430940682"/>
      <w:bookmarkStart w:id="2" w:name="_Toc430940736"/>
      <w:bookmarkStart w:id="3" w:name="_Toc432326651"/>
      <w:bookmarkStart w:id="4" w:name="_Toc432327001"/>
      <w:bookmarkStart w:id="5" w:name="_Toc432416231"/>
      <w:bookmarkStart w:id="6" w:name="_Toc432416680"/>
      <w:bookmarkStart w:id="7" w:name="_Toc432737427"/>
      <w:bookmarkStart w:id="8" w:name="_Toc432828059"/>
      <w:bookmarkStart w:id="9" w:name="_Toc433170880"/>
      <w:bookmarkStart w:id="10" w:name="_Toc24280934"/>
      <w:bookmarkStart w:id="11" w:name="_GoBack"/>
      <w:bookmarkEnd w:id="11"/>
      <w:r>
        <w:rPr>
          <w:b/>
          <w:sz w:val="28"/>
          <w:szCs w:val="28"/>
        </w:rPr>
        <w:t>Understanding the Polarity of Ionic Liquids</w:t>
      </w:r>
    </w:p>
    <w:p w:rsidR="00092D7B" w:rsidRDefault="00092D7B" w:rsidP="00092D7B">
      <w:pPr>
        <w:spacing w:line="360" w:lineRule="auto"/>
        <w:jc w:val="both"/>
        <w:rPr>
          <w:b/>
          <w:vertAlign w:val="superscript"/>
        </w:rPr>
      </w:pPr>
      <w:r>
        <w:rPr>
          <w:b/>
        </w:rPr>
        <w:t>M. A. Ab Rani,</w:t>
      </w:r>
      <w:r>
        <w:rPr>
          <w:b/>
          <w:vertAlign w:val="superscript"/>
        </w:rPr>
        <w:t>a</w:t>
      </w:r>
      <w:r>
        <w:rPr>
          <w:b/>
        </w:rPr>
        <w:t xml:space="preserve"> A. Brandt,</w:t>
      </w:r>
      <w:r>
        <w:rPr>
          <w:b/>
          <w:vertAlign w:val="superscript"/>
        </w:rPr>
        <w:t>a</w:t>
      </w:r>
      <w:r>
        <w:rPr>
          <w:b/>
        </w:rPr>
        <w:t xml:space="preserve"> L. Crowhurst,</w:t>
      </w:r>
      <w:r>
        <w:rPr>
          <w:b/>
          <w:vertAlign w:val="superscript"/>
        </w:rPr>
        <w:t>a</w:t>
      </w:r>
      <w:r>
        <w:rPr>
          <w:b/>
        </w:rPr>
        <w:t xml:space="preserve"> A. Dolan,</w:t>
      </w:r>
      <w:r>
        <w:rPr>
          <w:b/>
          <w:vertAlign w:val="superscript"/>
        </w:rPr>
        <w:t>a</w:t>
      </w:r>
      <w:r>
        <w:rPr>
          <w:b/>
        </w:rPr>
        <w:t xml:space="preserve"> N. H. Hassan,</w:t>
      </w:r>
      <w:r>
        <w:rPr>
          <w:b/>
          <w:vertAlign w:val="superscript"/>
        </w:rPr>
        <w:t>a</w:t>
      </w:r>
      <w:r>
        <w:rPr>
          <w:b/>
        </w:rPr>
        <w:t xml:space="preserve"> J. P. Hallett,</w:t>
      </w:r>
      <w:r>
        <w:rPr>
          <w:b/>
          <w:vertAlign w:val="superscript"/>
        </w:rPr>
        <w:t>a</w:t>
      </w:r>
      <w:r>
        <w:rPr>
          <w:b/>
        </w:rPr>
        <w:t xml:space="preserve"> P. A. Hunt,</w:t>
      </w:r>
      <w:r>
        <w:rPr>
          <w:b/>
          <w:vertAlign w:val="superscript"/>
        </w:rPr>
        <w:t>a</w:t>
      </w:r>
      <w:r>
        <w:rPr>
          <w:b/>
        </w:rPr>
        <w:t xml:space="preserve"> M. Y. Lui,</w:t>
      </w:r>
      <w:r>
        <w:rPr>
          <w:b/>
          <w:vertAlign w:val="superscript"/>
        </w:rPr>
        <w:t>a</w:t>
      </w:r>
      <w:r>
        <w:rPr>
          <w:b/>
        </w:rPr>
        <w:t xml:space="preserve"> H. Niedermeyer,</w:t>
      </w:r>
      <w:r>
        <w:rPr>
          <w:b/>
          <w:vertAlign w:val="superscript"/>
        </w:rPr>
        <w:t>a</w:t>
      </w:r>
      <w:r>
        <w:rPr>
          <w:b/>
        </w:rPr>
        <w:t xml:space="preserve"> J. M. Perez-Arlandis,</w:t>
      </w:r>
      <w:r>
        <w:rPr>
          <w:b/>
          <w:vertAlign w:val="superscript"/>
        </w:rPr>
        <w:t>a</w:t>
      </w:r>
      <w:r>
        <w:rPr>
          <w:b/>
        </w:rPr>
        <w:t xml:space="preserve"> M. Schrems,</w:t>
      </w:r>
      <w:r>
        <w:rPr>
          <w:b/>
          <w:vertAlign w:val="superscript"/>
        </w:rPr>
        <w:t>a,b</w:t>
      </w:r>
      <w:r>
        <w:rPr>
          <w:b/>
        </w:rPr>
        <w:t xml:space="preserve"> T. Q. To,</w:t>
      </w:r>
      <w:r>
        <w:rPr>
          <w:b/>
          <w:vertAlign w:val="superscript"/>
        </w:rPr>
        <w:t>a</w:t>
      </w:r>
      <w:r>
        <w:rPr>
          <w:b/>
        </w:rPr>
        <w:t xml:space="preserve"> T. Welton,</w:t>
      </w:r>
      <w:r>
        <w:rPr>
          <w:b/>
          <w:vertAlign w:val="superscript"/>
        </w:rPr>
        <w:t xml:space="preserve">a </w:t>
      </w:r>
      <w:r>
        <w:rPr>
          <w:b/>
        </w:rPr>
        <w:t>* R. Wilding.</w:t>
      </w:r>
      <w:r>
        <w:rPr>
          <w:b/>
          <w:vertAlign w:val="superscript"/>
        </w:rPr>
        <w:t>a</w:t>
      </w:r>
    </w:p>
    <w:p w:rsidR="00092D7B" w:rsidRDefault="00092D7B" w:rsidP="00092D7B">
      <w:pPr>
        <w:spacing w:line="360" w:lineRule="auto"/>
        <w:jc w:val="both"/>
        <w:rPr>
          <w:b/>
        </w:rPr>
      </w:pPr>
      <w:r>
        <w:rPr>
          <w:b/>
          <w:vertAlign w:val="superscript"/>
        </w:rPr>
        <w:t>a</w:t>
      </w:r>
      <w:r>
        <w:rPr>
          <w:b/>
        </w:rPr>
        <w:t>Department of Chemistry, Imperial College London, SW7 2AZ</w:t>
      </w:r>
    </w:p>
    <w:p w:rsidR="00E4248A" w:rsidRDefault="00092D7B" w:rsidP="00092D7B">
      <w:pPr>
        <w:spacing w:line="360" w:lineRule="auto"/>
        <w:jc w:val="both"/>
        <w:rPr>
          <w:b/>
        </w:rPr>
      </w:pPr>
      <w:r>
        <w:rPr>
          <w:b/>
          <w:vertAlign w:val="superscript"/>
        </w:rPr>
        <w:t>b</w:t>
      </w:r>
      <w:r>
        <w:rPr>
          <w:b/>
        </w:rPr>
        <w:t>Christian-Doppler-Laboratory “Advanced cellulose chemistry and analytics”, Department of Chemistry, University of Natural Resources and Life Sciences, A-1190 Vienna, Austria</w:t>
      </w:r>
    </w:p>
    <w:p w:rsidR="00945FB2" w:rsidRPr="007E0FF1" w:rsidRDefault="00945FB2" w:rsidP="008B2A31">
      <w:pPr>
        <w:pStyle w:val="NormalJustified"/>
        <w:spacing w:line="276" w:lineRule="auto"/>
        <w:rPr>
          <w:lang w:val="en-GB"/>
        </w:rPr>
      </w:pPr>
    </w:p>
    <w:p w:rsidR="00945FB2" w:rsidRPr="007E0FF1" w:rsidRDefault="00945FB2" w:rsidP="008B2A31">
      <w:pPr>
        <w:pStyle w:val="NormalJustified"/>
        <w:spacing w:line="276" w:lineRule="auto"/>
        <w:rPr>
          <w:lang w:val="en-GB"/>
        </w:rPr>
      </w:pPr>
    </w:p>
    <w:p w:rsidR="00945FB2" w:rsidRPr="007E0FF1" w:rsidRDefault="00945FB2" w:rsidP="008B2A31">
      <w:pPr>
        <w:pStyle w:val="NormalJustified"/>
        <w:spacing w:line="276" w:lineRule="auto"/>
        <w:rPr>
          <w:sz w:val="28"/>
          <w:szCs w:val="28"/>
          <w:lang w:val="en-GB"/>
        </w:rPr>
      </w:pPr>
      <w:r w:rsidRPr="007E0FF1">
        <w:rPr>
          <w:b/>
          <w:sz w:val="28"/>
          <w:szCs w:val="28"/>
          <w:lang w:val="en-GB"/>
        </w:rPr>
        <w:t>Abstract</w:t>
      </w:r>
    </w:p>
    <w:p w:rsidR="00945FB2" w:rsidRPr="007E0FF1" w:rsidRDefault="00945FB2" w:rsidP="008B2A31">
      <w:pPr>
        <w:pStyle w:val="NormalJustified"/>
        <w:spacing w:line="276" w:lineRule="auto"/>
        <w:rPr>
          <w:lang w:val="en-GB"/>
        </w:rPr>
      </w:pPr>
      <w:r w:rsidRPr="007E0FF1">
        <w:rPr>
          <w:lang w:val="en-GB"/>
        </w:rPr>
        <w:t xml:space="preserve">The polarities of a wide range of ionic liquids have been determined using the Kamlet-Taft empirical polarity scales </w:t>
      </w:r>
      <w:r w:rsidRPr="007E0FF1">
        <w:rPr>
          <w:i/>
          <w:lang w:val="en-GB"/>
        </w:rPr>
        <w:t>α</w:t>
      </w:r>
      <w:r w:rsidRPr="007E0FF1">
        <w:rPr>
          <w:lang w:val="en-GB"/>
        </w:rPr>
        <w:t xml:space="preserve">, </w:t>
      </w:r>
      <w:r w:rsidRPr="007E0FF1">
        <w:rPr>
          <w:i/>
          <w:lang w:val="en-GB"/>
        </w:rPr>
        <w:sym w:font="Symbol" w:char="F062"/>
      </w:r>
      <w:r w:rsidRPr="007E0FF1">
        <w:rPr>
          <w:lang w:val="en-GB"/>
        </w:rPr>
        <w:t xml:space="preserve"> and </w:t>
      </w:r>
      <w:r w:rsidRPr="007E0FF1">
        <w:rPr>
          <w:i/>
          <w:lang w:val="en-GB"/>
        </w:rPr>
        <w:sym w:font="Symbol" w:char="F070"/>
      </w:r>
      <w:r w:rsidRPr="007E0FF1">
        <w:rPr>
          <w:lang w:val="en-GB"/>
        </w:rPr>
        <w:t xml:space="preserve">*, with the </w:t>
      </w:r>
      <w:r w:rsidRPr="007E0FF1">
        <w:t xml:space="preserve">dye set Reichardt’s Dye, </w:t>
      </w:r>
      <w:r w:rsidRPr="007E0FF1">
        <w:rPr>
          <w:i/>
        </w:rPr>
        <w:t>N,N</w:t>
      </w:r>
      <w:r w:rsidRPr="007E0FF1">
        <w:t>-diethyl-4-nitroaniline and 4-nitroaniline.</w:t>
      </w:r>
      <w:r w:rsidR="00C96C12">
        <w:rPr>
          <w:lang w:val="en-GB"/>
        </w:rPr>
        <w:t xml:space="preserve"> </w:t>
      </w:r>
      <w:r w:rsidRPr="007E0FF1">
        <w:rPr>
          <w:lang w:val="en-GB"/>
        </w:rPr>
        <w:t>These have been compared to measurements of these parameters with different dye sets and t</w:t>
      </w:r>
      <w:r w:rsidR="009930FE" w:rsidRPr="007E0FF1">
        <w:rPr>
          <w:lang w:val="en-GB"/>
        </w:rPr>
        <w:t>o different polarity scales. The results emphasise the</w:t>
      </w:r>
      <w:r w:rsidRPr="007E0FF1">
        <w:rPr>
          <w:lang w:val="en-GB"/>
        </w:rPr>
        <w:t xml:space="preserve"> importance of recognising the role that the nature of the solute plays in determining these scales.</w:t>
      </w:r>
      <w:r w:rsidR="009930FE" w:rsidRPr="007E0FF1">
        <w:rPr>
          <w:lang w:val="en-GB"/>
        </w:rPr>
        <w:t xml:space="preserve"> It is particularly noted that polarity scales based upon charged solutes can give very different values for the polarity of ionic liquids compared to those based upon neutral probes. Finally, the effects of commonplace impurities in ionic liquids are reported.</w:t>
      </w:r>
    </w:p>
    <w:p w:rsidR="00945FB2" w:rsidRPr="007E0FF1" w:rsidRDefault="00945FB2" w:rsidP="008B2A31">
      <w:pPr>
        <w:pStyle w:val="NormalJustified"/>
        <w:spacing w:line="276" w:lineRule="auto"/>
        <w:rPr>
          <w:lang w:val="en-GB"/>
        </w:rPr>
      </w:pPr>
    </w:p>
    <w:p w:rsidR="00945FB2" w:rsidRPr="007E0FF1" w:rsidRDefault="00945FB2" w:rsidP="008B2A31">
      <w:pPr>
        <w:pStyle w:val="NormalJustified"/>
        <w:spacing w:line="276" w:lineRule="auto"/>
        <w:rPr>
          <w:b/>
          <w:sz w:val="28"/>
          <w:szCs w:val="28"/>
          <w:lang w:val="en-GB"/>
        </w:rPr>
      </w:pPr>
      <w:r w:rsidRPr="007E0FF1">
        <w:rPr>
          <w:b/>
          <w:sz w:val="28"/>
          <w:szCs w:val="28"/>
          <w:lang w:val="en-GB"/>
        </w:rPr>
        <w:t>Introduction</w:t>
      </w:r>
    </w:p>
    <w:p w:rsidR="00945FB2" w:rsidRPr="007E0FF1" w:rsidRDefault="00945FB2" w:rsidP="008B2A31">
      <w:pPr>
        <w:pStyle w:val="NormalJustified"/>
        <w:spacing w:line="276" w:lineRule="auto"/>
        <w:rPr>
          <w:lang w:val="en-GB"/>
        </w:rPr>
      </w:pPr>
      <w:r w:rsidRPr="007E0FF1">
        <w:rPr>
          <w:lang w:val="en-GB"/>
        </w:rPr>
        <w:t>Ionic liquids are showing themselves to be solvents of ever greater interest and utility.</w:t>
      </w:r>
      <w:bookmarkStart w:id="12" w:name="_Ref189977229"/>
      <w:r w:rsidRPr="007E0FF1">
        <w:rPr>
          <w:rStyle w:val="EndnoteReference"/>
          <w:sz w:val="22"/>
          <w:szCs w:val="22"/>
          <w:lang w:val="en-GB"/>
        </w:rPr>
        <w:endnoteReference w:id="1"/>
      </w:r>
      <w:bookmarkEnd w:id="12"/>
      <w:r w:rsidRPr="007E0FF1">
        <w:rPr>
          <w:sz w:val="22"/>
          <w:szCs w:val="22"/>
          <w:lang w:val="en-GB"/>
        </w:rPr>
        <w:t xml:space="preserve"> </w:t>
      </w:r>
      <w:r w:rsidRPr="007E0FF1">
        <w:rPr>
          <w:lang w:val="en-GB"/>
        </w:rPr>
        <w:t xml:space="preserve"> They have been the subject of widespread academic study</w:t>
      </w:r>
      <w:bookmarkStart w:id="13" w:name="_Ref290553128"/>
      <w:r w:rsidR="00787A1C" w:rsidRPr="007E0FF1">
        <w:rPr>
          <w:rStyle w:val="EndnoteReference"/>
          <w:lang w:val="en-GB"/>
        </w:rPr>
        <w:endnoteReference w:id="2"/>
      </w:r>
      <w:bookmarkEnd w:id="13"/>
      <w:r w:rsidRPr="007E0FF1">
        <w:rPr>
          <w:lang w:val="en-GB"/>
        </w:rPr>
        <w:t xml:space="preserve"> and have been applied in a number of commercial processes.</w:t>
      </w:r>
      <w:r w:rsidRPr="007E0FF1">
        <w:rPr>
          <w:rStyle w:val="EndnoteReference"/>
        </w:rPr>
        <w:endnoteReference w:id="3"/>
      </w:r>
      <w:r w:rsidRPr="007E0FF1">
        <w:rPr>
          <w:lang w:val="en-GB"/>
        </w:rPr>
        <w:t xml:space="preserve"> Since polarity is one of the most widely applied solvent concepts, its study for ionic liquids has been a major theme in their development.</w:t>
      </w:r>
      <w:r w:rsidR="00181501">
        <w:fldChar w:fldCharType="begin"/>
      </w:r>
      <w:r w:rsidR="00181501">
        <w:instrText xml:space="preserve"> NOTEREF _Ref290553128 \f \h  \* MERGEFORMAT </w:instrText>
      </w:r>
      <w:r w:rsidR="00181501">
        <w:fldChar w:fldCharType="separate"/>
      </w:r>
      <w:r w:rsidR="008B17B5" w:rsidRPr="007E0FF1">
        <w:t>2</w:t>
      </w:r>
      <w:r w:rsidR="00181501">
        <w:fldChar w:fldCharType="end"/>
      </w:r>
      <w:r w:rsidR="003D567B" w:rsidRPr="007E0FF1">
        <w:rPr>
          <w:vertAlign w:val="superscript"/>
          <w:lang w:val="en-GB"/>
        </w:rPr>
        <w:t>,</w:t>
      </w:r>
      <w:r w:rsidR="003D567B" w:rsidRPr="007E0FF1">
        <w:rPr>
          <w:lang w:val="en-GB"/>
        </w:rPr>
        <w:t xml:space="preserve"> </w:t>
      </w:r>
      <w:r w:rsidRPr="007E0FF1">
        <w:rPr>
          <w:rStyle w:val="EndnoteReference"/>
          <w:lang w:val="en-GB"/>
        </w:rPr>
        <w:endnoteReference w:id="4"/>
      </w:r>
      <w:r w:rsidRPr="007E0FF1">
        <w:rPr>
          <w:lang w:val="en-GB"/>
        </w:rPr>
        <w:t xml:space="preserve"> Recently there has been much work on measurement of the dielectric constants of ionic liquids.</w:t>
      </w:r>
      <w:bookmarkStart w:id="14" w:name="_Ref200801637"/>
      <w:bookmarkStart w:id="15" w:name="_Ref170732819"/>
      <w:r w:rsidRPr="007E0FF1">
        <w:rPr>
          <w:rStyle w:val="EndnoteReference"/>
        </w:rPr>
        <w:endnoteReference w:id="5"/>
      </w:r>
      <w:bookmarkEnd w:id="14"/>
      <w:bookmarkEnd w:id="15"/>
      <w:r w:rsidRPr="007E0FF1">
        <w:rPr>
          <w:lang w:val="en-GB"/>
        </w:rPr>
        <w:t xml:space="preserve"> Other work has concentrated on effects ionic liquids on solvatochromic probe solutes,</w:t>
      </w:r>
      <w:r w:rsidRPr="007E0FF1">
        <w:rPr>
          <w:rStyle w:val="EndnoteReference"/>
          <w:lang w:val="en-GB"/>
        </w:rPr>
        <w:endnoteReference w:id="6"/>
      </w:r>
      <w:r w:rsidR="00630444" w:rsidRPr="007E0FF1">
        <w:rPr>
          <w:vertAlign w:val="superscript"/>
          <w:lang w:val="en-GB"/>
        </w:rPr>
        <w:t xml:space="preserve"> </w:t>
      </w:r>
      <w:r w:rsidRPr="007E0FF1">
        <w:rPr>
          <w:lang w:val="en-GB"/>
        </w:rPr>
        <w:t>or chromatographic techniques.</w:t>
      </w:r>
      <w:bookmarkStart w:id="16" w:name="_Ref290395596"/>
      <w:r w:rsidRPr="007E0FF1">
        <w:rPr>
          <w:rStyle w:val="EndnoteReference"/>
          <w:lang w:val="en-GB"/>
        </w:rPr>
        <w:endnoteReference w:id="7"/>
      </w:r>
      <w:bookmarkEnd w:id="16"/>
      <w:r w:rsidRPr="007E0FF1">
        <w:rPr>
          <w:vertAlign w:val="superscript"/>
          <w:lang w:val="en-GB"/>
        </w:rPr>
        <w:t xml:space="preserve">, </w:t>
      </w:r>
      <w:bookmarkStart w:id="17" w:name="_Ref279146561"/>
      <w:r w:rsidRPr="007E0FF1">
        <w:rPr>
          <w:rStyle w:val="EndnoteReference"/>
          <w:lang w:val="en-GB"/>
        </w:rPr>
        <w:endnoteReference w:id="8"/>
      </w:r>
      <w:bookmarkEnd w:id="17"/>
    </w:p>
    <w:p w:rsidR="00945FB2" w:rsidRPr="007E0FF1" w:rsidRDefault="00945FB2" w:rsidP="008B2A31">
      <w:pPr>
        <w:pStyle w:val="NormalJustified"/>
        <w:spacing w:line="276" w:lineRule="auto"/>
        <w:ind w:firstLine="720"/>
        <w:rPr>
          <w:lang w:val="en-GB"/>
        </w:rPr>
      </w:pPr>
      <w:r w:rsidRPr="007E0FF1">
        <w:rPr>
          <w:lang w:val="en-GB"/>
        </w:rPr>
        <w:t>The currently accepted definition of polarity is that it is the sum of all possible specific and non-specific intermolecular interactions between the solvent and any potential solute, excluding those interactions leading to chemical transformations of the solute.</w:t>
      </w:r>
      <w:bookmarkStart w:id="18" w:name="_Ref226345184"/>
      <w:r w:rsidRPr="007E0FF1">
        <w:rPr>
          <w:rStyle w:val="EndnoteReference"/>
        </w:rPr>
        <w:endnoteReference w:id="9"/>
      </w:r>
      <w:bookmarkEnd w:id="18"/>
      <w:r w:rsidRPr="007E0FF1">
        <w:rPr>
          <w:vertAlign w:val="superscript"/>
        </w:rPr>
        <w:t xml:space="preserve"> </w:t>
      </w:r>
      <w:r w:rsidRPr="007E0FF1">
        <w:rPr>
          <w:lang w:val="en-GB"/>
        </w:rPr>
        <w:t>While this is conceptually straight-forward, it</w:t>
      </w:r>
      <w:r w:rsidRPr="007E0FF1">
        <w:t xml:space="preserve"> is composed of several interacting components, including </w:t>
      </w:r>
      <w:r w:rsidR="00486B62" w:rsidRPr="007E0FF1">
        <w:t>Columbic</w:t>
      </w:r>
      <w:r w:rsidRPr="007E0FF1">
        <w:t xml:space="preserve"> interactions, the various dipole interactions</w:t>
      </w:r>
      <w:r w:rsidR="00F33F81" w:rsidRPr="007E0FF1">
        <w:t>,</w:t>
      </w:r>
      <w:r w:rsidRPr="007E0FF1">
        <w:t xml:space="preserve"> both permanent and induced, hydrogen-bonding and electron pair donor-acceptor interactions. It is both a physical and a chemical phenomenon. Further to this, polarity is a description of the potential behaviors of the solvent in a relationship with the solute, not an absolute property of the pure liquid. Hence, there is no single measure of polarity</w:t>
      </w:r>
      <w:r w:rsidR="00FB4951">
        <w:t>; all polarity scales are estimates</w:t>
      </w:r>
      <w:r w:rsidRPr="007E0FF1">
        <w:rPr>
          <w:lang w:val="en-GB"/>
        </w:rPr>
        <w:t xml:space="preserve"> and different scales give different polarities for the same solvent and even different relative polarities can arise for the many different measurement techniques that have been used.</w:t>
      </w:r>
      <w:bookmarkStart w:id="19" w:name="_Ref200958263"/>
      <w:r w:rsidR="00D64BE8" w:rsidRPr="007E0FF1">
        <w:rPr>
          <w:lang w:val="en-GB"/>
        </w:rPr>
        <w:fldChar w:fldCharType="begin"/>
      </w:r>
      <w:r w:rsidR="00AC6F36" w:rsidRPr="007E0FF1">
        <w:rPr>
          <w:lang w:val="en-GB"/>
        </w:rPr>
        <w:instrText xml:space="preserve"> NOTEREF _Ref226345184 \f \h  \* MERGEFORMAT </w:instrText>
      </w:r>
      <w:r w:rsidR="00D64BE8" w:rsidRPr="007E0FF1">
        <w:rPr>
          <w:lang w:val="en-GB"/>
        </w:rPr>
      </w:r>
      <w:r w:rsidR="00D64BE8" w:rsidRPr="007E0FF1">
        <w:rPr>
          <w:lang w:val="en-GB"/>
        </w:rPr>
        <w:fldChar w:fldCharType="separate"/>
      </w:r>
      <w:r w:rsidR="008B17B5" w:rsidRPr="007E0FF1">
        <w:rPr>
          <w:rStyle w:val="EndnoteReference"/>
        </w:rPr>
        <w:t>9</w:t>
      </w:r>
      <w:r w:rsidR="00D64BE8" w:rsidRPr="007E0FF1">
        <w:rPr>
          <w:lang w:val="en-GB"/>
        </w:rPr>
        <w:fldChar w:fldCharType="end"/>
      </w:r>
      <w:r w:rsidR="00F33F81" w:rsidRPr="007E0FF1">
        <w:rPr>
          <w:vertAlign w:val="superscript"/>
          <w:lang w:val="en-GB"/>
        </w:rPr>
        <w:t xml:space="preserve">, </w:t>
      </w:r>
      <w:bookmarkStart w:id="20" w:name="_Ref290290572"/>
      <w:r w:rsidRPr="007E0FF1">
        <w:rPr>
          <w:rStyle w:val="EndnoteReference"/>
        </w:rPr>
        <w:endnoteReference w:id="10"/>
      </w:r>
      <w:bookmarkEnd w:id="19"/>
      <w:bookmarkEnd w:id="20"/>
      <w:r w:rsidRPr="007E0FF1">
        <w:rPr>
          <w:lang w:val="en-GB"/>
        </w:rPr>
        <w:t xml:space="preserve"> </w:t>
      </w:r>
      <w:r w:rsidRPr="007E0FF1">
        <w:t xml:space="preserve">There is no useful </w:t>
      </w:r>
      <w:r w:rsidRPr="007E0FF1">
        <w:lastRenderedPageBreak/>
        <w:t xml:space="preserve">concept of ‘right’ or ‘wrong’ when comparing these scales; rather whether the application of a particular polarity scale is more or less appropriate in a given circumstance is a more helpful approach. </w:t>
      </w:r>
      <w:r w:rsidRPr="007E0FF1">
        <w:rPr>
          <w:lang w:val="en-GB"/>
        </w:rPr>
        <w:t xml:space="preserve">The test of an empirical polarity scale is its </w:t>
      </w:r>
      <w:r w:rsidRPr="007E0FF1">
        <w:t xml:space="preserve">usefulness in explaining and/or predicting </w:t>
      </w:r>
      <w:r w:rsidRPr="007E0FF1">
        <w:rPr>
          <w:lang w:val="en-GB"/>
        </w:rPr>
        <w:t>other solvent dependent phenomena.</w:t>
      </w:r>
    </w:p>
    <w:p w:rsidR="00945FB2" w:rsidRPr="007E0FF1" w:rsidRDefault="00FB4951" w:rsidP="008B2A31">
      <w:pPr>
        <w:pStyle w:val="NormalJustified"/>
        <w:spacing w:line="276" w:lineRule="auto"/>
        <w:ind w:firstLine="720"/>
        <w:rPr>
          <w:lang w:val="en-GB"/>
        </w:rPr>
      </w:pPr>
      <w:r>
        <w:rPr>
          <w:lang w:val="en-GB"/>
        </w:rPr>
        <w:t>S</w:t>
      </w:r>
      <w:r>
        <w:t>ingle parameter polarity scales are not capable of capturing</w:t>
      </w:r>
      <w:r>
        <w:rPr>
          <w:lang w:val="en-GB"/>
        </w:rPr>
        <w:t xml:space="preserve"> the complexity of interactions that give rise to a solvent’s polarity. Hence, </w:t>
      </w:r>
      <w:r w:rsidR="00945FB2" w:rsidRPr="007E0FF1">
        <w:rPr>
          <w:lang w:val="en-GB"/>
        </w:rPr>
        <w:t xml:space="preserve">Kamlet and Taft introduced multi-parameter polarity scales </w:t>
      </w:r>
      <w:r w:rsidR="00945FB2" w:rsidRPr="007E0FF1">
        <w:t>based upon Linear Solvation Energy Relationships (eqn. 1) composed of the complimentary scales of hydrogen bond acidity (</w:t>
      </w:r>
      <w:r w:rsidR="00945FB2" w:rsidRPr="007E0FF1">
        <w:rPr>
          <w:rFonts w:ascii="Symbol" w:hAnsi="Symbol"/>
          <w:i/>
        </w:rPr>
        <w:t></w:t>
      </w:r>
      <w:r w:rsidR="00945FB2" w:rsidRPr="007E0FF1">
        <w:t>),</w:t>
      </w:r>
      <w:bookmarkStart w:id="21" w:name="_Ref299116306"/>
      <w:r w:rsidR="00945FB2" w:rsidRPr="007E0FF1">
        <w:rPr>
          <w:rStyle w:val="EndnoteReference"/>
        </w:rPr>
        <w:endnoteReference w:id="11"/>
      </w:r>
      <w:bookmarkEnd w:id="21"/>
      <w:r w:rsidR="00945FB2" w:rsidRPr="007E0FF1">
        <w:t xml:space="preserve"> hydrogen bond basicity (</w:t>
      </w:r>
      <w:r w:rsidR="00945FB2" w:rsidRPr="007E0FF1">
        <w:rPr>
          <w:rFonts w:ascii="Symbol" w:hAnsi="Symbol"/>
          <w:i/>
        </w:rPr>
        <w:t></w:t>
      </w:r>
      <w:r w:rsidR="00945FB2" w:rsidRPr="007E0FF1">
        <w:t>),</w:t>
      </w:r>
      <w:bookmarkStart w:id="22" w:name="_Ref290297585"/>
      <w:r w:rsidR="00945FB2" w:rsidRPr="007E0FF1">
        <w:rPr>
          <w:rStyle w:val="EndnoteReference"/>
        </w:rPr>
        <w:endnoteReference w:id="12"/>
      </w:r>
      <w:bookmarkEnd w:id="22"/>
      <w:r w:rsidR="00945FB2" w:rsidRPr="007E0FF1">
        <w:t xml:space="preserve"> and dipolarity/polarizability effects (</w:t>
      </w:r>
      <w:r w:rsidR="00945FB2" w:rsidRPr="007E0FF1">
        <w:rPr>
          <w:rFonts w:ascii="Symbol" w:hAnsi="Symbol"/>
          <w:i/>
        </w:rPr>
        <w:t></w:t>
      </w:r>
      <w:r w:rsidR="00945FB2" w:rsidRPr="007E0FF1">
        <w:t>*).</w:t>
      </w:r>
      <w:bookmarkStart w:id="23" w:name="_Ref228779615"/>
      <w:r w:rsidR="00945FB2" w:rsidRPr="007E0FF1">
        <w:rPr>
          <w:rStyle w:val="EndnoteReference"/>
        </w:rPr>
        <w:endnoteReference w:id="13"/>
      </w:r>
      <w:bookmarkEnd w:id="23"/>
      <w:r w:rsidR="0010219C" w:rsidRPr="007E0FF1">
        <w:t xml:space="preserve"> </w:t>
      </w:r>
      <w:r>
        <w:t xml:space="preserve">These scales together provide greater sophistication when describing a solvent’s polarity than single parameter scales. </w:t>
      </w:r>
      <w:r w:rsidR="00BF122E" w:rsidRPr="007E0FF1">
        <w:t xml:space="preserve">This methodology has been adapted for use with ionic liquids and </w:t>
      </w:r>
      <w:r w:rsidR="00BF122E" w:rsidRPr="007E0FF1">
        <w:rPr>
          <w:lang w:val="en-GB"/>
        </w:rPr>
        <w:t xml:space="preserve">sets of the three Kamlet-Taft parameters have been measured for a number of </w:t>
      </w:r>
      <w:bookmarkStart w:id="24" w:name="_Ref228789511"/>
      <w:bookmarkStart w:id="25" w:name="_Ref136855007"/>
      <w:bookmarkStart w:id="26" w:name="_Ref230606731"/>
      <w:r w:rsidR="00BF122E" w:rsidRPr="007E0FF1">
        <w:rPr>
          <w:lang w:val="en-GB"/>
        </w:rPr>
        <w:t>these.</w:t>
      </w:r>
      <w:bookmarkStart w:id="27" w:name="_Ref274861220"/>
      <w:bookmarkStart w:id="28" w:name="_Ref228789543"/>
      <w:bookmarkStart w:id="29" w:name="_Ref230607833"/>
      <w:bookmarkEnd w:id="24"/>
      <w:bookmarkEnd w:id="25"/>
      <w:bookmarkEnd w:id="26"/>
      <w:r w:rsidR="00BF122E" w:rsidRPr="007E0FF1">
        <w:rPr>
          <w:rStyle w:val="EndnoteReference"/>
          <w:lang w:val="en-GB"/>
        </w:rPr>
        <w:endnoteReference w:id="14"/>
      </w:r>
      <w:bookmarkEnd w:id="27"/>
      <w:r w:rsidR="00BF122E" w:rsidRPr="007E0FF1">
        <w:rPr>
          <w:vertAlign w:val="superscript"/>
          <w:lang w:val="en-GB"/>
        </w:rPr>
        <w:t>,</w:t>
      </w:r>
      <w:bookmarkStart w:id="30" w:name="_Ref279145061"/>
      <w:r w:rsidR="00BF122E" w:rsidRPr="007E0FF1">
        <w:rPr>
          <w:vertAlign w:val="superscript"/>
          <w:lang w:val="en-GB"/>
        </w:rPr>
        <w:t xml:space="preserve"> </w:t>
      </w:r>
      <w:bookmarkStart w:id="31" w:name="_Ref290461001"/>
      <w:r w:rsidR="00BF122E" w:rsidRPr="007E0FF1">
        <w:rPr>
          <w:rStyle w:val="EndnoteReference"/>
          <w:lang w:val="en-GB"/>
        </w:rPr>
        <w:endnoteReference w:id="15"/>
      </w:r>
      <w:bookmarkEnd w:id="30"/>
      <w:bookmarkEnd w:id="31"/>
      <w:r w:rsidR="00BF122E" w:rsidRPr="007E0FF1">
        <w:rPr>
          <w:vertAlign w:val="superscript"/>
          <w:lang w:val="en-GB"/>
        </w:rPr>
        <w:t xml:space="preserve">, </w:t>
      </w:r>
      <w:bookmarkStart w:id="32" w:name="_Ref279145157"/>
      <w:r w:rsidR="00BF122E" w:rsidRPr="007E0FF1">
        <w:rPr>
          <w:rStyle w:val="EndnoteReference"/>
          <w:lang w:val="en-GB"/>
        </w:rPr>
        <w:endnoteReference w:id="16"/>
      </w:r>
      <w:bookmarkEnd w:id="32"/>
      <w:r w:rsidR="00BF122E" w:rsidRPr="007E0FF1">
        <w:rPr>
          <w:vertAlign w:val="superscript"/>
          <w:lang w:val="en-GB"/>
        </w:rPr>
        <w:t xml:space="preserve">, </w:t>
      </w:r>
      <w:bookmarkStart w:id="33" w:name="_Ref290461354"/>
      <w:r w:rsidR="00BF122E" w:rsidRPr="007E0FF1">
        <w:rPr>
          <w:rStyle w:val="EndnoteReference"/>
          <w:lang w:val="en-GB"/>
        </w:rPr>
        <w:endnoteReference w:id="17"/>
      </w:r>
      <w:bookmarkEnd w:id="33"/>
      <w:r w:rsidR="00BF122E" w:rsidRPr="007E0FF1">
        <w:rPr>
          <w:vertAlign w:val="superscript"/>
          <w:lang w:val="en-GB"/>
        </w:rPr>
        <w:t xml:space="preserve">, </w:t>
      </w:r>
      <w:bookmarkStart w:id="34" w:name="_Ref299042497"/>
      <w:r w:rsidR="00BF122E" w:rsidRPr="007E0FF1">
        <w:rPr>
          <w:vertAlign w:val="superscript"/>
          <w:lang w:val="en-GB"/>
        </w:rPr>
        <w:endnoteReference w:id="18"/>
      </w:r>
      <w:bookmarkEnd w:id="28"/>
      <w:bookmarkEnd w:id="29"/>
      <w:bookmarkEnd w:id="34"/>
      <w:r w:rsidR="00BF122E" w:rsidRPr="007E0FF1">
        <w:rPr>
          <w:vertAlign w:val="superscript"/>
          <w:lang w:val="en-GB"/>
        </w:rPr>
        <w:t>,</w:t>
      </w:r>
      <w:bookmarkStart w:id="35" w:name="_Ref279076638"/>
      <w:r w:rsidR="00BF122E" w:rsidRPr="007E0FF1">
        <w:rPr>
          <w:vertAlign w:val="superscript"/>
          <w:lang w:val="en-GB"/>
        </w:rPr>
        <w:t xml:space="preserve"> </w:t>
      </w:r>
      <w:bookmarkStart w:id="36" w:name="_Ref279145196"/>
      <w:r w:rsidR="00BF122E" w:rsidRPr="007E0FF1">
        <w:rPr>
          <w:rStyle w:val="EndnoteReference"/>
          <w:lang w:val="en-GB"/>
        </w:rPr>
        <w:endnoteReference w:id="19"/>
      </w:r>
      <w:bookmarkEnd w:id="35"/>
      <w:bookmarkEnd w:id="36"/>
      <w:r w:rsidR="00BF122E" w:rsidRPr="007E0FF1">
        <w:rPr>
          <w:vertAlign w:val="superscript"/>
          <w:lang w:val="en-GB"/>
        </w:rPr>
        <w:t xml:space="preserve"> </w:t>
      </w:r>
      <w:r w:rsidR="00BF122E" w:rsidRPr="007E0FF1">
        <w:rPr>
          <w:rStyle w:val="EndnoteReference"/>
          <w:lang w:val="en-GB"/>
        </w:rPr>
        <w:endnoteReference w:id="20"/>
      </w:r>
      <w:r w:rsidR="00BF122E" w:rsidRPr="007E0FF1">
        <w:rPr>
          <w:vertAlign w:val="superscript"/>
          <w:lang w:val="en-GB"/>
        </w:rPr>
        <w:t xml:space="preserve">, </w:t>
      </w:r>
      <w:bookmarkStart w:id="37" w:name="_Ref299042515"/>
      <w:r w:rsidR="00BF122E" w:rsidRPr="007E0FF1">
        <w:rPr>
          <w:rStyle w:val="EndnoteReference"/>
          <w:lang w:val="en-GB"/>
        </w:rPr>
        <w:endnoteReference w:id="21"/>
      </w:r>
      <w:bookmarkEnd w:id="37"/>
      <w:r w:rsidR="00FC0B8F">
        <w:rPr>
          <w:lang w:val="en-GB"/>
        </w:rPr>
        <w:t xml:space="preserve"> </w:t>
      </w:r>
      <w:r w:rsidR="00BF122E" w:rsidRPr="007E0FF1">
        <w:rPr>
          <w:lang w:val="en-GB"/>
        </w:rPr>
        <w:t>However, it should be noted that none of these studies has used Kamlet and Ta</w:t>
      </w:r>
      <w:r w:rsidR="00E701F4">
        <w:rPr>
          <w:lang w:val="en-GB"/>
        </w:rPr>
        <w:t>ft’s original methodology. The</w:t>
      </w:r>
      <w:r w:rsidR="00BF122E" w:rsidRPr="007E0FF1">
        <w:rPr>
          <w:lang w:val="en-GB"/>
        </w:rPr>
        <w:t xml:space="preserve"> Kamlet-Taft </w:t>
      </w:r>
      <w:r w:rsidR="00E701F4">
        <w:rPr>
          <w:lang w:val="en-GB"/>
        </w:rPr>
        <w:t>LSER approach  has</w:t>
      </w:r>
      <w:r w:rsidR="00BF122E" w:rsidRPr="007E0FF1">
        <w:rPr>
          <w:lang w:val="en-GB"/>
        </w:rPr>
        <w:t xml:space="preserve"> had considerable successes in elucidating solvent dependent phenomena in ionic liquids, particularly in explaining and predicting the rates and selectivities of many chemical </w:t>
      </w:r>
      <w:r w:rsidR="00BF122E" w:rsidRPr="007E0FF1">
        <w:t>reactions,</w:t>
      </w:r>
      <w:r w:rsidR="00181501">
        <w:fldChar w:fldCharType="begin"/>
      </w:r>
      <w:r w:rsidR="00181501">
        <w:instrText xml:space="preserve"> NOTEREF _Ref290461001 \f \h  \* MERGEFORMAT </w:instrText>
      </w:r>
      <w:r w:rsidR="00181501">
        <w:fldChar w:fldCharType="separate"/>
      </w:r>
      <w:r w:rsidR="008B17B5" w:rsidRPr="007E0FF1">
        <w:rPr>
          <w:rStyle w:val="EndnoteReference"/>
        </w:rPr>
        <w:t>15</w:t>
      </w:r>
      <w:r w:rsidR="00181501">
        <w:fldChar w:fldCharType="end"/>
      </w:r>
      <w:r w:rsidR="00BF122E" w:rsidRPr="007E0FF1">
        <w:rPr>
          <w:vertAlign w:val="superscript"/>
        </w:rPr>
        <w:t xml:space="preserve">, </w:t>
      </w:r>
      <w:r w:rsidR="00181501">
        <w:fldChar w:fldCharType="begin"/>
      </w:r>
      <w:r w:rsidR="00181501">
        <w:instrText xml:space="preserve"> NOTEREF _Ref279145157 \f \h  \* MERGEFORMAT </w:instrText>
      </w:r>
      <w:r w:rsidR="00181501">
        <w:fldChar w:fldCharType="separate"/>
      </w:r>
      <w:r w:rsidR="008B17B5" w:rsidRPr="007E0FF1">
        <w:rPr>
          <w:rStyle w:val="EndnoteReference"/>
        </w:rPr>
        <w:t>16</w:t>
      </w:r>
      <w:r w:rsidR="00181501">
        <w:fldChar w:fldCharType="end"/>
      </w:r>
      <w:r w:rsidR="00BF122E" w:rsidRPr="007E0FF1">
        <w:rPr>
          <w:vertAlign w:val="superscript"/>
        </w:rPr>
        <w:t xml:space="preserve">, </w:t>
      </w:r>
      <w:r w:rsidR="00BF122E" w:rsidRPr="007E0FF1">
        <w:rPr>
          <w:rStyle w:val="EndnoteReference"/>
        </w:rPr>
        <w:endnoteReference w:id="22"/>
      </w:r>
      <w:r w:rsidR="00BF122E" w:rsidRPr="007E0FF1">
        <w:t xml:space="preserve"> including catalytic processes,</w:t>
      </w:r>
      <w:r w:rsidR="00BF122E" w:rsidRPr="007E0FF1">
        <w:rPr>
          <w:rStyle w:val="EndnoteReference"/>
        </w:rPr>
        <w:endnoteReference w:id="23"/>
      </w:r>
      <w:r w:rsidR="00BF122E" w:rsidRPr="007E0FF1">
        <w:t xml:space="preserve"> although not </w:t>
      </w:r>
      <w:r w:rsidR="00A30D4B" w:rsidRPr="007E0FF1">
        <w:t xml:space="preserve">for </w:t>
      </w:r>
      <w:r w:rsidR="00BF122E" w:rsidRPr="007E0FF1">
        <w:t>all reactions for which this has been attempted.</w:t>
      </w:r>
      <w:r w:rsidR="00181501">
        <w:fldChar w:fldCharType="begin"/>
      </w:r>
      <w:r w:rsidR="00181501">
        <w:instrText xml:space="preserve"> NOTEREF _Ref279145196 \f \h  \* MERGEFORMAT </w:instrText>
      </w:r>
      <w:r w:rsidR="00181501">
        <w:fldChar w:fldCharType="separate"/>
      </w:r>
      <w:r w:rsidR="008B17B5" w:rsidRPr="007E0FF1">
        <w:rPr>
          <w:rStyle w:val="EndnoteReference"/>
        </w:rPr>
        <w:t>19</w:t>
      </w:r>
      <w:r w:rsidR="00181501">
        <w:fldChar w:fldCharType="end"/>
      </w:r>
      <w:r w:rsidR="00BF122E" w:rsidRPr="007E0FF1">
        <w:rPr>
          <w:vertAlign w:val="superscript"/>
        </w:rPr>
        <w:t xml:space="preserve">, </w:t>
      </w:r>
      <w:r w:rsidR="00BF122E" w:rsidRPr="007E0FF1">
        <w:rPr>
          <w:rStyle w:val="EndnoteReference"/>
        </w:rPr>
        <w:endnoteReference w:id="24"/>
      </w:r>
      <w:r>
        <w:t xml:space="preserve"> </w:t>
      </w:r>
      <w:r w:rsidR="00945FB2" w:rsidRPr="007E0FF1">
        <w:rPr>
          <w:lang w:val="en-GB"/>
        </w:rPr>
        <w:t xml:space="preserve">However, their use has also received some criticism. In this paper, we report the </w:t>
      </w:r>
      <w:r w:rsidR="00A238C5" w:rsidRPr="007E0FF1">
        <w:rPr>
          <w:lang w:val="en-GB"/>
        </w:rPr>
        <w:t>use of</w:t>
      </w:r>
      <w:r w:rsidR="00945FB2" w:rsidRPr="007E0FF1">
        <w:rPr>
          <w:lang w:val="en-GB"/>
        </w:rPr>
        <w:t xml:space="preserve"> derivative</w:t>
      </w:r>
      <w:r w:rsidR="003173D9" w:rsidRPr="007E0FF1">
        <w:rPr>
          <w:lang w:val="en-GB"/>
        </w:rPr>
        <w:t>s</w:t>
      </w:r>
      <w:r w:rsidR="00945FB2" w:rsidRPr="007E0FF1">
        <w:rPr>
          <w:lang w:val="en-GB"/>
        </w:rPr>
        <w:t xml:space="preserve"> of the Kamlet-Taft system, demonstrate the</w:t>
      </w:r>
      <w:r w:rsidR="00A238C5" w:rsidRPr="007E0FF1">
        <w:rPr>
          <w:lang w:val="en-GB"/>
        </w:rPr>
        <w:t>ir</w:t>
      </w:r>
      <w:r w:rsidR="00945FB2" w:rsidRPr="007E0FF1">
        <w:rPr>
          <w:lang w:val="en-GB"/>
        </w:rPr>
        <w:t xml:space="preserve"> utility and explain their limitations.</w:t>
      </w:r>
    </w:p>
    <w:p w:rsidR="00945FB2" w:rsidRPr="007E0FF1" w:rsidRDefault="00945FB2" w:rsidP="008B2A31">
      <w:pPr>
        <w:spacing w:line="276" w:lineRule="auto"/>
        <w:jc w:val="both"/>
      </w:pPr>
    </w:p>
    <w:p w:rsidR="00945FB2" w:rsidRPr="007E0FF1" w:rsidRDefault="00945FB2" w:rsidP="008B2A31">
      <w:pPr>
        <w:spacing w:line="276" w:lineRule="auto"/>
        <w:ind w:left="1440" w:firstLine="720"/>
        <w:jc w:val="both"/>
      </w:pPr>
      <w:r w:rsidRPr="007E0FF1">
        <w:t>(</w:t>
      </w:r>
      <w:r w:rsidRPr="007E0FF1">
        <w:rPr>
          <w:i/>
        </w:rPr>
        <w:t>XYZ</w:t>
      </w:r>
      <w:r w:rsidRPr="007E0FF1">
        <w:t>) = (</w:t>
      </w:r>
      <w:r w:rsidRPr="007E0FF1">
        <w:rPr>
          <w:i/>
        </w:rPr>
        <w:t>XYZ</w:t>
      </w:r>
      <w:r w:rsidRPr="007E0FF1">
        <w:t>)</w:t>
      </w:r>
      <w:r w:rsidRPr="007E0FF1">
        <w:rPr>
          <w:vertAlign w:val="subscript"/>
        </w:rPr>
        <w:t>0</w:t>
      </w:r>
      <w:r w:rsidRPr="007E0FF1">
        <w:t xml:space="preserve"> + </w:t>
      </w:r>
      <w:r w:rsidRPr="007E0FF1">
        <w:rPr>
          <w:i/>
        </w:rPr>
        <w:t>aα</w:t>
      </w:r>
      <w:r w:rsidRPr="007E0FF1">
        <w:t xml:space="preserve"> + </w:t>
      </w:r>
      <w:r w:rsidRPr="007E0FF1">
        <w:rPr>
          <w:i/>
        </w:rPr>
        <w:t>bβ + s</w:t>
      </w:r>
      <w:r w:rsidRPr="007E0FF1">
        <w:rPr>
          <w:i/>
        </w:rPr>
        <w:sym w:font="Symbol" w:char="F070"/>
      </w:r>
      <w:r w:rsidRPr="007E0FF1">
        <w:rPr>
          <w:i/>
        </w:rPr>
        <w:t>*</w:t>
      </w:r>
      <w:r w:rsidRPr="007E0FF1">
        <w:tab/>
      </w:r>
      <w:r w:rsidRPr="007E0FF1">
        <w:tab/>
      </w:r>
      <w:r w:rsidRPr="007E0FF1">
        <w:tab/>
      </w:r>
      <w:r w:rsidRPr="007E0FF1">
        <w:tab/>
        <w:t>(1)</w:t>
      </w:r>
    </w:p>
    <w:p w:rsidR="00945FB2" w:rsidRPr="007E0FF1" w:rsidRDefault="00945FB2" w:rsidP="008B2A31">
      <w:pPr>
        <w:pStyle w:val="NormalJustified"/>
        <w:spacing w:line="276" w:lineRule="auto"/>
        <w:rPr>
          <w:b/>
          <w:lang w:val="en-GB"/>
        </w:rPr>
      </w:pPr>
    </w:p>
    <w:p w:rsidR="00945FB2" w:rsidRPr="007E0FF1" w:rsidRDefault="00945FB2" w:rsidP="008B2A31">
      <w:pPr>
        <w:pStyle w:val="NormalJustified"/>
        <w:spacing w:line="276" w:lineRule="auto"/>
        <w:rPr>
          <w:b/>
          <w:sz w:val="28"/>
          <w:szCs w:val="28"/>
          <w:lang w:val="en-GB"/>
        </w:rPr>
      </w:pPr>
      <w:r w:rsidRPr="007E0FF1">
        <w:rPr>
          <w:b/>
          <w:sz w:val="28"/>
          <w:szCs w:val="28"/>
          <w:lang w:val="en-GB"/>
        </w:rPr>
        <w:t>Experimental</w:t>
      </w:r>
    </w:p>
    <w:p w:rsidR="00650878" w:rsidRPr="007E0FF1" w:rsidRDefault="003173D9" w:rsidP="008B2A31">
      <w:pPr>
        <w:pStyle w:val="NormalJustified"/>
        <w:spacing w:line="276" w:lineRule="auto"/>
        <w:rPr>
          <w:lang w:val="en-GB"/>
        </w:rPr>
      </w:pPr>
      <w:r w:rsidRPr="007E0FF1">
        <w:rPr>
          <w:lang w:val="en-GB"/>
        </w:rPr>
        <w:t xml:space="preserve">Syntheses of the ionic liquids used </w:t>
      </w:r>
      <w:r w:rsidR="001D0B4C" w:rsidRPr="007E0FF1">
        <w:rPr>
          <w:lang w:val="en-GB"/>
        </w:rPr>
        <w:t>the accepted technique of first preparing the halide salt of the appropriate cation followed by anion metathesis.</w:t>
      </w:r>
      <w:r w:rsidR="00181501">
        <w:fldChar w:fldCharType="begin"/>
      </w:r>
      <w:r w:rsidR="00181501">
        <w:instrText xml:space="preserve"> NOTEREF _Ref189977229 \f \h  \* MERGEFORMAT </w:instrText>
      </w:r>
      <w:r w:rsidR="00181501">
        <w:fldChar w:fldCharType="separate"/>
      </w:r>
      <w:r w:rsidR="008B17B5" w:rsidRPr="007E0FF1">
        <w:t>1</w:t>
      </w:r>
      <w:r w:rsidR="00181501">
        <w:fldChar w:fldCharType="end"/>
      </w:r>
      <w:r w:rsidR="001D0B4C" w:rsidRPr="007E0FF1">
        <w:rPr>
          <w:lang w:val="en-GB"/>
        </w:rPr>
        <w:t xml:space="preserve"> </w:t>
      </w:r>
      <w:r w:rsidRPr="007E0FF1">
        <w:rPr>
          <w:lang w:val="en-GB"/>
        </w:rPr>
        <w:t xml:space="preserve"> </w:t>
      </w:r>
      <w:r w:rsidR="001D0B4C" w:rsidRPr="007E0FF1">
        <w:rPr>
          <w:lang w:val="en-GB"/>
        </w:rPr>
        <w:t xml:space="preserve">The experimental details for the syntheses and characterizations of the ionic liquids are given in </w:t>
      </w:r>
      <w:r w:rsidRPr="007E0FF1">
        <w:rPr>
          <w:lang w:val="en-GB"/>
        </w:rPr>
        <w:t>the ESI.</w:t>
      </w:r>
      <w:r w:rsidR="001D0B4C" w:rsidRPr="007E0FF1">
        <w:rPr>
          <w:lang w:val="en-GB"/>
        </w:rPr>
        <w:t xml:space="preserve"> </w:t>
      </w:r>
    </w:p>
    <w:p w:rsidR="00945FB2" w:rsidRPr="007E0FF1" w:rsidRDefault="00650878" w:rsidP="008B2A31">
      <w:pPr>
        <w:pStyle w:val="NormalJustified"/>
        <w:spacing w:line="276" w:lineRule="auto"/>
        <w:rPr>
          <w:lang w:val="en-GB"/>
        </w:rPr>
      </w:pPr>
      <w:r w:rsidRPr="007E0FF1">
        <w:rPr>
          <w:lang w:val="en-GB"/>
        </w:rPr>
        <w:tab/>
      </w:r>
      <w:r w:rsidR="00945FB2" w:rsidRPr="007E0FF1">
        <w:rPr>
          <w:lang w:val="en-GB"/>
        </w:rPr>
        <w:t>All samples were dried under vacuum at 50</w:t>
      </w:r>
      <w:r w:rsidR="00170A55" w:rsidRPr="007E0FF1">
        <w:rPr>
          <w:lang w:val="en-GB"/>
        </w:rPr>
        <w:t>°</w:t>
      </w:r>
      <w:r w:rsidR="00945FB2" w:rsidRPr="007E0FF1">
        <w:rPr>
          <w:lang w:val="en-GB"/>
        </w:rPr>
        <w:t xml:space="preserve">C for 48 hours before measurement.  </w:t>
      </w:r>
      <w:r w:rsidR="00B20EDB">
        <w:rPr>
          <w:lang w:val="en-GB"/>
        </w:rPr>
        <w:t>D</w:t>
      </w:r>
      <w:r w:rsidR="00945FB2" w:rsidRPr="007E0FF1">
        <w:rPr>
          <w:lang w:val="en-GB"/>
        </w:rPr>
        <w:t>ried ionic liquid (0.4ml) was taken into a round-bottomed flask and the appropriate dye was added in DCM (ca. 0.9mM, dry, 0.4ml).  The DCM was then removed at 50</w:t>
      </w:r>
      <w:r w:rsidR="00170A55" w:rsidRPr="007E0FF1">
        <w:rPr>
          <w:lang w:val="en-GB"/>
        </w:rPr>
        <w:t>°C</w:t>
      </w:r>
      <w:r w:rsidR="00945FB2" w:rsidRPr="007E0FF1">
        <w:rPr>
          <w:lang w:val="en-GB"/>
        </w:rPr>
        <w:t xml:space="preserve"> under vacuum for 4 hours before cooling and measurin</w:t>
      </w:r>
      <w:r w:rsidR="00C0310B" w:rsidRPr="007E0FF1">
        <w:rPr>
          <w:lang w:val="en-GB"/>
        </w:rPr>
        <w:t>g the UV-vis of the sample at 25</w:t>
      </w:r>
      <w:r w:rsidR="00170A55" w:rsidRPr="007E0FF1">
        <w:rPr>
          <w:lang w:val="en-GB"/>
        </w:rPr>
        <w:t>°C</w:t>
      </w:r>
      <w:r w:rsidR="00945FB2" w:rsidRPr="007E0FF1">
        <w:rPr>
          <w:lang w:val="en-GB"/>
        </w:rPr>
        <w:t xml:space="preserve"> on a Perkin</w:t>
      </w:r>
      <w:r w:rsidR="0014486E" w:rsidRPr="007E0FF1">
        <w:rPr>
          <w:lang w:val="en-GB"/>
        </w:rPr>
        <w:t>-Elmer</w:t>
      </w:r>
      <w:r w:rsidR="00945FB2" w:rsidRPr="007E0FF1">
        <w:rPr>
          <w:lang w:val="en-GB"/>
        </w:rPr>
        <w:t xml:space="preserve"> Lambda 25 machine. </w:t>
      </w:r>
    </w:p>
    <w:p w:rsidR="00945FB2" w:rsidRPr="007E0FF1" w:rsidRDefault="00945FB2" w:rsidP="008B2A31">
      <w:pPr>
        <w:pStyle w:val="NormalJustified"/>
        <w:spacing w:line="276" w:lineRule="auto"/>
        <w:rPr>
          <w:b/>
          <w:lang w:val="en-GB"/>
        </w:rPr>
      </w:pPr>
    </w:p>
    <w:p w:rsidR="00945FB2" w:rsidRPr="007E0FF1" w:rsidRDefault="00945FB2" w:rsidP="008B2A31">
      <w:pPr>
        <w:pStyle w:val="NormalJustified"/>
        <w:spacing w:line="276" w:lineRule="auto"/>
        <w:rPr>
          <w:sz w:val="28"/>
          <w:szCs w:val="28"/>
          <w:lang w:val="en-GB"/>
        </w:rPr>
      </w:pPr>
      <w:r w:rsidRPr="007E0FF1">
        <w:rPr>
          <w:b/>
          <w:sz w:val="28"/>
          <w:szCs w:val="28"/>
          <w:lang w:val="en-GB"/>
        </w:rPr>
        <w:t>Results</w:t>
      </w:r>
      <w:r w:rsidRPr="007E0FF1">
        <w:rPr>
          <w:sz w:val="28"/>
          <w:szCs w:val="28"/>
          <w:lang w:val="en-GB"/>
        </w:rPr>
        <w:t xml:space="preserve"> </w:t>
      </w:r>
    </w:p>
    <w:bookmarkEnd w:id="0"/>
    <w:bookmarkEnd w:id="1"/>
    <w:bookmarkEnd w:id="2"/>
    <w:bookmarkEnd w:id="3"/>
    <w:bookmarkEnd w:id="4"/>
    <w:bookmarkEnd w:id="5"/>
    <w:bookmarkEnd w:id="6"/>
    <w:bookmarkEnd w:id="7"/>
    <w:bookmarkEnd w:id="8"/>
    <w:bookmarkEnd w:id="9"/>
    <w:bookmarkEnd w:id="10"/>
    <w:p w:rsidR="00945FB2" w:rsidRPr="007E0FF1" w:rsidRDefault="003212FF" w:rsidP="008B2A31">
      <w:pPr>
        <w:pStyle w:val="NormalJustified"/>
        <w:spacing w:line="276" w:lineRule="auto"/>
        <w:rPr>
          <w:b/>
          <w:i/>
          <w:lang w:val="en-GB"/>
        </w:rPr>
      </w:pPr>
      <w:r w:rsidRPr="003212FF">
        <w:rPr>
          <w:b/>
          <w:i/>
          <w:lang w:val="en-GB"/>
        </w:rPr>
        <w:t>π</w:t>
      </w:r>
      <w:r w:rsidR="00945FB2" w:rsidRPr="00945AEB">
        <w:rPr>
          <w:b/>
          <w:i/>
          <w:lang w:val="en-GB"/>
        </w:rPr>
        <w:t>*</w:t>
      </w:r>
      <w:r w:rsidRPr="003212FF">
        <w:rPr>
          <w:b/>
          <w:i/>
          <w:lang w:val="en-GB"/>
        </w:rPr>
        <w:t xml:space="preserve"> </w:t>
      </w:r>
      <w:r w:rsidR="00945FB2" w:rsidRPr="007E0FF1">
        <w:rPr>
          <w:b/>
          <w:lang w:val="en-GB"/>
        </w:rPr>
        <w:t>values</w:t>
      </w:r>
    </w:p>
    <w:p w:rsidR="00945FB2" w:rsidRPr="007E0FF1" w:rsidRDefault="00DA39B9" w:rsidP="008B2A31">
      <w:pPr>
        <w:pStyle w:val="NormalJustified"/>
        <w:spacing w:line="276" w:lineRule="auto"/>
        <w:rPr>
          <w:lang w:val="en-GB"/>
        </w:rPr>
      </w:pPr>
      <w:r>
        <w:rPr>
          <w:lang w:val="en-GB"/>
        </w:rPr>
        <w:t xml:space="preserve">The </w:t>
      </w:r>
      <w:r w:rsidRPr="007E0FF1">
        <w:rPr>
          <w:i/>
          <w:lang w:val="en-GB"/>
        </w:rPr>
        <w:t>π</w:t>
      </w:r>
      <w:r>
        <w:rPr>
          <w:lang w:val="en-GB"/>
        </w:rPr>
        <w:t>* value lies at the heart of the Kamlet-Taft system, yet it</w:t>
      </w:r>
      <w:r w:rsidR="00650878" w:rsidRPr="007E0FF1">
        <w:rPr>
          <w:lang w:val="en-GB"/>
        </w:rPr>
        <w:t xml:space="preserve"> is in the measurement of the </w:t>
      </w:r>
      <w:r w:rsidR="00650878" w:rsidRPr="007E0FF1">
        <w:rPr>
          <w:i/>
          <w:lang w:val="en-GB"/>
        </w:rPr>
        <w:t>π</w:t>
      </w:r>
      <w:r w:rsidR="00650878" w:rsidRPr="007E0FF1">
        <w:rPr>
          <w:lang w:val="en-GB"/>
        </w:rPr>
        <w:t>* values for ionic liquids that there has been the greatest deviation from the</w:t>
      </w:r>
      <w:r>
        <w:rPr>
          <w:lang w:val="en-GB"/>
        </w:rPr>
        <w:t>ir</w:t>
      </w:r>
      <w:r w:rsidR="00650878" w:rsidRPr="007E0FF1">
        <w:rPr>
          <w:lang w:val="en-GB"/>
        </w:rPr>
        <w:t xml:space="preserve"> original Kamlet-Taft methodology. </w:t>
      </w:r>
      <w:r w:rsidR="00945FB2" w:rsidRPr="007E0FF1">
        <w:rPr>
          <w:lang w:val="en-GB"/>
        </w:rPr>
        <w:t>It is recognised that when an empirical polarity scale is based upon the solvatochromism of a single probe molecule, idiosyncratic results can arise.</w:t>
      </w:r>
      <w:r w:rsidR="00181501">
        <w:fldChar w:fldCharType="begin"/>
      </w:r>
      <w:r w:rsidR="00181501">
        <w:instrText xml:space="preserve"> NOTEREF _Ref226345184 \f \h  \* MERGEFORMAT </w:instrText>
      </w:r>
      <w:r w:rsidR="00181501">
        <w:fldChar w:fldCharType="separate"/>
      </w:r>
      <w:r w:rsidR="008B17B5" w:rsidRPr="007E0FF1">
        <w:t>9</w:t>
      </w:r>
      <w:r w:rsidR="00181501">
        <w:fldChar w:fldCharType="end"/>
      </w:r>
      <w:r w:rsidR="00650878" w:rsidRPr="007E0FF1">
        <w:rPr>
          <w:vertAlign w:val="superscript"/>
          <w:lang w:val="en-GB"/>
        </w:rPr>
        <w:t xml:space="preserve">, </w:t>
      </w:r>
      <w:r w:rsidR="00181501">
        <w:fldChar w:fldCharType="begin"/>
      </w:r>
      <w:r w:rsidR="00181501">
        <w:instrText xml:space="preserve"> NOTEREF _Ref290290572 \f \h</w:instrText>
      </w:r>
      <w:r w:rsidR="00181501">
        <w:instrText xml:space="preserve">  \* MERGEFORMAT </w:instrText>
      </w:r>
      <w:r w:rsidR="00181501">
        <w:fldChar w:fldCharType="separate"/>
      </w:r>
      <w:r w:rsidR="008B17B5" w:rsidRPr="007E0FF1">
        <w:rPr>
          <w:rStyle w:val="EndnoteReference"/>
        </w:rPr>
        <w:t>10</w:t>
      </w:r>
      <w:r w:rsidR="00181501">
        <w:fldChar w:fldCharType="end"/>
      </w:r>
      <w:r w:rsidR="00E701F4">
        <w:t xml:space="preserve"> </w:t>
      </w:r>
      <w:r w:rsidR="00945FB2" w:rsidRPr="007E0FF1">
        <w:rPr>
          <w:lang w:val="en-GB"/>
        </w:rPr>
        <w:t xml:space="preserve">To avoid this, the Kamlet-Taft </w:t>
      </w:r>
      <w:r w:rsidR="00945FB2" w:rsidRPr="007E0FF1">
        <w:rPr>
          <w:i/>
          <w:lang w:val="en-GB"/>
        </w:rPr>
        <w:t>π</w:t>
      </w:r>
      <w:r w:rsidR="00945FB2" w:rsidRPr="007E0FF1">
        <w:rPr>
          <w:lang w:val="en-GB"/>
        </w:rPr>
        <w:t>*</w:t>
      </w:r>
      <w:r w:rsidR="009930FE" w:rsidRPr="007E0FF1">
        <w:rPr>
          <w:lang w:val="en-GB"/>
        </w:rPr>
        <w:t xml:space="preserve"> </w:t>
      </w:r>
      <w:r w:rsidR="00945FB2" w:rsidRPr="007E0FF1">
        <w:rPr>
          <w:lang w:val="en-GB"/>
        </w:rPr>
        <w:t xml:space="preserve">scale of solvent </w:t>
      </w:r>
      <w:r w:rsidR="00650878" w:rsidRPr="007E0FF1">
        <w:rPr>
          <w:lang w:val="en-GB"/>
        </w:rPr>
        <w:t>di</w:t>
      </w:r>
      <w:r w:rsidR="00945FB2" w:rsidRPr="007E0FF1">
        <w:rPr>
          <w:lang w:val="en-GB"/>
        </w:rPr>
        <w:t>polarity/</w:t>
      </w:r>
      <w:r w:rsidR="00486B62" w:rsidRPr="007E0FF1">
        <w:rPr>
          <w:lang w:val="en-GB"/>
        </w:rPr>
        <w:t>polarizability</w:t>
      </w:r>
      <w:r w:rsidR="00945FB2" w:rsidRPr="007E0FF1">
        <w:rPr>
          <w:lang w:val="en-GB"/>
        </w:rPr>
        <w:t xml:space="preserve"> was first created using seven primary solvatochromic dyes with strong and symmetric solvatochromic absorption spectra.</w:t>
      </w:r>
      <w:r w:rsidR="00181501">
        <w:fldChar w:fldCharType="begin"/>
      </w:r>
      <w:r w:rsidR="00181501">
        <w:instrText xml:space="preserve"> NOTEREF _Ref228779615 \f \h  \* MERGEFORMAT </w:instrText>
      </w:r>
      <w:r w:rsidR="00181501">
        <w:fldChar w:fldCharType="separate"/>
      </w:r>
      <w:r w:rsidR="008B17B5" w:rsidRPr="007E0FF1">
        <w:rPr>
          <w:rStyle w:val="EndnoteReference"/>
        </w:rPr>
        <w:t>13</w:t>
      </w:r>
      <w:r w:rsidR="00181501">
        <w:fldChar w:fldCharType="end"/>
      </w:r>
      <w:r w:rsidR="00E701F4">
        <w:t xml:space="preserve"> </w:t>
      </w:r>
      <w:r w:rsidR="00945FB2" w:rsidRPr="007E0FF1">
        <w:rPr>
          <w:lang w:val="en-GB"/>
        </w:rPr>
        <w:t>The data used to calculate</w:t>
      </w:r>
      <w:r w:rsidR="00F05E0C" w:rsidRPr="007E0FF1">
        <w:rPr>
          <w:lang w:val="en-GB"/>
        </w:rPr>
        <w:t xml:space="preserve"> their</w:t>
      </w:r>
      <w:r w:rsidR="00945FB2" w:rsidRPr="007E0FF1">
        <w:rPr>
          <w:lang w:val="en-GB"/>
        </w:rPr>
        <w:t xml:space="preserve"> </w:t>
      </w:r>
      <w:r w:rsidR="00945FB2" w:rsidRPr="007E0FF1">
        <w:rPr>
          <w:i/>
          <w:lang w:val="en-GB"/>
        </w:rPr>
        <w:t>π</w:t>
      </w:r>
      <w:r w:rsidR="00945FB2" w:rsidRPr="007E0FF1">
        <w:rPr>
          <w:lang w:val="en-GB"/>
        </w:rPr>
        <w:t xml:space="preserve">* values were then expanded, with a greater number of solvents </w:t>
      </w:r>
      <w:r w:rsidR="00945FB2" w:rsidRPr="007E0FF1">
        <w:rPr>
          <w:lang w:val="en-GB"/>
        </w:rPr>
        <w:lastRenderedPageBreak/>
        <w:t xml:space="preserve">investigated and more solvatochromic dyes used. In total, 45 dyes were used to generate </w:t>
      </w:r>
      <w:r w:rsidR="00945FB2" w:rsidRPr="007E0FF1">
        <w:rPr>
          <w:i/>
          <w:lang w:val="en-GB"/>
        </w:rPr>
        <w:t>π</w:t>
      </w:r>
      <w:r w:rsidR="00945FB2" w:rsidRPr="007E0FF1">
        <w:rPr>
          <w:lang w:val="en-GB"/>
        </w:rPr>
        <w:t>* values for over 200 solvents.</w:t>
      </w:r>
      <w:r w:rsidR="00181501">
        <w:fldChar w:fldCharType="begin"/>
      </w:r>
      <w:r w:rsidR="00181501">
        <w:instrText xml:space="preserve"> NOTEREF _Ref228779615 \f \h  \* MERGEFORMAT </w:instrText>
      </w:r>
      <w:r w:rsidR="00181501">
        <w:fldChar w:fldCharType="separate"/>
      </w:r>
      <w:r w:rsidR="008B17B5" w:rsidRPr="007E0FF1">
        <w:rPr>
          <w:rStyle w:val="EndnoteReference"/>
        </w:rPr>
        <w:t>13</w:t>
      </w:r>
      <w:r w:rsidR="00181501">
        <w:fldChar w:fldCharType="end"/>
      </w:r>
      <w:r w:rsidR="00945FB2" w:rsidRPr="007E0FF1">
        <w:rPr>
          <w:lang w:val="en-GB"/>
        </w:rPr>
        <w:t xml:space="preserve"> These </w:t>
      </w:r>
      <w:r w:rsidR="00945FB2" w:rsidRPr="007E0FF1">
        <w:rPr>
          <w:i/>
          <w:lang w:val="en-GB"/>
        </w:rPr>
        <w:t>π</w:t>
      </w:r>
      <w:r w:rsidR="00945FB2" w:rsidRPr="007E0FF1">
        <w:rPr>
          <w:lang w:val="en-GB"/>
        </w:rPr>
        <w:t xml:space="preserve">* values were an average of the values for all of the solvatochromic dyes, with a normalisation between 0 (cyclohexane) and 1 (dimethylsulfoxide). While the amount of data used allowed anomalies in the original set of dyes to be observed and to some extent corrected, it makes the measurement of solvent </w:t>
      </w:r>
      <w:r w:rsidR="00945FB2" w:rsidRPr="007E0FF1">
        <w:rPr>
          <w:i/>
          <w:lang w:val="en-GB"/>
        </w:rPr>
        <w:t>π</w:t>
      </w:r>
      <w:r w:rsidR="00945FB2" w:rsidRPr="007E0FF1">
        <w:rPr>
          <w:lang w:val="en-GB"/>
        </w:rPr>
        <w:t xml:space="preserve">* values </w:t>
      </w:r>
      <w:r w:rsidR="00F05E0C" w:rsidRPr="007E0FF1">
        <w:rPr>
          <w:lang w:val="en-GB"/>
        </w:rPr>
        <w:t xml:space="preserve">using this original methodology </w:t>
      </w:r>
      <w:r w:rsidR="00945FB2" w:rsidRPr="007E0FF1">
        <w:rPr>
          <w:lang w:val="en-GB"/>
        </w:rPr>
        <w:t>impractical when new solvents are introduced. This is even more so when an entire new class of solvents with many members, such as ionic liquids, is made. Indeed, in subsequent studies of their own Kamlet and Taft did not use the full range of dyes.</w:t>
      </w:r>
      <w:r w:rsidR="00945FB2" w:rsidRPr="007E0FF1">
        <w:rPr>
          <w:rStyle w:val="EndnoteReference"/>
          <w:lang w:val="en-GB"/>
        </w:rPr>
        <w:endnoteReference w:id="25"/>
      </w:r>
    </w:p>
    <w:p w:rsidR="00945FB2" w:rsidRDefault="00945FB2" w:rsidP="008B2A31">
      <w:pPr>
        <w:pStyle w:val="NormalJustified"/>
        <w:spacing w:line="276" w:lineRule="auto"/>
        <w:rPr>
          <w:lang w:val="en-GB"/>
        </w:rPr>
      </w:pPr>
      <w:r w:rsidRPr="007E0FF1">
        <w:rPr>
          <w:lang w:val="en-GB"/>
        </w:rPr>
        <w:tab/>
        <w:t xml:space="preserve">We therefore first sought to determine if a smaller number of dyes could be used to reliably calculate the Kamlet-Taft parameters of a given ionic liquid. In order to accomplish this, we first measured </w:t>
      </w:r>
      <w:bookmarkStart w:id="38" w:name="OLE_LINK10"/>
      <w:bookmarkStart w:id="39" w:name="OLE_LINK11"/>
      <w:r w:rsidRPr="007E0FF1">
        <w:rPr>
          <w:i/>
          <w:lang w:val="en-GB"/>
        </w:rPr>
        <w:t>π</w:t>
      </w:r>
      <w:r w:rsidRPr="007E0FF1">
        <w:rPr>
          <w:lang w:val="en-GB"/>
        </w:rPr>
        <w:t>*</w:t>
      </w:r>
      <w:bookmarkEnd w:id="38"/>
      <w:bookmarkEnd w:id="39"/>
      <w:r w:rsidRPr="007E0FF1">
        <w:rPr>
          <w:lang w:val="en-GB"/>
        </w:rPr>
        <w:t xml:space="preserve"> for a single ionic liquid, 1-butyl-1-methylpyrrolidinium trifluoromethanesulfonimide ([C</w:t>
      </w:r>
      <w:r w:rsidRPr="007E0FF1">
        <w:rPr>
          <w:vertAlign w:val="subscript"/>
          <w:lang w:val="en-GB"/>
        </w:rPr>
        <w:t>4</w:t>
      </w:r>
      <w:r w:rsidRPr="007E0FF1">
        <w:rPr>
          <w:lang w:val="en-GB"/>
        </w:rPr>
        <w:t>C</w:t>
      </w:r>
      <w:r w:rsidRPr="007E0FF1">
        <w:rPr>
          <w:vertAlign w:val="subscript"/>
          <w:lang w:val="en-GB"/>
        </w:rPr>
        <w:t>1</w:t>
      </w:r>
      <w:r w:rsidRPr="007E0FF1">
        <w:rPr>
          <w:lang w:val="en-GB"/>
        </w:rPr>
        <w:t>pyrr][NTf</w:t>
      </w:r>
      <w:r w:rsidRPr="007E0FF1">
        <w:rPr>
          <w:vertAlign w:val="subscript"/>
          <w:lang w:val="en-GB"/>
        </w:rPr>
        <w:t>2</w:t>
      </w:r>
      <w:r w:rsidRPr="007E0FF1">
        <w:rPr>
          <w:lang w:val="en-GB"/>
        </w:rPr>
        <w:t>]) and a single molecular solvent (dichloromethane, CH</w:t>
      </w:r>
      <w:r w:rsidRPr="007E0FF1">
        <w:rPr>
          <w:vertAlign w:val="subscript"/>
          <w:lang w:val="en-GB"/>
        </w:rPr>
        <w:t>2</w:t>
      </w:r>
      <w:r w:rsidRPr="007E0FF1">
        <w:rPr>
          <w:lang w:val="en-GB"/>
        </w:rPr>
        <w:t>Cl</w:t>
      </w:r>
      <w:r w:rsidRPr="007E0FF1">
        <w:rPr>
          <w:vertAlign w:val="subscript"/>
          <w:lang w:val="en-GB"/>
        </w:rPr>
        <w:t>2</w:t>
      </w:r>
      <w:r w:rsidRPr="007E0FF1">
        <w:rPr>
          <w:lang w:val="en-GB"/>
        </w:rPr>
        <w:t>) using the 12 dyes</w:t>
      </w:r>
      <w:r w:rsidRPr="007E0FF1">
        <w:rPr>
          <w:b/>
          <w:lang w:val="en-GB"/>
        </w:rPr>
        <w:t xml:space="preserve"> </w:t>
      </w:r>
      <w:r w:rsidRPr="007E0FF1">
        <w:rPr>
          <w:lang w:val="en-GB"/>
        </w:rPr>
        <w:t xml:space="preserve">of those used by Kamlet and Taft in the creation of their polarity scales that are currently commercially available (these included all 7 of the original Kamlet-Taft dyes). The results of the </w:t>
      </w:r>
      <w:r w:rsidRPr="007E0FF1">
        <w:rPr>
          <w:i/>
          <w:lang w:val="en-GB"/>
        </w:rPr>
        <w:t>π</w:t>
      </w:r>
      <w:r w:rsidRPr="007E0FF1">
        <w:rPr>
          <w:lang w:val="en-GB"/>
        </w:rPr>
        <w:t>* measurements are shown in</w:t>
      </w:r>
      <w:r w:rsidRPr="007E0FF1">
        <w:rPr>
          <w:b/>
          <w:lang w:val="en-GB"/>
        </w:rPr>
        <w:t xml:space="preserve"> </w:t>
      </w:r>
      <w:r w:rsidRPr="007E0FF1">
        <w:rPr>
          <w:lang w:val="en-GB"/>
        </w:rPr>
        <w:t>Table 1.</w:t>
      </w:r>
    </w:p>
    <w:p w:rsidR="008F32C8" w:rsidRPr="007E0FF1" w:rsidRDefault="008F32C8" w:rsidP="008F32C8">
      <w:pPr>
        <w:pStyle w:val="NormalJustified"/>
        <w:spacing w:line="276" w:lineRule="auto"/>
        <w:ind w:firstLine="720"/>
        <w:rPr>
          <w:lang w:val="en-GB"/>
        </w:rPr>
      </w:pPr>
    </w:p>
    <w:p w:rsidR="008F32C8" w:rsidRPr="007E0FF1" w:rsidRDefault="008F32C8" w:rsidP="008F32C8">
      <w:pPr>
        <w:pStyle w:val="NormalJustified"/>
        <w:spacing w:line="276" w:lineRule="auto"/>
        <w:rPr>
          <w:lang w:val="en-GB"/>
        </w:rPr>
      </w:pPr>
      <w:r w:rsidRPr="007E0FF1">
        <w:rPr>
          <w:b/>
          <w:lang w:val="en-GB"/>
        </w:rPr>
        <w:t xml:space="preserve">Table 1. </w:t>
      </w:r>
      <w:r w:rsidRPr="007E0FF1">
        <w:rPr>
          <w:i/>
          <w:lang w:val="en-GB"/>
        </w:rPr>
        <w:t>π</w:t>
      </w:r>
      <w:r w:rsidRPr="007E0FF1">
        <w:rPr>
          <w:lang w:val="en-GB"/>
        </w:rPr>
        <w:t>* values for [C</w:t>
      </w:r>
      <w:r w:rsidRPr="007E0FF1">
        <w:rPr>
          <w:vertAlign w:val="subscript"/>
          <w:lang w:val="en-GB"/>
        </w:rPr>
        <w:t>4</w:t>
      </w:r>
      <w:r w:rsidRPr="007E0FF1">
        <w:rPr>
          <w:lang w:val="en-GB"/>
        </w:rPr>
        <w:t>C</w:t>
      </w:r>
      <w:r w:rsidRPr="007E0FF1">
        <w:rPr>
          <w:vertAlign w:val="subscript"/>
          <w:lang w:val="en-GB"/>
        </w:rPr>
        <w:t>1</w:t>
      </w:r>
      <w:r w:rsidRPr="007E0FF1">
        <w:rPr>
          <w:lang w:val="en-GB"/>
        </w:rPr>
        <w:t>pyrr][NTf</w:t>
      </w:r>
      <w:r w:rsidRPr="007E0FF1">
        <w:rPr>
          <w:vertAlign w:val="subscript"/>
          <w:lang w:val="en-GB"/>
        </w:rPr>
        <w:t>2</w:t>
      </w:r>
      <w:r w:rsidRPr="007E0FF1">
        <w:rPr>
          <w:lang w:val="en-GB"/>
        </w:rPr>
        <w:t>] and CH</w:t>
      </w:r>
      <w:r w:rsidRPr="007E0FF1">
        <w:rPr>
          <w:vertAlign w:val="subscript"/>
          <w:lang w:val="en-GB"/>
        </w:rPr>
        <w:t>2</w:t>
      </w:r>
      <w:r w:rsidRPr="007E0FF1">
        <w:rPr>
          <w:lang w:val="en-GB"/>
        </w:rPr>
        <w:t>Cl</w:t>
      </w:r>
      <w:r w:rsidRPr="007E0FF1">
        <w:rPr>
          <w:vertAlign w:val="subscript"/>
          <w:lang w:val="en-GB"/>
        </w:rPr>
        <w:t>2</w:t>
      </w:r>
      <w:r w:rsidRPr="007E0FF1">
        <w:rPr>
          <w:lang w:val="en-GB"/>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8"/>
        <w:gridCol w:w="1615"/>
        <w:gridCol w:w="756"/>
        <w:gridCol w:w="1618"/>
        <w:gridCol w:w="756"/>
      </w:tblGrid>
      <w:tr w:rsidR="008F32C8" w:rsidRPr="007E0FF1" w:rsidTr="00E401C1">
        <w:trPr>
          <w:jc w:val="center"/>
        </w:trPr>
        <w:tc>
          <w:tcPr>
            <w:tcW w:w="3778" w:type="dxa"/>
            <w:vMerge w:val="restart"/>
            <w:vAlign w:val="center"/>
          </w:tcPr>
          <w:p w:rsidR="008F32C8" w:rsidRPr="007E0FF1" w:rsidRDefault="008F32C8" w:rsidP="00E401C1">
            <w:pPr>
              <w:pStyle w:val="NormalJustified"/>
              <w:spacing w:line="276" w:lineRule="auto"/>
              <w:rPr>
                <w:lang w:val="en-GB"/>
              </w:rPr>
            </w:pPr>
            <w:r w:rsidRPr="007E0FF1">
              <w:rPr>
                <w:b/>
                <w:lang w:val="en-GB"/>
              </w:rPr>
              <w:t>Dye</w:t>
            </w:r>
          </w:p>
        </w:tc>
        <w:tc>
          <w:tcPr>
            <w:tcW w:w="2371" w:type="dxa"/>
            <w:gridSpan w:val="2"/>
            <w:vAlign w:val="center"/>
          </w:tcPr>
          <w:p w:rsidR="008F32C8" w:rsidRPr="007E0FF1" w:rsidRDefault="008F32C8" w:rsidP="00E401C1">
            <w:pPr>
              <w:pStyle w:val="NormalJustified"/>
              <w:spacing w:line="276" w:lineRule="auto"/>
              <w:rPr>
                <w:b/>
                <w:lang w:val="en-GB"/>
              </w:rPr>
            </w:pPr>
            <w:r w:rsidRPr="007E0FF1">
              <w:rPr>
                <w:b/>
                <w:lang w:val="en-GB"/>
              </w:rPr>
              <w:t>[C</w:t>
            </w:r>
            <w:r w:rsidRPr="007E0FF1">
              <w:rPr>
                <w:b/>
                <w:vertAlign w:val="subscript"/>
                <w:lang w:val="en-GB"/>
              </w:rPr>
              <w:t>4</w:t>
            </w:r>
            <w:r w:rsidRPr="007E0FF1">
              <w:rPr>
                <w:b/>
                <w:lang w:val="en-GB"/>
              </w:rPr>
              <w:t>C</w:t>
            </w:r>
            <w:r w:rsidRPr="007E0FF1">
              <w:rPr>
                <w:b/>
                <w:vertAlign w:val="subscript"/>
                <w:lang w:val="en-GB"/>
              </w:rPr>
              <w:t>1</w:t>
            </w:r>
            <w:r w:rsidRPr="007E0FF1">
              <w:rPr>
                <w:b/>
                <w:lang w:val="en-GB"/>
              </w:rPr>
              <w:t>pyrr][NTf</w:t>
            </w:r>
            <w:r w:rsidRPr="007E0FF1">
              <w:rPr>
                <w:b/>
                <w:vertAlign w:val="subscript"/>
                <w:lang w:val="en-GB"/>
              </w:rPr>
              <w:t>2</w:t>
            </w:r>
            <w:r w:rsidRPr="007E0FF1">
              <w:rPr>
                <w:b/>
                <w:lang w:val="en-GB"/>
              </w:rPr>
              <w:t>]</w:t>
            </w:r>
          </w:p>
        </w:tc>
        <w:tc>
          <w:tcPr>
            <w:tcW w:w="2374" w:type="dxa"/>
            <w:gridSpan w:val="2"/>
            <w:vAlign w:val="center"/>
          </w:tcPr>
          <w:p w:rsidR="008F32C8" w:rsidRPr="007E0FF1" w:rsidRDefault="008F32C8" w:rsidP="00E401C1">
            <w:pPr>
              <w:pStyle w:val="NormalJustified"/>
              <w:spacing w:line="276" w:lineRule="auto"/>
              <w:rPr>
                <w:b/>
                <w:lang w:val="en-GB"/>
              </w:rPr>
            </w:pPr>
            <w:r w:rsidRPr="007E0FF1">
              <w:rPr>
                <w:b/>
                <w:lang w:val="en-GB"/>
              </w:rPr>
              <w:t>CH</w:t>
            </w:r>
            <w:r w:rsidRPr="007E0FF1">
              <w:rPr>
                <w:b/>
                <w:vertAlign w:val="subscript"/>
                <w:lang w:val="en-GB"/>
              </w:rPr>
              <w:t>2</w:t>
            </w:r>
            <w:r w:rsidRPr="007E0FF1">
              <w:rPr>
                <w:b/>
                <w:lang w:val="en-GB"/>
              </w:rPr>
              <w:t>Cl</w:t>
            </w:r>
            <w:r w:rsidRPr="007E0FF1">
              <w:rPr>
                <w:b/>
                <w:vertAlign w:val="subscript"/>
                <w:lang w:val="en-GB"/>
              </w:rPr>
              <w:t>2</w:t>
            </w:r>
          </w:p>
        </w:tc>
      </w:tr>
      <w:tr w:rsidR="008F32C8" w:rsidRPr="007E0FF1" w:rsidTr="00E401C1">
        <w:trPr>
          <w:trHeight w:val="287"/>
          <w:jc w:val="center"/>
        </w:trPr>
        <w:tc>
          <w:tcPr>
            <w:tcW w:w="3778" w:type="dxa"/>
            <w:vMerge/>
            <w:vAlign w:val="center"/>
          </w:tcPr>
          <w:p w:rsidR="008F32C8" w:rsidRPr="007E0FF1" w:rsidRDefault="008F32C8" w:rsidP="00E401C1">
            <w:pPr>
              <w:pStyle w:val="NormalJustified"/>
              <w:spacing w:line="276" w:lineRule="auto"/>
              <w:rPr>
                <w:b/>
                <w:lang w:val="en-GB"/>
              </w:rPr>
            </w:pPr>
          </w:p>
        </w:tc>
        <w:tc>
          <w:tcPr>
            <w:tcW w:w="1615" w:type="dxa"/>
            <w:vAlign w:val="center"/>
          </w:tcPr>
          <w:p w:rsidR="008F32C8" w:rsidRPr="007E0FF1" w:rsidRDefault="008F32C8" w:rsidP="00E401C1">
            <w:pPr>
              <w:pStyle w:val="NormalJustified"/>
              <w:spacing w:line="276" w:lineRule="auto"/>
              <w:rPr>
                <w:b/>
                <w:lang w:val="en-GB"/>
              </w:rPr>
            </w:pPr>
            <w:r w:rsidRPr="003212FF">
              <w:rPr>
                <w:b/>
                <w:i/>
                <w:lang w:val="en-GB"/>
              </w:rPr>
              <w:t>λ</w:t>
            </w:r>
            <w:r w:rsidRPr="007E0FF1">
              <w:rPr>
                <w:b/>
                <w:vertAlign w:val="subscript"/>
                <w:lang w:val="en-GB"/>
              </w:rPr>
              <w:t>max (nm)</w:t>
            </w:r>
          </w:p>
        </w:tc>
        <w:tc>
          <w:tcPr>
            <w:tcW w:w="756" w:type="dxa"/>
            <w:vAlign w:val="center"/>
          </w:tcPr>
          <w:p w:rsidR="008F32C8" w:rsidRPr="007E0FF1" w:rsidRDefault="008F32C8" w:rsidP="00E401C1">
            <w:pPr>
              <w:pStyle w:val="NormalJustified"/>
              <w:spacing w:line="276" w:lineRule="auto"/>
              <w:rPr>
                <w:b/>
                <w:lang w:val="en-GB"/>
              </w:rPr>
            </w:pPr>
            <w:r w:rsidRPr="003212FF">
              <w:rPr>
                <w:b/>
                <w:i/>
                <w:lang w:val="en-GB"/>
              </w:rPr>
              <w:t>π*</w:t>
            </w:r>
            <w:r w:rsidRPr="007E0FF1">
              <w:rPr>
                <w:b/>
                <w:lang w:val="en-GB"/>
              </w:rPr>
              <w:t xml:space="preserve"> </w:t>
            </w:r>
            <w:r w:rsidRPr="007E0FF1">
              <w:rPr>
                <w:b/>
                <w:vertAlign w:val="superscript"/>
                <w:lang w:val="en-GB"/>
              </w:rPr>
              <w:t>†</w:t>
            </w:r>
          </w:p>
        </w:tc>
        <w:tc>
          <w:tcPr>
            <w:tcW w:w="1618" w:type="dxa"/>
            <w:vAlign w:val="center"/>
          </w:tcPr>
          <w:p w:rsidR="008F32C8" w:rsidRPr="007E0FF1" w:rsidRDefault="008F32C8" w:rsidP="00E401C1">
            <w:pPr>
              <w:pStyle w:val="NormalJustified"/>
              <w:spacing w:line="276" w:lineRule="auto"/>
              <w:rPr>
                <w:b/>
                <w:lang w:val="en-GB"/>
              </w:rPr>
            </w:pPr>
            <w:r w:rsidRPr="003212FF">
              <w:rPr>
                <w:b/>
                <w:i/>
                <w:lang w:val="en-GB"/>
              </w:rPr>
              <w:t>λ</w:t>
            </w:r>
            <w:r w:rsidRPr="007E0FF1">
              <w:rPr>
                <w:b/>
                <w:vertAlign w:val="subscript"/>
                <w:lang w:val="en-GB"/>
              </w:rPr>
              <w:t>max (nm)</w:t>
            </w:r>
          </w:p>
        </w:tc>
        <w:tc>
          <w:tcPr>
            <w:tcW w:w="756" w:type="dxa"/>
            <w:vAlign w:val="center"/>
          </w:tcPr>
          <w:p w:rsidR="008F32C8" w:rsidRPr="007E0FF1" w:rsidRDefault="008F32C8" w:rsidP="00E401C1">
            <w:pPr>
              <w:pStyle w:val="NormalJustified"/>
              <w:spacing w:line="276" w:lineRule="auto"/>
              <w:rPr>
                <w:b/>
                <w:lang w:val="en-GB"/>
              </w:rPr>
            </w:pPr>
            <w:r w:rsidRPr="003212FF">
              <w:rPr>
                <w:b/>
                <w:i/>
                <w:lang w:val="en-GB"/>
              </w:rPr>
              <w:t>π*</w:t>
            </w:r>
            <w:r w:rsidRPr="007E0FF1">
              <w:rPr>
                <w:b/>
                <w:lang w:val="en-GB"/>
              </w:rPr>
              <w:t xml:space="preserve"> </w:t>
            </w:r>
            <w:r w:rsidRPr="007E0FF1">
              <w:rPr>
                <w:b/>
                <w:vertAlign w:val="superscript"/>
                <w:lang w:val="en-GB"/>
              </w:rPr>
              <w:t>†</w:t>
            </w:r>
          </w:p>
        </w:tc>
      </w:tr>
      <w:tr w:rsidR="008F32C8" w:rsidRPr="007E0FF1" w:rsidTr="00E401C1">
        <w:trPr>
          <w:trHeight w:val="260"/>
          <w:jc w:val="center"/>
        </w:trPr>
        <w:tc>
          <w:tcPr>
            <w:tcW w:w="3778" w:type="dxa"/>
            <w:vAlign w:val="center"/>
          </w:tcPr>
          <w:p w:rsidR="008F32C8" w:rsidRPr="007E0FF1" w:rsidRDefault="008F32C8" w:rsidP="00E401C1">
            <w:pPr>
              <w:pStyle w:val="NormalJustified"/>
              <w:spacing w:line="276" w:lineRule="auto"/>
              <w:rPr>
                <w:lang w:val="en-GB"/>
              </w:rPr>
            </w:pPr>
            <w:r w:rsidRPr="007E0FF1">
              <w:rPr>
                <w:lang w:val="en-GB"/>
              </w:rPr>
              <w:t>4-dimethylaminobenzoate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338.0</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0.830</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337.0</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0.774</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lang w:val="en-GB"/>
              </w:rPr>
              <w:t>Ethyl-4-aminobenzoate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283.8</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1.279</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277.7</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0.670</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lang w:val="en-GB"/>
              </w:rPr>
              <w:t>3-nitroaniline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373.9</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1.278</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361.8</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0.738</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lang w:val="en-GB"/>
              </w:rPr>
              <w:t>Ethyl-4-dimethylaminobenzoate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309.7</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0.727</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303.2</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0.231</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i/>
                <w:lang w:val="en-GB"/>
              </w:rPr>
              <w:t>N,N</w:t>
            </w:r>
            <w:r w:rsidRPr="007E0FF1">
              <w:rPr>
                <w:lang w:val="en-GB"/>
              </w:rPr>
              <w:t>-dimethyl-4-aminobenzophenone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350.5</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0.932</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346.4</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0.765</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lang w:val="en-GB"/>
              </w:rPr>
              <w:t>2-nitroaniline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402.6</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1.116</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394.3</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0.774</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i/>
                <w:lang w:val="en-GB"/>
              </w:rPr>
              <w:t>N</w:t>
            </w:r>
            <w:r w:rsidRPr="007E0FF1">
              <w:rPr>
                <w:lang w:val="en-GB"/>
              </w:rPr>
              <w:t>-methyl-4-nitroaniline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384.8</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1.006</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374.2</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0.786</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i/>
                <w:lang w:val="en-GB"/>
              </w:rPr>
              <w:t>N,N</w:t>
            </w:r>
            <w:r w:rsidRPr="007E0FF1">
              <w:rPr>
                <w:lang w:val="en-GB"/>
              </w:rPr>
              <w:t>-diethyl-3-nitroaniline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413.6</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0.608</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409.2</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0.489</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lang w:val="en-GB"/>
              </w:rPr>
              <w:t>2-nitroanisole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327.2</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0.822</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324.2</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0.704</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i/>
                <w:lang w:val="en-GB"/>
              </w:rPr>
              <w:t>trans</w:t>
            </w:r>
            <w:r w:rsidRPr="007E0FF1">
              <w:rPr>
                <w:lang w:val="en-GB"/>
              </w:rPr>
              <w:t>-4-methoxy-β-nitrostyrene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354.1</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0.755</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354.6</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0.774</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lang w:val="en-GB"/>
              </w:rPr>
              <w:t>1-ethyl-4-nitrobenzene</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279.4</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0.849</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277.9</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0.759</w:t>
            </w:r>
          </w:p>
        </w:tc>
      </w:tr>
      <w:tr w:rsidR="008F32C8" w:rsidRPr="007E0FF1" w:rsidTr="00E401C1">
        <w:trPr>
          <w:jc w:val="center"/>
        </w:trPr>
        <w:tc>
          <w:tcPr>
            <w:tcW w:w="3778" w:type="dxa"/>
            <w:tcBorders>
              <w:bottom w:val="single" w:sz="4" w:space="0" w:color="auto"/>
            </w:tcBorders>
            <w:vAlign w:val="center"/>
          </w:tcPr>
          <w:p w:rsidR="008F32C8" w:rsidRPr="007E0FF1" w:rsidRDefault="008F32C8" w:rsidP="00E401C1">
            <w:pPr>
              <w:pStyle w:val="NormalJustified"/>
              <w:spacing w:line="276" w:lineRule="auto"/>
              <w:rPr>
                <w:lang w:val="en-GB"/>
              </w:rPr>
            </w:pPr>
            <w:r w:rsidRPr="007E0FF1">
              <w:rPr>
                <w:i/>
                <w:lang w:val="en-GB"/>
              </w:rPr>
              <w:t>N,N</w:t>
            </w:r>
            <w:r w:rsidRPr="007E0FF1">
              <w:rPr>
                <w:lang w:val="en-GB"/>
              </w:rPr>
              <w:t>-diethyl-4-nitroaniline</w:t>
            </w:r>
          </w:p>
        </w:tc>
        <w:tc>
          <w:tcPr>
            <w:tcW w:w="1615" w:type="dxa"/>
            <w:tcBorders>
              <w:bottom w:val="single" w:sz="4" w:space="0" w:color="auto"/>
            </w:tcBorders>
            <w:vAlign w:val="center"/>
          </w:tcPr>
          <w:p w:rsidR="008F32C8" w:rsidRPr="007E0FF1" w:rsidRDefault="008F32C8" w:rsidP="00E401C1">
            <w:pPr>
              <w:pStyle w:val="NormalJustified"/>
              <w:spacing w:line="276" w:lineRule="auto"/>
              <w:rPr>
                <w:lang w:val="en-GB"/>
              </w:rPr>
            </w:pPr>
            <w:r w:rsidRPr="007E0FF1">
              <w:rPr>
                <w:lang w:val="en-GB"/>
              </w:rPr>
              <w:t>408.1</w:t>
            </w:r>
          </w:p>
        </w:tc>
        <w:tc>
          <w:tcPr>
            <w:tcW w:w="756" w:type="dxa"/>
            <w:tcBorders>
              <w:bottom w:val="single" w:sz="4" w:space="0" w:color="auto"/>
            </w:tcBorders>
            <w:vAlign w:val="center"/>
          </w:tcPr>
          <w:p w:rsidR="008F32C8" w:rsidRPr="007E0FF1" w:rsidRDefault="008F32C8" w:rsidP="00E401C1">
            <w:pPr>
              <w:pStyle w:val="NormalJustified"/>
              <w:spacing w:line="276" w:lineRule="auto"/>
              <w:rPr>
                <w:lang w:val="en-GB"/>
              </w:rPr>
            </w:pPr>
            <w:r w:rsidRPr="007E0FF1">
              <w:rPr>
                <w:lang w:val="en-GB"/>
              </w:rPr>
              <w:t>0.941</w:t>
            </w:r>
          </w:p>
        </w:tc>
        <w:tc>
          <w:tcPr>
            <w:tcW w:w="1618" w:type="dxa"/>
            <w:tcBorders>
              <w:bottom w:val="single" w:sz="4" w:space="0" w:color="auto"/>
            </w:tcBorders>
            <w:vAlign w:val="center"/>
          </w:tcPr>
          <w:p w:rsidR="008F32C8" w:rsidRPr="007E0FF1" w:rsidRDefault="008F32C8" w:rsidP="00E401C1">
            <w:pPr>
              <w:pStyle w:val="NormalJustified"/>
              <w:spacing w:line="276" w:lineRule="auto"/>
              <w:rPr>
                <w:lang w:val="en-GB"/>
              </w:rPr>
            </w:pPr>
            <w:r w:rsidRPr="007E0FF1">
              <w:rPr>
                <w:lang w:val="en-GB"/>
              </w:rPr>
              <w:t>399.9</w:t>
            </w:r>
          </w:p>
        </w:tc>
        <w:tc>
          <w:tcPr>
            <w:tcW w:w="756" w:type="dxa"/>
            <w:tcBorders>
              <w:bottom w:val="single" w:sz="4" w:space="0" w:color="auto"/>
            </w:tcBorders>
            <w:vAlign w:val="center"/>
          </w:tcPr>
          <w:p w:rsidR="008F32C8" w:rsidRPr="007E0FF1" w:rsidRDefault="008F32C8" w:rsidP="00E401C1">
            <w:pPr>
              <w:pStyle w:val="NormalJustified"/>
              <w:spacing w:line="276" w:lineRule="auto"/>
              <w:rPr>
                <w:lang w:val="en-GB"/>
              </w:rPr>
            </w:pPr>
            <w:r w:rsidRPr="007E0FF1">
              <w:rPr>
                <w:lang w:val="en-GB"/>
              </w:rPr>
              <w:t>0.783</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lang w:val="en-GB"/>
              </w:rPr>
              <w:t>Mean</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0.929</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0.687</w:t>
            </w:r>
          </w:p>
        </w:tc>
      </w:tr>
      <w:tr w:rsidR="008F32C8" w:rsidRPr="007E0FF1" w:rsidTr="00E401C1">
        <w:trPr>
          <w:jc w:val="center"/>
        </w:trPr>
        <w:tc>
          <w:tcPr>
            <w:tcW w:w="3778" w:type="dxa"/>
            <w:vAlign w:val="center"/>
          </w:tcPr>
          <w:p w:rsidR="008F32C8" w:rsidRPr="007E0FF1" w:rsidRDefault="008F32C8" w:rsidP="00E401C1">
            <w:pPr>
              <w:pStyle w:val="NormalJustified"/>
              <w:spacing w:line="276" w:lineRule="auto"/>
              <w:rPr>
                <w:lang w:val="en-GB"/>
              </w:rPr>
            </w:pPr>
            <w:r w:rsidRPr="007E0FF1">
              <w:rPr>
                <w:lang w:val="en-GB"/>
              </w:rPr>
              <w:t>Standard Deviation</w:t>
            </w:r>
          </w:p>
        </w:tc>
        <w:tc>
          <w:tcPr>
            <w:tcW w:w="1615" w:type="dxa"/>
            <w:vAlign w:val="center"/>
          </w:tcPr>
          <w:p w:rsidR="008F32C8" w:rsidRPr="007E0FF1" w:rsidRDefault="008F32C8" w:rsidP="00E401C1">
            <w:pPr>
              <w:pStyle w:val="NormalJustified"/>
              <w:spacing w:line="276" w:lineRule="auto"/>
              <w:rPr>
                <w:lang w:val="en-GB"/>
              </w:rPr>
            </w:pPr>
            <w:r w:rsidRPr="007E0FF1">
              <w:rPr>
                <w:lang w:val="en-GB"/>
              </w:rPr>
              <w:t>-</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0.21</w:t>
            </w:r>
          </w:p>
        </w:tc>
        <w:tc>
          <w:tcPr>
            <w:tcW w:w="1618" w:type="dxa"/>
            <w:vAlign w:val="center"/>
          </w:tcPr>
          <w:p w:rsidR="008F32C8" w:rsidRPr="007E0FF1" w:rsidRDefault="008F32C8" w:rsidP="00E401C1">
            <w:pPr>
              <w:pStyle w:val="NormalJustified"/>
              <w:spacing w:line="276" w:lineRule="auto"/>
              <w:rPr>
                <w:lang w:val="en-GB"/>
              </w:rPr>
            </w:pPr>
            <w:r w:rsidRPr="007E0FF1">
              <w:rPr>
                <w:lang w:val="en-GB"/>
              </w:rPr>
              <w:t>-</w:t>
            </w:r>
          </w:p>
        </w:tc>
        <w:tc>
          <w:tcPr>
            <w:tcW w:w="756" w:type="dxa"/>
            <w:vAlign w:val="center"/>
          </w:tcPr>
          <w:p w:rsidR="008F32C8" w:rsidRPr="007E0FF1" w:rsidRDefault="008F32C8" w:rsidP="00E401C1">
            <w:pPr>
              <w:pStyle w:val="NormalJustified"/>
              <w:spacing w:line="276" w:lineRule="auto"/>
              <w:rPr>
                <w:lang w:val="en-GB"/>
              </w:rPr>
            </w:pPr>
            <w:r w:rsidRPr="007E0FF1">
              <w:rPr>
                <w:lang w:val="en-GB"/>
              </w:rPr>
              <w:t>0.17</w:t>
            </w:r>
          </w:p>
        </w:tc>
      </w:tr>
    </w:tbl>
    <w:p w:rsidR="008F32C8" w:rsidRPr="007E0FF1" w:rsidRDefault="008F32C8" w:rsidP="008F32C8">
      <w:pPr>
        <w:pStyle w:val="NormalJustified"/>
        <w:spacing w:line="276" w:lineRule="auto"/>
        <w:ind w:firstLine="720"/>
        <w:rPr>
          <w:lang w:val="en-GB"/>
        </w:rPr>
      </w:pPr>
      <w:r w:rsidRPr="007E0FF1">
        <w:rPr>
          <w:b/>
          <w:vertAlign w:val="superscript"/>
          <w:lang w:val="en-GB"/>
        </w:rPr>
        <w:t>†</w:t>
      </w:r>
      <w:r w:rsidRPr="007E0FF1">
        <w:rPr>
          <w:lang w:val="en-GB"/>
        </w:rPr>
        <w:t>Calculated using formulae from reference 13.</w:t>
      </w:r>
    </w:p>
    <w:p w:rsidR="008F32C8" w:rsidRPr="007E0FF1" w:rsidRDefault="008F32C8" w:rsidP="008B2A31">
      <w:pPr>
        <w:pStyle w:val="NormalJustified"/>
        <w:spacing w:line="276" w:lineRule="auto"/>
        <w:rPr>
          <w:lang w:val="en-GB"/>
        </w:rPr>
      </w:pPr>
    </w:p>
    <w:p w:rsidR="00945FB2" w:rsidRPr="007E0FF1" w:rsidRDefault="00945FB2" w:rsidP="008B2A31">
      <w:pPr>
        <w:pStyle w:val="NormalJustified"/>
        <w:spacing w:line="276" w:lineRule="auto"/>
        <w:ind w:firstLine="720"/>
        <w:rPr>
          <w:lang w:val="en-GB"/>
        </w:rPr>
      </w:pPr>
      <w:r w:rsidRPr="007E0FF1">
        <w:rPr>
          <w:lang w:val="en-GB"/>
        </w:rPr>
        <w:t xml:space="preserve"> For both dichloromethane and the ionic liquid there is significant variation in the </w:t>
      </w:r>
      <w:r w:rsidRPr="007E0FF1">
        <w:rPr>
          <w:i/>
          <w:lang w:val="en-GB"/>
        </w:rPr>
        <w:t>π</w:t>
      </w:r>
      <w:r w:rsidRPr="007E0FF1">
        <w:rPr>
          <w:lang w:val="en-GB"/>
        </w:rPr>
        <w:t xml:space="preserve">* values derived from different dyes, </w:t>
      </w:r>
      <w:r w:rsidR="00B20EDB">
        <w:rPr>
          <w:lang w:val="en-GB"/>
        </w:rPr>
        <w:t>with</w:t>
      </w:r>
      <w:r w:rsidRPr="007E0FF1">
        <w:rPr>
          <w:lang w:val="en-GB"/>
        </w:rPr>
        <w:t xml:space="preserve"> standard deviations greater than 20% of the average value for the 12 measurements. This result highlights one of the major weaknesses of the </w:t>
      </w:r>
      <w:r w:rsidRPr="007E0FF1">
        <w:rPr>
          <w:i/>
          <w:lang w:val="en-GB"/>
        </w:rPr>
        <w:t>π</w:t>
      </w:r>
      <w:r w:rsidRPr="007E0FF1">
        <w:rPr>
          <w:lang w:val="en-GB"/>
        </w:rPr>
        <w:t xml:space="preserve">* polarity scale, namely that dye selection can have a dramatic influence on the resulting measurement. </w:t>
      </w:r>
      <w:r w:rsidR="00CA5303">
        <w:rPr>
          <w:lang w:val="en-GB"/>
        </w:rPr>
        <w:t xml:space="preserve">For these probes the measurement arises </w:t>
      </w:r>
      <w:r w:rsidR="00CA5303">
        <w:rPr>
          <w:lang w:val="en-GB"/>
        </w:rPr>
        <w:lastRenderedPageBreak/>
        <w:t>from electronic transitions from a ground to an excited state. The relative stabilization of these two states by a solvent depends upon the difference in their two dipoles/polarisabilities, which in turn leads to the solvatochromism of the probes.</w:t>
      </w:r>
      <w:r w:rsidR="00CA5303" w:rsidRPr="007E0FF1">
        <w:rPr>
          <w:lang w:val="en-GB"/>
        </w:rPr>
        <w:t xml:space="preserve"> </w:t>
      </w:r>
      <w:r w:rsidR="00C60F4E">
        <w:rPr>
          <w:lang w:val="en-GB"/>
        </w:rPr>
        <w:t>Hence, it is possible for two</w:t>
      </w:r>
      <w:r w:rsidR="00CA5303">
        <w:rPr>
          <w:lang w:val="en-GB"/>
        </w:rPr>
        <w:t xml:space="preserve"> structurally similar probes, such as </w:t>
      </w:r>
      <w:r w:rsidR="00CA5303" w:rsidRPr="007E0FF1">
        <w:rPr>
          <w:i/>
          <w:lang w:val="en-GB"/>
        </w:rPr>
        <w:t>N,N</w:t>
      </w:r>
      <w:r w:rsidR="00CA5303" w:rsidRPr="007E0FF1">
        <w:rPr>
          <w:lang w:val="en-GB"/>
        </w:rPr>
        <w:t xml:space="preserve">-diethyl-3-nitroaniline </w:t>
      </w:r>
      <w:r w:rsidR="00CA5303">
        <w:rPr>
          <w:lang w:val="en-GB"/>
        </w:rPr>
        <w:t xml:space="preserve">and </w:t>
      </w:r>
      <w:r w:rsidR="00CA5303" w:rsidRPr="007E0FF1">
        <w:rPr>
          <w:i/>
          <w:lang w:val="en-GB"/>
        </w:rPr>
        <w:t>N,N</w:t>
      </w:r>
      <w:r w:rsidR="00CA5303">
        <w:rPr>
          <w:lang w:val="en-GB"/>
        </w:rPr>
        <w:t>-diethyl-4</w:t>
      </w:r>
      <w:r w:rsidR="00CA5303" w:rsidRPr="007E0FF1">
        <w:rPr>
          <w:lang w:val="en-GB"/>
        </w:rPr>
        <w:t xml:space="preserve">-nitroaniline </w:t>
      </w:r>
      <w:r w:rsidR="00CA5303">
        <w:rPr>
          <w:lang w:val="en-GB"/>
        </w:rPr>
        <w:t xml:space="preserve">to give quite different </w:t>
      </w:r>
      <w:r w:rsidR="00CA5303" w:rsidRPr="007E0FF1">
        <w:rPr>
          <w:i/>
          <w:lang w:val="en-GB"/>
        </w:rPr>
        <w:t>π</w:t>
      </w:r>
      <w:r w:rsidR="00CA5303" w:rsidRPr="007E0FF1">
        <w:rPr>
          <w:lang w:val="en-GB"/>
        </w:rPr>
        <w:t>* value</w:t>
      </w:r>
      <w:r w:rsidR="00CA5303">
        <w:rPr>
          <w:lang w:val="en-GB"/>
        </w:rPr>
        <w:t xml:space="preserve">s. </w:t>
      </w:r>
      <w:r w:rsidRPr="007E0FF1">
        <w:rPr>
          <w:lang w:val="en-GB"/>
        </w:rPr>
        <w:t xml:space="preserve">The often-used literature equations that allow a </w:t>
      </w:r>
      <w:r w:rsidRPr="007E0FF1">
        <w:rPr>
          <w:i/>
          <w:lang w:val="en-GB"/>
        </w:rPr>
        <w:t>π</w:t>
      </w:r>
      <w:r w:rsidRPr="007E0FF1">
        <w:rPr>
          <w:lang w:val="en-GB"/>
        </w:rPr>
        <w:t>* value to be calculated from any given dye are based on averaging values from many solvents and many dyes. This means that it is unlikely that the value calculated from the spectrum of one dye for any particular solvent will be the same as other values, either derived from another single dye measurement, or from an average of many measurements. Nor should it be expected that any averaged value should be the same as another, unless pre</w:t>
      </w:r>
      <w:r w:rsidR="00D04D3C" w:rsidRPr="007E0FF1">
        <w:rPr>
          <w:lang w:val="en-GB"/>
        </w:rPr>
        <w:t>cisely the same set of dyes has</w:t>
      </w:r>
      <w:r w:rsidRPr="007E0FF1">
        <w:rPr>
          <w:lang w:val="en-GB"/>
        </w:rPr>
        <w:t xml:space="preserve"> been used to calculate it.</w:t>
      </w:r>
    </w:p>
    <w:p w:rsidR="00945FB2" w:rsidRDefault="00945FB2" w:rsidP="009D76C8">
      <w:pPr>
        <w:pStyle w:val="NormalJustified"/>
        <w:spacing w:line="276" w:lineRule="auto"/>
        <w:ind w:firstLine="720"/>
        <w:rPr>
          <w:lang w:val="en-GB"/>
        </w:rPr>
      </w:pPr>
      <w:r w:rsidRPr="007E0FF1">
        <w:rPr>
          <w:lang w:val="en-GB"/>
        </w:rPr>
        <w:t>It is further worth noting that</w:t>
      </w:r>
      <w:r w:rsidR="009930FE" w:rsidRPr="007E0FF1">
        <w:rPr>
          <w:lang w:val="en-GB"/>
        </w:rPr>
        <w:t xml:space="preserve"> for dichloromethane</w:t>
      </w:r>
      <w:r w:rsidRPr="007E0FF1">
        <w:rPr>
          <w:lang w:val="en-GB"/>
        </w:rPr>
        <w:t xml:space="preserve"> the average </w:t>
      </w:r>
      <w:r w:rsidRPr="007E0FF1">
        <w:rPr>
          <w:i/>
          <w:lang w:val="en-GB"/>
        </w:rPr>
        <w:t>π*</w:t>
      </w:r>
      <w:r w:rsidRPr="007E0FF1">
        <w:rPr>
          <w:lang w:val="en-GB"/>
        </w:rPr>
        <w:t xml:space="preserve"> value resulting from the 12 dyes that we selected (0.687) </w:t>
      </w:r>
      <w:r w:rsidR="00D04D3C" w:rsidRPr="007E0FF1">
        <w:rPr>
          <w:lang w:val="en-GB"/>
        </w:rPr>
        <w:t>was</w:t>
      </w:r>
      <w:r w:rsidRPr="007E0FF1">
        <w:rPr>
          <w:lang w:val="en-GB"/>
        </w:rPr>
        <w:t xml:space="preserve"> considerably </w:t>
      </w:r>
      <w:r w:rsidR="00D04D3C" w:rsidRPr="007E0FF1">
        <w:rPr>
          <w:lang w:val="en-GB"/>
        </w:rPr>
        <w:t xml:space="preserve">lower than </w:t>
      </w:r>
      <w:r w:rsidRPr="007E0FF1">
        <w:rPr>
          <w:lang w:val="en-GB"/>
        </w:rPr>
        <w:t>accepted literature value</w:t>
      </w:r>
      <w:r w:rsidR="00D04D3C" w:rsidRPr="007E0FF1">
        <w:rPr>
          <w:lang w:val="en-GB"/>
        </w:rPr>
        <w:t>s</w:t>
      </w:r>
      <w:r w:rsidRPr="007E0FF1">
        <w:rPr>
          <w:lang w:val="en-GB"/>
        </w:rPr>
        <w:t xml:space="preserve">. This can be corrected to some extent by elimination of the two greatest outliers among our </w:t>
      </w:r>
      <w:r w:rsidRPr="007E0FF1">
        <w:rPr>
          <w:i/>
          <w:lang w:val="en-GB"/>
        </w:rPr>
        <w:t>π</w:t>
      </w:r>
      <w:r w:rsidRPr="007E0FF1">
        <w:rPr>
          <w:lang w:val="en-GB"/>
        </w:rPr>
        <w:t xml:space="preserve">* results (ethyl-4-dimethylaminobenzoate and </w:t>
      </w:r>
      <w:r w:rsidRPr="007E0FF1">
        <w:rPr>
          <w:i/>
          <w:lang w:val="en-GB"/>
        </w:rPr>
        <w:t>N,N</w:t>
      </w:r>
      <w:r w:rsidRPr="007E0FF1">
        <w:rPr>
          <w:lang w:val="en-GB"/>
        </w:rPr>
        <w:t>-diethyl-3-nitroaniline each of which provided values outside the 90% confidence interval), which ‘improves’ the value to 0.753. However, not only is this somewhat arbitrary, but the literature values for dichloromethane are variable anyway, with the original Kamlet and Taft value</w:t>
      </w:r>
      <w:r w:rsidR="00D64BE8">
        <w:rPr>
          <w:lang w:val="en-GB"/>
        </w:rPr>
        <w:fldChar w:fldCharType="begin"/>
      </w:r>
      <w:r w:rsidR="008F32C8">
        <w:rPr>
          <w:lang w:val="en-GB"/>
        </w:rPr>
        <w:instrText xml:space="preserve"> NOTEREF _Ref228779615 \f \h </w:instrText>
      </w:r>
      <w:r w:rsidR="00D64BE8">
        <w:rPr>
          <w:lang w:val="en-GB"/>
        </w:rPr>
      </w:r>
      <w:r w:rsidR="00D64BE8">
        <w:rPr>
          <w:lang w:val="en-GB"/>
        </w:rPr>
        <w:fldChar w:fldCharType="separate"/>
      </w:r>
      <w:r w:rsidR="008F32C8" w:rsidRPr="008F32C8">
        <w:rPr>
          <w:rStyle w:val="EndnoteReference"/>
        </w:rPr>
        <w:t>13</w:t>
      </w:r>
      <w:r w:rsidR="00D64BE8">
        <w:rPr>
          <w:lang w:val="en-GB"/>
        </w:rPr>
        <w:fldChar w:fldCharType="end"/>
      </w:r>
      <w:r w:rsidRPr="007E0FF1">
        <w:rPr>
          <w:lang w:val="en-GB"/>
        </w:rPr>
        <w:t xml:space="preserve"> of 0.802 </w:t>
      </w:r>
      <w:r w:rsidR="00D04D3C" w:rsidRPr="007E0FF1">
        <w:rPr>
          <w:lang w:val="en-GB"/>
        </w:rPr>
        <w:t>being</w:t>
      </w:r>
      <w:r w:rsidRPr="007E0FF1">
        <w:rPr>
          <w:lang w:val="en-GB"/>
        </w:rPr>
        <w:t xml:space="preserve"> revised </w:t>
      </w:r>
      <w:r w:rsidR="00D04D3C" w:rsidRPr="007E0FF1">
        <w:rPr>
          <w:lang w:val="en-GB"/>
        </w:rPr>
        <w:t xml:space="preserve">to 0.82 </w:t>
      </w:r>
      <w:r w:rsidRPr="007E0FF1">
        <w:rPr>
          <w:lang w:val="en-GB"/>
        </w:rPr>
        <w:t>by Marcus</w:t>
      </w:r>
      <w:r w:rsidR="00D04D3C" w:rsidRPr="007E0FF1">
        <w:rPr>
          <w:lang w:val="en-GB"/>
        </w:rPr>
        <w:t>,</w:t>
      </w:r>
      <w:r w:rsidRPr="007E0FF1">
        <w:rPr>
          <w:rStyle w:val="EndnoteReference"/>
          <w:lang w:val="en-GB"/>
        </w:rPr>
        <w:endnoteReference w:id="26"/>
      </w:r>
      <w:r w:rsidRPr="007E0FF1">
        <w:rPr>
          <w:lang w:val="en-GB"/>
        </w:rPr>
        <w:t xml:space="preserve"> </w:t>
      </w:r>
      <w:r w:rsidR="00D04D3C" w:rsidRPr="007E0FF1">
        <w:rPr>
          <w:lang w:val="en-GB"/>
        </w:rPr>
        <w:t>whereas Reichardt reports a value of 0.73.</w:t>
      </w:r>
      <w:r w:rsidR="00181501">
        <w:fldChar w:fldCharType="begin"/>
      </w:r>
      <w:r w:rsidR="00181501">
        <w:instrText xml:space="preserve"> NOTEREF _Ref226345184 \f \h  \* MERGEFORMAT </w:instrText>
      </w:r>
      <w:r w:rsidR="00181501">
        <w:fldChar w:fldCharType="separate"/>
      </w:r>
      <w:r w:rsidR="008B17B5" w:rsidRPr="007E0FF1">
        <w:t>9</w:t>
      </w:r>
      <w:r w:rsidR="00181501">
        <w:fldChar w:fldCharType="end"/>
      </w:r>
      <w:r w:rsidR="00D04D3C" w:rsidRPr="007E0FF1">
        <w:rPr>
          <w:lang w:val="en-GB"/>
        </w:rPr>
        <w:t xml:space="preserve"> </w:t>
      </w:r>
      <w:r w:rsidR="00486B62" w:rsidRPr="007E0FF1">
        <w:rPr>
          <w:lang w:val="en-GB"/>
        </w:rPr>
        <w:t xml:space="preserve">This emphasises that </w:t>
      </w:r>
      <w:r w:rsidR="00486B62" w:rsidRPr="007E0FF1">
        <w:rPr>
          <w:i/>
          <w:lang w:val="en-GB"/>
        </w:rPr>
        <w:t>π</w:t>
      </w:r>
      <w:r w:rsidR="00486B62" w:rsidRPr="007E0FF1">
        <w:rPr>
          <w:lang w:val="en-GB"/>
        </w:rPr>
        <w:t xml:space="preserve">* is in no way a fundamental property of the solvent, with a ‘correct’ value that different probes get closer to or farther from; but is an estimate of the relative propensity of the solvent to interact with particular solutes </w:t>
      </w:r>
      <w:r w:rsidR="00486B62" w:rsidRPr="007E0FF1">
        <w:rPr>
          <w:i/>
          <w:lang w:val="en-GB"/>
        </w:rPr>
        <w:t>via</w:t>
      </w:r>
      <w:r w:rsidR="00486B62" w:rsidRPr="007E0FF1">
        <w:rPr>
          <w:lang w:val="en-GB"/>
        </w:rPr>
        <w:t xml:space="preserve"> dipolar/polarizability effects, which therefore varies with the probe used for its measurement.</w:t>
      </w:r>
      <w:r w:rsidR="00051D59">
        <w:rPr>
          <w:lang w:val="en-GB"/>
        </w:rPr>
        <w:t xml:space="preserve"> </w:t>
      </w:r>
      <w:r w:rsidRPr="007E0FF1">
        <w:rPr>
          <w:lang w:val="en-GB"/>
        </w:rPr>
        <w:t xml:space="preserve">Consequently, when attempting to measure </w:t>
      </w:r>
      <w:r w:rsidRPr="007E0FF1">
        <w:rPr>
          <w:i/>
          <w:lang w:val="en-GB"/>
        </w:rPr>
        <w:t>π</w:t>
      </w:r>
      <w:r w:rsidRPr="007E0FF1">
        <w:rPr>
          <w:lang w:val="en-GB"/>
        </w:rPr>
        <w:t xml:space="preserve">* for ionic liquids, the only practical way to avoid the variable results obtained from averaging different multiple dye measurements while simultaneously avoiding </w:t>
      </w:r>
      <w:r w:rsidR="0034446B" w:rsidRPr="007E0FF1">
        <w:rPr>
          <w:lang w:val="en-GB"/>
        </w:rPr>
        <w:t>excessive</w:t>
      </w:r>
      <w:r w:rsidRPr="007E0FF1">
        <w:rPr>
          <w:lang w:val="en-GB"/>
        </w:rPr>
        <w:t xml:space="preserve"> synthetic work, is to use a single probe for all </w:t>
      </w:r>
      <w:r w:rsidRPr="007E0FF1">
        <w:rPr>
          <w:i/>
          <w:lang w:val="en-GB"/>
        </w:rPr>
        <w:t>π</w:t>
      </w:r>
      <w:r w:rsidRPr="007E0FF1">
        <w:rPr>
          <w:lang w:val="en-GB"/>
        </w:rPr>
        <w:t>* measurements. This then raises the question of which to use.</w:t>
      </w:r>
    </w:p>
    <w:p w:rsidR="008B2A31" w:rsidRDefault="007A2D69" w:rsidP="00DA39B9">
      <w:pPr>
        <w:pStyle w:val="NormalJustified"/>
        <w:spacing w:line="276" w:lineRule="auto"/>
        <w:ind w:firstLine="720"/>
      </w:pPr>
      <w:r w:rsidRPr="007E0FF1">
        <w:rPr>
          <w:noProof/>
          <w:lang w:val="en-GB" w:eastAsia="en-GB"/>
        </w:rPr>
        <w:lastRenderedPageBreak/>
        <w:drawing>
          <wp:inline distT="0" distB="0" distL="0" distR="0">
            <wp:extent cx="5270500" cy="3215005"/>
            <wp:effectExtent l="25400" t="0" r="0" b="0"/>
            <wp:docPr id="3" name="Picture 0" descr="Snapshot 2011-04-08 14-28-49.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pshot 2011-04-08 14-28-49.tiff"/>
                    <pic:cNvPicPr/>
                  </pic:nvPicPr>
                  <pic:blipFill>
                    <a:blip r:embed="rId9" cstate="print"/>
                    <a:stretch>
                      <a:fillRect/>
                    </a:stretch>
                  </pic:blipFill>
                  <pic:spPr>
                    <a:xfrm>
                      <a:off x="0" y="0"/>
                      <a:ext cx="5270500" cy="3215005"/>
                    </a:xfrm>
                    <a:prstGeom prst="rect">
                      <a:avLst/>
                    </a:prstGeom>
                  </pic:spPr>
                </pic:pic>
              </a:graphicData>
            </a:graphic>
          </wp:inline>
        </w:drawing>
      </w:r>
      <w:r w:rsidR="00945FB2" w:rsidRPr="007E0FF1">
        <w:rPr>
          <w:b/>
          <w:lang w:val="en-GB"/>
        </w:rPr>
        <w:t>Figure 1.</w:t>
      </w:r>
      <w:r w:rsidR="00945FB2" w:rsidRPr="007E0FF1">
        <w:rPr>
          <w:lang w:val="en-GB"/>
        </w:rPr>
        <w:t xml:space="preserve"> </w:t>
      </w:r>
      <w:r w:rsidR="00945FB2" w:rsidRPr="007E0FF1">
        <w:rPr>
          <w:i/>
          <w:lang w:val="en-GB"/>
        </w:rPr>
        <w:t>π</w:t>
      </w:r>
      <w:r w:rsidR="00945FB2" w:rsidRPr="007E0FF1">
        <w:rPr>
          <w:lang w:val="en-GB"/>
        </w:rPr>
        <w:t>* values for both [C</w:t>
      </w:r>
      <w:r w:rsidR="00945FB2" w:rsidRPr="007E0FF1">
        <w:rPr>
          <w:vertAlign w:val="subscript"/>
          <w:lang w:val="en-GB"/>
        </w:rPr>
        <w:t>4</w:t>
      </w:r>
      <w:r w:rsidR="00945FB2" w:rsidRPr="007E0FF1">
        <w:rPr>
          <w:lang w:val="en-GB"/>
        </w:rPr>
        <w:t>C</w:t>
      </w:r>
      <w:r w:rsidR="00945FB2" w:rsidRPr="007E0FF1">
        <w:rPr>
          <w:vertAlign w:val="subscript"/>
          <w:lang w:val="en-GB"/>
        </w:rPr>
        <w:t>1</w:t>
      </w:r>
      <w:r w:rsidR="00945FB2" w:rsidRPr="007E0FF1">
        <w:rPr>
          <w:lang w:val="en-GB"/>
        </w:rPr>
        <w:t>pyrr][NTf</w:t>
      </w:r>
      <w:r w:rsidR="00945FB2" w:rsidRPr="007E0FF1">
        <w:rPr>
          <w:vertAlign w:val="subscript"/>
          <w:lang w:val="en-GB"/>
        </w:rPr>
        <w:t>2</w:t>
      </w:r>
      <w:r w:rsidR="00945FB2" w:rsidRPr="007E0FF1">
        <w:rPr>
          <w:lang w:val="en-GB"/>
        </w:rPr>
        <w:t>] and dichloromethane</w:t>
      </w:r>
      <w:r w:rsidR="00AD497A" w:rsidRPr="007E0FF1">
        <w:rPr>
          <w:lang w:val="en-GB"/>
        </w:rPr>
        <w:t xml:space="preserve">. The dyes are as follows: (a) </w:t>
      </w:r>
      <w:r w:rsidR="00AD497A" w:rsidRPr="007E0FF1">
        <w:t xml:space="preserve">4-dimethylaminobenzoate, (b) Ethyl-4-aminobenzoate, (c) 3-nitroaniline, (d) Ethyl-4-dimethylaminobenzoate, (e) </w:t>
      </w:r>
      <w:r w:rsidR="00AD497A" w:rsidRPr="007E0FF1">
        <w:rPr>
          <w:i/>
          <w:iCs/>
        </w:rPr>
        <w:t>N,N</w:t>
      </w:r>
      <w:r w:rsidR="00AD497A" w:rsidRPr="007E0FF1">
        <w:t xml:space="preserve">-dimethyl-4-aminobenzophenone, (f) 2-nitroaniline, (g) </w:t>
      </w:r>
      <w:r w:rsidR="00AD497A" w:rsidRPr="007E0FF1">
        <w:rPr>
          <w:i/>
          <w:iCs/>
        </w:rPr>
        <w:t>N</w:t>
      </w:r>
      <w:r w:rsidR="00AD497A" w:rsidRPr="007E0FF1">
        <w:t xml:space="preserve">-methyl-4-nitroaniline, (h) </w:t>
      </w:r>
      <w:r w:rsidR="00AD497A" w:rsidRPr="007E0FF1">
        <w:rPr>
          <w:i/>
          <w:iCs/>
        </w:rPr>
        <w:t>N,N</w:t>
      </w:r>
      <w:r w:rsidR="00AD497A" w:rsidRPr="007E0FF1">
        <w:t xml:space="preserve">-diethyl-3-nitroaniline, (i) 2-nitroanisole, (j) </w:t>
      </w:r>
      <w:r w:rsidR="00AD497A" w:rsidRPr="007E0FF1">
        <w:rPr>
          <w:i/>
          <w:iCs/>
        </w:rPr>
        <w:t>trans</w:t>
      </w:r>
      <w:r w:rsidR="00AD497A" w:rsidRPr="007E0FF1">
        <w:t xml:space="preserve">-4-methoxy-β-nitrostyrene, (k) 1-ethyl-4-nitrobenzene, (l) </w:t>
      </w:r>
      <w:r w:rsidR="00AD497A" w:rsidRPr="007E0FF1">
        <w:rPr>
          <w:i/>
          <w:iCs/>
        </w:rPr>
        <w:t>N,N</w:t>
      </w:r>
      <w:r w:rsidR="00AD497A" w:rsidRPr="007E0FF1">
        <w:t>-diethyl-4-nitroaniline.</w:t>
      </w:r>
    </w:p>
    <w:p w:rsidR="00DA39B9" w:rsidRPr="007E0FF1" w:rsidRDefault="00DA39B9" w:rsidP="00DA39B9">
      <w:pPr>
        <w:pStyle w:val="NormalJustified"/>
        <w:spacing w:line="276" w:lineRule="auto"/>
        <w:ind w:firstLine="720"/>
      </w:pPr>
    </w:p>
    <w:p w:rsidR="008B2A31" w:rsidRPr="007E0FF1" w:rsidRDefault="008B2A31" w:rsidP="00DA39B9">
      <w:pPr>
        <w:pStyle w:val="NormalJustified"/>
        <w:spacing w:line="276" w:lineRule="auto"/>
        <w:ind w:firstLine="720"/>
        <w:rPr>
          <w:lang w:val="en-GB"/>
        </w:rPr>
      </w:pPr>
      <w:r w:rsidRPr="007E0FF1">
        <w:rPr>
          <w:lang w:val="en-GB"/>
        </w:rPr>
        <w:t xml:space="preserve">The measured </w:t>
      </w:r>
      <w:r w:rsidRPr="007E0FF1">
        <w:rPr>
          <w:i/>
          <w:lang w:val="en-GB"/>
        </w:rPr>
        <w:t>π</w:t>
      </w:r>
      <w:r w:rsidRPr="007E0FF1">
        <w:rPr>
          <w:lang w:val="en-GB"/>
        </w:rPr>
        <w:t>* values of [C</w:t>
      </w:r>
      <w:r w:rsidRPr="007E0FF1">
        <w:rPr>
          <w:vertAlign w:val="subscript"/>
          <w:lang w:val="en-GB"/>
        </w:rPr>
        <w:t>4</w:t>
      </w:r>
      <w:r w:rsidRPr="007E0FF1">
        <w:rPr>
          <w:lang w:val="en-GB"/>
        </w:rPr>
        <w:t>C</w:t>
      </w:r>
      <w:r w:rsidRPr="007E0FF1">
        <w:rPr>
          <w:vertAlign w:val="subscript"/>
          <w:lang w:val="en-GB"/>
        </w:rPr>
        <w:t>1</w:t>
      </w:r>
      <w:r w:rsidRPr="007E0FF1">
        <w:rPr>
          <w:lang w:val="en-GB"/>
        </w:rPr>
        <w:t>pyrr][NTf</w:t>
      </w:r>
      <w:r w:rsidRPr="007E0FF1">
        <w:rPr>
          <w:vertAlign w:val="subscript"/>
          <w:lang w:val="en-GB"/>
        </w:rPr>
        <w:t>2</w:t>
      </w:r>
      <w:r w:rsidRPr="007E0FF1">
        <w:rPr>
          <w:lang w:val="en-GB"/>
        </w:rPr>
        <w:t xml:space="preserve">] and dichloromethane with each dye is plotted in Figure 1. The measured </w:t>
      </w:r>
      <w:r w:rsidRPr="007E0FF1">
        <w:rPr>
          <w:i/>
          <w:lang w:val="en-GB"/>
        </w:rPr>
        <w:t>π</w:t>
      </w:r>
      <w:r w:rsidRPr="007E0FF1">
        <w:rPr>
          <w:lang w:val="en-GB"/>
        </w:rPr>
        <w:t>* values of [C</w:t>
      </w:r>
      <w:r w:rsidRPr="007E0FF1">
        <w:rPr>
          <w:vertAlign w:val="subscript"/>
          <w:lang w:val="en-GB"/>
        </w:rPr>
        <w:t>4</w:t>
      </w:r>
      <w:r w:rsidRPr="007E0FF1">
        <w:rPr>
          <w:lang w:val="en-GB"/>
        </w:rPr>
        <w:t>C</w:t>
      </w:r>
      <w:r w:rsidRPr="007E0FF1">
        <w:rPr>
          <w:vertAlign w:val="subscript"/>
          <w:lang w:val="en-GB"/>
        </w:rPr>
        <w:t>1</w:t>
      </w:r>
      <w:r w:rsidRPr="007E0FF1">
        <w:rPr>
          <w:lang w:val="en-GB"/>
        </w:rPr>
        <w:t>pyrr][NTf</w:t>
      </w:r>
      <w:r w:rsidRPr="007E0FF1">
        <w:rPr>
          <w:vertAlign w:val="subscript"/>
          <w:lang w:val="en-GB"/>
        </w:rPr>
        <w:t>2</w:t>
      </w:r>
      <w:r w:rsidRPr="007E0FF1">
        <w:rPr>
          <w:lang w:val="en-GB"/>
        </w:rPr>
        <w:t>] are all greater than those of dichloromethane, with only one exception (</w:t>
      </w:r>
      <w:r w:rsidRPr="007E0FF1">
        <w:rPr>
          <w:i/>
          <w:lang w:val="en-GB"/>
        </w:rPr>
        <w:t>trans</w:t>
      </w:r>
      <w:r w:rsidRPr="007E0FF1">
        <w:rPr>
          <w:lang w:val="en-GB"/>
        </w:rPr>
        <w:t xml:space="preserve">-4-methoxy-β-nitrostyrene). Further, the </w:t>
      </w:r>
      <w:r w:rsidRPr="007E0FF1">
        <w:rPr>
          <w:i/>
          <w:lang w:val="en-GB"/>
        </w:rPr>
        <w:t>π</w:t>
      </w:r>
      <w:r w:rsidRPr="007E0FF1">
        <w:rPr>
          <w:lang w:val="en-GB"/>
        </w:rPr>
        <w:t xml:space="preserve">* values follow a similar trend for both solvents, indicating that the fluctuations in the measured </w:t>
      </w:r>
      <w:r w:rsidRPr="007E0FF1">
        <w:rPr>
          <w:i/>
          <w:lang w:val="en-GB"/>
        </w:rPr>
        <w:t>π</w:t>
      </w:r>
      <w:r w:rsidRPr="007E0FF1">
        <w:rPr>
          <w:lang w:val="en-GB"/>
        </w:rPr>
        <w:t xml:space="preserve">* values result largely from differences inherent in the dyes themselves and not from any specific effect due to the ionic liquid. </w:t>
      </w:r>
    </w:p>
    <w:p w:rsidR="00945FB2" w:rsidRPr="007E0FF1" w:rsidRDefault="00AD497A" w:rsidP="008B2A31">
      <w:pPr>
        <w:pStyle w:val="NormalJustified"/>
        <w:spacing w:line="276" w:lineRule="auto"/>
        <w:ind w:firstLine="720"/>
        <w:rPr>
          <w:lang w:val="en-GB"/>
        </w:rPr>
      </w:pPr>
      <w:r w:rsidRPr="007E0FF1">
        <w:rPr>
          <w:lang w:val="en-GB"/>
        </w:rPr>
        <w:t xml:space="preserve"> </w:t>
      </w:r>
      <w:r w:rsidR="008B2A31" w:rsidRPr="007E0FF1">
        <w:rPr>
          <w:lang w:val="en-GB"/>
        </w:rPr>
        <w:t xml:space="preserve">The three more commonly used Kamlet-Taft dyes, </w:t>
      </w:r>
      <w:r w:rsidR="008B2A31" w:rsidRPr="007E0FF1">
        <w:rPr>
          <w:i/>
          <w:lang w:val="en-GB"/>
        </w:rPr>
        <w:t>N,N-</w:t>
      </w:r>
      <w:r w:rsidR="008B2A31" w:rsidRPr="007E0FF1">
        <w:rPr>
          <w:lang w:val="en-GB"/>
        </w:rPr>
        <w:t xml:space="preserve">diethyl-4-nitroaniline, </w:t>
      </w:r>
      <w:r w:rsidR="008B2A31" w:rsidRPr="007E0FF1">
        <w:rPr>
          <w:i/>
          <w:lang w:val="en-GB"/>
        </w:rPr>
        <w:t>N</w:t>
      </w:r>
      <w:r w:rsidR="008B2A31" w:rsidRPr="007E0FF1">
        <w:rPr>
          <w:lang w:val="en-GB"/>
        </w:rPr>
        <w:t xml:space="preserve">-methyl-2-nitroaniline and 2-nitroanisole, were then selected for more detailed examination. </w:t>
      </w:r>
      <w:r w:rsidR="00945AEB">
        <w:rPr>
          <w:lang w:val="en-GB"/>
        </w:rPr>
        <w:t>In our study w</w:t>
      </w:r>
      <w:r w:rsidR="00945AEB" w:rsidRPr="007E0FF1">
        <w:rPr>
          <w:lang w:val="en-GB"/>
        </w:rPr>
        <w:t xml:space="preserve">e </w:t>
      </w:r>
      <w:r w:rsidR="008B2A31" w:rsidRPr="007E0FF1">
        <w:rPr>
          <w:lang w:val="en-GB"/>
        </w:rPr>
        <w:t xml:space="preserve">also included </w:t>
      </w:r>
      <w:r w:rsidR="008B2A31" w:rsidRPr="007E0FF1">
        <w:rPr>
          <w:i/>
          <w:lang w:val="en-GB"/>
        </w:rPr>
        <w:t>N,N-</w:t>
      </w:r>
      <w:r w:rsidR="008B2A31" w:rsidRPr="007E0FF1">
        <w:rPr>
          <w:lang w:val="en-GB"/>
        </w:rPr>
        <w:t>diethyl-3-nitroaniline,</w:t>
      </w:r>
      <w:r w:rsidR="008B2A31" w:rsidRPr="007E0FF1">
        <w:rPr>
          <w:i/>
          <w:lang w:val="en-GB"/>
        </w:rPr>
        <w:t xml:space="preserve"> </w:t>
      </w:r>
      <w:r w:rsidR="008B2A31" w:rsidRPr="007E0FF1">
        <w:rPr>
          <w:lang w:val="en-GB"/>
        </w:rPr>
        <w:t>which gave one of the outlier values for [C</w:t>
      </w:r>
      <w:r w:rsidR="008B2A31" w:rsidRPr="007E0FF1">
        <w:rPr>
          <w:vertAlign w:val="subscript"/>
          <w:lang w:val="en-GB"/>
        </w:rPr>
        <w:t>4</w:t>
      </w:r>
      <w:r w:rsidR="008B2A31" w:rsidRPr="007E0FF1">
        <w:rPr>
          <w:lang w:val="en-GB"/>
        </w:rPr>
        <w:t>C</w:t>
      </w:r>
      <w:r w:rsidR="008B2A31" w:rsidRPr="007E0FF1">
        <w:rPr>
          <w:vertAlign w:val="subscript"/>
          <w:lang w:val="en-GB"/>
        </w:rPr>
        <w:t>1</w:t>
      </w:r>
      <w:r w:rsidR="008B2A31" w:rsidRPr="007E0FF1">
        <w:rPr>
          <w:lang w:val="en-GB"/>
        </w:rPr>
        <w:t>pyrr][NTf</w:t>
      </w:r>
      <w:r w:rsidR="008B2A31" w:rsidRPr="007E0FF1">
        <w:rPr>
          <w:vertAlign w:val="subscript"/>
          <w:lang w:val="en-GB"/>
        </w:rPr>
        <w:t>2</w:t>
      </w:r>
      <w:r w:rsidR="004D076E">
        <w:rPr>
          <w:lang w:val="en-GB"/>
        </w:rPr>
        <w:t>]</w:t>
      </w:r>
      <w:r w:rsidR="008B2A31" w:rsidRPr="007E0FF1">
        <w:rPr>
          <w:lang w:val="en-GB"/>
        </w:rPr>
        <w:t xml:space="preserve"> to ensure that this was a general result and not peculiar to this ionic liquid. All of these are from the original set of 7 Kamlet-Taft dyes and are commercially available.</w:t>
      </w:r>
    </w:p>
    <w:p w:rsidR="008B2A31" w:rsidRPr="007E0FF1" w:rsidRDefault="008B2A31" w:rsidP="008B2A31">
      <w:pPr>
        <w:pStyle w:val="NormalJustified"/>
        <w:spacing w:line="276" w:lineRule="auto"/>
        <w:ind w:firstLine="720"/>
        <w:rPr>
          <w:lang w:val="en-GB"/>
        </w:rPr>
      </w:pPr>
    </w:p>
    <w:p w:rsidR="00945FB2" w:rsidRPr="007E0FF1" w:rsidRDefault="00E4248A" w:rsidP="008B2A31">
      <w:pPr>
        <w:pStyle w:val="NormalJustified"/>
        <w:spacing w:line="276" w:lineRule="auto"/>
        <w:rPr>
          <w:lang w:val="en-GB"/>
        </w:rPr>
      </w:pPr>
      <w:r>
        <w:rPr>
          <w:b/>
          <w:lang w:val="en-GB"/>
        </w:rPr>
        <w:br w:type="page"/>
      </w:r>
      <w:r w:rsidR="00945FB2" w:rsidRPr="007E0FF1">
        <w:rPr>
          <w:b/>
          <w:lang w:val="en-GB"/>
        </w:rPr>
        <w:lastRenderedPageBreak/>
        <w:t xml:space="preserve">Table 2. </w:t>
      </w:r>
      <w:r w:rsidR="00945FB2" w:rsidRPr="007E0FF1">
        <w:rPr>
          <w:lang w:val="en-GB"/>
        </w:rPr>
        <w:t xml:space="preserve">Values of </w:t>
      </w:r>
      <w:r w:rsidR="00945FB2" w:rsidRPr="007E0FF1">
        <w:rPr>
          <w:i/>
          <w:lang w:val="en-GB"/>
        </w:rPr>
        <w:t>π</w:t>
      </w:r>
      <w:r w:rsidR="00945FB2" w:rsidRPr="007E0FF1">
        <w:rPr>
          <w:lang w:val="en-GB"/>
        </w:rPr>
        <w:t xml:space="preserve">* obtained for the ionic liquids studied using four probes. </w:t>
      </w:r>
    </w:p>
    <w:tbl>
      <w:tblPr>
        <w:tblW w:w="5000" w:type="pct"/>
        <w:tblLook w:val="0000" w:firstRow="0" w:lastRow="0" w:firstColumn="0" w:lastColumn="0" w:noHBand="0" w:noVBand="0"/>
      </w:tblPr>
      <w:tblGrid>
        <w:gridCol w:w="2149"/>
        <w:gridCol w:w="1597"/>
        <w:gridCol w:w="1493"/>
        <w:gridCol w:w="1642"/>
        <w:gridCol w:w="1642"/>
      </w:tblGrid>
      <w:tr w:rsidR="00945FB2" w:rsidRPr="007E0FF1" w:rsidTr="007A2D69">
        <w:tc>
          <w:tcPr>
            <w:tcW w:w="1261" w:type="pct"/>
            <w:tcBorders>
              <w:top w:val="double" w:sz="4" w:space="0" w:color="auto"/>
              <w:bottom w:val="single" w:sz="4" w:space="0" w:color="auto"/>
            </w:tcBorders>
          </w:tcPr>
          <w:p w:rsidR="00945FB2" w:rsidRPr="007E0FF1" w:rsidRDefault="00833C38" w:rsidP="008B2A31">
            <w:pPr>
              <w:pStyle w:val="NormalJustified"/>
              <w:spacing w:line="276" w:lineRule="auto"/>
              <w:rPr>
                <w:lang w:val="en-GB"/>
              </w:rPr>
            </w:pPr>
            <w:r w:rsidRPr="007E0FF1">
              <w:rPr>
                <w:lang w:val="en-GB"/>
              </w:rPr>
              <w:t>Ionic liquid</w:t>
            </w:r>
          </w:p>
        </w:tc>
        <w:tc>
          <w:tcPr>
            <w:tcW w:w="937" w:type="pct"/>
            <w:tcBorders>
              <w:top w:val="double" w:sz="4" w:space="0" w:color="auto"/>
              <w:bottom w:val="single" w:sz="4" w:space="0" w:color="auto"/>
            </w:tcBorders>
          </w:tcPr>
          <w:p w:rsidR="00945FB2" w:rsidRPr="007E0FF1" w:rsidRDefault="00945FB2" w:rsidP="008B2A31">
            <w:pPr>
              <w:pStyle w:val="NormalJustified"/>
              <w:spacing w:line="276" w:lineRule="auto"/>
              <w:rPr>
                <w:b/>
                <w:i/>
                <w:lang w:val="en-GB"/>
              </w:rPr>
            </w:pPr>
            <w:r w:rsidRPr="007E0FF1">
              <w:rPr>
                <w:b/>
                <w:i/>
                <w:lang w:val="en-GB"/>
              </w:rPr>
              <w:sym w:font="Symbol" w:char="F070"/>
            </w:r>
            <w:r w:rsidRPr="007E0FF1">
              <w:rPr>
                <w:b/>
                <w:i/>
                <w:lang w:val="en-GB"/>
              </w:rPr>
              <w:t xml:space="preserve">* </w:t>
            </w:r>
          </w:p>
          <w:p w:rsidR="00945FB2" w:rsidRPr="007E0FF1" w:rsidRDefault="00945FB2" w:rsidP="008B2A31">
            <w:pPr>
              <w:pStyle w:val="NormalJustified"/>
              <w:spacing w:line="276" w:lineRule="auto"/>
              <w:rPr>
                <w:lang w:val="en-GB"/>
              </w:rPr>
            </w:pPr>
            <w:r w:rsidRPr="007E0FF1">
              <w:rPr>
                <w:b/>
                <w:lang w:val="en-GB"/>
              </w:rPr>
              <w:t>(</w:t>
            </w:r>
            <w:r w:rsidRPr="007E0FF1">
              <w:rPr>
                <w:i/>
                <w:lang w:val="en-GB"/>
              </w:rPr>
              <w:t>N,N-</w:t>
            </w:r>
            <w:r w:rsidRPr="007E0FF1">
              <w:rPr>
                <w:lang w:val="en-GB"/>
              </w:rPr>
              <w:t>diethyl-4-nitroaniline</w:t>
            </w:r>
            <w:r w:rsidRPr="007E0FF1">
              <w:rPr>
                <w:b/>
                <w:lang w:val="en-GB"/>
              </w:rPr>
              <w:t>)</w:t>
            </w:r>
          </w:p>
        </w:tc>
        <w:tc>
          <w:tcPr>
            <w:tcW w:w="876" w:type="pct"/>
            <w:tcBorders>
              <w:top w:val="double" w:sz="4" w:space="0" w:color="auto"/>
              <w:bottom w:val="single" w:sz="4" w:space="0" w:color="auto"/>
            </w:tcBorders>
          </w:tcPr>
          <w:p w:rsidR="00945FB2" w:rsidRPr="007E0FF1" w:rsidRDefault="00945FB2" w:rsidP="008B2A31">
            <w:pPr>
              <w:pStyle w:val="NormalJustified"/>
              <w:spacing w:line="276" w:lineRule="auto"/>
              <w:rPr>
                <w:b/>
                <w:i/>
                <w:lang w:val="en-GB"/>
              </w:rPr>
            </w:pPr>
            <w:r w:rsidRPr="007E0FF1">
              <w:rPr>
                <w:b/>
                <w:i/>
                <w:lang w:val="en-GB"/>
              </w:rPr>
              <w:sym w:font="Symbol" w:char="F070"/>
            </w:r>
            <w:r w:rsidRPr="007E0FF1">
              <w:rPr>
                <w:b/>
                <w:i/>
                <w:lang w:val="en-GB"/>
              </w:rPr>
              <w:t xml:space="preserve">* </w:t>
            </w:r>
          </w:p>
          <w:p w:rsidR="00945FB2" w:rsidRPr="007E0FF1" w:rsidRDefault="00945FB2" w:rsidP="008B2A31">
            <w:pPr>
              <w:pStyle w:val="NormalJustified"/>
              <w:spacing w:line="276" w:lineRule="auto"/>
              <w:rPr>
                <w:lang w:val="en-GB"/>
              </w:rPr>
            </w:pPr>
            <w:r w:rsidRPr="007E0FF1">
              <w:rPr>
                <w:b/>
                <w:lang w:val="en-GB"/>
              </w:rPr>
              <w:t>(</w:t>
            </w:r>
            <w:r w:rsidRPr="007E0FF1">
              <w:rPr>
                <w:lang w:val="en-GB"/>
              </w:rPr>
              <w:t>4-nitroanisole</w:t>
            </w:r>
            <w:r w:rsidRPr="007E0FF1">
              <w:rPr>
                <w:b/>
                <w:lang w:val="en-GB"/>
              </w:rPr>
              <w:t>)</w:t>
            </w:r>
          </w:p>
        </w:tc>
        <w:tc>
          <w:tcPr>
            <w:tcW w:w="963" w:type="pct"/>
            <w:tcBorders>
              <w:top w:val="double" w:sz="4" w:space="0" w:color="auto"/>
              <w:bottom w:val="single" w:sz="4" w:space="0" w:color="auto"/>
            </w:tcBorders>
          </w:tcPr>
          <w:p w:rsidR="00945FB2" w:rsidRPr="007E0FF1" w:rsidRDefault="00945FB2" w:rsidP="008B2A31">
            <w:pPr>
              <w:pStyle w:val="NormalJustified"/>
              <w:spacing w:line="276" w:lineRule="auto"/>
              <w:rPr>
                <w:b/>
                <w:i/>
                <w:lang w:val="en-GB"/>
              </w:rPr>
            </w:pPr>
            <w:r w:rsidRPr="007E0FF1">
              <w:rPr>
                <w:b/>
                <w:i/>
                <w:lang w:val="en-GB"/>
              </w:rPr>
              <w:sym w:font="Symbol" w:char="F070"/>
            </w:r>
            <w:r w:rsidRPr="007E0FF1">
              <w:rPr>
                <w:b/>
                <w:i/>
                <w:lang w:val="en-GB"/>
              </w:rPr>
              <w:t>*</w:t>
            </w:r>
          </w:p>
          <w:p w:rsidR="00945FB2" w:rsidRPr="007E0FF1" w:rsidRDefault="00945FB2" w:rsidP="008B2A31">
            <w:pPr>
              <w:pStyle w:val="NormalJustified"/>
              <w:spacing w:line="276" w:lineRule="auto"/>
              <w:rPr>
                <w:lang w:val="en-GB"/>
              </w:rPr>
            </w:pPr>
            <w:r w:rsidRPr="007E0FF1">
              <w:rPr>
                <w:b/>
                <w:i/>
                <w:lang w:val="en-GB"/>
              </w:rPr>
              <w:t xml:space="preserve"> </w:t>
            </w:r>
            <w:r w:rsidRPr="007E0FF1">
              <w:rPr>
                <w:b/>
                <w:lang w:val="en-GB"/>
              </w:rPr>
              <w:t>(</w:t>
            </w:r>
            <w:r w:rsidRPr="007E0FF1">
              <w:rPr>
                <w:i/>
                <w:lang w:val="en-GB"/>
              </w:rPr>
              <w:t>N,N-</w:t>
            </w:r>
            <w:r w:rsidRPr="007E0FF1">
              <w:rPr>
                <w:lang w:val="en-GB"/>
              </w:rPr>
              <w:t>diethyl-3-nitroaniline</w:t>
            </w:r>
            <w:r w:rsidRPr="007E0FF1">
              <w:rPr>
                <w:b/>
                <w:lang w:val="en-GB"/>
              </w:rPr>
              <w:t>)</w:t>
            </w:r>
          </w:p>
        </w:tc>
        <w:tc>
          <w:tcPr>
            <w:tcW w:w="963" w:type="pct"/>
            <w:tcBorders>
              <w:top w:val="double" w:sz="4" w:space="0" w:color="auto"/>
              <w:bottom w:val="single" w:sz="4" w:space="0" w:color="auto"/>
            </w:tcBorders>
          </w:tcPr>
          <w:p w:rsidR="00945FB2" w:rsidRPr="007E0FF1" w:rsidRDefault="00945FB2" w:rsidP="008B2A31">
            <w:pPr>
              <w:pStyle w:val="NormalJustified"/>
              <w:spacing w:line="276" w:lineRule="auto"/>
              <w:rPr>
                <w:b/>
                <w:i/>
                <w:lang w:val="en-GB"/>
              </w:rPr>
            </w:pPr>
            <w:r w:rsidRPr="007E0FF1">
              <w:rPr>
                <w:b/>
                <w:i/>
                <w:lang w:val="en-GB"/>
              </w:rPr>
              <w:sym w:font="Symbol" w:char="F070"/>
            </w:r>
            <w:r w:rsidRPr="007E0FF1">
              <w:rPr>
                <w:b/>
                <w:i/>
                <w:lang w:val="en-GB"/>
              </w:rPr>
              <w:t xml:space="preserve">* </w:t>
            </w:r>
          </w:p>
          <w:p w:rsidR="00945FB2" w:rsidRPr="007E0FF1" w:rsidRDefault="00945FB2" w:rsidP="008B2A31">
            <w:pPr>
              <w:pStyle w:val="NormalJustified"/>
              <w:spacing w:line="276" w:lineRule="auto"/>
              <w:rPr>
                <w:lang w:val="en-GB"/>
              </w:rPr>
            </w:pPr>
            <w:r w:rsidRPr="007E0FF1">
              <w:rPr>
                <w:b/>
                <w:lang w:val="en-GB"/>
              </w:rPr>
              <w:t>(</w:t>
            </w:r>
            <w:r w:rsidRPr="007E0FF1">
              <w:rPr>
                <w:i/>
                <w:lang w:val="en-GB"/>
              </w:rPr>
              <w:t>N-</w:t>
            </w:r>
            <w:r w:rsidRPr="007E0FF1">
              <w:rPr>
                <w:lang w:val="en-GB"/>
              </w:rPr>
              <w:t>methyl-2-nitroaniline</w:t>
            </w:r>
            <w:r w:rsidRPr="007E0FF1">
              <w:rPr>
                <w:b/>
                <w:lang w:val="en-GB"/>
              </w:rPr>
              <w:t>)</w:t>
            </w:r>
          </w:p>
        </w:tc>
      </w:tr>
      <w:tr w:rsidR="00945FB2" w:rsidRPr="007E0FF1" w:rsidTr="007A2D69">
        <w:trPr>
          <w:trHeight w:val="454"/>
        </w:trPr>
        <w:tc>
          <w:tcPr>
            <w:tcW w:w="1261" w:type="pct"/>
            <w:tcBorders>
              <w:top w:val="single" w:sz="4" w:space="0" w:color="auto"/>
            </w:tcBorders>
            <w:vAlign w:val="center"/>
          </w:tcPr>
          <w:p w:rsidR="00945FB2" w:rsidRPr="007E0FF1" w:rsidRDefault="00945FB2" w:rsidP="008B2A31">
            <w:pPr>
              <w:pStyle w:val="NormalJustified"/>
              <w:spacing w:line="276" w:lineRule="auto"/>
              <w:rPr>
                <w:lang w:val="en-GB"/>
              </w:rPr>
            </w:pP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im][SbF</w:t>
            </w:r>
            <w:r w:rsidRPr="007E0FF1">
              <w:rPr>
                <w:vertAlign w:val="subscript"/>
                <w:lang w:val="en-GB"/>
              </w:rPr>
              <w:t>6</w:t>
            </w:r>
            <w:r w:rsidRPr="007E0FF1">
              <w:rPr>
                <w:lang w:val="en-GB"/>
              </w:rPr>
              <w:t>]</w:t>
            </w:r>
          </w:p>
        </w:tc>
        <w:tc>
          <w:tcPr>
            <w:tcW w:w="937" w:type="pct"/>
            <w:tcBorders>
              <w:top w:val="single" w:sz="4" w:space="0" w:color="auto"/>
            </w:tcBorders>
            <w:vAlign w:val="center"/>
          </w:tcPr>
          <w:p w:rsidR="00945FB2" w:rsidRPr="007E0FF1" w:rsidRDefault="00945FB2" w:rsidP="008B2A31">
            <w:pPr>
              <w:pStyle w:val="NormalJustified"/>
              <w:spacing w:line="276" w:lineRule="auto"/>
              <w:rPr>
                <w:lang w:val="en-GB"/>
              </w:rPr>
            </w:pPr>
            <w:r w:rsidRPr="007E0FF1">
              <w:rPr>
                <w:lang w:val="en-GB"/>
              </w:rPr>
              <w:t>1.039</w:t>
            </w:r>
          </w:p>
        </w:tc>
        <w:tc>
          <w:tcPr>
            <w:tcW w:w="876" w:type="pct"/>
            <w:tcBorders>
              <w:top w:val="single" w:sz="4" w:space="0" w:color="auto"/>
            </w:tcBorders>
            <w:vAlign w:val="center"/>
          </w:tcPr>
          <w:p w:rsidR="00945FB2" w:rsidRPr="007E0FF1" w:rsidRDefault="00945FB2" w:rsidP="008B2A31">
            <w:pPr>
              <w:pStyle w:val="NormalJustified"/>
              <w:spacing w:line="276" w:lineRule="auto"/>
              <w:rPr>
                <w:lang w:val="en-GB"/>
              </w:rPr>
            </w:pPr>
            <w:r w:rsidRPr="007E0FF1">
              <w:rPr>
                <w:lang w:val="en-GB"/>
              </w:rPr>
              <w:t>0.905</w:t>
            </w:r>
          </w:p>
        </w:tc>
        <w:tc>
          <w:tcPr>
            <w:tcW w:w="963" w:type="pct"/>
            <w:tcBorders>
              <w:top w:val="single" w:sz="4" w:space="0" w:color="auto"/>
            </w:tcBorders>
            <w:vAlign w:val="center"/>
          </w:tcPr>
          <w:p w:rsidR="00945FB2" w:rsidRPr="007E0FF1" w:rsidRDefault="00945FB2" w:rsidP="008B2A31">
            <w:pPr>
              <w:pStyle w:val="NormalJustified"/>
              <w:spacing w:line="276" w:lineRule="auto"/>
              <w:rPr>
                <w:lang w:val="en-GB"/>
              </w:rPr>
            </w:pPr>
            <w:r w:rsidRPr="007E0FF1">
              <w:rPr>
                <w:lang w:val="en-GB"/>
              </w:rPr>
              <w:t>0.706</w:t>
            </w:r>
          </w:p>
        </w:tc>
        <w:tc>
          <w:tcPr>
            <w:tcW w:w="963" w:type="pct"/>
            <w:tcBorders>
              <w:top w:val="single" w:sz="4" w:space="0" w:color="auto"/>
            </w:tcBorders>
            <w:vAlign w:val="center"/>
          </w:tcPr>
          <w:p w:rsidR="00945FB2" w:rsidRPr="007E0FF1" w:rsidRDefault="00945FB2" w:rsidP="008B2A31">
            <w:pPr>
              <w:pStyle w:val="NormalJustified"/>
              <w:spacing w:line="276" w:lineRule="auto"/>
              <w:rPr>
                <w:b/>
                <w:bCs/>
                <w:lang w:val="en-GB"/>
              </w:rPr>
            </w:pPr>
            <w:r w:rsidRPr="007E0FF1">
              <w:rPr>
                <w:lang w:val="en-GB"/>
              </w:rPr>
              <w:t>1.022</w:t>
            </w:r>
          </w:p>
        </w:tc>
      </w:tr>
      <w:tr w:rsidR="00945FB2" w:rsidRPr="007E0FF1" w:rsidTr="007A2D69">
        <w:trPr>
          <w:trHeight w:val="454"/>
        </w:trPr>
        <w:tc>
          <w:tcPr>
            <w:tcW w:w="1261" w:type="pct"/>
            <w:vAlign w:val="center"/>
          </w:tcPr>
          <w:p w:rsidR="00945FB2" w:rsidRPr="007E0FF1" w:rsidRDefault="00945FB2" w:rsidP="008B2A31">
            <w:pPr>
              <w:pStyle w:val="NormalJustified"/>
              <w:spacing w:line="276" w:lineRule="auto"/>
              <w:rPr>
                <w:lang w:val="en-GB"/>
              </w:rPr>
            </w:pP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w:t>
            </w:r>
          </w:p>
        </w:tc>
        <w:tc>
          <w:tcPr>
            <w:tcW w:w="937" w:type="pct"/>
            <w:vAlign w:val="center"/>
          </w:tcPr>
          <w:p w:rsidR="00945FB2" w:rsidRPr="007E0FF1" w:rsidRDefault="00945FB2" w:rsidP="008B2A31">
            <w:pPr>
              <w:pStyle w:val="NormalJustified"/>
              <w:spacing w:line="276" w:lineRule="auto"/>
              <w:rPr>
                <w:lang w:val="en-GB"/>
              </w:rPr>
            </w:pPr>
            <w:r w:rsidRPr="007E0FF1">
              <w:rPr>
                <w:lang w:val="en-GB"/>
              </w:rPr>
              <w:t>1.047</w:t>
            </w:r>
          </w:p>
        </w:tc>
        <w:tc>
          <w:tcPr>
            <w:tcW w:w="876" w:type="pct"/>
            <w:vAlign w:val="center"/>
          </w:tcPr>
          <w:p w:rsidR="00945FB2" w:rsidRPr="007E0FF1" w:rsidRDefault="00945FB2" w:rsidP="008B2A31">
            <w:pPr>
              <w:pStyle w:val="NormalJustified"/>
              <w:spacing w:line="276" w:lineRule="auto"/>
              <w:rPr>
                <w:lang w:val="en-GB"/>
              </w:rPr>
            </w:pPr>
            <w:r w:rsidRPr="007E0FF1">
              <w:rPr>
                <w:lang w:val="en-GB"/>
              </w:rPr>
              <w:t>0.971</w:t>
            </w:r>
          </w:p>
        </w:tc>
        <w:tc>
          <w:tcPr>
            <w:tcW w:w="963" w:type="pct"/>
            <w:vAlign w:val="center"/>
          </w:tcPr>
          <w:p w:rsidR="00945FB2" w:rsidRPr="007E0FF1" w:rsidRDefault="00945FB2" w:rsidP="008B2A31">
            <w:pPr>
              <w:pStyle w:val="NormalJustified"/>
              <w:spacing w:line="276" w:lineRule="auto"/>
              <w:rPr>
                <w:lang w:val="en-GB"/>
              </w:rPr>
            </w:pPr>
            <w:r w:rsidRPr="007E0FF1">
              <w:rPr>
                <w:lang w:val="en-GB"/>
              </w:rPr>
              <w:t>0.709</w:t>
            </w:r>
          </w:p>
        </w:tc>
        <w:tc>
          <w:tcPr>
            <w:tcW w:w="963" w:type="pct"/>
            <w:vAlign w:val="center"/>
          </w:tcPr>
          <w:p w:rsidR="00945FB2" w:rsidRPr="007E0FF1" w:rsidRDefault="00945FB2" w:rsidP="008B2A31">
            <w:pPr>
              <w:pStyle w:val="NormalJustified"/>
              <w:spacing w:line="276" w:lineRule="auto"/>
              <w:rPr>
                <w:lang w:val="en-GB"/>
              </w:rPr>
            </w:pPr>
            <w:r w:rsidRPr="007E0FF1">
              <w:rPr>
                <w:lang w:val="en-GB"/>
              </w:rPr>
              <w:t>1.068</w:t>
            </w:r>
          </w:p>
        </w:tc>
      </w:tr>
      <w:tr w:rsidR="00945FB2" w:rsidRPr="007E0FF1" w:rsidTr="007A2D69">
        <w:trPr>
          <w:trHeight w:val="454"/>
        </w:trPr>
        <w:tc>
          <w:tcPr>
            <w:tcW w:w="1261" w:type="pct"/>
            <w:vAlign w:val="center"/>
          </w:tcPr>
          <w:p w:rsidR="00945FB2" w:rsidRPr="007E0FF1" w:rsidRDefault="00945FB2" w:rsidP="008B2A31">
            <w:pPr>
              <w:pStyle w:val="NormalJustified"/>
              <w:spacing w:line="276" w:lineRule="auto"/>
              <w:rPr>
                <w:lang w:val="en-GB"/>
              </w:rPr>
            </w:pP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im][PF</w:t>
            </w:r>
            <w:r w:rsidRPr="007E0FF1">
              <w:rPr>
                <w:vertAlign w:val="subscript"/>
                <w:lang w:val="en-GB"/>
              </w:rPr>
              <w:t>6</w:t>
            </w:r>
            <w:r w:rsidRPr="007E0FF1">
              <w:rPr>
                <w:lang w:val="en-GB"/>
              </w:rPr>
              <w:t>]</w:t>
            </w:r>
          </w:p>
        </w:tc>
        <w:tc>
          <w:tcPr>
            <w:tcW w:w="937" w:type="pct"/>
            <w:vAlign w:val="center"/>
          </w:tcPr>
          <w:p w:rsidR="00945FB2" w:rsidRPr="007E0FF1" w:rsidRDefault="00945FB2" w:rsidP="008B2A31">
            <w:pPr>
              <w:pStyle w:val="NormalJustified"/>
              <w:spacing w:line="276" w:lineRule="auto"/>
              <w:rPr>
                <w:lang w:val="en-GB"/>
              </w:rPr>
            </w:pPr>
            <w:r w:rsidRPr="007E0FF1">
              <w:rPr>
                <w:lang w:val="en-GB"/>
              </w:rPr>
              <w:t>1.032</w:t>
            </w:r>
          </w:p>
        </w:tc>
        <w:tc>
          <w:tcPr>
            <w:tcW w:w="876" w:type="pct"/>
            <w:vAlign w:val="center"/>
          </w:tcPr>
          <w:p w:rsidR="00945FB2" w:rsidRPr="007E0FF1" w:rsidRDefault="00945FB2" w:rsidP="008B2A31">
            <w:pPr>
              <w:pStyle w:val="NormalJustified"/>
              <w:spacing w:line="276" w:lineRule="auto"/>
              <w:rPr>
                <w:lang w:val="en-GB"/>
              </w:rPr>
            </w:pPr>
            <w:r w:rsidRPr="007E0FF1">
              <w:rPr>
                <w:lang w:val="en-GB"/>
              </w:rPr>
              <w:t>0.927</w:t>
            </w:r>
          </w:p>
        </w:tc>
        <w:tc>
          <w:tcPr>
            <w:tcW w:w="963" w:type="pct"/>
            <w:vAlign w:val="center"/>
          </w:tcPr>
          <w:p w:rsidR="00945FB2" w:rsidRPr="007E0FF1" w:rsidRDefault="00945FB2" w:rsidP="008B2A31">
            <w:pPr>
              <w:pStyle w:val="NormalJustified"/>
              <w:spacing w:line="276" w:lineRule="auto"/>
              <w:rPr>
                <w:lang w:val="en-GB"/>
              </w:rPr>
            </w:pPr>
            <w:r w:rsidRPr="007E0FF1">
              <w:rPr>
                <w:lang w:val="en-GB"/>
              </w:rPr>
              <w:t>0.696</w:t>
            </w:r>
          </w:p>
        </w:tc>
        <w:tc>
          <w:tcPr>
            <w:tcW w:w="963" w:type="pct"/>
            <w:vAlign w:val="center"/>
          </w:tcPr>
          <w:p w:rsidR="00945FB2" w:rsidRPr="007E0FF1" w:rsidRDefault="00945FB2" w:rsidP="008B2A31">
            <w:pPr>
              <w:pStyle w:val="NormalJustified"/>
              <w:spacing w:line="276" w:lineRule="auto"/>
              <w:rPr>
                <w:lang w:val="en-GB"/>
              </w:rPr>
            </w:pPr>
            <w:r w:rsidRPr="007E0FF1">
              <w:rPr>
                <w:lang w:val="en-GB"/>
              </w:rPr>
              <w:t>1.038</w:t>
            </w:r>
          </w:p>
        </w:tc>
      </w:tr>
      <w:tr w:rsidR="00945FB2" w:rsidRPr="007E0FF1" w:rsidTr="007A2D69">
        <w:trPr>
          <w:trHeight w:val="454"/>
        </w:trPr>
        <w:tc>
          <w:tcPr>
            <w:tcW w:w="1261" w:type="pct"/>
            <w:vAlign w:val="center"/>
          </w:tcPr>
          <w:p w:rsidR="00945FB2" w:rsidRPr="007E0FF1" w:rsidRDefault="00945FB2" w:rsidP="008B2A31">
            <w:pPr>
              <w:pStyle w:val="NormalJustified"/>
              <w:spacing w:line="276" w:lineRule="auto"/>
              <w:rPr>
                <w:lang w:val="en-GB"/>
              </w:rPr>
            </w:pP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w:t>
            </w:r>
            <w:r w:rsidR="0076299D" w:rsidRPr="007E0FF1">
              <w:rPr>
                <w:lang w:val="en-GB"/>
              </w:rPr>
              <w:t>[OTf]</w:t>
            </w:r>
          </w:p>
        </w:tc>
        <w:tc>
          <w:tcPr>
            <w:tcW w:w="937" w:type="pct"/>
            <w:vAlign w:val="center"/>
          </w:tcPr>
          <w:p w:rsidR="00945FB2" w:rsidRPr="007E0FF1" w:rsidRDefault="00945FB2" w:rsidP="008B2A31">
            <w:pPr>
              <w:pStyle w:val="NormalJustified"/>
              <w:spacing w:line="276" w:lineRule="auto"/>
              <w:rPr>
                <w:lang w:val="en-GB"/>
              </w:rPr>
            </w:pPr>
            <w:r w:rsidRPr="007E0FF1">
              <w:rPr>
                <w:lang w:val="en-GB"/>
              </w:rPr>
              <w:t>1.006</w:t>
            </w:r>
          </w:p>
        </w:tc>
        <w:tc>
          <w:tcPr>
            <w:tcW w:w="876" w:type="pct"/>
            <w:vAlign w:val="center"/>
          </w:tcPr>
          <w:p w:rsidR="00945FB2" w:rsidRPr="007E0FF1" w:rsidRDefault="00945FB2" w:rsidP="008B2A31">
            <w:pPr>
              <w:pStyle w:val="NormalJustified"/>
              <w:spacing w:line="276" w:lineRule="auto"/>
              <w:rPr>
                <w:lang w:val="en-GB"/>
              </w:rPr>
            </w:pPr>
            <w:r w:rsidRPr="007E0FF1">
              <w:rPr>
                <w:lang w:val="en-GB"/>
              </w:rPr>
              <w:t>0.927</w:t>
            </w:r>
          </w:p>
        </w:tc>
        <w:tc>
          <w:tcPr>
            <w:tcW w:w="963" w:type="pct"/>
            <w:vAlign w:val="center"/>
          </w:tcPr>
          <w:p w:rsidR="00945FB2" w:rsidRPr="007E0FF1" w:rsidRDefault="00945FB2" w:rsidP="008B2A31">
            <w:pPr>
              <w:pStyle w:val="NormalJustified"/>
              <w:spacing w:line="276" w:lineRule="auto"/>
              <w:rPr>
                <w:lang w:val="en-GB"/>
              </w:rPr>
            </w:pPr>
            <w:r w:rsidRPr="007E0FF1">
              <w:rPr>
                <w:lang w:val="en-GB"/>
              </w:rPr>
              <w:t>0.662</w:t>
            </w:r>
          </w:p>
        </w:tc>
        <w:tc>
          <w:tcPr>
            <w:tcW w:w="963" w:type="pct"/>
            <w:vAlign w:val="center"/>
          </w:tcPr>
          <w:p w:rsidR="00945FB2" w:rsidRPr="007E0FF1" w:rsidRDefault="00945FB2" w:rsidP="008B2A31">
            <w:pPr>
              <w:pStyle w:val="NormalJustified"/>
              <w:spacing w:line="276" w:lineRule="auto"/>
              <w:rPr>
                <w:b/>
                <w:bCs/>
                <w:lang w:val="en-GB"/>
              </w:rPr>
            </w:pPr>
            <w:r w:rsidRPr="007E0FF1">
              <w:rPr>
                <w:lang w:val="en-GB"/>
              </w:rPr>
              <w:t>1.009</w:t>
            </w:r>
          </w:p>
        </w:tc>
      </w:tr>
      <w:tr w:rsidR="00945FB2" w:rsidRPr="007E0FF1" w:rsidTr="007A2D69">
        <w:trPr>
          <w:trHeight w:val="454"/>
        </w:trPr>
        <w:tc>
          <w:tcPr>
            <w:tcW w:w="1261" w:type="pct"/>
            <w:vAlign w:val="center"/>
          </w:tcPr>
          <w:p w:rsidR="00945FB2" w:rsidRPr="007E0FF1" w:rsidRDefault="00945FB2" w:rsidP="008B2A31">
            <w:pPr>
              <w:pStyle w:val="NormalJustified"/>
              <w:spacing w:line="276" w:lineRule="auto"/>
              <w:rPr>
                <w:lang w:val="en-GB"/>
              </w:rPr>
            </w:pP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w:t>
            </w:r>
            <w:r w:rsidR="0076299D" w:rsidRPr="007E0FF1">
              <w:rPr>
                <w:lang w:val="en-GB"/>
              </w:rPr>
              <w:t>][NTf</w:t>
            </w:r>
            <w:r w:rsidRPr="007E0FF1">
              <w:rPr>
                <w:vertAlign w:val="subscript"/>
                <w:lang w:val="en-GB"/>
              </w:rPr>
              <w:t>2</w:t>
            </w:r>
            <w:r w:rsidRPr="007E0FF1">
              <w:rPr>
                <w:lang w:val="en-GB"/>
              </w:rPr>
              <w:t>]</w:t>
            </w:r>
          </w:p>
        </w:tc>
        <w:tc>
          <w:tcPr>
            <w:tcW w:w="937" w:type="pct"/>
            <w:vAlign w:val="center"/>
          </w:tcPr>
          <w:p w:rsidR="00945FB2" w:rsidRPr="007E0FF1" w:rsidRDefault="00945FB2" w:rsidP="008B2A31">
            <w:pPr>
              <w:pStyle w:val="NormalJustified"/>
              <w:spacing w:line="276" w:lineRule="auto"/>
              <w:rPr>
                <w:lang w:val="en-GB"/>
              </w:rPr>
            </w:pPr>
            <w:r w:rsidRPr="007E0FF1">
              <w:rPr>
                <w:lang w:val="en-GB"/>
              </w:rPr>
              <w:t>0.984</w:t>
            </w:r>
          </w:p>
        </w:tc>
        <w:tc>
          <w:tcPr>
            <w:tcW w:w="876" w:type="pct"/>
            <w:vAlign w:val="center"/>
          </w:tcPr>
          <w:p w:rsidR="00945FB2" w:rsidRPr="007E0FF1" w:rsidRDefault="00945FB2" w:rsidP="008B2A31">
            <w:pPr>
              <w:pStyle w:val="NormalJustified"/>
              <w:spacing w:line="276" w:lineRule="auto"/>
              <w:rPr>
                <w:lang w:val="en-GB"/>
              </w:rPr>
            </w:pPr>
            <w:r w:rsidRPr="007E0FF1">
              <w:rPr>
                <w:lang w:val="en-GB"/>
              </w:rPr>
              <w:t>0.839</w:t>
            </w:r>
          </w:p>
        </w:tc>
        <w:tc>
          <w:tcPr>
            <w:tcW w:w="963" w:type="pct"/>
            <w:vAlign w:val="center"/>
          </w:tcPr>
          <w:p w:rsidR="00945FB2" w:rsidRPr="007E0FF1" w:rsidRDefault="00945FB2" w:rsidP="008B2A31">
            <w:pPr>
              <w:pStyle w:val="NormalJustified"/>
              <w:spacing w:line="276" w:lineRule="auto"/>
              <w:rPr>
                <w:lang w:val="en-GB"/>
              </w:rPr>
            </w:pPr>
            <w:r w:rsidRPr="007E0FF1">
              <w:rPr>
                <w:lang w:val="en-GB"/>
              </w:rPr>
              <w:t>0.623</w:t>
            </w:r>
          </w:p>
        </w:tc>
        <w:tc>
          <w:tcPr>
            <w:tcW w:w="963" w:type="pct"/>
            <w:vAlign w:val="center"/>
          </w:tcPr>
          <w:p w:rsidR="00945FB2" w:rsidRPr="007E0FF1" w:rsidRDefault="00945FB2" w:rsidP="008B2A31">
            <w:pPr>
              <w:pStyle w:val="NormalJustified"/>
              <w:spacing w:line="276" w:lineRule="auto"/>
              <w:rPr>
                <w:b/>
                <w:bCs/>
                <w:lang w:val="en-GB"/>
              </w:rPr>
            </w:pPr>
            <w:r w:rsidRPr="007E0FF1">
              <w:rPr>
                <w:lang w:val="en-GB"/>
              </w:rPr>
              <w:t>0.949</w:t>
            </w:r>
          </w:p>
        </w:tc>
      </w:tr>
      <w:tr w:rsidR="00945FB2" w:rsidRPr="007E0FF1" w:rsidTr="007A2D69">
        <w:trPr>
          <w:trHeight w:val="454"/>
        </w:trPr>
        <w:tc>
          <w:tcPr>
            <w:tcW w:w="1261" w:type="pct"/>
            <w:vAlign w:val="center"/>
          </w:tcPr>
          <w:p w:rsidR="00945FB2" w:rsidRPr="007E0FF1" w:rsidRDefault="00945FB2" w:rsidP="008B2A31">
            <w:pPr>
              <w:pStyle w:val="NormalJustified"/>
              <w:spacing w:line="276" w:lineRule="auto"/>
              <w:rPr>
                <w:lang w:val="en-GB"/>
              </w:rPr>
            </w:pP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w:t>
            </w:r>
          </w:p>
        </w:tc>
        <w:tc>
          <w:tcPr>
            <w:tcW w:w="937" w:type="pct"/>
            <w:vAlign w:val="center"/>
          </w:tcPr>
          <w:p w:rsidR="00945FB2" w:rsidRPr="007E0FF1" w:rsidRDefault="00945FB2" w:rsidP="008B2A31">
            <w:pPr>
              <w:pStyle w:val="NormalJustified"/>
              <w:spacing w:line="276" w:lineRule="auto"/>
              <w:rPr>
                <w:lang w:val="en-GB"/>
              </w:rPr>
            </w:pPr>
            <w:r w:rsidRPr="007E0FF1">
              <w:rPr>
                <w:lang w:val="en-GB"/>
              </w:rPr>
              <w:t>1.083</w:t>
            </w:r>
          </w:p>
        </w:tc>
        <w:tc>
          <w:tcPr>
            <w:tcW w:w="876" w:type="pct"/>
            <w:vAlign w:val="center"/>
          </w:tcPr>
          <w:p w:rsidR="00945FB2" w:rsidRPr="007E0FF1" w:rsidRDefault="00945FB2" w:rsidP="008B2A31">
            <w:pPr>
              <w:pStyle w:val="NormalJustified"/>
              <w:spacing w:line="276" w:lineRule="auto"/>
              <w:rPr>
                <w:lang w:val="en-GB"/>
              </w:rPr>
            </w:pPr>
            <w:r w:rsidRPr="007E0FF1">
              <w:rPr>
                <w:lang w:val="en-GB"/>
              </w:rPr>
              <w:t>0.996</w:t>
            </w:r>
          </w:p>
        </w:tc>
        <w:tc>
          <w:tcPr>
            <w:tcW w:w="963" w:type="pct"/>
            <w:vAlign w:val="center"/>
          </w:tcPr>
          <w:p w:rsidR="00945FB2" w:rsidRPr="007E0FF1" w:rsidRDefault="00945FB2" w:rsidP="008B2A31">
            <w:pPr>
              <w:pStyle w:val="NormalJustified"/>
              <w:spacing w:line="276" w:lineRule="auto"/>
              <w:rPr>
                <w:bCs/>
                <w:lang w:val="en-GB"/>
              </w:rPr>
            </w:pPr>
            <w:r w:rsidRPr="007E0FF1">
              <w:rPr>
                <w:bCs/>
                <w:lang w:val="en-GB"/>
              </w:rPr>
              <w:t>0.82</w:t>
            </w:r>
            <w:r w:rsidR="007A2D69" w:rsidRPr="007E0FF1">
              <w:rPr>
                <w:bCs/>
                <w:lang w:val="en-GB"/>
              </w:rPr>
              <w:t>0</w:t>
            </w:r>
          </w:p>
        </w:tc>
        <w:tc>
          <w:tcPr>
            <w:tcW w:w="963" w:type="pct"/>
            <w:vAlign w:val="center"/>
          </w:tcPr>
          <w:p w:rsidR="00945FB2" w:rsidRPr="007E0FF1" w:rsidRDefault="00945FB2" w:rsidP="008B2A31">
            <w:pPr>
              <w:pStyle w:val="NormalJustified"/>
              <w:spacing w:line="276" w:lineRule="auto"/>
              <w:rPr>
                <w:b/>
                <w:bCs/>
                <w:lang w:val="en-GB"/>
              </w:rPr>
            </w:pPr>
            <w:r w:rsidRPr="007E0FF1">
              <w:rPr>
                <w:lang w:val="en-GB"/>
              </w:rPr>
              <w:t>1.081</w:t>
            </w:r>
          </w:p>
        </w:tc>
      </w:tr>
      <w:tr w:rsidR="00945FB2" w:rsidRPr="007E0FF1" w:rsidTr="007A2D69">
        <w:trPr>
          <w:trHeight w:val="454"/>
        </w:trPr>
        <w:tc>
          <w:tcPr>
            <w:tcW w:w="1261" w:type="pct"/>
            <w:vAlign w:val="center"/>
          </w:tcPr>
          <w:p w:rsidR="00945FB2" w:rsidRPr="007E0FF1" w:rsidRDefault="00945FB2" w:rsidP="008B2A31">
            <w:pPr>
              <w:pStyle w:val="NormalJustified"/>
              <w:spacing w:line="276" w:lineRule="auto"/>
              <w:rPr>
                <w:lang w:val="en-GB"/>
              </w:rPr>
            </w:pP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w:t>
            </w:r>
            <w:r w:rsidR="0076299D" w:rsidRPr="007E0FF1">
              <w:rPr>
                <w:lang w:val="en-GB"/>
              </w:rPr>
              <w:t>][NTf</w:t>
            </w:r>
            <w:r w:rsidRPr="007E0FF1">
              <w:rPr>
                <w:vertAlign w:val="subscript"/>
                <w:lang w:val="en-GB"/>
              </w:rPr>
              <w:t>2</w:t>
            </w:r>
            <w:r w:rsidRPr="007E0FF1">
              <w:rPr>
                <w:lang w:val="en-GB"/>
              </w:rPr>
              <w:t>]</w:t>
            </w:r>
          </w:p>
        </w:tc>
        <w:tc>
          <w:tcPr>
            <w:tcW w:w="937" w:type="pct"/>
            <w:vAlign w:val="center"/>
          </w:tcPr>
          <w:p w:rsidR="00945FB2" w:rsidRPr="007E0FF1" w:rsidRDefault="00945FB2" w:rsidP="008B2A31">
            <w:pPr>
              <w:pStyle w:val="NormalJustified"/>
              <w:spacing w:line="276" w:lineRule="auto"/>
              <w:rPr>
                <w:lang w:val="en-GB"/>
              </w:rPr>
            </w:pPr>
            <w:r w:rsidRPr="007E0FF1">
              <w:rPr>
                <w:lang w:val="en-GB"/>
              </w:rPr>
              <w:t>1.010</w:t>
            </w:r>
          </w:p>
        </w:tc>
        <w:tc>
          <w:tcPr>
            <w:tcW w:w="876" w:type="pct"/>
            <w:vAlign w:val="center"/>
          </w:tcPr>
          <w:p w:rsidR="00945FB2" w:rsidRPr="007E0FF1" w:rsidRDefault="00945FB2" w:rsidP="008B2A31">
            <w:pPr>
              <w:pStyle w:val="NormalJustified"/>
              <w:spacing w:line="276" w:lineRule="auto"/>
              <w:rPr>
                <w:lang w:val="en-GB"/>
              </w:rPr>
            </w:pPr>
            <w:r w:rsidRPr="007E0FF1">
              <w:rPr>
                <w:lang w:val="en-GB"/>
              </w:rPr>
              <w:t>0.861</w:t>
            </w:r>
          </w:p>
        </w:tc>
        <w:tc>
          <w:tcPr>
            <w:tcW w:w="963" w:type="pct"/>
            <w:vAlign w:val="center"/>
          </w:tcPr>
          <w:p w:rsidR="00945FB2" w:rsidRPr="007E0FF1" w:rsidRDefault="00945FB2" w:rsidP="008B2A31">
            <w:pPr>
              <w:pStyle w:val="NormalJustified"/>
              <w:spacing w:line="276" w:lineRule="auto"/>
              <w:rPr>
                <w:lang w:val="en-GB"/>
              </w:rPr>
            </w:pPr>
            <w:r w:rsidRPr="007E0FF1">
              <w:rPr>
                <w:lang w:val="en-GB"/>
              </w:rPr>
              <w:t>0.670</w:t>
            </w:r>
          </w:p>
        </w:tc>
        <w:tc>
          <w:tcPr>
            <w:tcW w:w="963" w:type="pct"/>
            <w:vAlign w:val="center"/>
          </w:tcPr>
          <w:p w:rsidR="00945FB2" w:rsidRPr="007E0FF1" w:rsidRDefault="00945FB2" w:rsidP="008B2A31">
            <w:pPr>
              <w:pStyle w:val="NormalJustified"/>
              <w:spacing w:line="276" w:lineRule="auto"/>
              <w:rPr>
                <w:b/>
                <w:bCs/>
                <w:lang w:val="en-GB"/>
              </w:rPr>
            </w:pPr>
            <w:r w:rsidRPr="007E0FF1">
              <w:rPr>
                <w:lang w:val="en-GB"/>
              </w:rPr>
              <w:t>0.959</w:t>
            </w:r>
          </w:p>
        </w:tc>
      </w:tr>
      <w:tr w:rsidR="00945FB2" w:rsidRPr="007E0FF1" w:rsidTr="007A2D69">
        <w:trPr>
          <w:trHeight w:val="454"/>
        </w:trPr>
        <w:tc>
          <w:tcPr>
            <w:tcW w:w="1261" w:type="pct"/>
            <w:vAlign w:val="center"/>
          </w:tcPr>
          <w:p w:rsidR="00945FB2" w:rsidRPr="007E0FF1" w:rsidRDefault="00945FB2" w:rsidP="008B2A31">
            <w:pPr>
              <w:pStyle w:val="NormalJustified"/>
              <w:spacing w:line="276" w:lineRule="auto"/>
              <w:rPr>
                <w:lang w:val="en-GB"/>
              </w:rPr>
            </w:pP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pyrr</w:t>
            </w:r>
            <w:r w:rsidR="0076299D" w:rsidRPr="007E0FF1">
              <w:rPr>
                <w:lang w:val="en-GB"/>
              </w:rPr>
              <w:t>][NTf</w:t>
            </w:r>
            <w:r w:rsidRPr="007E0FF1">
              <w:rPr>
                <w:vertAlign w:val="subscript"/>
                <w:lang w:val="en-GB"/>
              </w:rPr>
              <w:t>2</w:t>
            </w:r>
            <w:r w:rsidRPr="007E0FF1">
              <w:rPr>
                <w:lang w:val="en-GB"/>
              </w:rPr>
              <w:t>]</w:t>
            </w:r>
          </w:p>
        </w:tc>
        <w:tc>
          <w:tcPr>
            <w:tcW w:w="937" w:type="pct"/>
            <w:vAlign w:val="center"/>
          </w:tcPr>
          <w:p w:rsidR="00945FB2" w:rsidRPr="007E0FF1" w:rsidRDefault="00945FB2" w:rsidP="008B2A31">
            <w:pPr>
              <w:pStyle w:val="NormalJustified"/>
              <w:spacing w:line="276" w:lineRule="auto"/>
              <w:rPr>
                <w:lang w:val="en-GB"/>
              </w:rPr>
            </w:pPr>
            <w:r w:rsidRPr="007E0FF1">
              <w:rPr>
                <w:lang w:val="en-GB"/>
              </w:rPr>
              <w:t>0.954</w:t>
            </w:r>
          </w:p>
        </w:tc>
        <w:tc>
          <w:tcPr>
            <w:tcW w:w="876" w:type="pct"/>
            <w:vAlign w:val="center"/>
          </w:tcPr>
          <w:p w:rsidR="00945FB2" w:rsidRPr="007E0FF1" w:rsidRDefault="00945FB2" w:rsidP="008B2A31">
            <w:pPr>
              <w:pStyle w:val="NormalJustified"/>
              <w:spacing w:line="276" w:lineRule="auto"/>
              <w:rPr>
                <w:lang w:val="en-GB"/>
              </w:rPr>
            </w:pPr>
            <w:r w:rsidRPr="007E0FF1">
              <w:rPr>
                <w:lang w:val="en-GB"/>
              </w:rPr>
              <w:t>0.813</w:t>
            </w:r>
          </w:p>
        </w:tc>
        <w:tc>
          <w:tcPr>
            <w:tcW w:w="963" w:type="pct"/>
            <w:vAlign w:val="center"/>
          </w:tcPr>
          <w:p w:rsidR="00945FB2" w:rsidRPr="007E0FF1" w:rsidRDefault="00945FB2" w:rsidP="008B2A31">
            <w:pPr>
              <w:pStyle w:val="NormalJustified"/>
              <w:spacing w:line="276" w:lineRule="auto"/>
              <w:rPr>
                <w:lang w:val="en-GB"/>
              </w:rPr>
            </w:pPr>
            <w:r w:rsidRPr="007E0FF1">
              <w:rPr>
                <w:lang w:val="en-GB"/>
              </w:rPr>
              <w:t>0.586</w:t>
            </w:r>
          </w:p>
        </w:tc>
        <w:tc>
          <w:tcPr>
            <w:tcW w:w="963" w:type="pct"/>
            <w:vAlign w:val="center"/>
          </w:tcPr>
          <w:p w:rsidR="00945FB2" w:rsidRPr="007E0FF1" w:rsidRDefault="00945FB2" w:rsidP="008B2A31">
            <w:pPr>
              <w:pStyle w:val="NormalJustified"/>
              <w:spacing w:line="276" w:lineRule="auto"/>
              <w:rPr>
                <w:lang w:val="en-GB"/>
              </w:rPr>
            </w:pPr>
            <w:r w:rsidRPr="007E0FF1">
              <w:rPr>
                <w:lang w:val="en-GB"/>
              </w:rPr>
              <w:t>0.892</w:t>
            </w:r>
          </w:p>
        </w:tc>
      </w:tr>
      <w:tr w:rsidR="007A2D69" w:rsidRPr="007E0FF1" w:rsidTr="007A2D69">
        <w:trPr>
          <w:trHeight w:val="727"/>
        </w:trPr>
        <w:tc>
          <w:tcPr>
            <w:tcW w:w="1261" w:type="pct"/>
            <w:tcBorders>
              <w:bottom w:val="single" w:sz="4" w:space="0" w:color="auto"/>
            </w:tcBorders>
            <w:vAlign w:val="center"/>
          </w:tcPr>
          <w:p w:rsidR="007A2D69" w:rsidRPr="007E0FF1" w:rsidRDefault="007A2D69" w:rsidP="008B2A31">
            <w:pPr>
              <w:pStyle w:val="NormalJustified"/>
              <w:spacing w:line="276" w:lineRule="auto"/>
              <w:rPr>
                <w:lang w:val="en-GB"/>
              </w:rPr>
            </w:pPr>
          </w:p>
        </w:tc>
        <w:tc>
          <w:tcPr>
            <w:tcW w:w="937" w:type="pct"/>
            <w:tcBorders>
              <w:bottom w:val="single" w:sz="4" w:space="0" w:color="auto"/>
            </w:tcBorders>
            <w:vAlign w:val="center"/>
          </w:tcPr>
          <w:p w:rsidR="007A2D69" w:rsidRPr="007E0FF1" w:rsidRDefault="007A2D69" w:rsidP="008B2A31">
            <w:pPr>
              <w:pStyle w:val="NormalJustified"/>
              <w:spacing w:line="276" w:lineRule="auto"/>
              <w:rPr>
                <w:lang w:val="en-GB"/>
              </w:rPr>
            </w:pPr>
          </w:p>
        </w:tc>
        <w:tc>
          <w:tcPr>
            <w:tcW w:w="876" w:type="pct"/>
            <w:tcBorders>
              <w:bottom w:val="single" w:sz="4" w:space="0" w:color="auto"/>
            </w:tcBorders>
            <w:vAlign w:val="center"/>
          </w:tcPr>
          <w:p w:rsidR="007A2D69" w:rsidRPr="007E0FF1" w:rsidRDefault="007A2D69" w:rsidP="008B2A31">
            <w:pPr>
              <w:pStyle w:val="NormalJustified"/>
              <w:spacing w:line="276" w:lineRule="auto"/>
              <w:rPr>
                <w:lang w:val="en-GB"/>
              </w:rPr>
            </w:pPr>
          </w:p>
        </w:tc>
        <w:tc>
          <w:tcPr>
            <w:tcW w:w="963" w:type="pct"/>
            <w:tcBorders>
              <w:bottom w:val="single" w:sz="4" w:space="0" w:color="auto"/>
            </w:tcBorders>
            <w:vAlign w:val="center"/>
          </w:tcPr>
          <w:p w:rsidR="007A2D69" w:rsidRPr="007E0FF1" w:rsidRDefault="007A2D69" w:rsidP="008B2A31">
            <w:pPr>
              <w:pStyle w:val="NormalJustified"/>
              <w:spacing w:line="276" w:lineRule="auto"/>
              <w:rPr>
                <w:lang w:val="en-GB"/>
              </w:rPr>
            </w:pPr>
          </w:p>
        </w:tc>
        <w:tc>
          <w:tcPr>
            <w:tcW w:w="963" w:type="pct"/>
            <w:tcBorders>
              <w:bottom w:val="single" w:sz="4" w:space="0" w:color="auto"/>
            </w:tcBorders>
            <w:vAlign w:val="center"/>
          </w:tcPr>
          <w:p w:rsidR="007A2D69" w:rsidRPr="007E0FF1" w:rsidRDefault="007A2D69" w:rsidP="008B2A31">
            <w:pPr>
              <w:pStyle w:val="NormalJustified"/>
              <w:spacing w:line="276" w:lineRule="auto"/>
              <w:rPr>
                <w:lang w:val="en-GB"/>
              </w:rPr>
            </w:pPr>
          </w:p>
        </w:tc>
      </w:tr>
    </w:tbl>
    <w:p w:rsidR="00945FB2" w:rsidRPr="007E0FF1" w:rsidRDefault="00945FB2" w:rsidP="008B2A31">
      <w:pPr>
        <w:pStyle w:val="NormalJustified"/>
        <w:spacing w:line="276" w:lineRule="auto"/>
        <w:rPr>
          <w:lang w:val="en-GB"/>
        </w:rPr>
      </w:pPr>
    </w:p>
    <w:p w:rsidR="00945FB2" w:rsidRPr="007E0FF1" w:rsidRDefault="00945FB2" w:rsidP="008B2A31">
      <w:pPr>
        <w:pStyle w:val="NormalJustified"/>
        <w:spacing w:line="276" w:lineRule="auto"/>
        <w:ind w:firstLine="720"/>
        <w:rPr>
          <w:lang w:val="en-GB"/>
        </w:rPr>
      </w:pPr>
      <w:r w:rsidRPr="007E0FF1">
        <w:rPr>
          <w:lang w:val="en-GB"/>
        </w:rPr>
        <w:t xml:space="preserve">The first point of note is that no two dyes give precisely the same </w:t>
      </w:r>
      <w:r w:rsidRPr="007E0FF1">
        <w:rPr>
          <w:i/>
          <w:lang w:val="en-GB"/>
        </w:rPr>
        <w:sym w:font="Symbol" w:char="F070"/>
      </w:r>
      <w:r w:rsidRPr="007E0FF1">
        <w:rPr>
          <w:i/>
          <w:lang w:val="en-GB"/>
        </w:rPr>
        <w:t>*</w:t>
      </w:r>
      <w:r w:rsidRPr="007E0FF1">
        <w:rPr>
          <w:lang w:val="en-GB"/>
        </w:rPr>
        <w:t xml:space="preserve"> values for the same ionic liquid. In the cases of </w:t>
      </w:r>
      <w:r w:rsidRPr="007E0FF1">
        <w:rPr>
          <w:i/>
          <w:lang w:val="en-GB"/>
        </w:rPr>
        <w:t>N,N-</w:t>
      </w:r>
      <w:r w:rsidRPr="007E0FF1">
        <w:rPr>
          <w:lang w:val="en-GB"/>
        </w:rPr>
        <w:t xml:space="preserve">diethyl-4-nitroaniline, </w:t>
      </w:r>
      <w:r w:rsidRPr="007E0FF1">
        <w:rPr>
          <w:i/>
          <w:lang w:val="en-GB"/>
        </w:rPr>
        <w:t>N</w:t>
      </w:r>
      <w:r w:rsidRPr="007E0FF1">
        <w:rPr>
          <w:lang w:val="en-GB"/>
        </w:rPr>
        <w:t xml:space="preserve">-methyl-2-nitroaniline the </w:t>
      </w:r>
      <w:r w:rsidRPr="007E0FF1">
        <w:rPr>
          <w:i/>
          <w:lang w:val="en-GB"/>
        </w:rPr>
        <w:sym w:font="Symbol" w:char="F070"/>
      </w:r>
      <w:r w:rsidRPr="007E0FF1">
        <w:rPr>
          <w:i/>
          <w:lang w:val="en-GB"/>
        </w:rPr>
        <w:t>*</w:t>
      </w:r>
      <w:r w:rsidRPr="007E0FF1">
        <w:rPr>
          <w:lang w:val="en-GB"/>
        </w:rPr>
        <w:t xml:space="preserve"> values are so similar that for some ionic liquids {[C</w:t>
      </w:r>
      <w:r w:rsidRPr="007E0FF1">
        <w:rPr>
          <w:vertAlign w:val="subscript"/>
          <w:lang w:val="en-GB"/>
        </w:rPr>
        <w:t>4</w:t>
      </w:r>
      <w:r w:rsidRPr="007E0FF1">
        <w:rPr>
          <w:lang w:val="en-GB"/>
        </w:rPr>
        <w:t>C</w:t>
      </w:r>
      <w:r w:rsidRPr="007E0FF1">
        <w:rPr>
          <w:vertAlign w:val="subscript"/>
          <w:lang w:val="en-GB"/>
        </w:rPr>
        <w:t>1</w:t>
      </w:r>
      <w:r w:rsidRPr="007E0FF1">
        <w:rPr>
          <w:lang w:val="en-GB"/>
        </w:rPr>
        <w:t>im][SbF</w:t>
      </w:r>
      <w:r w:rsidRPr="007E0FF1">
        <w:rPr>
          <w:vertAlign w:val="subscript"/>
          <w:lang w:val="en-GB"/>
        </w:rPr>
        <w:t>6</w:t>
      </w:r>
      <w:r w:rsidRPr="007E0FF1">
        <w:rPr>
          <w:lang w:val="en-GB"/>
        </w:rPr>
        <w:t>], [C</w:t>
      </w:r>
      <w:r w:rsidRPr="007E0FF1">
        <w:rPr>
          <w:vertAlign w:val="subscript"/>
          <w:lang w:val="en-GB"/>
        </w:rPr>
        <w:t>4</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and [C</w:t>
      </w:r>
      <w:r w:rsidRPr="007E0FF1">
        <w:rPr>
          <w:vertAlign w:val="subscript"/>
          <w:lang w:val="en-GB"/>
        </w:rPr>
        <w:t>4</w:t>
      </w:r>
      <w:r w:rsidRPr="007E0FF1">
        <w:rPr>
          <w:lang w:val="en-GB"/>
        </w:rPr>
        <w:t>C</w:t>
      </w:r>
      <w:r w:rsidRPr="007E0FF1">
        <w:rPr>
          <w:vertAlign w:val="subscript"/>
          <w:lang w:val="en-GB"/>
        </w:rPr>
        <w:t>1</w:t>
      </w:r>
      <w:r w:rsidRPr="007E0FF1">
        <w:rPr>
          <w:lang w:val="en-GB"/>
        </w:rPr>
        <w:t>pyrr][NTf</w:t>
      </w:r>
      <w:r w:rsidRPr="007E0FF1">
        <w:rPr>
          <w:vertAlign w:val="subscript"/>
          <w:lang w:val="en-GB"/>
        </w:rPr>
        <w:t>2</w:t>
      </w:r>
      <w:r w:rsidRPr="007E0FF1">
        <w:rPr>
          <w:lang w:val="en-GB"/>
        </w:rPr>
        <w:t xml:space="preserve">]} </w:t>
      </w:r>
      <w:r w:rsidRPr="007E0FF1">
        <w:rPr>
          <w:i/>
          <w:lang w:val="en-GB"/>
        </w:rPr>
        <w:t>N,N-</w:t>
      </w:r>
      <w:r w:rsidRPr="007E0FF1">
        <w:rPr>
          <w:lang w:val="en-GB"/>
        </w:rPr>
        <w:t xml:space="preserve">diethyl-4-nitroaniline gives the highest </w:t>
      </w:r>
      <w:r w:rsidRPr="007E0FF1">
        <w:rPr>
          <w:i/>
          <w:lang w:val="en-GB"/>
        </w:rPr>
        <w:sym w:font="Symbol" w:char="F070"/>
      </w:r>
      <w:r w:rsidRPr="007E0FF1">
        <w:rPr>
          <w:i/>
          <w:lang w:val="en-GB"/>
        </w:rPr>
        <w:t>*</w:t>
      </w:r>
      <w:r w:rsidRPr="007E0FF1">
        <w:rPr>
          <w:lang w:val="en-GB"/>
        </w:rPr>
        <w:t xml:space="preserve"> values, whereas in others {[C</w:t>
      </w:r>
      <w:r w:rsidRPr="007E0FF1">
        <w:rPr>
          <w:vertAlign w:val="subscript"/>
          <w:lang w:val="en-GB"/>
        </w:rPr>
        <w:t>4</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[C</w:t>
      </w:r>
      <w:r w:rsidRPr="007E0FF1">
        <w:rPr>
          <w:vertAlign w:val="subscript"/>
          <w:lang w:val="en-GB"/>
        </w:rPr>
        <w:t>4</w:t>
      </w:r>
      <w:r w:rsidRPr="007E0FF1">
        <w:rPr>
          <w:lang w:val="en-GB"/>
        </w:rPr>
        <w:t>C</w:t>
      </w:r>
      <w:r w:rsidRPr="007E0FF1">
        <w:rPr>
          <w:vertAlign w:val="subscript"/>
          <w:lang w:val="en-GB"/>
        </w:rPr>
        <w:t>1</w:t>
      </w:r>
      <w:r w:rsidRPr="007E0FF1">
        <w:rPr>
          <w:lang w:val="en-GB"/>
        </w:rPr>
        <w:t>im][PF</w:t>
      </w:r>
      <w:r w:rsidRPr="007E0FF1">
        <w:rPr>
          <w:vertAlign w:val="subscript"/>
          <w:lang w:val="en-GB"/>
        </w:rPr>
        <w:t>6</w:t>
      </w:r>
      <w:r w:rsidRPr="007E0FF1">
        <w:rPr>
          <w:lang w:val="en-GB"/>
        </w:rPr>
        <w:t>] and [C</w:t>
      </w:r>
      <w:r w:rsidRPr="007E0FF1">
        <w:rPr>
          <w:vertAlign w:val="subscript"/>
          <w:lang w:val="en-GB"/>
        </w:rPr>
        <w:t>4</w:t>
      </w:r>
      <w:r w:rsidRPr="007E0FF1">
        <w:rPr>
          <w:lang w:val="en-GB"/>
        </w:rPr>
        <w:t>C</w:t>
      </w:r>
      <w:r w:rsidRPr="007E0FF1">
        <w:rPr>
          <w:vertAlign w:val="subscript"/>
          <w:lang w:val="en-GB"/>
        </w:rPr>
        <w:t>1</w:t>
      </w:r>
      <w:r w:rsidRPr="007E0FF1">
        <w:rPr>
          <w:lang w:val="en-GB"/>
        </w:rPr>
        <w:t xml:space="preserve">im][OTf]} </w:t>
      </w:r>
      <w:r w:rsidRPr="007E0FF1">
        <w:rPr>
          <w:i/>
          <w:lang w:val="en-GB"/>
        </w:rPr>
        <w:t>N</w:t>
      </w:r>
      <w:r w:rsidRPr="007E0FF1">
        <w:rPr>
          <w:lang w:val="en-GB"/>
        </w:rPr>
        <w:t xml:space="preserve">-methyl-2-nitroaniline does so. For both 2-nitroanisole and </w:t>
      </w:r>
      <w:r w:rsidRPr="007E0FF1">
        <w:rPr>
          <w:i/>
          <w:lang w:val="en-GB"/>
        </w:rPr>
        <w:t>N,N-</w:t>
      </w:r>
      <w:r w:rsidRPr="007E0FF1">
        <w:rPr>
          <w:lang w:val="en-GB"/>
        </w:rPr>
        <w:t xml:space="preserve">diethyl-3-nitroaniline, the </w:t>
      </w:r>
      <w:r w:rsidRPr="007E0FF1">
        <w:rPr>
          <w:i/>
          <w:lang w:val="en-GB"/>
        </w:rPr>
        <w:sym w:font="Symbol" w:char="F070"/>
      </w:r>
      <w:r w:rsidRPr="007E0FF1">
        <w:rPr>
          <w:i/>
          <w:lang w:val="en-GB"/>
        </w:rPr>
        <w:t>*</w:t>
      </w:r>
      <w:r w:rsidRPr="007E0FF1">
        <w:rPr>
          <w:lang w:val="en-GB"/>
        </w:rPr>
        <w:t xml:space="preserve"> values are sufficiently well separated for the order to always be the same. It can be seen from Figure 2 that the same general trends for the </w:t>
      </w:r>
      <w:r w:rsidRPr="007E0FF1">
        <w:rPr>
          <w:i/>
          <w:lang w:val="en-GB"/>
        </w:rPr>
        <w:sym w:font="Symbol" w:char="F070"/>
      </w:r>
      <w:r w:rsidRPr="007E0FF1">
        <w:rPr>
          <w:i/>
          <w:lang w:val="en-GB"/>
        </w:rPr>
        <w:t>*</w:t>
      </w:r>
      <w:r w:rsidRPr="007E0FF1">
        <w:rPr>
          <w:lang w:val="en-GB"/>
        </w:rPr>
        <w:t xml:space="preserve"> values of the different ionic liquids are followed. For any given dye, the </w:t>
      </w:r>
      <w:r w:rsidRPr="007E0FF1">
        <w:rPr>
          <w:i/>
          <w:lang w:val="en-GB"/>
        </w:rPr>
        <w:t>π*</w:t>
      </w:r>
      <w:r w:rsidRPr="007E0FF1">
        <w:rPr>
          <w:lang w:val="en-GB"/>
        </w:rPr>
        <w:t xml:space="preserve"> values of the ionic liquids studied are high in comparison to most molecular solvents and vary very little. For all of the dyes tested, the [BF</w:t>
      </w:r>
      <w:r w:rsidRPr="007E0FF1">
        <w:rPr>
          <w:vertAlign w:val="subscript"/>
          <w:lang w:val="en-GB"/>
        </w:rPr>
        <w:t>4</w:t>
      </w:r>
      <w:r w:rsidRPr="007E0FF1">
        <w:rPr>
          <w:lang w:val="en-GB"/>
        </w:rPr>
        <w:t>]</w:t>
      </w:r>
      <w:r w:rsidRPr="007E0FF1">
        <w:rPr>
          <w:vertAlign w:val="superscript"/>
          <w:lang w:val="en-GB"/>
        </w:rPr>
        <w:t>-</w:t>
      </w:r>
      <w:r w:rsidRPr="007E0FF1">
        <w:rPr>
          <w:lang w:val="en-GB"/>
        </w:rPr>
        <w:t xml:space="preserve"> ionic liquids gave the highest </w:t>
      </w:r>
      <w:r w:rsidRPr="007E0FF1">
        <w:rPr>
          <w:i/>
          <w:lang w:val="en-GB"/>
        </w:rPr>
        <w:sym w:font="Symbol" w:char="F070"/>
      </w:r>
      <w:r w:rsidRPr="007E0FF1">
        <w:rPr>
          <w:i/>
          <w:lang w:val="en-GB"/>
        </w:rPr>
        <w:t>*</w:t>
      </w:r>
      <w:r w:rsidRPr="007E0FF1">
        <w:rPr>
          <w:lang w:val="en-GB"/>
        </w:rPr>
        <w:t xml:space="preserve"> values for any given cation</w:t>
      </w:r>
      <w:r w:rsidR="0076299D" w:rsidRPr="007E0FF1">
        <w:rPr>
          <w:lang w:val="en-GB"/>
        </w:rPr>
        <w:t>, and the [NTf</w:t>
      </w:r>
      <w:r w:rsidRPr="007E0FF1">
        <w:rPr>
          <w:vertAlign w:val="subscript"/>
          <w:lang w:val="en-GB"/>
        </w:rPr>
        <w:t>2</w:t>
      </w:r>
      <w:r w:rsidRPr="007E0FF1">
        <w:rPr>
          <w:lang w:val="en-GB"/>
        </w:rPr>
        <w:t>]</w:t>
      </w:r>
      <w:r w:rsidRPr="007E0FF1">
        <w:rPr>
          <w:vertAlign w:val="superscript"/>
          <w:lang w:val="en-GB"/>
        </w:rPr>
        <w:t>-</w:t>
      </w:r>
      <w:r w:rsidRPr="007E0FF1">
        <w:rPr>
          <w:lang w:val="en-GB"/>
        </w:rPr>
        <w:t xml:space="preserve"> the lowest with [OTf]</w:t>
      </w:r>
      <w:r w:rsidRPr="007E0FF1">
        <w:rPr>
          <w:vertAlign w:val="superscript"/>
          <w:lang w:val="en-GB"/>
        </w:rPr>
        <w:t>-</w:t>
      </w:r>
      <w:r w:rsidRPr="007E0FF1">
        <w:rPr>
          <w:lang w:val="en-GB"/>
        </w:rPr>
        <w:t>, [PF</w:t>
      </w:r>
      <w:r w:rsidRPr="007E0FF1">
        <w:rPr>
          <w:vertAlign w:val="subscript"/>
          <w:lang w:val="en-GB"/>
        </w:rPr>
        <w:t>6</w:t>
      </w:r>
      <w:r w:rsidRPr="007E0FF1">
        <w:rPr>
          <w:lang w:val="en-GB"/>
        </w:rPr>
        <w:t>]</w:t>
      </w:r>
      <w:r w:rsidRPr="007E0FF1">
        <w:rPr>
          <w:vertAlign w:val="superscript"/>
          <w:lang w:val="en-GB"/>
        </w:rPr>
        <w:t>-</w:t>
      </w:r>
      <w:r w:rsidRPr="007E0FF1">
        <w:rPr>
          <w:lang w:val="en-GB"/>
        </w:rPr>
        <w:t xml:space="preserve"> and [SbF</w:t>
      </w:r>
      <w:r w:rsidRPr="007E0FF1">
        <w:rPr>
          <w:vertAlign w:val="subscript"/>
          <w:lang w:val="en-GB"/>
        </w:rPr>
        <w:t>6</w:t>
      </w:r>
      <w:r w:rsidRPr="007E0FF1">
        <w:rPr>
          <w:lang w:val="en-GB"/>
        </w:rPr>
        <w:t>]</w:t>
      </w:r>
      <w:r w:rsidRPr="007E0FF1">
        <w:rPr>
          <w:vertAlign w:val="superscript"/>
          <w:lang w:val="en-GB"/>
        </w:rPr>
        <w:t>-</w:t>
      </w:r>
      <w:r w:rsidRPr="007E0FF1">
        <w:rPr>
          <w:lang w:val="en-GB"/>
        </w:rPr>
        <w:t xml:space="preserve"> having intermediate values. Upon closer inspection, it can be seen that for the ionic liquids the relative values do change with the dye used; for </w:t>
      </w:r>
      <w:r w:rsidRPr="007E0FF1">
        <w:rPr>
          <w:i/>
          <w:lang w:val="en-GB"/>
        </w:rPr>
        <w:t>N,N-</w:t>
      </w:r>
      <w:r w:rsidRPr="007E0FF1">
        <w:rPr>
          <w:lang w:val="en-GB"/>
        </w:rPr>
        <w:t xml:space="preserve">diethyl-4-nitroaniline and </w:t>
      </w:r>
      <w:r w:rsidRPr="007E0FF1">
        <w:rPr>
          <w:i/>
          <w:lang w:val="en-GB"/>
        </w:rPr>
        <w:t>N,N-</w:t>
      </w:r>
      <w:r w:rsidRPr="007E0FF1">
        <w:rPr>
          <w:lang w:val="en-GB"/>
        </w:rPr>
        <w:t>diethyl-3-nitroaniline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im][SbF</w:t>
      </w:r>
      <w:r w:rsidRPr="007E0FF1">
        <w:rPr>
          <w:vertAlign w:val="subscript"/>
          <w:lang w:val="en-GB"/>
        </w:rPr>
        <w:t>6</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im][PF</w:t>
      </w:r>
      <w:r w:rsidRPr="007E0FF1">
        <w:rPr>
          <w:vertAlign w:val="subscript"/>
          <w:lang w:val="en-GB"/>
        </w:rPr>
        <w:t>6</w:t>
      </w:r>
      <w:r w:rsidR="00A14F2E" w:rsidRPr="007E0FF1">
        <w:rPr>
          <w:lang w:val="en-GB"/>
        </w:rPr>
        <w:t xml:space="preserve">] &gt; </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im][OTf] &gt; [C</w:t>
      </w:r>
      <w:r w:rsidRPr="007E0FF1">
        <w:rPr>
          <w:vertAlign w:val="subscript"/>
          <w:lang w:val="en-GB"/>
        </w:rPr>
        <w:t>4</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pyrr][NTf</w:t>
      </w:r>
      <w:r w:rsidRPr="007E0FF1">
        <w:rPr>
          <w:vertAlign w:val="subscript"/>
          <w:lang w:val="en-GB"/>
        </w:rPr>
        <w:t>2</w:t>
      </w:r>
      <w:r w:rsidRPr="007E0FF1">
        <w:rPr>
          <w:lang w:val="en-GB"/>
        </w:rPr>
        <w:t xml:space="preserve">]; for </w:t>
      </w:r>
      <w:r w:rsidRPr="007E0FF1">
        <w:rPr>
          <w:i/>
          <w:lang w:val="en-GB"/>
        </w:rPr>
        <w:t>N-</w:t>
      </w:r>
      <w:r w:rsidRPr="007E0FF1">
        <w:rPr>
          <w:lang w:val="en-GB"/>
        </w:rPr>
        <w:t>methyl-2-nitroaniline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00A14F2E" w:rsidRPr="007E0FF1">
        <w:rPr>
          <w:lang w:val="en-GB"/>
        </w:rPr>
        <w:t xml:space="preserve">] &gt; </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im][PF</w:t>
      </w:r>
      <w:r w:rsidRPr="007E0FF1">
        <w:rPr>
          <w:vertAlign w:val="subscript"/>
          <w:lang w:val="en-GB"/>
        </w:rPr>
        <w:t>6</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im][SbF</w:t>
      </w:r>
      <w:r w:rsidRPr="007E0FF1">
        <w:rPr>
          <w:vertAlign w:val="subscript"/>
          <w:lang w:val="en-GB"/>
        </w:rPr>
        <w:t>6</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im][OTf] &gt;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pyrr][NTf</w:t>
      </w:r>
      <w:r w:rsidRPr="007E0FF1">
        <w:rPr>
          <w:vertAlign w:val="subscript"/>
          <w:lang w:val="en-GB"/>
        </w:rPr>
        <w:t>2</w:t>
      </w:r>
      <w:r w:rsidRPr="007E0FF1">
        <w:rPr>
          <w:lang w:val="en-GB"/>
        </w:rPr>
        <w:t>]; 4-nitroanisole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im][PF</w:t>
      </w:r>
      <w:r w:rsidRPr="007E0FF1">
        <w:rPr>
          <w:vertAlign w:val="subscript"/>
          <w:lang w:val="en-GB"/>
        </w:rPr>
        <w:t>6</w:t>
      </w:r>
      <w:r w:rsidRPr="007E0FF1">
        <w:rPr>
          <w:lang w:val="en-GB"/>
        </w:rPr>
        <w:t>] = [C</w:t>
      </w:r>
      <w:r w:rsidRPr="007E0FF1">
        <w:rPr>
          <w:vertAlign w:val="subscript"/>
          <w:lang w:val="en-GB"/>
        </w:rPr>
        <w:t>4</w:t>
      </w:r>
      <w:r w:rsidRPr="007E0FF1">
        <w:rPr>
          <w:lang w:val="en-GB"/>
        </w:rPr>
        <w:t>C</w:t>
      </w:r>
      <w:r w:rsidRPr="007E0FF1">
        <w:rPr>
          <w:vertAlign w:val="subscript"/>
          <w:lang w:val="en-GB"/>
        </w:rPr>
        <w:t>1</w:t>
      </w:r>
      <w:r w:rsidRPr="007E0FF1">
        <w:rPr>
          <w:lang w:val="en-GB"/>
        </w:rPr>
        <w:t>im][OTf] &gt; [C</w:t>
      </w:r>
      <w:r w:rsidRPr="007E0FF1">
        <w:rPr>
          <w:vertAlign w:val="subscript"/>
          <w:lang w:val="en-GB"/>
        </w:rPr>
        <w:t>4</w:t>
      </w:r>
      <w:r w:rsidRPr="007E0FF1">
        <w:rPr>
          <w:lang w:val="en-GB"/>
        </w:rPr>
        <w:t>C</w:t>
      </w:r>
      <w:r w:rsidRPr="007E0FF1">
        <w:rPr>
          <w:vertAlign w:val="subscript"/>
          <w:lang w:val="en-GB"/>
        </w:rPr>
        <w:t>1</w:t>
      </w:r>
      <w:r w:rsidRPr="007E0FF1">
        <w:rPr>
          <w:lang w:val="en-GB"/>
        </w:rPr>
        <w:t>im][SbF</w:t>
      </w:r>
      <w:r w:rsidRPr="007E0FF1">
        <w:rPr>
          <w:vertAlign w:val="subscript"/>
          <w:lang w:val="en-GB"/>
        </w:rPr>
        <w:t>6</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pyrr][NTf</w:t>
      </w:r>
      <w:r w:rsidRPr="007E0FF1">
        <w:rPr>
          <w:vertAlign w:val="subscript"/>
          <w:lang w:val="en-GB"/>
        </w:rPr>
        <w:t>2</w:t>
      </w:r>
      <w:r w:rsidRPr="007E0FF1">
        <w:rPr>
          <w:lang w:val="en-GB"/>
        </w:rPr>
        <w:t xml:space="preserve">]. However as can be seen, when inversions of relative polarity do occur it is between ionic liquids with very similar </w:t>
      </w:r>
      <w:r w:rsidRPr="007E0FF1">
        <w:rPr>
          <w:i/>
          <w:lang w:val="en-GB"/>
        </w:rPr>
        <w:sym w:font="Symbol" w:char="F070"/>
      </w:r>
      <w:r w:rsidRPr="007E0FF1">
        <w:rPr>
          <w:i/>
          <w:lang w:val="en-GB"/>
        </w:rPr>
        <w:t>*</w:t>
      </w:r>
      <w:r w:rsidRPr="007E0FF1">
        <w:rPr>
          <w:lang w:val="en-GB"/>
        </w:rPr>
        <w:t xml:space="preserve"> values.</w:t>
      </w:r>
    </w:p>
    <w:p w:rsidR="00945FB2" w:rsidRPr="007E0FF1" w:rsidRDefault="00945FB2" w:rsidP="008B2A31">
      <w:pPr>
        <w:pStyle w:val="NormalJustified"/>
        <w:spacing w:line="276" w:lineRule="auto"/>
        <w:rPr>
          <w:b/>
          <w:lang w:val="en-GB"/>
        </w:rPr>
      </w:pPr>
      <w:bookmarkStart w:id="40" w:name="_Toc146666079"/>
      <w:bookmarkStart w:id="41" w:name="_Toc146788908"/>
    </w:p>
    <w:bookmarkEnd w:id="40"/>
    <w:bookmarkEnd w:id="41"/>
    <w:p w:rsidR="00945FB2" w:rsidRPr="007E0FF1" w:rsidRDefault="00945FB2" w:rsidP="008B2A31">
      <w:pPr>
        <w:pStyle w:val="NormalJustified"/>
        <w:spacing w:line="276" w:lineRule="auto"/>
        <w:rPr>
          <w:lang w:val="en-GB"/>
        </w:rPr>
      </w:pPr>
      <w:r w:rsidRPr="007E0FF1">
        <w:rPr>
          <w:noProof/>
          <w:lang w:val="en-GB" w:eastAsia="en-GB"/>
        </w:rPr>
        <w:drawing>
          <wp:inline distT="0" distB="0" distL="0" distR="0">
            <wp:extent cx="5562600" cy="3352800"/>
            <wp:effectExtent l="25400" t="0" r="0" b="0"/>
            <wp:docPr id="4" name="Picture 4" descr="Snapshot 2011-04-06 20-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napshot 2011-04-06 20-50-44"/>
                    <pic:cNvPicPr>
                      <a:picLocks noChangeAspect="1" noChangeArrowheads="1"/>
                    </pic:cNvPicPr>
                  </pic:nvPicPr>
                  <pic:blipFill>
                    <a:blip r:embed="rId10" cstate="print"/>
                    <a:srcRect/>
                    <a:stretch>
                      <a:fillRect/>
                    </a:stretch>
                  </pic:blipFill>
                  <pic:spPr bwMode="auto">
                    <a:xfrm>
                      <a:off x="0" y="0"/>
                      <a:ext cx="5562600" cy="3352800"/>
                    </a:xfrm>
                    <a:prstGeom prst="rect">
                      <a:avLst/>
                    </a:prstGeom>
                    <a:noFill/>
                    <a:ln w="9525">
                      <a:noFill/>
                      <a:miter lim="800000"/>
                      <a:headEnd/>
                      <a:tailEnd/>
                    </a:ln>
                  </pic:spPr>
                </pic:pic>
              </a:graphicData>
            </a:graphic>
          </wp:inline>
        </w:drawing>
      </w:r>
    </w:p>
    <w:p w:rsidR="00945FB2" w:rsidRPr="007E0FF1" w:rsidRDefault="00945FB2" w:rsidP="008B2A31">
      <w:pPr>
        <w:pStyle w:val="NormalJustified"/>
        <w:spacing w:line="276" w:lineRule="auto"/>
        <w:rPr>
          <w:lang w:val="en-GB"/>
        </w:rPr>
      </w:pPr>
    </w:p>
    <w:p w:rsidR="00945FB2" w:rsidRPr="007E0FF1" w:rsidRDefault="00945FB2" w:rsidP="008B2A31">
      <w:pPr>
        <w:pStyle w:val="NormalJustified"/>
        <w:spacing w:line="276" w:lineRule="auto"/>
        <w:rPr>
          <w:lang w:val="en-GB"/>
        </w:rPr>
      </w:pPr>
      <w:r w:rsidRPr="007E0FF1">
        <w:rPr>
          <w:b/>
          <w:lang w:val="en-GB"/>
        </w:rPr>
        <w:t>Figure 2.</w:t>
      </w:r>
      <w:r w:rsidR="00833C38" w:rsidRPr="007E0FF1">
        <w:rPr>
          <w:lang w:val="en-GB"/>
        </w:rPr>
        <w:t xml:space="preserve"> </w:t>
      </w:r>
      <w:r w:rsidRPr="007E0FF1">
        <w:rPr>
          <w:i/>
          <w:lang w:val="en-GB"/>
        </w:rPr>
        <w:sym w:font="Symbol" w:char="F070"/>
      </w:r>
      <w:r w:rsidRPr="007E0FF1">
        <w:rPr>
          <w:i/>
          <w:lang w:val="en-GB"/>
        </w:rPr>
        <w:t>*</w:t>
      </w:r>
      <w:r w:rsidR="00371384" w:rsidRPr="007E0FF1">
        <w:rPr>
          <w:lang w:val="en-GB"/>
        </w:rPr>
        <w:t xml:space="preserve"> </w:t>
      </w:r>
      <w:r w:rsidRPr="007E0FF1">
        <w:rPr>
          <w:lang w:val="en-GB"/>
        </w:rPr>
        <w:t>values for a range of ionic liquids obtained from four primary probes.</w:t>
      </w:r>
    </w:p>
    <w:p w:rsidR="00945FB2" w:rsidRPr="007E0FF1" w:rsidRDefault="00945FB2" w:rsidP="008B2A31">
      <w:pPr>
        <w:pStyle w:val="NormalJustified"/>
        <w:spacing w:line="276" w:lineRule="auto"/>
        <w:rPr>
          <w:lang w:val="en-GB"/>
        </w:rPr>
      </w:pPr>
    </w:p>
    <w:p w:rsidR="00DA39B9" w:rsidRDefault="00945FB2" w:rsidP="008B2A31">
      <w:pPr>
        <w:spacing w:line="276" w:lineRule="auto"/>
        <w:ind w:firstLine="720"/>
        <w:jc w:val="both"/>
        <w:rPr>
          <w:lang w:val="en-GB"/>
        </w:rPr>
      </w:pPr>
      <w:r w:rsidRPr="007E0FF1">
        <w:rPr>
          <w:lang w:val="en-GB"/>
        </w:rPr>
        <w:t xml:space="preserve">Clearly, the dye used to measure the </w:t>
      </w:r>
      <w:r w:rsidRPr="007E0FF1">
        <w:rPr>
          <w:i/>
          <w:lang w:val="en-GB"/>
        </w:rPr>
        <w:t>π*</w:t>
      </w:r>
      <w:r w:rsidRPr="007E0FF1">
        <w:rPr>
          <w:lang w:val="en-GB"/>
        </w:rPr>
        <w:t xml:space="preserve"> value affects both the absolute value and, for ionic liquids with very similar values, the relative ordering. It should be noted again that </w:t>
      </w:r>
      <w:r w:rsidRPr="007E0FF1">
        <w:rPr>
          <w:i/>
          <w:lang w:val="en-GB"/>
        </w:rPr>
        <w:t>π*</w:t>
      </w:r>
      <w:r w:rsidRPr="007E0FF1">
        <w:rPr>
          <w:lang w:val="en-GB"/>
        </w:rPr>
        <w:t xml:space="preserve"> is not a fundamental physical property of a solvent, but a guide to the effect of the solvent upon solute species that are sensitive to interact</w:t>
      </w:r>
      <w:r w:rsidR="00371384" w:rsidRPr="007E0FF1">
        <w:rPr>
          <w:lang w:val="en-GB"/>
        </w:rPr>
        <w:t xml:space="preserve">ions with the solvent dipoles and, in the case of ionic liquids its ions. </w:t>
      </w:r>
      <w:r w:rsidRPr="007E0FF1">
        <w:rPr>
          <w:lang w:val="en-GB"/>
        </w:rPr>
        <w:t xml:space="preserve">The precise </w:t>
      </w:r>
      <w:r w:rsidRPr="007E0FF1">
        <w:rPr>
          <w:i/>
          <w:lang w:val="en-GB"/>
        </w:rPr>
        <w:t xml:space="preserve">π* </w:t>
      </w:r>
      <w:r w:rsidRPr="007E0FF1">
        <w:rPr>
          <w:lang w:val="en-GB"/>
        </w:rPr>
        <w:t>value has no</w:t>
      </w:r>
      <w:r w:rsidR="00371384" w:rsidRPr="007E0FF1">
        <w:rPr>
          <w:lang w:val="en-GB"/>
        </w:rPr>
        <w:t xml:space="preserve"> fundamental</w:t>
      </w:r>
      <w:r w:rsidRPr="007E0FF1">
        <w:rPr>
          <w:lang w:val="en-GB"/>
        </w:rPr>
        <w:t xml:space="preserve"> physical meaning.  It follows from this that when using only one dye the selection of the preferred </w:t>
      </w:r>
      <w:r w:rsidRPr="007E0FF1">
        <w:rPr>
          <w:i/>
          <w:lang w:val="en-GB"/>
        </w:rPr>
        <w:t>π</w:t>
      </w:r>
      <w:r w:rsidRPr="007E0FF1">
        <w:rPr>
          <w:lang w:val="en-GB"/>
        </w:rPr>
        <w:t xml:space="preserve">* probe must be based upon some other criteria. </w:t>
      </w:r>
      <w:r w:rsidRPr="007E0FF1">
        <w:rPr>
          <w:i/>
          <w:lang w:val="en-GB"/>
        </w:rPr>
        <w:t>N,N-</w:t>
      </w:r>
      <w:r w:rsidR="0057717C">
        <w:rPr>
          <w:lang w:val="en-GB"/>
        </w:rPr>
        <w:t xml:space="preserve">diethyl-4-nitroaniline </w:t>
      </w:r>
      <w:r w:rsidRPr="007E0FF1">
        <w:rPr>
          <w:lang w:val="en-GB"/>
        </w:rPr>
        <w:t xml:space="preserve">is the most commonly used </w:t>
      </w:r>
      <w:r w:rsidRPr="007E0FF1">
        <w:rPr>
          <w:i/>
          <w:lang w:val="en-GB"/>
        </w:rPr>
        <w:t>π</w:t>
      </w:r>
      <w:r w:rsidRPr="007E0FF1">
        <w:rPr>
          <w:lang w:val="en-GB"/>
        </w:rPr>
        <w:t xml:space="preserve">* probe in the literature; it is readily commercially available and chemically robust. For these reasons, we have selected it as our preferred </w:t>
      </w:r>
      <w:r w:rsidRPr="007E0FF1">
        <w:rPr>
          <w:i/>
          <w:lang w:val="en-GB"/>
        </w:rPr>
        <w:t>π</w:t>
      </w:r>
      <w:r w:rsidRPr="007E0FF1">
        <w:rPr>
          <w:lang w:val="en-GB"/>
        </w:rPr>
        <w:t xml:space="preserve">* probe. This does not mean that we believe that other choices are wrong, but it does mean that </w:t>
      </w:r>
      <w:r w:rsidR="007D48AE">
        <w:rPr>
          <w:lang w:val="en-GB"/>
        </w:rPr>
        <w:t>when using</w:t>
      </w:r>
      <w:r w:rsidRPr="007E0FF1">
        <w:rPr>
          <w:lang w:val="en-GB"/>
        </w:rPr>
        <w:t xml:space="preserve"> </w:t>
      </w:r>
      <w:r w:rsidRPr="007E0FF1">
        <w:rPr>
          <w:i/>
          <w:lang w:val="en-GB"/>
        </w:rPr>
        <w:t>π</w:t>
      </w:r>
      <w:r w:rsidRPr="007E0FF1">
        <w:rPr>
          <w:lang w:val="en-GB"/>
        </w:rPr>
        <w:t xml:space="preserve">* values </w:t>
      </w:r>
      <w:r w:rsidR="00EE6B4D">
        <w:rPr>
          <w:lang w:val="en-GB"/>
        </w:rPr>
        <w:t xml:space="preserve">in LSERs (see ESI for method and worked example) </w:t>
      </w:r>
      <w:r w:rsidR="007D48AE">
        <w:rPr>
          <w:lang w:val="en-GB"/>
        </w:rPr>
        <w:t xml:space="preserve">to analyse other solvent dependent phenomena </w:t>
      </w:r>
      <w:r w:rsidR="007D48AE" w:rsidRPr="007E0FF1">
        <w:rPr>
          <w:i/>
          <w:lang w:val="en-GB"/>
        </w:rPr>
        <w:t>π</w:t>
      </w:r>
      <w:r w:rsidR="007D48AE" w:rsidRPr="007E0FF1">
        <w:rPr>
          <w:lang w:val="en-GB"/>
        </w:rPr>
        <w:t xml:space="preserve">* values </w:t>
      </w:r>
      <w:r w:rsidRPr="007E0FF1">
        <w:rPr>
          <w:lang w:val="en-GB"/>
        </w:rPr>
        <w:t xml:space="preserve">arising from other probes cannot be </w:t>
      </w:r>
      <w:r w:rsidR="007D48AE">
        <w:rPr>
          <w:lang w:val="en-GB"/>
        </w:rPr>
        <w:t>used with</w:t>
      </w:r>
      <w:r w:rsidRPr="007E0FF1">
        <w:rPr>
          <w:lang w:val="en-GB"/>
        </w:rPr>
        <w:t xml:space="preserve"> these values.</w:t>
      </w:r>
    </w:p>
    <w:p w:rsidR="009930FE" w:rsidRPr="007E0FF1" w:rsidRDefault="00945FB2" w:rsidP="008B2A31">
      <w:pPr>
        <w:spacing w:line="276" w:lineRule="auto"/>
        <w:ind w:firstLine="720"/>
        <w:jc w:val="both"/>
        <w:rPr>
          <w:lang w:val="en-GB"/>
        </w:rPr>
      </w:pPr>
      <w:r w:rsidRPr="007E0FF1">
        <w:rPr>
          <w:lang w:val="en-GB"/>
        </w:rPr>
        <w:t>Table 4 shows</w:t>
      </w:r>
      <w:r w:rsidRPr="007E0FF1">
        <w:rPr>
          <w:i/>
          <w:lang w:val="en-GB"/>
        </w:rPr>
        <w:t xml:space="preserve"> π</w:t>
      </w:r>
      <w:r w:rsidRPr="007E0FF1">
        <w:rPr>
          <w:lang w:val="en-GB"/>
        </w:rPr>
        <w:t xml:space="preserve">* values for </w:t>
      </w:r>
      <w:r w:rsidR="00945AEB">
        <w:rPr>
          <w:lang w:val="en-GB"/>
        </w:rPr>
        <w:t xml:space="preserve">a </w:t>
      </w:r>
      <w:r w:rsidRPr="007E0FF1">
        <w:rPr>
          <w:lang w:val="en-GB"/>
        </w:rPr>
        <w:t xml:space="preserve">range ionic liquids, both measured by us and from the literature obtained with the dye </w:t>
      </w:r>
      <w:r w:rsidRPr="007E0FF1">
        <w:rPr>
          <w:i/>
          <w:lang w:val="en-GB"/>
        </w:rPr>
        <w:t>N,N-</w:t>
      </w:r>
      <w:r w:rsidRPr="007E0FF1">
        <w:rPr>
          <w:lang w:val="en-GB"/>
        </w:rPr>
        <w:t xml:space="preserve">diethyl-4-nitroaniline at room temperature. </w:t>
      </w:r>
      <w:r w:rsidR="00371384" w:rsidRPr="007E0FF1">
        <w:rPr>
          <w:lang w:val="en-GB"/>
        </w:rPr>
        <w:t xml:space="preserve">Since we are now using just one dye, modern spectrometers are sufficiently precise for these to be reported with several significant figures. However, we believe that this would give a false impression as to how these measurements should be applied when using them to explain other solvent-dependent phenomena. Hence, we report the values to two </w:t>
      </w:r>
      <w:r w:rsidR="00403A57">
        <w:rPr>
          <w:lang w:val="en-GB"/>
        </w:rPr>
        <w:t>decimal places</w:t>
      </w:r>
      <w:r w:rsidR="00371384" w:rsidRPr="007E0FF1">
        <w:rPr>
          <w:lang w:val="en-GB"/>
        </w:rPr>
        <w:t xml:space="preserve">. </w:t>
      </w:r>
    </w:p>
    <w:p w:rsidR="00945FB2" w:rsidRPr="007E0FF1" w:rsidRDefault="00CA0ED6" w:rsidP="008B2A31">
      <w:pPr>
        <w:spacing w:line="276" w:lineRule="auto"/>
        <w:ind w:firstLine="720"/>
        <w:jc w:val="both"/>
        <w:rPr>
          <w:lang w:val="en-GB"/>
        </w:rPr>
      </w:pPr>
      <w:r>
        <w:rPr>
          <w:lang w:val="en-GB"/>
        </w:rPr>
        <w:t>I</w:t>
      </w:r>
      <w:r w:rsidR="00945FB2" w:rsidRPr="007E0FF1">
        <w:rPr>
          <w:lang w:val="en-GB"/>
        </w:rPr>
        <w:t>t can be seen that values for the same ionic liquid (e.g. [C</w:t>
      </w:r>
      <w:r w:rsidR="00945FB2" w:rsidRPr="007E0FF1">
        <w:rPr>
          <w:vertAlign w:val="subscript"/>
          <w:lang w:val="en-GB"/>
        </w:rPr>
        <w:t>4</w:t>
      </w:r>
      <w:r w:rsidR="00945FB2" w:rsidRPr="007E0FF1">
        <w:rPr>
          <w:lang w:val="en-GB"/>
        </w:rPr>
        <w:t>C</w:t>
      </w:r>
      <w:r w:rsidR="00945FB2" w:rsidRPr="007E0FF1">
        <w:rPr>
          <w:vertAlign w:val="subscript"/>
          <w:lang w:val="en-GB"/>
        </w:rPr>
        <w:t>1</w:t>
      </w:r>
      <w:r w:rsidR="00945FB2" w:rsidRPr="007E0FF1">
        <w:rPr>
          <w:lang w:val="en-GB"/>
        </w:rPr>
        <w:t>im][NTf</w:t>
      </w:r>
      <w:r w:rsidR="00945FB2" w:rsidRPr="007E0FF1">
        <w:rPr>
          <w:vertAlign w:val="subscript"/>
          <w:lang w:val="en-GB"/>
        </w:rPr>
        <w:t>2</w:t>
      </w:r>
      <w:r w:rsidR="00945FB2" w:rsidRPr="007E0FF1">
        <w:rPr>
          <w:lang w:val="en-GB"/>
        </w:rPr>
        <w:t>]) from different reports can vary considerably</w:t>
      </w:r>
      <w:r>
        <w:rPr>
          <w:lang w:val="en-GB"/>
        </w:rPr>
        <w:t>, even when the same probe is used</w:t>
      </w:r>
      <w:r w:rsidR="00945FB2" w:rsidRPr="007E0FF1">
        <w:rPr>
          <w:lang w:val="en-GB"/>
        </w:rPr>
        <w:t xml:space="preserve">. It is well known that the low volatility of ionic liquids leads to an inability to purify these by </w:t>
      </w:r>
      <w:r w:rsidR="00945FB2" w:rsidRPr="007E0FF1">
        <w:rPr>
          <w:lang w:val="en-GB"/>
        </w:rPr>
        <w:lastRenderedPageBreak/>
        <w:t xml:space="preserve">distillation and that without the greatest care impurities can be present in these. Studies of Kamlet-Taft values for mixtures of ionic liquids with molecular liquids have shown that these generally </w:t>
      </w:r>
      <w:r w:rsidR="005819C8" w:rsidRPr="007E0FF1">
        <w:rPr>
          <w:lang w:val="en-GB"/>
        </w:rPr>
        <w:t xml:space="preserve">(with the exception of water) </w:t>
      </w:r>
      <w:r w:rsidR="00945FB2" w:rsidRPr="007E0FF1">
        <w:rPr>
          <w:lang w:val="en-GB"/>
        </w:rPr>
        <w:t xml:space="preserve">lead to a reduction in </w:t>
      </w:r>
      <w:r w:rsidR="00945FB2" w:rsidRPr="007E0FF1">
        <w:rPr>
          <w:i/>
          <w:lang w:val="en-GB"/>
        </w:rPr>
        <w:t>π</w:t>
      </w:r>
      <w:r w:rsidR="00945FB2" w:rsidRPr="007E0FF1">
        <w:rPr>
          <w:lang w:val="en-GB"/>
        </w:rPr>
        <w:t>* values.</w:t>
      </w:r>
      <w:bookmarkStart w:id="42" w:name="_Ref279146351"/>
      <w:r w:rsidR="00D64BE8" w:rsidRPr="007E0FF1">
        <w:rPr>
          <w:lang w:val="en-GB"/>
        </w:rPr>
        <w:fldChar w:fldCharType="begin"/>
      </w:r>
      <w:r w:rsidR="0010219C" w:rsidRPr="007E0FF1">
        <w:rPr>
          <w:lang w:val="en-GB"/>
        </w:rPr>
        <w:instrText xml:space="preserve"> NOTEREF _Ref290461354 \f \h  \* MERGEFORMAT </w:instrText>
      </w:r>
      <w:r w:rsidR="00D64BE8" w:rsidRPr="007E0FF1">
        <w:rPr>
          <w:lang w:val="en-GB"/>
        </w:rPr>
      </w:r>
      <w:r w:rsidR="00D64BE8" w:rsidRPr="007E0FF1">
        <w:rPr>
          <w:lang w:val="en-GB"/>
        </w:rPr>
        <w:fldChar w:fldCharType="separate"/>
      </w:r>
      <w:r w:rsidR="008B17B5" w:rsidRPr="007E0FF1">
        <w:rPr>
          <w:rStyle w:val="EndnoteReference"/>
        </w:rPr>
        <w:t>17</w:t>
      </w:r>
      <w:r w:rsidR="00D64BE8" w:rsidRPr="007E0FF1">
        <w:rPr>
          <w:lang w:val="en-GB"/>
        </w:rPr>
        <w:fldChar w:fldCharType="end"/>
      </w:r>
      <w:r w:rsidR="00833C38" w:rsidRPr="007E0FF1">
        <w:rPr>
          <w:vertAlign w:val="superscript"/>
          <w:lang w:val="en-GB"/>
        </w:rPr>
        <w:t xml:space="preserve">, </w:t>
      </w:r>
      <w:bookmarkStart w:id="43" w:name="_Ref290461498"/>
      <w:r w:rsidR="00945FB2" w:rsidRPr="007E0FF1">
        <w:rPr>
          <w:rStyle w:val="EndnoteReference"/>
          <w:lang w:val="en-GB"/>
        </w:rPr>
        <w:endnoteReference w:id="27"/>
      </w:r>
      <w:bookmarkEnd w:id="42"/>
      <w:bookmarkEnd w:id="43"/>
      <w:r w:rsidR="00945FB2" w:rsidRPr="007E0FF1">
        <w:rPr>
          <w:lang w:val="en-GB"/>
        </w:rPr>
        <w:t xml:space="preserve"> However, these impurities should be readily removed from the ionic </w:t>
      </w:r>
      <w:r w:rsidR="00DE6218" w:rsidRPr="007E0FF1">
        <w:rPr>
          <w:lang w:val="en-GB"/>
        </w:rPr>
        <w:t xml:space="preserve">liquid during the vacuum drying </w:t>
      </w:r>
      <w:r w:rsidR="00945FB2" w:rsidRPr="007E0FF1">
        <w:rPr>
          <w:lang w:val="en-GB"/>
        </w:rPr>
        <w:t xml:space="preserve">step of the measurement.  </w:t>
      </w:r>
      <w:r w:rsidR="009930FE" w:rsidRPr="007E0FF1">
        <w:rPr>
          <w:lang w:val="en-GB"/>
        </w:rPr>
        <w:t>Of the</w:t>
      </w:r>
      <w:r w:rsidR="00DE6218" w:rsidRPr="007E0FF1">
        <w:rPr>
          <w:lang w:val="en-GB"/>
        </w:rPr>
        <w:t xml:space="preserve"> other impurities </w:t>
      </w:r>
      <w:r w:rsidR="009930FE" w:rsidRPr="007E0FF1">
        <w:rPr>
          <w:lang w:val="en-GB"/>
        </w:rPr>
        <w:t xml:space="preserve">that are commonly found in ionic liquids, </w:t>
      </w:r>
      <w:r w:rsidR="00360873" w:rsidRPr="007E0FF1">
        <w:rPr>
          <w:lang w:val="en-GB"/>
        </w:rPr>
        <w:t>unreacted alkylamines, in our case methylimidazole, reduce the ionic liquids’</w:t>
      </w:r>
      <w:r w:rsidR="00DE6218" w:rsidRPr="007E0FF1">
        <w:rPr>
          <w:lang w:val="en-GB"/>
        </w:rPr>
        <w:t xml:space="preserve"> </w:t>
      </w:r>
      <w:r w:rsidR="00DE6218" w:rsidRPr="007E0FF1">
        <w:rPr>
          <w:i/>
          <w:lang w:val="en-GB"/>
        </w:rPr>
        <w:t>π</w:t>
      </w:r>
      <w:r w:rsidR="00DE6218" w:rsidRPr="007E0FF1">
        <w:rPr>
          <w:lang w:val="en-GB"/>
        </w:rPr>
        <w:t>* values</w:t>
      </w:r>
      <w:r w:rsidR="00360873" w:rsidRPr="007E0FF1">
        <w:rPr>
          <w:lang w:val="en-GB"/>
        </w:rPr>
        <w:t xml:space="preserve">, </w:t>
      </w:r>
      <w:r w:rsidR="007B4598" w:rsidRPr="007E0FF1">
        <w:rPr>
          <w:lang w:val="en-GB"/>
        </w:rPr>
        <w:t>whereas</w:t>
      </w:r>
      <w:r w:rsidR="00360873" w:rsidRPr="007E0FF1">
        <w:rPr>
          <w:lang w:val="en-GB"/>
        </w:rPr>
        <w:t xml:space="preserve"> others have no impact upon these values</w:t>
      </w:r>
      <w:r w:rsidR="00DE6218" w:rsidRPr="007E0FF1">
        <w:rPr>
          <w:lang w:val="en-GB"/>
        </w:rPr>
        <w:t>.</w:t>
      </w:r>
    </w:p>
    <w:p w:rsidR="00945FB2" w:rsidRPr="007E0FF1" w:rsidRDefault="00945FB2" w:rsidP="008B2A31">
      <w:pPr>
        <w:spacing w:line="276" w:lineRule="auto"/>
        <w:ind w:firstLine="720"/>
        <w:jc w:val="both"/>
        <w:rPr>
          <w:lang w:val="en-GB"/>
        </w:rPr>
      </w:pPr>
      <w:r w:rsidRPr="007E0FF1">
        <w:rPr>
          <w:lang w:val="en-GB"/>
        </w:rPr>
        <w:t xml:space="preserve">Table 4 shows that the </w:t>
      </w:r>
      <w:r w:rsidRPr="007E0FF1">
        <w:rPr>
          <w:i/>
          <w:lang w:val="en-GB"/>
        </w:rPr>
        <w:t>π</w:t>
      </w:r>
      <w:r w:rsidRPr="007E0FF1">
        <w:rPr>
          <w:lang w:val="en-GB"/>
        </w:rPr>
        <w:t xml:space="preserve">* values of ionic liquids </w:t>
      </w:r>
      <w:r w:rsidR="00DE6218" w:rsidRPr="007E0FF1">
        <w:rPr>
          <w:lang w:val="en-GB"/>
        </w:rPr>
        <w:t xml:space="preserve">are high in comparison to molecular solvents and </w:t>
      </w:r>
      <w:r w:rsidRPr="007E0FF1">
        <w:rPr>
          <w:lang w:val="en-GB"/>
        </w:rPr>
        <w:t xml:space="preserve">depend upon both the anion and the cation of the ionic liquid. Alcohol </w:t>
      </w:r>
      <w:r w:rsidR="00DE6218" w:rsidRPr="007E0FF1">
        <w:rPr>
          <w:lang w:val="en-GB"/>
        </w:rPr>
        <w:t>functionalization</w:t>
      </w:r>
      <w:r w:rsidRPr="007E0FF1">
        <w:rPr>
          <w:lang w:val="en-GB"/>
        </w:rPr>
        <w:t xml:space="preserve"> of either the cation or anion can lead to high </w:t>
      </w:r>
      <w:r w:rsidRPr="007E0FF1">
        <w:rPr>
          <w:i/>
          <w:lang w:val="en-GB"/>
        </w:rPr>
        <w:t>π</w:t>
      </w:r>
      <w:r w:rsidRPr="007E0FF1">
        <w:rPr>
          <w:lang w:val="en-GB"/>
        </w:rPr>
        <w:t>* values.</w:t>
      </w:r>
      <w:r w:rsidR="00D64BE8">
        <w:rPr>
          <w:lang w:val="en-GB"/>
        </w:rPr>
        <w:fldChar w:fldCharType="begin"/>
      </w:r>
      <w:r w:rsidR="001B1A53">
        <w:rPr>
          <w:lang w:val="en-GB"/>
        </w:rPr>
        <w:instrText xml:space="preserve"> NOTEREF _Ref299042497 \f \h </w:instrText>
      </w:r>
      <w:r w:rsidR="00D64BE8">
        <w:rPr>
          <w:lang w:val="en-GB"/>
        </w:rPr>
      </w:r>
      <w:r w:rsidR="00D64BE8">
        <w:rPr>
          <w:lang w:val="en-GB"/>
        </w:rPr>
        <w:fldChar w:fldCharType="separate"/>
      </w:r>
      <w:r w:rsidR="001B1A53" w:rsidRPr="001B1A53">
        <w:rPr>
          <w:rStyle w:val="EndnoteReference"/>
        </w:rPr>
        <w:t>18</w:t>
      </w:r>
      <w:r w:rsidR="00D64BE8">
        <w:rPr>
          <w:lang w:val="en-GB"/>
        </w:rPr>
        <w:fldChar w:fldCharType="end"/>
      </w:r>
      <w:r w:rsidR="001B1A53">
        <w:rPr>
          <w:vertAlign w:val="superscript"/>
          <w:lang w:val="en-GB"/>
        </w:rPr>
        <w:t>g</w:t>
      </w:r>
      <w:r w:rsidRPr="007E0FF1">
        <w:rPr>
          <w:lang w:val="en-GB"/>
        </w:rPr>
        <w:t xml:space="preserve"> Generally, </w:t>
      </w:r>
      <w:r w:rsidRPr="007E0FF1">
        <w:rPr>
          <w:i/>
          <w:lang w:val="en-GB"/>
        </w:rPr>
        <w:t>π</w:t>
      </w:r>
      <w:r w:rsidRPr="007E0FF1">
        <w:rPr>
          <w:lang w:val="en-GB"/>
        </w:rPr>
        <w:t>* values</w:t>
      </w:r>
      <w:r w:rsidRPr="007E0FF1">
        <w:t xml:space="preserve"> vary with the cation such that </w:t>
      </w:r>
      <w:r w:rsidR="00592ACB">
        <w:t xml:space="preserve">morpholinium &gt; </w:t>
      </w:r>
      <w:r w:rsidRPr="007E0FF1">
        <w:t>imidazolium &gt; pyridinium &gt; pyrrolidinium &gt; phosphonium ionic liquids sharing the same anion.</w:t>
      </w:r>
      <w:r w:rsidR="00592ACB">
        <w:t xml:space="preserve"> </w:t>
      </w:r>
      <w:r w:rsidRPr="007E0FF1">
        <w:t xml:space="preserve">Increasing the length of the alkyl substituent on the cation reduces the </w:t>
      </w:r>
      <w:r w:rsidRPr="007E0FF1">
        <w:rPr>
          <w:i/>
          <w:lang w:val="en-GB"/>
        </w:rPr>
        <w:t>π</w:t>
      </w:r>
      <w:r w:rsidRPr="007E0FF1">
        <w:rPr>
          <w:lang w:val="en-GB"/>
        </w:rPr>
        <w:t xml:space="preserve">* value. Using a siloxane side chain further decreases the </w:t>
      </w:r>
      <w:r w:rsidRPr="007E0FF1">
        <w:rPr>
          <w:i/>
          <w:lang w:val="en-GB"/>
        </w:rPr>
        <w:t>π</w:t>
      </w:r>
      <w:r w:rsidRPr="007E0FF1">
        <w:rPr>
          <w:lang w:val="en-GB"/>
        </w:rPr>
        <w:t xml:space="preserve">* value. For the anion, the </w:t>
      </w:r>
      <w:r w:rsidRPr="007E0FF1">
        <w:rPr>
          <w:i/>
          <w:lang w:val="en-GB"/>
        </w:rPr>
        <w:t>π</w:t>
      </w:r>
      <w:r w:rsidR="00DE6218" w:rsidRPr="007E0FF1">
        <w:rPr>
          <w:lang w:val="en-GB"/>
        </w:rPr>
        <w:t>* values appear</w:t>
      </w:r>
      <w:r w:rsidRPr="007E0FF1">
        <w:rPr>
          <w:lang w:val="en-GB"/>
        </w:rPr>
        <w:t xml:space="preserve"> to depend upon the size and basicity of the anion. </w:t>
      </w:r>
      <w:r w:rsidR="00DE6218" w:rsidRPr="007E0FF1">
        <w:rPr>
          <w:lang w:val="en-GB"/>
        </w:rPr>
        <w:t>These observations are all consistent with the expected effect of the introduction of solvent ion-solute dipole interactions in the ionic liquid solutions of the dye.</w:t>
      </w:r>
    </w:p>
    <w:p w:rsidR="00641725" w:rsidRDefault="005956B2" w:rsidP="00C136DD">
      <w:pPr>
        <w:spacing w:line="276" w:lineRule="auto"/>
        <w:ind w:firstLine="720"/>
        <w:jc w:val="both"/>
      </w:pPr>
      <w:r w:rsidRPr="007E0FF1">
        <w:rPr>
          <w:lang w:val="en-GB"/>
        </w:rPr>
        <w:t xml:space="preserve">The </w:t>
      </w:r>
      <w:r w:rsidRPr="007E0FF1">
        <w:rPr>
          <w:i/>
          <w:lang w:val="en-GB"/>
        </w:rPr>
        <w:t>π</w:t>
      </w:r>
      <w:r w:rsidRPr="007E0FF1">
        <w:rPr>
          <w:lang w:val="en-GB"/>
        </w:rPr>
        <w:t>* values of ionic liquids are higher than expected on the basis of dielectric constant measurements.</w:t>
      </w:r>
      <w:r w:rsidR="00181501">
        <w:fldChar w:fldCharType="begin"/>
      </w:r>
      <w:r w:rsidR="00181501">
        <w:instrText xml:space="preserve"> NOTEREF</w:instrText>
      </w:r>
      <w:r w:rsidR="00181501">
        <w:instrText xml:space="preserve"> _Ref200801637 \f \h  \* MERGEFORMAT </w:instrText>
      </w:r>
      <w:r w:rsidR="00181501">
        <w:fldChar w:fldCharType="separate"/>
      </w:r>
      <w:r w:rsidRPr="007E0FF1">
        <w:t>5</w:t>
      </w:r>
      <w:r w:rsidR="00181501">
        <w:fldChar w:fldCharType="end"/>
      </w:r>
      <w:r w:rsidRPr="007E0FF1">
        <w:rPr>
          <w:lang w:val="en-GB"/>
        </w:rPr>
        <w:t xml:space="preserve"> </w:t>
      </w:r>
      <w:r w:rsidRPr="007E0FF1">
        <w:t xml:space="preserve">Spange </w:t>
      </w:r>
      <w:r w:rsidRPr="007E0FF1">
        <w:rPr>
          <w:i/>
        </w:rPr>
        <w:t>et al</w:t>
      </w:r>
      <w:r w:rsidRPr="007E0FF1">
        <w:t>.</w:t>
      </w:r>
      <w:bookmarkStart w:id="44" w:name="_Ref228852566"/>
      <w:r w:rsidRPr="007E0FF1">
        <w:rPr>
          <w:rStyle w:val="EndnoteReference"/>
        </w:rPr>
        <w:endnoteReference w:id="28"/>
      </w:r>
      <w:bookmarkEnd w:id="44"/>
      <w:r w:rsidRPr="007E0FF1">
        <w:t xml:space="preserve"> generated </w:t>
      </w:r>
      <w:r w:rsidRPr="007E0FF1">
        <w:rPr>
          <w:i/>
          <w:lang w:val="en-GB"/>
        </w:rPr>
        <w:t>π</w:t>
      </w:r>
      <w:r w:rsidRPr="007E0FF1">
        <w:rPr>
          <w:lang w:val="en-GB"/>
        </w:rPr>
        <w:t>* values for some ionic liquids using</w:t>
      </w:r>
      <w:r w:rsidRPr="007E0FF1">
        <w:t xml:space="preserve"> 4-</w:t>
      </w:r>
      <w:r w:rsidRPr="007E0FF1">
        <w:rPr>
          <w:i/>
        </w:rPr>
        <w:t>tert</w:t>
      </w:r>
      <w:r w:rsidRPr="007E0FF1">
        <w:t>-butyl-2-(dicyanomethylene)-5-[4-(diethylamino)benzylidene]-Δ</w:t>
      </w:r>
      <w:r w:rsidRPr="007E0FF1">
        <w:rPr>
          <w:vertAlign w:val="superscript"/>
        </w:rPr>
        <w:t>3</w:t>
      </w:r>
      <w:r w:rsidRPr="007E0FF1">
        <w:t xml:space="preserve">-thiazoline as the probe. There is insufficient overlap of examples with the ionic liquids in Table 4 to be able to determine any quantitative correlation between the two sets of values, but for those ionic liquids that are present in both sets the </w:t>
      </w:r>
      <w:r w:rsidRPr="007E0FF1">
        <w:rPr>
          <w:i/>
        </w:rPr>
        <w:sym w:font="Symbol" w:char="F070"/>
      </w:r>
      <w:r w:rsidRPr="007E0FF1">
        <w:t xml:space="preserve">* values are similar.  In that study, the high </w:t>
      </w:r>
      <w:r w:rsidRPr="007E0FF1">
        <w:rPr>
          <w:i/>
        </w:rPr>
        <w:sym w:font="Symbol" w:char="F070"/>
      </w:r>
      <w:r w:rsidRPr="007E0FF1">
        <w:t xml:space="preserve">* values were attributed to the ionic liquids being aromatic (they all had 1,3-dialkylimidazolium cations). However, this does not explain the high </w:t>
      </w:r>
      <w:r w:rsidRPr="007E0FF1">
        <w:rPr>
          <w:i/>
        </w:rPr>
        <w:sym w:font="Symbol" w:char="F070"/>
      </w:r>
      <w:r w:rsidRPr="007E0FF1">
        <w:t>* values found for ionic liquids in general.</w:t>
      </w:r>
      <w:r>
        <w:t xml:space="preserve"> </w:t>
      </w:r>
    </w:p>
    <w:p w:rsidR="00945FB2" w:rsidRDefault="00945FB2" w:rsidP="00C136DD">
      <w:pPr>
        <w:spacing w:line="276" w:lineRule="auto"/>
        <w:ind w:firstLine="720"/>
        <w:jc w:val="both"/>
        <w:rPr>
          <w:lang w:val="en-GB"/>
        </w:rPr>
      </w:pPr>
      <w:r w:rsidRPr="007E0FF1">
        <w:rPr>
          <w:lang w:val="en-GB"/>
        </w:rPr>
        <w:t xml:space="preserve">In a study using </w:t>
      </w:r>
      <w:r w:rsidRPr="007E0FF1">
        <w:rPr>
          <w:i/>
          <w:lang w:val="en-GB"/>
        </w:rPr>
        <w:t>N</w:t>
      </w:r>
      <w:r w:rsidRPr="007E0FF1">
        <w:rPr>
          <w:lang w:val="en-GB"/>
        </w:rPr>
        <w:t>,</w:t>
      </w:r>
      <w:r w:rsidRPr="007E0FF1">
        <w:rPr>
          <w:i/>
          <w:lang w:val="en-GB"/>
        </w:rPr>
        <w:t>N</w:t>
      </w:r>
      <w:r w:rsidRPr="007E0FF1">
        <w:rPr>
          <w:lang w:val="en-GB"/>
        </w:rPr>
        <w:t xml:space="preserve">-dimethyl-4-nitroaniline </w:t>
      </w:r>
      <w:r w:rsidRPr="007E0FF1">
        <w:t xml:space="preserve">Kimura </w:t>
      </w:r>
      <w:r w:rsidRPr="007E0FF1">
        <w:rPr>
          <w:i/>
        </w:rPr>
        <w:t>et al</w:t>
      </w:r>
      <w:r w:rsidRPr="007E0FF1">
        <w:t>.</w:t>
      </w:r>
      <w:bookmarkStart w:id="45" w:name="_Ref228794397"/>
      <w:r w:rsidRPr="007E0FF1">
        <w:rPr>
          <w:rStyle w:val="EndnoteReference"/>
        </w:rPr>
        <w:endnoteReference w:id="29"/>
      </w:r>
      <w:bookmarkEnd w:id="45"/>
      <w:r w:rsidR="00C136DD">
        <w:t xml:space="preserve"> </w:t>
      </w:r>
      <w:r w:rsidRPr="007E0FF1">
        <w:t xml:space="preserve">noted that the </w:t>
      </w:r>
      <w:r w:rsidRPr="007E0FF1">
        <w:rPr>
          <w:i/>
        </w:rPr>
        <w:sym w:font="Symbol" w:char="F070"/>
      </w:r>
      <w:r w:rsidRPr="007E0FF1">
        <w:t xml:space="preserve">* values showed reasonable correlation with the molar concentrations of the ionic liquids, concluding that the consideration of the relative charge concentrations of the ionic liquids was a useful way of understanding the values. </w:t>
      </w:r>
      <w:r w:rsidRPr="007E0FF1">
        <w:rPr>
          <w:lang w:val="en-GB"/>
        </w:rPr>
        <w:t>At the same time Kobrak</w:t>
      </w:r>
      <w:r w:rsidRPr="007E0FF1">
        <w:rPr>
          <w:rStyle w:val="EndnoteReference"/>
          <w:lang w:val="en-GB"/>
        </w:rPr>
        <w:endnoteReference w:id="30"/>
      </w:r>
      <w:r w:rsidRPr="007E0FF1">
        <w:rPr>
          <w:lang w:val="en-GB"/>
        </w:rPr>
        <w:t xml:space="preserve"> advanced the idea that the electrostatic part of ionic liquid interactions (the greatest of any interactions leading to </w:t>
      </w:r>
      <w:r w:rsidRPr="007E0FF1">
        <w:rPr>
          <w:i/>
          <w:lang w:val="en-GB"/>
        </w:rPr>
        <w:sym w:font="Symbol" w:char="F070"/>
      </w:r>
      <w:r w:rsidRPr="007E0FF1">
        <w:rPr>
          <w:lang w:val="en-GB"/>
        </w:rPr>
        <w:t xml:space="preserve">* values) with a neutral dipolar solute should be determined primarily by the number density of the ionic liquid ions. </w:t>
      </w:r>
      <w:r w:rsidR="00641725">
        <w:t>These</w:t>
      </w:r>
      <w:r w:rsidR="00641725" w:rsidRPr="007E0FF1">
        <w:t xml:space="preserve"> trend</w:t>
      </w:r>
      <w:r w:rsidR="00641725">
        <w:t>s</w:t>
      </w:r>
      <w:r w:rsidR="00641725" w:rsidRPr="007E0FF1">
        <w:t xml:space="preserve"> also </w:t>
      </w:r>
      <w:r w:rsidR="00641725">
        <w:t>appear to hold</w:t>
      </w:r>
      <w:r w:rsidR="00641725" w:rsidRPr="007E0FF1">
        <w:t xml:space="preserve"> for </w:t>
      </w:r>
      <w:r w:rsidR="00641725" w:rsidRPr="007E0FF1">
        <w:rPr>
          <w:lang w:val="en-GB"/>
        </w:rPr>
        <w:t xml:space="preserve">values derived from measurements with </w:t>
      </w:r>
      <w:r w:rsidR="00641725" w:rsidRPr="007E0FF1">
        <w:rPr>
          <w:i/>
          <w:lang w:val="en-GB"/>
        </w:rPr>
        <w:t>N</w:t>
      </w:r>
      <w:r w:rsidR="00641725" w:rsidRPr="007E0FF1">
        <w:rPr>
          <w:lang w:val="en-GB"/>
        </w:rPr>
        <w:t>,</w:t>
      </w:r>
      <w:r w:rsidR="00641725" w:rsidRPr="007E0FF1">
        <w:rPr>
          <w:i/>
          <w:lang w:val="en-GB"/>
        </w:rPr>
        <w:t>N</w:t>
      </w:r>
      <w:r w:rsidR="00641725" w:rsidRPr="007E0FF1">
        <w:rPr>
          <w:lang w:val="en-GB"/>
        </w:rPr>
        <w:t>-diethyl-4-nitroaniline (Table 4)</w:t>
      </w:r>
      <w:r w:rsidR="00641725">
        <w:rPr>
          <w:lang w:val="en-GB"/>
        </w:rPr>
        <w:t xml:space="preserve"> for ionic liquids with the same cation type, but different alkyl chain lengths</w:t>
      </w:r>
      <w:r w:rsidR="00641725" w:rsidRPr="007E0FF1">
        <w:rPr>
          <w:lang w:val="en-GB"/>
        </w:rPr>
        <w:t xml:space="preserve">. </w:t>
      </w:r>
      <w:r w:rsidRPr="007E0FF1">
        <w:rPr>
          <w:lang w:val="en-GB"/>
        </w:rPr>
        <w:t xml:space="preserve">These trends probably arise because charge concentration is a good guide to the ability of the ions to closely approach the probe molecule, and/or for the probe molecule to align itself with the ionic liquid ions, so as to maximise the strength of the </w:t>
      </w:r>
      <w:r w:rsidR="00486B62" w:rsidRPr="007E0FF1">
        <w:rPr>
          <w:lang w:val="en-GB"/>
        </w:rPr>
        <w:t>Coulomb</w:t>
      </w:r>
      <w:r w:rsidRPr="007E0FF1">
        <w:rPr>
          <w:lang w:val="en-GB"/>
        </w:rPr>
        <w:t xml:space="preserve"> interactions between the ionic liquid and the probe’s dipole, which in turn lead</w:t>
      </w:r>
      <w:r w:rsidR="00EE6B4D">
        <w:rPr>
          <w:lang w:val="en-GB"/>
        </w:rPr>
        <w:t>s</w:t>
      </w:r>
      <w:r w:rsidRPr="007E0FF1">
        <w:rPr>
          <w:lang w:val="en-GB"/>
        </w:rPr>
        <w:t xml:space="preserve"> to a greater effect upon its spectrum.</w:t>
      </w:r>
    </w:p>
    <w:p w:rsidR="00EB64FD" w:rsidRPr="00C136DD" w:rsidRDefault="00605102" w:rsidP="00C136DD">
      <w:pPr>
        <w:spacing w:line="276" w:lineRule="auto"/>
        <w:ind w:firstLine="720"/>
        <w:jc w:val="both"/>
      </w:pPr>
      <w:r>
        <w:rPr>
          <w:lang w:val="en-GB"/>
        </w:rPr>
        <w:t>By c</w:t>
      </w:r>
      <w:r w:rsidR="00EB64FD">
        <w:rPr>
          <w:lang w:val="en-GB"/>
        </w:rPr>
        <w:t xml:space="preserve">ombining all of the above it can be </w:t>
      </w:r>
      <w:r>
        <w:rPr>
          <w:lang w:val="en-GB"/>
        </w:rPr>
        <w:t>summarised</w:t>
      </w:r>
      <w:r w:rsidR="00EB64FD">
        <w:rPr>
          <w:lang w:val="en-GB"/>
        </w:rPr>
        <w:t xml:space="preserve"> that the </w:t>
      </w:r>
      <w:r w:rsidR="00EB64FD" w:rsidRPr="007E0FF1">
        <w:rPr>
          <w:i/>
          <w:lang w:val="en-GB"/>
        </w:rPr>
        <w:sym w:font="Symbol" w:char="F070"/>
      </w:r>
      <w:r w:rsidR="00EB64FD" w:rsidRPr="007E0FF1">
        <w:rPr>
          <w:lang w:val="en-GB"/>
        </w:rPr>
        <w:t>* values</w:t>
      </w:r>
      <w:r w:rsidR="00EB64FD">
        <w:rPr>
          <w:lang w:val="en-GB"/>
        </w:rPr>
        <w:t xml:space="preserve"> of ionic liquids are generally high due to their ionic character. </w:t>
      </w:r>
      <w:r>
        <w:rPr>
          <w:lang w:val="en-GB"/>
        </w:rPr>
        <w:t xml:space="preserve">Their </w:t>
      </w:r>
      <w:r w:rsidR="00EB64FD" w:rsidRPr="007E0FF1">
        <w:rPr>
          <w:i/>
          <w:lang w:val="en-GB"/>
        </w:rPr>
        <w:sym w:font="Symbol" w:char="F070"/>
      </w:r>
      <w:r w:rsidR="00EB64FD" w:rsidRPr="007E0FF1">
        <w:rPr>
          <w:lang w:val="en-GB"/>
        </w:rPr>
        <w:t>* values</w:t>
      </w:r>
      <w:r>
        <w:rPr>
          <w:lang w:val="en-GB"/>
        </w:rPr>
        <w:t xml:space="preserve"> are increased </w:t>
      </w:r>
      <w:r>
        <w:rPr>
          <w:lang w:val="en-GB"/>
        </w:rPr>
        <w:lastRenderedPageBreak/>
        <w:t xml:space="preserve">by the presence of large permanent dipoles, often arising from the presence of functional groups, and also by the presence of delocalized bonds, which give rise to greater polarizabilities. Their </w:t>
      </w:r>
      <w:r w:rsidRPr="007E0FF1">
        <w:rPr>
          <w:i/>
          <w:lang w:val="en-GB"/>
        </w:rPr>
        <w:sym w:font="Symbol" w:char="F070"/>
      </w:r>
      <w:r w:rsidRPr="007E0FF1">
        <w:rPr>
          <w:lang w:val="en-GB"/>
        </w:rPr>
        <w:t>* values</w:t>
      </w:r>
      <w:r>
        <w:rPr>
          <w:lang w:val="en-GB"/>
        </w:rPr>
        <w:t xml:space="preserve"> are decreased by increased alkylation.</w:t>
      </w:r>
    </w:p>
    <w:p w:rsidR="00945FB2" w:rsidRPr="007E0FF1" w:rsidRDefault="00945FB2" w:rsidP="008B2A31">
      <w:pPr>
        <w:pStyle w:val="NormalJustified"/>
        <w:spacing w:line="276" w:lineRule="auto"/>
        <w:rPr>
          <w:lang w:val="en-GB"/>
        </w:rPr>
      </w:pPr>
      <w:bookmarkStart w:id="46" w:name="_Toc146666078"/>
      <w:bookmarkStart w:id="47" w:name="_Toc146788919"/>
    </w:p>
    <w:p w:rsidR="00945FB2" w:rsidRPr="007E0FF1" w:rsidRDefault="00945FB2" w:rsidP="008B2A31">
      <w:pPr>
        <w:pStyle w:val="NormalJustified"/>
        <w:spacing w:line="276" w:lineRule="auto"/>
        <w:rPr>
          <w:b/>
          <w:lang w:val="en-GB"/>
        </w:rPr>
      </w:pPr>
      <w:r w:rsidRPr="007E0FF1">
        <w:rPr>
          <w:rFonts w:ascii="Symbol" w:hAnsi="Symbol"/>
          <w:b/>
          <w:i/>
          <w:lang w:val="en-GB"/>
        </w:rPr>
        <w:t></w:t>
      </w:r>
      <w:r w:rsidR="0076299D" w:rsidRPr="007E0FF1">
        <w:rPr>
          <w:b/>
          <w:lang w:val="en-GB"/>
        </w:rPr>
        <w:t xml:space="preserve"> </w:t>
      </w:r>
      <w:r w:rsidRPr="007E0FF1">
        <w:rPr>
          <w:b/>
          <w:lang w:val="en-GB"/>
        </w:rPr>
        <w:t>values</w:t>
      </w:r>
    </w:p>
    <w:p w:rsidR="00945FB2" w:rsidRPr="007E0FF1" w:rsidRDefault="00945FB2" w:rsidP="008B2A31">
      <w:pPr>
        <w:pStyle w:val="NormalJustified"/>
        <w:spacing w:line="276" w:lineRule="auto"/>
        <w:rPr>
          <w:lang w:val="en-GB"/>
        </w:rPr>
      </w:pPr>
      <w:r w:rsidRPr="007E0FF1">
        <w:rPr>
          <w:lang w:val="en-GB"/>
        </w:rPr>
        <w:t xml:space="preserve">The Kamlet-Taft </w:t>
      </w:r>
      <w:r w:rsidRPr="007E0FF1">
        <w:rPr>
          <w:i/>
          <w:lang w:val="en-GB"/>
        </w:rPr>
        <w:t>β</w:t>
      </w:r>
      <w:r w:rsidRPr="007E0FF1">
        <w:rPr>
          <w:lang w:val="en-GB"/>
        </w:rPr>
        <w:t xml:space="preserve"> parameter describes the solvent’s ability to donate electron densi</w:t>
      </w:r>
      <w:r w:rsidR="00C41AA8">
        <w:rPr>
          <w:lang w:val="en-GB"/>
        </w:rPr>
        <w:t>ty to form a hydrogen bond with</w:t>
      </w:r>
      <w:r w:rsidRPr="007E0FF1">
        <w:rPr>
          <w:lang w:val="en-GB"/>
        </w:rPr>
        <w:t xml:space="preserve"> protons</w:t>
      </w:r>
      <w:r w:rsidR="00C41AA8">
        <w:rPr>
          <w:lang w:val="en-GB"/>
        </w:rPr>
        <w:t xml:space="preserve"> of a solute</w:t>
      </w:r>
      <w:r w:rsidRPr="007E0FF1">
        <w:rPr>
          <w:lang w:val="en-GB"/>
        </w:rPr>
        <w:t xml:space="preserve">. The </w:t>
      </w:r>
      <w:r w:rsidRPr="007E0FF1">
        <w:rPr>
          <w:i/>
          <w:lang w:val="en-GB"/>
        </w:rPr>
        <w:t>β</w:t>
      </w:r>
      <w:r w:rsidRPr="007E0FF1">
        <w:rPr>
          <w:lang w:val="en-GB"/>
        </w:rPr>
        <w:t xml:space="preserve"> scale is </w:t>
      </w:r>
      <w:r w:rsidR="0031530F">
        <w:rPr>
          <w:lang w:val="en-GB"/>
        </w:rPr>
        <w:t>generated by the solvatochromic comparison method.</w:t>
      </w:r>
      <w:r w:rsidR="00181501">
        <w:fldChar w:fldCharType="begin"/>
      </w:r>
      <w:r w:rsidR="00181501">
        <w:instrText xml:space="preserve"> NOTEREF _Ref290297585 \f \h  \* MERGEFORMAT </w:instrText>
      </w:r>
      <w:r w:rsidR="00181501">
        <w:fldChar w:fldCharType="separate"/>
      </w:r>
      <w:r w:rsidR="0031530F" w:rsidRPr="007E0FF1">
        <w:rPr>
          <w:rStyle w:val="EndnoteReference"/>
        </w:rPr>
        <w:t>12</w:t>
      </w:r>
      <w:r w:rsidR="00181501">
        <w:fldChar w:fldCharType="end"/>
      </w:r>
      <w:r w:rsidR="0031530F" w:rsidRPr="007E0FF1">
        <w:rPr>
          <w:lang w:val="en-GB"/>
        </w:rPr>
        <w:t xml:space="preserve"> </w:t>
      </w:r>
      <w:r w:rsidRPr="007E0FF1">
        <w:rPr>
          <w:lang w:val="en-GB"/>
        </w:rPr>
        <w:t xml:space="preserve">This methodology compares solvent-induced shifts </w:t>
      </w:r>
      <w:r w:rsidR="001D79D8">
        <w:rPr>
          <w:lang w:val="en-GB"/>
        </w:rPr>
        <w:t xml:space="preserve">of the </w:t>
      </w:r>
      <w:r w:rsidRPr="007E0FF1">
        <w:rPr>
          <w:lang w:val="en-GB"/>
        </w:rPr>
        <w:t>absorption band</w:t>
      </w:r>
      <w:r w:rsidR="001D79D8">
        <w:rPr>
          <w:lang w:val="en-GB"/>
        </w:rPr>
        <w:t>s</w:t>
      </w:r>
      <w:r w:rsidRPr="007E0FF1">
        <w:rPr>
          <w:lang w:val="en-GB"/>
        </w:rPr>
        <w:t xml:space="preserve"> of two probe molecules. They </w:t>
      </w:r>
      <w:r w:rsidR="001D79D8">
        <w:rPr>
          <w:lang w:val="en-GB"/>
        </w:rPr>
        <w:t>are</w:t>
      </w:r>
      <w:r w:rsidRPr="007E0FF1">
        <w:rPr>
          <w:lang w:val="en-GB"/>
        </w:rPr>
        <w:t xml:space="preserve"> selected to be structurally very similar pairs except that one is capable of hydrogen bond</w:t>
      </w:r>
      <w:r w:rsidR="009C5A83">
        <w:rPr>
          <w:lang w:val="en-GB"/>
        </w:rPr>
        <w:t xml:space="preserve"> donation and the other is not and that have</w:t>
      </w:r>
      <w:r w:rsidR="009C5A83" w:rsidRPr="007E0FF1">
        <w:rPr>
          <w:lang w:val="en-GB"/>
        </w:rPr>
        <w:t xml:space="preserve"> a good correlation of the</w:t>
      </w:r>
      <w:r w:rsidR="009C5A83">
        <w:rPr>
          <w:lang w:val="en-GB"/>
        </w:rPr>
        <w:t>ir</w:t>
      </w:r>
      <w:r w:rsidR="009C5A83" w:rsidRPr="007E0FF1">
        <w:rPr>
          <w:lang w:val="en-GB"/>
        </w:rPr>
        <w:t xml:space="preserve"> spectra in non-hydrogen bo</w:t>
      </w:r>
      <w:r w:rsidR="009C5A83">
        <w:rPr>
          <w:lang w:val="en-GB"/>
        </w:rPr>
        <w:t xml:space="preserve">nd acceptor solvents, but </w:t>
      </w:r>
      <w:r w:rsidRPr="007E0FF1">
        <w:rPr>
          <w:lang w:val="en-GB"/>
        </w:rPr>
        <w:t>with sufficient differences in their spectra in hydrogen bond accepting solvents for the construction of a scale based upon these differen</w:t>
      </w:r>
      <w:r w:rsidR="009C5A83">
        <w:rPr>
          <w:lang w:val="en-GB"/>
        </w:rPr>
        <w:t xml:space="preserve">ces to be possible. </w:t>
      </w:r>
      <w:r w:rsidRPr="007E0FF1">
        <w:rPr>
          <w:lang w:val="en-GB"/>
        </w:rPr>
        <w:t xml:space="preserve">This approach is the most logically robust of all of those used to generate the Kamlet-Taft parameters; </w:t>
      </w:r>
      <w:r w:rsidRPr="007E0FF1">
        <w:rPr>
          <w:i/>
          <w:lang w:val="en-GB"/>
        </w:rPr>
        <w:t>i.e</w:t>
      </w:r>
      <w:r w:rsidRPr="007E0FF1">
        <w:rPr>
          <w:lang w:val="en-GB"/>
        </w:rPr>
        <w:t xml:space="preserve">., if the only difference between the homomorphic pair is that one can hydrogen bond donate and the other cannot, then any solvent induced differences must arise from hydrogen bond acceptance by the solvent. The pairs that </w:t>
      </w:r>
      <w:r w:rsidR="001D79D8">
        <w:rPr>
          <w:lang w:val="en-GB"/>
        </w:rPr>
        <w:t>Kamlet and Taft</w:t>
      </w:r>
      <w:r w:rsidRPr="007E0FF1">
        <w:rPr>
          <w:lang w:val="en-GB"/>
        </w:rPr>
        <w:t xml:space="preserve"> selected were </w:t>
      </w:r>
      <w:r w:rsidRPr="007E0FF1">
        <w:rPr>
          <w:iCs/>
          <w:lang w:val="en-GB"/>
        </w:rPr>
        <w:t>4-nitroaniline/</w:t>
      </w:r>
      <w:r w:rsidRPr="007E0FF1">
        <w:rPr>
          <w:i/>
          <w:lang w:val="en-GB"/>
        </w:rPr>
        <w:t>N,N-</w:t>
      </w:r>
      <w:r w:rsidRPr="007E0FF1">
        <w:rPr>
          <w:iCs/>
          <w:lang w:val="en-GB"/>
        </w:rPr>
        <w:t>diethyl-4-nitroaniline</w:t>
      </w:r>
      <w:r w:rsidRPr="007E0FF1">
        <w:rPr>
          <w:lang w:val="en-GB"/>
        </w:rPr>
        <w:t>, or  4-nitrophenol/4-nitroanis</w:t>
      </w:r>
      <w:r w:rsidR="001D79D8">
        <w:rPr>
          <w:lang w:val="en-GB"/>
        </w:rPr>
        <w:t xml:space="preserve">ole, and the results </w:t>
      </w:r>
      <w:r w:rsidR="001D79D8" w:rsidRPr="007E0FF1">
        <w:rPr>
          <w:lang w:val="en-GB"/>
        </w:rPr>
        <w:t xml:space="preserve">normalised to </w:t>
      </w:r>
      <w:r w:rsidR="001D79D8" w:rsidRPr="007E0FF1">
        <w:rPr>
          <w:i/>
          <w:lang w:val="en-GB"/>
        </w:rPr>
        <w:t>β</w:t>
      </w:r>
      <w:r w:rsidR="001D79D8" w:rsidRPr="007E0FF1">
        <w:rPr>
          <w:lang w:val="en-GB"/>
        </w:rPr>
        <w:t xml:space="preserve"> = 1 for hexamethylphosphoric acid triamide (HMPT). </w:t>
      </w:r>
      <w:r w:rsidRPr="007E0FF1">
        <w:rPr>
          <w:lang w:val="en-GB"/>
        </w:rPr>
        <w:t xml:space="preserve">While these two sets of pairs gave rise to very similar </w:t>
      </w:r>
      <w:r w:rsidRPr="007E0FF1">
        <w:rPr>
          <w:i/>
          <w:lang w:val="en-GB"/>
        </w:rPr>
        <w:t>β</w:t>
      </w:r>
      <w:r w:rsidRPr="007E0FF1">
        <w:rPr>
          <w:lang w:val="en-GB"/>
        </w:rPr>
        <w:t xml:space="preserve"> scales, the precise values </w:t>
      </w:r>
      <w:r w:rsidR="009C5A83">
        <w:rPr>
          <w:lang w:val="en-GB"/>
        </w:rPr>
        <w:t>for</w:t>
      </w:r>
      <w:r w:rsidRPr="007E0FF1">
        <w:rPr>
          <w:lang w:val="en-GB"/>
        </w:rPr>
        <w:t xml:space="preserve"> any given solvent with the two dye sets differed. Hence, we chose to measure the </w:t>
      </w:r>
      <w:r w:rsidRPr="007E0FF1">
        <w:rPr>
          <w:i/>
          <w:lang w:val="en-GB"/>
        </w:rPr>
        <w:t>β</w:t>
      </w:r>
      <w:r w:rsidRPr="007E0FF1">
        <w:rPr>
          <w:lang w:val="en-GB"/>
        </w:rPr>
        <w:t xml:space="preserve"> values of a selection of ionic liquids with both of these probe sets (Table 3, Figure 3).</w:t>
      </w:r>
      <w:bookmarkStart w:id="48" w:name="_Toc146666081"/>
      <w:bookmarkStart w:id="49" w:name="_Toc146788920"/>
      <w:r w:rsidR="00BF2AD8">
        <w:rPr>
          <w:lang w:val="en-GB"/>
        </w:rPr>
        <w:t xml:space="preserve"> </w:t>
      </w:r>
    </w:p>
    <w:p w:rsidR="00945FB2" w:rsidRPr="007E0FF1" w:rsidRDefault="00945FB2" w:rsidP="008B2A31">
      <w:pPr>
        <w:pStyle w:val="NormalJustified"/>
        <w:spacing w:line="276" w:lineRule="auto"/>
        <w:rPr>
          <w:b/>
          <w:lang w:val="en-GB"/>
        </w:rPr>
      </w:pPr>
    </w:p>
    <w:p w:rsidR="00945FB2" w:rsidRPr="007E0FF1" w:rsidRDefault="00945FB2" w:rsidP="008B2A31">
      <w:pPr>
        <w:pStyle w:val="NormalJustified"/>
        <w:spacing w:line="276" w:lineRule="auto"/>
        <w:rPr>
          <w:lang w:val="en-GB"/>
        </w:rPr>
      </w:pPr>
      <w:r w:rsidRPr="007E0FF1">
        <w:rPr>
          <w:b/>
          <w:lang w:val="en-GB"/>
        </w:rPr>
        <w:t>Table 3</w:t>
      </w:r>
      <w:r w:rsidRPr="007E0FF1">
        <w:rPr>
          <w:lang w:val="en-GB"/>
        </w:rPr>
        <w:t>:</w:t>
      </w:r>
      <w:r w:rsidRPr="007E0FF1">
        <w:rPr>
          <w:lang w:val="en-GB"/>
        </w:rPr>
        <w:tab/>
        <w:t xml:space="preserve">Kamlet-Taft </w:t>
      </w:r>
      <w:r w:rsidRPr="007E0FF1">
        <w:rPr>
          <w:i/>
        </w:rPr>
        <w:sym w:font="Symbol" w:char="F062"/>
      </w:r>
      <w:r w:rsidRPr="007E0FF1">
        <w:rPr>
          <w:lang w:val="en-GB"/>
        </w:rPr>
        <w:t xml:space="preserve"> values for the homomorphic solvation probe pairs </w:t>
      </w:r>
      <w:r w:rsidRPr="007E0FF1">
        <w:rPr>
          <w:i/>
          <w:lang w:val="en-GB"/>
        </w:rPr>
        <w:t>N,N-</w:t>
      </w:r>
      <w:r w:rsidRPr="007E0FF1">
        <w:rPr>
          <w:lang w:val="en-GB"/>
        </w:rPr>
        <w:t>diethyl-4-nitroaniline/4-nitroaniline and 4-nitroanisole/4-nitrophenol.</w:t>
      </w:r>
      <w:bookmarkEnd w:id="48"/>
      <w:bookmarkEnd w:id="49"/>
    </w:p>
    <w:tbl>
      <w:tblPr>
        <w:tblW w:w="7322" w:type="dxa"/>
        <w:tblLook w:val="0000" w:firstRow="0" w:lastRow="0" w:firstColumn="0" w:lastColumn="0" w:noHBand="0" w:noVBand="0"/>
      </w:tblPr>
      <w:tblGrid>
        <w:gridCol w:w="1990"/>
        <w:gridCol w:w="2085"/>
        <w:gridCol w:w="603"/>
        <w:gridCol w:w="2644"/>
      </w:tblGrid>
      <w:tr w:rsidR="00945FB2" w:rsidRPr="007E0FF1">
        <w:trPr>
          <w:cantSplit/>
        </w:trPr>
        <w:tc>
          <w:tcPr>
            <w:tcW w:w="1990" w:type="dxa"/>
            <w:vMerge w:val="restart"/>
            <w:tcBorders>
              <w:top w:val="single" w:sz="8" w:space="0" w:color="auto"/>
            </w:tcBorders>
            <w:vAlign w:val="center"/>
          </w:tcPr>
          <w:p w:rsidR="00945FB2" w:rsidRPr="007E0FF1" w:rsidRDefault="00945FB2" w:rsidP="008B2A31">
            <w:pPr>
              <w:spacing w:line="276" w:lineRule="auto"/>
              <w:jc w:val="center"/>
              <w:rPr>
                <w:rFonts w:ascii="Arial" w:hAnsi="Arial"/>
                <w:b/>
                <w:sz w:val="22"/>
              </w:rPr>
            </w:pPr>
            <w:r w:rsidRPr="007E0FF1">
              <w:rPr>
                <w:rFonts w:ascii="Arial" w:hAnsi="Arial"/>
                <w:b/>
                <w:sz w:val="22"/>
              </w:rPr>
              <w:t>Ionic Liquid</w:t>
            </w:r>
          </w:p>
        </w:tc>
        <w:tc>
          <w:tcPr>
            <w:tcW w:w="2085" w:type="dxa"/>
            <w:tcBorders>
              <w:top w:val="single" w:sz="8" w:space="0" w:color="auto"/>
            </w:tcBorders>
            <w:vAlign w:val="center"/>
          </w:tcPr>
          <w:p w:rsidR="00945FB2" w:rsidRPr="007E0FF1" w:rsidRDefault="00945FB2" w:rsidP="008B2A31">
            <w:pPr>
              <w:spacing w:line="276" w:lineRule="auto"/>
              <w:jc w:val="center"/>
              <w:rPr>
                <w:rFonts w:ascii="Arial" w:hAnsi="Arial"/>
                <w:b/>
                <w:sz w:val="22"/>
              </w:rPr>
            </w:pPr>
            <w:r w:rsidRPr="007E0FF1">
              <w:rPr>
                <w:lang w:val="en-GB"/>
              </w:rPr>
              <w:t>4-nitroanisole/4-nitrophenol</w:t>
            </w:r>
          </w:p>
        </w:tc>
        <w:tc>
          <w:tcPr>
            <w:tcW w:w="3247" w:type="dxa"/>
            <w:gridSpan w:val="2"/>
            <w:tcBorders>
              <w:top w:val="single" w:sz="8" w:space="0" w:color="auto"/>
            </w:tcBorders>
          </w:tcPr>
          <w:p w:rsidR="00945FB2" w:rsidRPr="007E0FF1" w:rsidRDefault="00945FB2" w:rsidP="008B2A31">
            <w:pPr>
              <w:spacing w:line="276" w:lineRule="auto"/>
              <w:jc w:val="center"/>
              <w:rPr>
                <w:rFonts w:ascii="Arial" w:hAnsi="Arial"/>
                <w:b/>
                <w:sz w:val="22"/>
              </w:rPr>
            </w:pPr>
            <w:r w:rsidRPr="007E0FF1">
              <w:rPr>
                <w:i/>
                <w:lang w:val="en-GB"/>
              </w:rPr>
              <w:t>N,N-</w:t>
            </w:r>
            <w:r w:rsidRPr="007E0FF1">
              <w:rPr>
                <w:lang w:val="en-GB"/>
              </w:rPr>
              <w:t>diethyl-4-nitroaniline/4-nitroaniline</w:t>
            </w:r>
          </w:p>
        </w:tc>
      </w:tr>
      <w:tr w:rsidR="00945FB2" w:rsidRPr="007E0FF1">
        <w:trPr>
          <w:cantSplit/>
        </w:trPr>
        <w:tc>
          <w:tcPr>
            <w:tcW w:w="1990" w:type="dxa"/>
            <w:vMerge/>
            <w:tcBorders>
              <w:bottom w:val="single" w:sz="8" w:space="0" w:color="auto"/>
            </w:tcBorders>
            <w:vAlign w:val="center"/>
          </w:tcPr>
          <w:p w:rsidR="00945FB2" w:rsidRPr="007E0FF1" w:rsidRDefault="00945FB2" w:rsidP="008B2A31">
            <w:pPr>
              <w:spacing w:line="276" w:lineRule="auto"/>
            </w:pPr>
          </w:p>
        </w:tc>
        <w:tc>
          <w:tcPr>
            <w:tcW w:w="2085" w:type="dxa"/>
            <w:tcBorders>
              <w:bottom w:val="single" w:sz="8" w:space="0" w:color="auto"/>
            </w:tcBorders>
            <w:vAlign w:val="center"/>
          </w:tcPr>
          <w:p w:rsidR="00945FB2" w:rsidRPr="007E0FF1" w:rsidRDefault="00945FB2" w:rsidP="008B2A31">
            <w:pPr>
              <w:spacing w:line="276" w:lineRule="auto"/>
              <w:jc w:val="center"/>
              <w:rPr>
                <w:rFonts w:ascii="Arial" w:hAnsi="Arial"/>
                <w:b/>
                <w:i/>
                <w:sz w:val="20"/>
              </w:rPr>
            </w:pPr>
            <w:r w:rsidRPr="007E0FF1">
              <w:rPr>
                <w:rFonts w:ascii="Arial" w:hAnsi="Arial"/>
                <w:b/>
                <w:i/>
                <w:sz w:val="20"/>
              </w:rPr>
              <w:sym w:font="Symbol" w:char="F062"/>
            </w:r>
          </w:p>
        </w:tc>
        <w:tc>
          <w:tcPr>
            <w:tcW w:w="3247" w:type="dxa"/>
            <w:gridSpan w:val="2"/>
            <w:tcBorders>
              <w:bottom w:val="single" w:sz="8" w:space="0" w:color="auto"/>
            </w:tcBorders>
            <w:vAlign w:val="center"/>
          </w:tcPr>
          <w:p w:rsidR="00945FB2" w:rsidRPr="007E0FF1" w:rsidRDefault="00945FB2" w:rsidP="008B2A31">
            <w:pPr>
              <w:spacing w:line="276" w:lineRule="auto"/>
              <w:jc w:val="center"/>
              <w:rPr>
                <w:rFonts w:ascii="Arial" w:hAnsi="Arial"/>
                <w:b/>
                <w:i/>
                <w:sz w:val="20"/>
              </w:rPr>
            </w:pPr>
            <w:r w:rsidRPr="007E0FF1">
              <w:rPr>
                <w:rFonts w:ascii="Arial" w:hAnsi="Arial"/>
                <w:b/>
                <w:i/>
                <w:sz w:val="20"/>
              </w:rPr>
              <w:sym w:font="Symbol" w:char="F062"/>
            </w:r>
          </w:p>
        </w:tc>
      </w:tr>
      <w:tr w:rsidR="00945FB2" w:rsidRPr="007E0FF1">
        <w:tc>
          <w:tcPr>
            <w:tcW w:w="1990" w:type="dxa"/>
            <w:tcBorders>
              <w:top w:val="single" w:sz="8" w:space="0" w:color="auto"/>
            </w:tcBorders>
            <w:vAlign w:val="center"/>
          </w:tcPr>
          <w:p w:rsidR="00945FB2" w:rsidRPr="007E0FF1" w:rsidRDefault="00945FB2" w:rsidP="008B2A31">
            <w:pPr>
              <w:spacing w:line="276" w:lineRule="auto"/>
              <w:jc w:val="center"/>
            </w:pPr>
            <w:r w:rsidRPr="007E0FF1">
              <w:t>[</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w:t>
            </w:r>
            <w:r w:rsidRPr="007E0FF1">
              <w:t>][BF</w:t>
            </w:r>
            <w:r w:rsidRPr="007E0FF1">
              <w:rPr>
                <w:vertAlign w:val="subscript"/>
              </w:rPr>
              <w:t>4</w:t>
            </w:r>
            <w:r w:rsidRPr="007E0FF1">
              <w:t>]</w:t>
            </w:r>
          </w:p>
        </w:tc>
        <w:tc>
          <w:tcPr>
            <w:tcW w:w="2085" w:type="dxa"/>
            <w:tcBorders>
              <w:top w:val="single" w:sz="8" w:space="0" w:color="auto"/>
            </w:tcBorders>
            <w:vAlign w:val="center"/>
          </w:tcPr>
          <w:p w:rsidR="00945FB2" w:rsidRPr="007E0FF1" w:rsidRDefault="00945FB2" w:rsidP="008B2A31">
            <w:pPr>
              <w:spacing w:line="276" w:lineRule="auto"/>
              <w:jc w:val="center"/>
            </w:pPr>
            <w:r w:rsidRPr="007E0FF1">
              <w:t>0.45</w:t>
            </w:r>
          </w:p>
        </w:tc>
        <w:tc>
          <w:tcPr>
            <w:tcW w:w="3247" w:type="dxa"/>
            <w:gridSpan w:val="2"/>
            <w:tcBorders>
              <w:top w:val="single" w:sz="8" w:space="0" w:color="auto"/>
            </w:tcBorders>
            <w:vAlign w:val="center"/>
          </w:tcPr>
          <w:p w:rsidR="00945FB2" w:rsidRPr="007E0FF1" w:rsidRDefault="00945FB2" w:rsidP="008B2A31">
            <w:pPr>
              <w:spacing w:line="276" w:lineRule="auto"/>
              <w:jc w:val="center"/>
            </w:pPr>
            <w:r w:rsidRPr="007E0FF1">
              <w:t>0.38</w:t>
            </w:r>
          </w:p>
        </w:tc>
      </w:tr>
      <w:tr w:rsidR="00945FB2" w:rsidRPr="007E0FF1">
        <w:tc>
          <w:tcPr>
            <w:tcW w:w="1990" w:type="dxa"/>
            <w:vAlign w:val="center"/>
          </w:tcPr>
          <w:p w:rsidR="00945FB2" w:rsidRPr="007E0FF1" w:rsidRDefault="00945FB2" w:rsidP="008B2A31">
            <w:pPr>
              <w:spacing w:line="276" w:lineRule="auto"/>
              <w:jc w:val="center"/>
            </w:pPr>
            <w:r w:rsidRPr="007E0FF1">
              <w:t>[</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w:t>
            </w:r>
            <w:r w:rsidRPr="007E0FF1">
              <w:t>][PF</w:t>
            </w:r>
            <w:r w:rsidRPr="007E0FF1">
              <w:rPr>
                <w:vertAlign w:val="subscript"/>
              </w:rPr>
              <w:t>6</w:t>
            </w:r>
            <w:r w:rsidRPr="007E0FF1">
              <w:t>]</w:t>
            </w:r>
          </w:p>
        </w:tc>
        <w:tc>
          <w:tcPr>
            <w:tcW w:w="2085" w:type="dxa"/>
            <w:vAlign w:val="center"/>
          </w:tcPr>
          <w:p w:rsidR="00945FB2" w:rsidRPr="007E0FF1" w:rsidRDefault="00945FB2" w:rsidP="008B2A31">
            <w:pPr>
              <w:spacing w:line="276" w:lineRule="auto"/>
              <w:jc w:val="center"/>
            </w:pPr>
            <w:r w:rsidRPr="007E0FF1">
              <w:t xml:space="preserve">0.40 </w:t>
            </w:r>
          </w:p>
        </w:tc>
        <w:tc>
          <w:tcPr>
            <w:tcW w:w="3247" w:type="dxa"/>
            <w:gridSpan w:val="2"/>
            <w:vAlign w:val="center"/>
          </w:tcPr>
          <w:p w:rsidR="00945FB2" w:rsidRPr="007E0FF1" w:rsidRDefault="00945FB2" w:rsidP="008B2A31">
            <w:pPr>
              <w:spacing w:line="276" w:lineRule="auto"/>
              <w:jc w:val="center"/>
            </w:pPr>
            <w:r w:rsidRPr="007E0FF1">
              <w:t>0.21</w:t>
            </w:r>
          </w:p>
        </w:tc>
      </w:tr>
      <w:tr w:rsidR="00945FB2" w:rsidRPr="007E0FF1">
        <w:tc>
          <w:tcPr>
            <w:tcW w:w="1990" w:type="dxa"/>
            <w:vAlign w:val="center"/>
          </w:tcPr>
          <w:p w:rsidR="00945FB2" w:rsidRPr="007E0FF1" w:rsidRDefault="00945FB2" w:rsidP="008B2A31">
            <w:pPr>
              <w:spacing w:line="276" w:lineRule="auto"/>
              <w:jc w:val="center"/>
            </w:pPr>
            <w:r w:rsidRPr="007E0FF1">
              <w:t>[</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w:t>
            </w:r>
            <w:r w:rsidRPr="007E0FF1">
              <w:t>][SbF</w:t>
            </w:r>
            <w:r w:rsidRPr="007E0FF1">
              <w:rPr>
                <w:vertAlign w:val="subscript"/>
              </w:rPr>
              <w:t>6</w:t>
            </w:r>
            <w:r w:rsidRPr="007E0FF1">
              <w:t>]</w:t>
            </w:r>
          </w:p>
        </w:tc>
        <w:tc>
          <w:tcPr>
            <w:tcW w:w="2085" w:type="dxa"/>
            <w:vAlign w:val="center"/>
          </w:tcPr>
          <w:p w:rsidR="00945FB2" w:rsidRPr="007E0FF1" w:rsidRDefault="00945FB2" w:rsidP="008B2A31">
            <w:pPr>
              <w:spacing w:line="276" w:lineRule="auto"/>
              <w:jc w:val="center"/>
            </w:pPr>
            <w:r w:rsidRPr="007E0FF1">
              <w:t>0.34</w:t>
            </w:r>
          </w:p>
        </w:tc>
        <w:tc>
          <w:tcPr>
            <w:tcW w:w="3247" w:type="dxa"/>
            <w:gridSpan w:val="2"/>
            <w:vAlign w:val="center"/>
          </w:tcPr>
          <w:p w:rsidR="00945FB2" w:rsidRPr="007E0FF1" w:rsidRDefault="00945FB2" w:rsidP="008B2A31">
            <w:pPr>
              <w:spacing w:line="276" w:lineRule="auto"/>
              <w:jc w:val="center"/>
            </w:pPr>
            <w:r w:rsidRPr="007E0FF1">
              <w:t>0.15</w:t>
            </w:r>
          </w:p>
        </w:tc>
      </w:tr>
      <w:tr w:rsidR="00945FB2" w:rsidRPr="007E0FF1">
        <w:tc>
          <w:tcPr>
            <w:tcW w:w="1990" w:type="dxa"/>
            <w:vAlign w:val="center"/>
          </w:tcPr>
          <w:p w:rsidR="00945FB2" w:rsidRPr="007E0FF1" w:rsidRDefault="00945FB2" w:rsidP="008B2A31">
            <w:pPr>
              <w:spacing w:line="276" w:lineRule="auto"/>
              <w:jc w:val="center"/>
            </w:pPr>
            <w:r w:rsidRPr="007E0FF1">
              <w:t>[</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w:t>
            </w:r>
            <w:r w:rsidRPr="007E0FF1">
              <w:t>]</w:t>
            </w:r>
            <w:r w:rsidR="0076299D" w:rsidRPr="007E0FF1">
              <w:t>[OTf]</w:t>
            </w:r>
          </w:p>
        </w:tc>
        <w:tc>
          <w:tcPr>
            <w:tcW w:w="2085" w:type="dxa"/>
            <w:vAlign w:val="center"/>
          </w:tcPr>
          <w:p w:rsidR="00945FB2" w:rsidRPr="007E0FF1" w:rsidRDefault="00945FB2" w:rsidP="008B2A31">
            <w:pPr>
              <w:spacing w:line="276" w:lineRule="auto"/>
              <w:jc w:val="center"/>
            </w:pPr>
            <w:r w:rsidRPr="007E0FF1">
              <w:t>0.60</w:t>
            </w:r>
          </w:p>
        </w:tc>
        <w:tc>
          <w:tcPr>
            <w:tcW w:w="3247" w:type="dxa"/>
            <w:gridSpan w:val="2"/>
            <w:vAlign w:val="center"/>
          </w:tcPr>
          <w:p w:rsidR="00945FB2" w:rsidRPr="007E0FF1" w:rsidRDefault="00945FB2" w:rsidP="008B2A31">
            <w:pPr>
              <w:spacing w:line="276" w:lineRule="auto"/>
              <w:jc w:val="center"/>
            </w:pPr>
            <w:r w:rsidRPr="007E0FF1">
              <w:t>0.50</w:t>
            </w:r>
          </w:p>
        </w:tc>
      </w:tr>
      <w:tr w:rsidR="00945FB2" w:rsidRPr="007E0FF1">
        <w:tc>
          <w:tcPr>
            <w:tcW w:w="1990" w:type="dxa"/>
            <w:vAlign w:val="center"/>
          </w:tcPr>
          <w:p w:rsidR="00945FB2" w:rsidRPr="007E0FF1" w:rsidRDefault="00945FB2" w:rsidP="008B2A31">
            <w:pPr>
              <w:spacing w:line="276" w:lineRule="auto"/>
              <w:jc w:val="center"/>
            </w:pPr>
            <w:r w:rsidRPr="007E0FF1">
              <w:t>[</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w:t>
            </w:r>
            <w:r w:rsidRPr="007E0FF1">
              <w:t>][Tf</w:t>
            </w:r>
            <w:r w:rsidRPr="007E0FF1">
              <w:rPr>
                <w:vertAlign w:val="subscript"/>
              </w:rPr>
              <w:t>2</w:t>
            </w:r>
            <w:r w:rsidRPr="007E0FF1">
              <w:t>N]</w:t>
            </w:r>
          </w:p>
        </w:tc>
        <w:tc>
          <w:tcPr>
            <w:tcW w:w="2085" w:type="dxa"/>
            <w:vAlign w:val="center"/>
          </w:tcPr>
          <w:p w:rsidR="00945FB2" w:rsidRPr="007E0FF1" w:rsidRDefault="00945FB2" w:rsidP="008B2A31">
            <w:pPr>
              <w:spacing w:line="276" w:lineRule="auto"/>
              <w:jc w:val="center"/>
            </w:pPr>
            <w:r w:rsidRPr="007E0FF1">
              <w:t>0.41</w:t>
            </w:r>
          </w:p>
        </w:tc>
        <w:tc>
          <w:tcPr>
            <w:tcW w:w="3247" w:type="dxa"/>
            <w:gridSpan w:val="2"/>
            <w:vAlign w:val="center"/>
          </w:tcPr>
          <w:p w:rsidR="00945FB2" w:rsidRPr="007E0FF1" w:rsidRDefault="00945FB2" w:rsidP="008B2A31">
            <w:pPr>
              <w:spacing w:line="276" w:lineRule="auto"/>
              <w:jc w:val="center"/>
            </w:pPr>
            <w:r w:rsidRPr="007E0FF1">
              <w:t>0.24</w:t>
            </w:r>
          </w:p>
        </w:tc>
      </w:tr>
      <w:tr w:rsidR="00945FB2" w:rsidRPr="007E0FF1">
        <w:tc>
          <w:tcPr>
            <w:tcW w:w="1990" w:type="dxa"/>
            <w:vAlign w:val="center"/>
          </w:tcPr>
          <w:p w:rsidR="00945FB2" w:rsidRPr="007E0FF1" w:rsidRDefault="00945FB2" w:rsidP="008B2A31">
            <w:pPr>
              <w:spacing w:line="276" w:lineRule="auto"/>
              <w:jc w:val="center"/>
            </w:pPr>
            <w:r w:rsidRPr="007E0FF1">
              <w:t>[</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w:t>
            </w:r>
            <w:r w:rsidRPr="007E0FF1">
              <w:t>][BF</w:t>
            </w:r>
            <w:r w:rsidRPr="007E0FF1">
              <w:rPr>
                <w:vertAlign w:val="subscript"/>
              </w:rPr>
              <w:t>4</w:t>
            </w:r>
            <w:r w:rsidRPr="007E0FF1">
              <w:t>]</w:t>
            </w:r>
          </w:p>
        </w:tc>
        <w:tc>
          <w:tcPr>
            <w:tcW w:w="2085" w:type="dxa"/>
            <w:vAlign w:val="center"/>
          </w:tcPr>
          <w:p w:rsidR="00945FB2" w:rsidRPr="007E0FF1" w:rsidRDefault="00945FB2" w:rsidP="008B2A31">
            <w:pPr>
              <w:spacing w:line="276" w:lineRule="auto"/>
              <w:jc w:val="center"/>
            </w:pPr>
            <w:r w:rsidRPr="007E0FF1">
              <w:t>0.46</w:t>
            </w:r>
          </w:p>
        </w:tc>
        <w:tc>
          <w:tcPr>
            <w:tcW w:w="3247" w:type="dxa"/>
            <w:gridSpan w:val="2"/>
            <w:vAlign w:val="center"/>
          </w:tcPr>
          <w:p w:rsidR="00945FB2" w:rsidRPr="007E0FF1" w:rsidRDefault="00945FB2" w:rsidP="008B2A31">
            <w:pPr>
              <w:spacing w:line="276" w:lineRule="auto"/>
              <w:jc w:val="center"/>
            </w:pPr>
            <w:r w:rsidRPr="007E0FF1">
              <w:t>0.36</w:t>
            </w:r>
          </w:p>
        </w:tc>
      </w:tr>
      <w:tr w:rsidR="00945FB2" w:rsidRPr="007E0FF1">
        <w:tc>
          <w:tcPr>
            <w:tcW w:w="1990" w:type="dxa"/>
            <w:shd w:val="clear" w:color="auto" w:fill="FFFFFF" w:themeFill="background1"/>
            <w:vAlign w:val="center"/>
          </w:tcPr>
          <w:p w:rsidR="00945FB2" w:rsidRPr="007E0FF1" w:rsidRDefault="00945FB2" w:rsidP="008B2A31">
            <w:pPr>
              <w:spacing w:line="276" w:lineRule="auto"/>
              <w:jc w:val="center"/>
            </w:pPr>
            <w:r w:rsidRPr="007E0FF1">
              <w:t>[</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w:t>
            </w:r>
            <w:r w:rsidRPr="007E0FF1">
              <w:t>][Tf</w:t>
            </w:r>
            <w:r w:rsidRPr="007E0FF1">
              <w:rPr>
                <w:vertAlign w:val="subscript"/>
              </w:rPr>
              <w:t>2</w:t>
            </w:r>
            <w:r w:rsidRPr="007E0FF1">
              <w:t>N]</w:t>
            </w:r>
          </w:p>
        </w:tc>
        <w:tc>
          <w:tcPr>
            <w:tcW w:w="2085" w:type="dxa"/>
            <w:shd w:val="clear" w:color="auto" w:fill="auto"/>
            <w:vAlign w:val="center"/>
          </w:tcPr>
          <w:p w:rsidR="00945FB2" w:rsidRPr="007E0FF1" w:rsidRDefault="00945FB2" w:rsidP="008B2A31">
            <w:pPr>
              <w:spacing w:line="276" w:lineRule="auto"/>
              <w:jc w:val="center"/>
            </w:pPr>
            <w:r w:rsidRPr="007E0FF1">
              <w:t>0.51</w:t>
            </w:r>
          </w:p>
        </w:tc>
        <w:tc>
          <w:tcPr>
            <w:tcW w:w="3247" w:type="dxa"/>
            <w:gridSpan w:val="2"/>
            <w:shd w:val="clear" w:color="auto" w:fill="auto"/>
            <w:vAlign w:val="center"/>
          </w:tcPr>
          <w:p w:rsidR="00945FB2" w:rsidRPr="007E0FF1" w:rsidRDefault="00945FB2" w:rsidP="008B2A31">
            <w:pPr>
              <w:spacing w:line="276" w:lineRule="auto"/>
              <w:jc w:val="center"/>
            </w:pPr>
            <w:r w:rsidRPr="007E0FF1">
              <w:t>0.24</w:t>
            </w:r>
          </w:p>
        </w:tc>
      </w:tr>
      <w:tr w:rsidR="00945FB2" w:rsidRPr="007E0FF1">
        <w:tc>
          <w:tcPr>
            <w:tcW w:w="1990" w:type="dxa"/>
            <w:tcBorders>
              <w:bottom w:val="dotted" w:sz="4" w:space="0" w:color="auto"/>
            </w:tcBorders>
            <w:vAlign w:val="center"/>
          </w:tcPr>
          <w:p w:rsidR="00945FB2" w:rsidRPr="007E0FF1" w:rsidRDefault="00945FB2" w:rsidP="008B2A31">
            <w:pPr>
              <w:spacing w:line="276" w:lineRule="auto"/>
              <w:jc w:val="center"/>
            </w:pPr>
            <w:r w:rsidRPr="007E0FF1">
              <w:t>[</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pyrr</w:t>
            </w:r>
            <w:r w:rsidRPr="007E0FF1">
              <w:t>][Tf</w:t>
            </w:r>
            <w:r w:rsidRPr="007E0FF1">
              <w:rPr>
                <w:vertAlign w:val="subscript"/>
              </w:rPr>
              <w:t>2</w:t>
            </w:r>
            <w:r w:rsidRPr="007E0FF1">
              <w:t>N]</w:t>
            </w:r>
          </w:p>
        </w:tc>
        <w:tc>
          <w:tcPr>
            <w:tcW w:w="2085" w:type="dxa"/>
            <w:tcBorders>
              <w:bottom w:val="dotted" w:sz="4" w:space="0" w:color="auto"/>
            </w:tcBorders>
            <w:vAlign w:val="center"/>
          </w:tcPr>
          <w:p w:rsidR="00945FB2" w:rsidRPr="007E0FF1" w:rsidRDefault="00945FB2" w:rsidP="008B2A31">
            <w:pPr>
              <w:spacing w:line="276" w:lineRule="auto"/>
              <w:jc w:val="center"/>
            </w:pPr>
            <w:r w:rsidRPr="007E0FF1">
              <w:t>0.41</w:t>
            </w:r>
          </w:p>
        </w:tc>
        <w:tc>
          <w:tcPr>
            <w:tcW w:w="3247" w:type="dxa"/>
            <w:gridSpan w:val="2"/>
            <w:tcBorders>
              <w:bottom w:val="dotted" w:sz="4" w:space="0" w:color="auto"/>
            </w:tcBorders>
            <w:vAlign w:val="center"/>
          </w:tcPr>
          <w:p w:rsidR="00945FB2" w:rsidRPr="007E0FF1" w:rsidRDefault="00945FB2" w:rsidP="008B2A31">
            <w:pPr>
              <w:spacing w:line="276" w:lineRule="auto"/>
              <w:jc w:val="center"/>
            </w:pPr>
            <w:r w:rsidRPr="007E0FF1">
              <w:t>0.25</w:t>
            </w:r>
          </w:p>
        </w:tc>
      </w:tr>
      <w:tr w:rsidR="00945FB2" w:rsidRPr="007E0FF1">
        <w:tc>
          <w:tcPr>
            <w:tcW w:w="1990" w:type="dxa"/>
            <w:tcBorders>
              <w:bottom w:val="single" w:sz="8" w:space="0" w:color="auto"/>
            </w:tcBorders>
            <w:vAlign w:val="center"/>
          </w:tcPr>
          <w:p w:rsidR="00945FB2" w:rsidRPr="007E0FF1" w:rsidRDefault="00945FB2" w:rsidP="008B2A31">
            <w:pPr>
              <w:spacing w:line="276" w:lineRule="auto"/>
              <w:jc w:val="center"/>
            </w:pPr>
          </w:p>
        </w:tc>
        <w:tc>
          <w:tcPr>
            <w:tcW w:w="2085" w:type="dxa"/>
            <w:tcBorders>
              <w:bottom w:val="single" w:sz="8" w:space="0" w:color="auto"/>
            </w:tcBorders>
            <w:vAlign w:val="center"/>
          </w:tcPr>
          <w:p w:rsidR="00945FB2" w:rsidRPr="007E0FF1" w:rsidRDefault="00945FB2" w:rsidP="008B2A31">
            <w:pPr>
              <w:spacing w:line="276" w:lineRule="auto"/>
            </w:pPr>
          </w:p>
        </w:tc>
        <w:tc>
          <w:tcPr>
            <w:tcW w:w="603" w:type="dxa"/>
            <w:tcBorders>
              <w:bottom w:val="single" w:sz="8" w:space="0" w:color="auto"/>
            </w:tcBorders>
            <w:vAlign w:val="center"/>
          </w:tcPr>
          <w:p w:rsidR="00945FB2" w:rsidRPr="007E0FF1" w:rsidRDefault="00945FB2" w:rsidP="008B2A31">
            <w:pPr>
              <w:spacing w:line="276" w:lineRule="auto"/>
              <w:jc w:val="center"/>
            </w:pPr>
          </w:p>
        </w:tc>
        <w:tc>
          <w:tcPr>
            <w:tcW w:w="2644" w:type="dxa"/>
            <w:tcBorders>
              <w:bottom w:val="single" w:sz="8" w:space="0" w:color="auto"/>
            </w:tcBorders>
            <w:vAlign w:val="center"/>
          </w:tcPr>
          <w:p w:rsidR="00945FB2" w:rsidRPr="007E0FF1" w:rsidRDefault="00945FB2" w:rsidP="008B2A31">
            <w:pPr>
              <w:spacing w:line="276" w:lineRule="auto"/>
              <w:jc w:val="center"/>
            </w:pPr>
          </w:p>
        </w:tc>
      </w:tr>
    </w:tbl>
    <w:p w:rsidR="00A14F2E" w:rsidRPr="007E0FF1" w:rsidRDefault="00A14F2E" w:rsidP="008B2A31">
      <w:pPr>
        <w:pStyle w:val="NormalJustified"/>
        <w:spacing w:line="276" w:lineRule="auto"/>
        <w:rPr>
          <w:lang w:val="en-GB"/>
        </w:rPr>
      </w:pPr>
    </w:p>
    <w:p w:rsidR="00945FB2" w:rsidRPr="007E0FF1" w:rsidRDefault="00A14F2E" w:rsidP="008B2A31">
      <w:pPr>
        <w:pStyle w:val="NormalJustified"/>
        <w:spacing w:line="276" w:lineRule="auto"/>
        <w:rPr>
          <w:lang w:val="en-GB"/>
        </w:rPr>
      </w:pPr>
      <w:r w:rsidRPr="007E0FF1">
        <w:rPr>
          <w:lang w:val="en-GB"/>
        </w:rPr>
        <w:tab/>
        <w:t xml:space="preserve">It can be seen in Table 3 and Figure 3 that the precise </w:t>
      </w:r>
      <w:r w:rsidRPr="007E0FF1">
        <w:rPr>
          <w:i/>
          <w:lang w:val="en-GB"/>
        </w:rPr>
        <w:t>β</w:t>
      </w:r>
      <w:r w:rsidRPr="007E0FF1">
        <w:rPr>
          <w:lang w:val="en-GB"/>
        </w:rPr>
        <w:t xml:space="preserve"> values for these </w:t>
      </w:r>
      <w:r w:rsidR="00B7527E">
        <w:rPr>
          <w:lang w:val="en-GB"/>
        </w:rPr>
        <w:t xml:space="preserve">dye </w:t>
      </w:r>
      <w:r w:rsidR="00B7527E" w:rsidRPr="007E0FF1">
        <w:rPr>
          <w:lang w:val="en-GB"/>
        </w:rPr>
        <w:t>set</w:t>
      </w:r>
      <w:r w:rsidR="00B7527E">
        <w:rPr>
          <w:lang w:val="en-GB"/>
        </w:rPr>
        <w:t>s</w:t>
      </w:r>
      <w:r w:rsidRPr="007E0FF1">
        <w:rPr>
          <w:lang w:val="en-GB"/>
        </w:rPr>
        <w:t xml:space="preserve"> are different, with the 4-nitroanisole/4-nitrophenol pair giving consistently higher values than the </w:t>
      </w:r>
      <w:r w:rsidRPr="007E0FF1">
        <w:rPr>
          <w:i/>
          <w:lang w:val="en-GB"/>
        </w:rPr>
        <w:t>N,N-</w:t>
      </w:r>
      <w:r w:rsidRPr="007E0FF1">
        <w:rPr>
          <w:lang w:val="en-GB"/>
        </w:rPr>
        <w:t xml:space="preserve">diethyl-4-nitroaniline/4-nitroaniline pair. However, the same general trends can be seen for both dye sets; the </w:t>
      </w:r>
      <w:r w:rsidRPr="007E0FF1">
        <w:rPr>
          <w:i/>
          <w:lang w:val="en-GB"/>
        </w:rPr>
        <w:t>β</w:t>
      </w:r>
      <w:r w:rsidRPr="007E0FF1">
        <w:rPr>
          <w:lang w:val="en-GB"/>
        </w:rPr>
        <w:t xml:space="preserve"> value depends largely upon the </w:t>
      </w:r>
      <w:r w:rsidRPr="007E0FF1">
        <w:rPr>
          <w:lang w:val="en-GB"/>
        </w:rPr>
        <w:lastRenderedPageBreak/>
        <w:t>anion. For the [C</w:t>
      </w:r>
      <w:r w:rsidRPr="007E0FF1">
        <w:rPr>
          <w:vertAlign w:val="subscript"/>
          <w:lang w:val="en-GB"/>
        </w:rPr>
        <w:t>4</w:t>
      </w:r>
      <w:r w:rsidRPr="007E0FF1">
        <w:rPr>
          <w:lang w:val="en-GB"/>
        </w:rPr>
        <w:t>C</w:t>
      </w:r>
      <w:r w:rsidRPr="007E0FF1">
        <w:rPr>
          <w:vertAlign w:val="subscript"/>
          <w:lang w:val="en-GB"/>
        </w:rPr>
        <w:t>1</w:t>
      </w:r>
      <w:r w:rsidRPr="007E0FF1">
        <w:rPr>
          <w:lang w:val="en-GB"/>
        </w:rPr>
        <w:t>im]</w:t>
      </w:r>
      <w:r w:rsidRPr="007E0FF1">
        <w:rPr>
          <w:vertAlign w:val="superscript"/>
          <w:lang w:val="en-GB"/>
        </w:rPr>
        <w:t>+</w:t>
      </w:r>
      <w:r w:rsidRPr="007E0FF1">
        <w:rPr>
          <w:lang w:val="en-GB"/>
        </w:rPr>
        <w:t xml:space="preserve"> ionic liquids, the highest value obtained, for [OTf]</w:t>
      </w:r>
      <w:r w:rsidRPr="007E0FF1">
        <w:rPr>
          <w:vertAlign w:val="superscript"/>
          <w:lang w:val="en-GB"/>
        </w:rPr>
        <w:t>-</w:t>
      </w:r>
      <w:r w:rsidRPr="007E0FF1">
        <w:rPr>
          <w:lang w:val="en-GB"/>
        </w:rPr>
        <w:t>, is similar to acetone, whilst acetonitrile is between [BF</w:t>
      </w:r>
      <w:r w:rsidRPr="007E0FF1">
        <w:rPr>
          <w:vertAlign w:val="subscript"/>
          <w:lang w:val="en-GB"/>
        </w:rPr>
        <w:t>4</w:t>
      </w:r>
      <w:r w:rsidRPr="007E0FF1">
        <w:rPr>
          <w:lang w:val="en-GB"/>
        </w:rPr>
        <w:t>]</w:t>
      </w:r>
      <w:r w:rsidRPr="007E0FF1">
        <w:rPr>
          <w:vertAlign w:val="superscript"/>
          <w:lang w:val="en-GB"/>
        </w:rPr>
        <w:t>-</w:t>
      </w:r>
      <w:r w:rsidRPr="007E0FF1">
        <w:rPr>
          <w:lang w:val="en-GB"/>
        </w:rPr>
        <w:t xml:space="preserve"> and [NTf</w:t>
      </w:r>
      <w:r w:rsidRPr="007E0FF1">
        <w:rPr>
          <w:vertAlign w:val="subscript"/>
          <w:lang w:val="en-GB"/>
        </w:rPr>
        <w:t>2</w:t>
      </w:r>
      <w:r w:rsidRPr="007E0FF1">
        <w:rPr>
          <w:lang w:val="en-GB"/>
        </w:rPr>
        <w:t>]</w:t>
      </w:r>
      <w:r w:rsidRPr="007E0FF1">
        <w:rPr>
          <w:vertAlign w:val="superscript"/>
          <w:lang w:val="en-GB"/>
        </w:rPr>
        <w:t>-</w:t>
      </w:r>
      <w:r w:rsidRPr="007E0FF1">
        <w:rPr>
          <w:lang w:val="en-GB"/>
        </w:rPr>
        <w:t>. The [PF</w:t>
      </w:r>
      <w:r w:rsidRPr="007E0FF1">
        <w:rPr>
          <w:vertAlign w:val="subscript"/>
          <w:lang w:val="en-GB"/>
        </w:rPr>
        <w:t>6</w:t>
      </w:r>
      <w:r w:rsidRPr="007E0FF1">
        <w:rPr>
          <w:lang w:val="en-GB"/>
        </w:rPr>
        <w:t>]</w:t>
      </w:r>
      <w:r w:rsidRPr="007E0FF1">
        <w:rPr>
          <w:vertAlign w:val="superscript"/>
          <w:lang w:val="en-GB"/>
        </w:rPr>
        <w:t>-</w:t>
      </w:r>
      <w:r w:rsidRPr="007E0FF1">
        <w:rPr>
          <w:lang w:val="en-GB"/>
        </w:rPr>
        <w:t xml:space="preserve"> and [SbF</w:t>
      </w:r>
      <w:r w:rsidRPr="007E0FF1">
        <w:rPr>
          <w:vertAlign w:val="subscript"/>
          <w:lang w:val="en-GB"/>
        </w:rPr>
        <w:t>6</w:t>
      </w:r>
      <w:r w:rsidRPr="007E0FF1">
        <w:rPr>
          <w:lang w:val="en-GB"/>
        </w:rPr>
        <w:t>]</w:t>
      </w:r>
      <w:r w:rsidRPr="007E0FF1">
        <w:rPr>
          <w:vertAlign w:val="superscript"/>
          <w:lang w:val="en-GB"/>
        </w:rPr>
        <w:t>-</w:t>
      </w:r>
      <w:r w:rsidRPr="007E0FF1">
        <w:rPr>
          <w:lang w:val="en-GB"/>
        </w:rPr>
        <w:t xml:space="preserve"> ionic liquids are the weakest hydrogen bond acceptor anions. It can be seen that the relative </w:t>
      </w:r>
      <w:r w:rsidRPr="007E0FF1">
        <w:rPr>
          <w:i/>
          <w:lang w:val="en-GB"/>
        </w:rPr>
        <w:t>β</w:t>
      </w:r>
      <w:r w:rsidRPr="007E0FF1">
        <w:rPr>
          <w:lang w:val="en-GB"/>
        </w:rPr>
        <w:t xml:space="preserve"> values do change with dye set used; </w:t>
      </w:r>
      <w:r w:rsidRPr="007E0FF1">
        <w:rPr>
          <w:i/>
          <w:lang w:val="en-GB"/>
        </w:rPr>
        <w:t>N,N-</w:t>
      </w:r>
      <w:r w:rsidRPr="007E0FF1">
        <w:rPr>
          <w:lang w:val="en-GB"/>
        </w:rPr>
        <w:t>diethyl-4-nitroaniline/4-nitroaniline [C</w:t>
      </w:r>
      <w:r w:rsidRPr="007E0FF1">
        <w:rPr>
          <w:vertAlign w:val="subscript"/>
          <w:lang w:val="en-GB"/>
        </w:rPr>
        <w:t>4</w:t>
      </w:r>
      <w:r w:rsidRPr="007E0FF1">
        <w:rPr>
          <w:lang w:val="en-GB"/>
        </w:rPr>
        <w:t>C</w:t>
      </w:r>
      <w:r w:rsidRPr="007E0FF1">
        <w:rPr>
          <w:vertAlign w:val="subscript"/>
          <w:lang w:val="en-GB"/>
        </w:rPr>
        <w:t>1</w:t>
      </w:r>
      <w:r w:rsidRPr="007E0FF1">
        <w:rPr>
          <w:lang w:val="en-GB"/>
        </w:rPr>
        <w:t>im][OTf] &gt; [C</w:t>
      </w:r>
      <w:r w:rsidRPr="007E0FF1">
        <w:rPr>
          <w:vertAlign w:val="subscript"/>
          <w:lang w:val="en-GB"/>
        </w:rPr>
        <w:t>4</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pyrr][NTf</w:t>
      </w:r>
      <w:r w:rsidRPr="007E0FF1">
        <w:rPr>
          <w:vertAlign w:val="subscript"/>
          <w:lang w:val="en-GB"/>
        </w:rPr>
        <w:t>2</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 [C</w:t>
      </w:r>
      <w:r w:rsidRPr="007E0FF1">
        <w:rPr>
          <w:vertAlign w:val="subscript"/>
          <w:lang w:val="en-GB"/>
        </w:rPr>
        <w:t>4</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im][PF</w:t>
      </w:r>
      <w:r w:rsidRPr="007E0FF1">
        <w:rPr>
          <w:vertAlign w:val="subscript"/>
          <w:lang w:val="en-GB"/>
        </w:rPr>
        <w:t>6</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im][SbF</w:t>
      </w:r>
      <w:r w:rsidRPr="007E0FF1">
        <w:rPr>
          <w:vertAlign w:val="subscript"/>
          <w:lang w:val="en-GB"/>
        </w:rPr>
        <w:t>6</w:t>
      </w:r>
      <w:r w:rsidRPr="007E0FF1">
        <w:rPr>
          <w:lang w:val="en-GB"/>
        </w:rPr>
        <w:t>]; 4-nitroanisole/4-nitrophenol [C</w:t>
      </w:r>
      <w:r w:rsidRPr="007E0FF1">
        <w:rPr>
          <w:vertAlign w:val="subscript"/>
          <w:lang w:val="en-GB"/>
        </w:rPr>
        <w:t>4</w:t>
      </w:r>
      <w:r w:rsidRPr="007E0FF1">
        <w:rPr>
          <w:lang w:val="en-GB"/>
        </w:rPr>
        <w:t>C</w:t>
      </w:r>
      <w:r w:rsidRPr="007E0FF1">
        <w:rPr>
          <w:vertAlign w:val="subscript"/>
          <w:lang w:val="en-GB"/>
        </w:rPr>
        <w:t>1</w:t>
      </w:r>
      <w:r w:rsidRPr="007E0FF1">
        <w:rPr>
          <w:lang w:val="en-GB"/>
        </w:rPr>
        <w:t>im][OTf] &gt;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im][BF</w:t>
      </w:r>
      <w:r w:rsidRPr="007E0FF1">
        <w:rPr>
          <w:vertAlign w:val="subscript"/>
          <w:lang w:val="en-GB"/>
        </w:rPr>
        <w:t>4</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pyrr][NTf</w:t>
      </w:r>
      <w:r w:rsidRPr="007E0FF1">
        <w:rPr>
          <w:vertAlign w:val="subscript"/>
          <w:lang w:val="en-GB"/>
        </w:rPr>
        <w:t>2</w:t>
      </w:r>
      <w:r w:rsidRPr="007E0FF1">
        <w:rPr>
          <w:lang w:val="en-GB"/>
        </w:rPr>
        <w:t>]  =  [C</w:t>
      </w:r>
      <w:r w:rsidRPr="007E0FF1">
        <w:rPr>
          <w:vertAlign w:val="subscript"/>
          <w:lang w:val="en-GB"/>
        </w:rPr>
        <w:t>4</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im][PF</w:t>
      </w:r>
      <w:r w:rsidRPr="007E0FF1">
        <w:rPr>
          <w:vertAlign w:val="subscript"/>
          <w:lang w:val="en-GB"/>
        </w:rPr>
        <w:t>6</w:t>
      </w:r>
      <w:r w:rsidRPr="007E0FF1">
        <w:rPr>
          <w:lang w:val="en-GB"/>
        </w:rPr>
        <w:t>] &gt; [C</w:t>
      </w:r>
      <w:r w:rsidRPr="007E0FF1">
        <w:rPr>
          <w:vertAlign w:val="subscript"/>
          <w:lang w:val="en-GB"/>
        </w:rPr>
        <w:t>4</w:t>
      </w:r>
      <w:r w:rsidRPr="007E0FF1">
        <w:rPr>
          <w:lang w:val="en-GB"/>
        </w:rPr>
        <w:t>C</w:t>
      </w:r>
      <w:r w:rsidRPr="007E0FF1">
        <w:rPr>
          <w:vertAlign w:val="subscript"/>
          <w:lang w:val="en-GB"/>
        </w:rPr>
        <w:t>1</w:t>
      </w:r>
      <w:r w:rsidRPr="007E0FF1">
        <w:rPr>
          <w:lang w:val="en-GB"/>
        </w:rPr>
        <w:t>im][SbF</w:t>
      </w:r>
      <w:r w:rsidRPr="007E0FF1">
        <w:rPr>
          <w:vertAlign w:val="subscript"/>
          <w:lang w:val="en-GB"/>
        </w:rPr>
        <w:t>6</w:t>
      </w:r>
      <w:r w:rsidRPr="007E0FF1">
        <w:rPr>
          <w:lang w:val="en-GB"/>
        </w:rPr>
        <w:t xml:space="preserve">]. While the differences in these two sets of results are generally between ionic liquids with a common anion, and therefore very similar </w:t>
      </w:r>
      <w:r w:rsidRPr="007E0FF1">
        <w:rPr>
          <w:i/>
          <w:lang w:val="en-GB"/>
        </w:rPr>
        <w:t>β</w:t>
      </w:r>
      <w:r w:rsidRPr="007E0FF1">
        <w:rPr>
          <w:lang w:val="en-GB"/>
        </w:rPr>
        <w:t xml:space="preserve"> values, the result for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im][NTf</w:t>
      </w:r>
      <w:r w:rsidRPr="007E0FF1">
        <w:rPr>
          <w:vertAlign w:val="subscript"/>
          <w:lang w:val="en-GB"/>
        </w:rPr>
        <w:t>2</w:t>
      </w:r>
      <w:r w:rsidRPr="007E0FF1">
        <w:rPr>
          <w:lang w:val="en-GB"/>
        </w:rPr>
        <w:t>] with the 4-nitroanisole/4-nitrophenol pair stands out. This value is considerably higher than those of other [NTf</w:t>
      </w:r>
      <w:r w:rsidRPr="007E0FF1">
        <w:rPr>
          <w:vertAlign w:val="subscript"/>
          <w:lang w:val="en-GB"/>
        </w:rPr>
        <w:t>2</w:t>
      </w:r>
      <w:r w:rsidRPr="007E0FF1">
        <w:rPr>
          <w:lang w:val="en-GB"/>
        </w:rPr>
        <w:t>]</w:t>
      </w:r>
      <w:r w:rsidRPr="007E0FF1">
        <w:rPr>
          <w:vertAlign w:val="superscript"/>
          <w:lang w:val="en-GB"/>
        </w:rPr>
        <w:t>-</w:t>
      </w:r>
      <w:r w:rsidRPr="007E0FF1">
        <w:rPr>
          <w:lang w:val="en-GB"/>
        </w:rPr>
        <w:t xml:space="preserve"> containing ionic liquids measured with this dye set. We have repeated this measurement on this ionic liquid prepared on three separate occasions by different group members and are reassured that it does not arise from experimental error. From simple inspection it appears that 4-nitrophenol is showing a greater </w:t>
      </w:r>
      <w:r w:rsidR="00486B62" w:rsidRPr="007E0FF1">
        <w:rPr>
          <w:lang w:val="en-GB"/>
        </w:rPr>
        <w:t>solvatochromic</w:t>
      </w:r>
      <w:r w:rsidRPr="007E0FF1">
        <w:rPr>
          <w:lang w:val="en-GB"/>
        </w:rPr>
        <w:t xml:space="preserve"> shift than it’s </w:t>
      </w:r>
      <w:r w:rsidRPr="007E0FF1">
        <w:rPr>
          <w:i/>
          <w:lang w:val="en-GB"/>
        </w:rPr>
        <w:sym w:font="Symbol" w:char="F070"/>
      </w:r>
      <w:r w:rsidRPr="007E0FF1">
        <w:rPr>
          <w:lang w:val="en-GB"/>
        </w:rPr>
        <w:t xml:space="preserve">* homomorph, resulting in good trends in </w:t>
      </w:r>
      <w:r w:rsidRPr="007E0FF1">
        <w:rPr>
          <w:i/>
          <w:lang w:val="en-GB"/>
        </w:rPr>
        <w:sym w:font="Symbol" w:char="F070"/>
      </w:r>
      <w:r w:rsidRPr="007E0FF1">
        <w:rPr>
          <w:lang w:val="en-GB"/>
        </w:rPr>
        <w:t xml:space="preserve">* and </w:t>
      </w:r>
      <w:r w:rsidRPr="007E0FF1">
        <w:rPr>
          <w:i/>
          <w:lang w:val="en-GB"/>
        </w:rPr>
        <w:t>α</w:t>
      </w:r>
      <w:r w:rsidRPr="007E0FF1">
        <w:rPr>
          <w:lang w:val="en-GB"/>
        </w:rPr>
        <w:t xml:space="preserve"> values (see later), but an anomalously high </w:t>
      </w:r>
      <w:r w:rsidRPr="007E0FF1">
        <w:rPr>
          <w:i/>
          <w:lang w:val="en-GB"/>
        </w:rPr>
        <w:t>β</w:t>
      </w:r>
      <w:r w:rsidRPr="007E0FF1">
        <w:rPr>
          <w:lang w:val="en-GB"/>
        </w:rPr>
        <w:t xml:space="preserve"> value.  We do not have an explanation for this behaviour at this time.</w:t>
      </w:r>
    </w:p>
    <w:p w:rsidR="00945FB2" w:rsidRPr="007E0FF1" w:rsidRDefault="00945FB2" w:rsidP="008B2A31">
      <w:pPr>
        <w:pStyle w:val="NormalJustified"/>
        <w:spacing w:line="276" w:lineRule="auto"/>
        <w:rPr>
          <w:lang w:val="en-GB"/>
        </w:rPr>
      </w:pPr>
      <w:r w:rsidRPr="007E0FF1">
        <w:rPr>
          <w:noProof/>
          <w:lang w:val="en-GB" w:eastAsia="en-GB"/>
        </w:rPr>
        <w:drawing>
          <wp:inline distT="0" distB="0" distL="0" distR="0">
            <wp:extent cx="5791200" cy="3505200"/>
            <wp:effectExtent l="25400" t="0" r="0" b="0"/>
            <wp:docPr id="2" name="Picture 2" descr="Snapshot 2011-04-06 20-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apshot 2011-04-06 20-54-05"/>
                    <pic:cNvPicPr>
                      <a:picLocks noChangeAspect="1" noChangeArrowheads="1"/>
                    </pic:cNvPicPr>
                  </pic:nvPicPr>
                  <pic:blipFill>
                    <a:blip r:embed="rId11" cstate="print"/>
                    <a:srcRect/>
                    <a:stretch>
                      <a:fillRect/>
                    </a:stretch>
                  </pic:blipFill>
                  <pic:spPr bwMode="auto">
                    <a:xfrm>
                      <a:off x="0" y="0"/>
                      <a:ext cx="5791200" cy="3505200"/>
                    </a:xfrm>
                    <a:prstGeom prst="rect">
                      <a:avLst/>
                    </a:prstGeom>
                    <a:noFill/>
                    <a:ln w="9525">
                      <a:noFill/>
                      <a:miter lim="800000"/>
                      <a:headEnd/>
                      <a:tailEnd/>
                    </a:ln>
                  </pic:spPr>
                </pic:pic>
              </a:graphicData>
            </a:graphic>
          </wp:inline>
        </w:drawing>
      </w:r>
    </w:p>
    <w:p w:rsidR="00945FB2" w:rsidRPr="007E0FF1" w:rsidRDefault="00945FB2" w:rsidP="008B2A31">
      <w:pPr>
        <w:pStyle w:val="NormalJustified"/>
        <w:spacing w:line="276" w:lineRule="auto"/>
        <w:rPr>
          <w:lang w:val="en-GB"/>
        </w:rPr>
      </w:pPr>
      <w:r w:rsidRPr="007E0FF1">
        <w:rPr>
          <w:b/>
          <w:lang w:val="en-GB"/>
        </w:rPr>
        <w:t>Figure 3</w:t>
      </w:r>
      <w:r w:rsidRPr="007E0FF1">
        <w:rPr>
          <w:lang w:val="en-GB"/>
        </w:rPr>
        <w:t>:</w:t>
      </w:r>
      <w:r w:rsidRPr="007E0FF1">
        <w:rPr>
          <w:lang w:val="en-GB"/>
        </w:rPr>
        <w:tab/>
        <w:t xml:space="preserve">Kamlet-Taft </w:t>
      </w:r>
      <w:r w:rsidRPr="007E0FF1">
        <w:rPr>
          <w:i/>
        </w:rPr>
        <w:sym w:font="Symbol" w:char="F062"/>
      </w:r>
      <w:r w:rsidRPr="007E0FF1">
        <w:rPr>
          <w:lang w:val="en-GB"/>
        </w:rPr>
        <w:t xml:space="preserve"> values for the homomorphic solvation probe pairs </w:t>
      </w:r>
      <w:r w:rsidRPr="007E0FF1">
        <w:rPr>
          <w:i/>
          <w:lang w:val="en-GB"/>
        </w:rPr>
        <w:t>N,N-</w:t>
      </w:r>
      <w:r w:rsidRPr="007E0FF1">
        <w:rPr>
          <w:lang w:val="en-GB"/>
        </w:rPr>
        <w:t>diethyl-4-nitroaniline/4-nitroaniline and 4-nitroanisole/4-nitrophenol.</w:t>
      </w:r>
    </w:p>
    <w:p w:rsidR="00945FB2" w:rsidRPr="007E0FF1" w:rsidRDefault="00945FB2" w:rsidP="008B2A31">
      <w:pPr>
        <w:pStyle w:val="NormalJustified"/>
        <w:spacing w:line="276" w:lineRule="auto"/>
        <w:rPr>
          <w:lang w:val="en-GB"/>
        </w:rPr>
      </w:pPr>
      <w:bookmarkStart w:id="50" w:name="_Toc146666082"/>
      <w:bookmarkStart w:id="51" w:name="_Toc146788910"/>
    </w:p>
    <w:bookmarkEnd w:id="50"/>
    <w:bookmarkEnd w:id="51"/>
    <w:p w:rsidR="00B7527E" w:rsidRDefault="00945FB2" w:rsidP="008B2A31">
      <w:pPr>
        <w:pStyle w:val="NormalJustified"/>
        <w:spacing w:line="276" w:lineRule="auto"/>
        <w:ind w:firstLine="720"/>
        <w:rPr>
          <w:lang w:val="en-GB"/>
        </w:rPr>
      </w:pPr>
      <w:r w:rsidRPr="007E0FF1">
        <w:rPr>
          <w:lang w:val="en-GB"/>
        </w:rPr>
        <w:t>Again, the</w:t>
      </w:r>
      <w:r w:rsidR="0010488B">
        <w:rPr>
          <w:lang w:val="en-GB"/>
        </w:rPr>
        <w:t xml:space="preserve"> question of which</w:t>
      </w:r>
      <w:r w:rsidRPr="007E0FF1">
        <w:rPr>
          <w:lang w:val="en-GB"/>
        </w:rPr>
        <w:t xml:space="preserve"> probe set </w:t>
      </w:r>
      <w:r w:rsidR="0010488B">
        <w:rPr>
          <w:lang w:val="en-GB"/>
        </w:rPr>
        <w:t>should be used arises</w:t>
      </w:r>
      <w:r w:rsidRPr="007E0FF1">
        <w:rPr>
          <w:lang w:val="en-GB"/>
        </w:rPr>
        <w:t xml:space="preserve">. </w:t>
      </w:r>
      <w:r w:rsidR="0010488B">
        <w:rPr>
          <w:lang w:val="en-GB"/>
        </w:rPr>
        <w:t xml:space="preserve">When the </w:t>
      </w:r>
      <w:r w:rsidR="0010488B" w:rsidRPr="007E0FF1">
        <w:rPr>
          <w:i/>
          <w:lang w:val="en-GB"/>
        </w:rPr>
        <w:t>π</w:t>
      </w:r>
      <w:r w:rsidR="0010488B">
        <w:rPr>
          <w:lang w:val="en-GB"/>
        </w:rPr>
        <w:t xml:space="preserve">* values are derived from the average of values measured using a wide range of probes, this choice is somewhat arbitrary. However, for measurements of ionic liquids we have selected </w:t>
      </w:r>
      <w:r w:rsidR="0010488B" w:rsidRPr="007E0FF1">
        <w:rPr>
          <w:i/>
          <w:lang w:val="en-GB"/>
        </w:rPr>
        <w:t>N,N-</w:t>
      </w:r>
      <w:r w:rsidR="0010488B" w:rsidRPr="007E0FF1">
        <w:rPr>
          <w:lang w:val="en-GB"/>
        </w:rPr>
        <w:t>diethyl-</w:t>
      </w:r>
      <w:r w:rsidR="0010488B">
        <w:rPr>
          <w:lang w:val="en-GB"/>
        </w:rPr>
        <w:t>4-nitroaniline as the preferred</w:t>
      </w:r>
      <w:r w:rsidR="0010488B" w:rsidRPr="007E0FF1">
        <w:rPr>
          <w:lang w:val="en-GB"/>
        </w:rPr>
        <w:t xml:space="preserve"> </w:t>
      </w:r>
      <w:r w:rsidR="0010488B" w:rsidRPr="007E0FF1">
        <w:rPr>
          <w:i/>
          <w:lang w:val="en-GB"/>
        </w:rPr>
        <w:t>π</w:t>
      </w:r>
      <w:r w:rsidR="0010488B">
        <w:rPr>
          <w:lang w:val="en-GB"/>
        </w:rPr>
        <w:t xml:space="preserve">* probe. Hence, </w:t>
      </w:r>
      <w:r w:rsidR="00B7527E">
        <w:rPr>
          <w:lang w:val="en-GB"/>
        </w:rPr>
        <w:t xml:space="preserve">using </w:t>
      </w:r>
      <w:r w:rsidRPr="007E0FF1">
        <w:rPr>
          <w:lang w:val="en-GB"/>
        </w:rPr>
        <w:t xml:space="preserve">the </w:t>
      </w:r>
      <w:r w:rsidRPr="007E0FF1">
        <w:rPr>
          <w:i/>
          <w:lang w:val="en-GB"/>
        </w:rPr>
        <w:t>N,N-</w:t>
      </w:r>
      <w:r w:rsidRPr="007E0FF1">
        <w:rPr>
          <w:lang w:val="en-GB"/>
        </w:rPr>
        <w:t xml:space="preserve">diethyl-4-nitroaniline/4-nitroaniline pair </w:t>
      </w:r>
      <w:r w:rsidR="0010488B">
        <w:rPr>
          <w:lang w:val="en-GB"/>
        </w:rPr>
        <w:t xml:space="preserve">provides the greatest internal </w:t>
      </w:r>
      <w:r w:rsidR="0010488B">
        <w:rPr>
          <w:lang w:val="en-GB"/>
        </w:rPr>
        <w:lastRenderedPageBreak/>
        <w:t xml:space="preserve">consistency in the polarity analysis. </w:t>
      </w:r>
      <w:r w:rsidR="00B7527E">
        <w:rPr>
          <w:lang w:val="en-GB"/>
        </w:rPr>
        <w:t>Its other advantage is that</w:t>
      </w:r>
      <w:r w:rsidR="0010488B">
        <w:rPr>
          <w:lang w:val="en-GB"/>
        </w:rPr>
        <w:t xml:space="preserve"> it </w:t>
      </w:r>
      <w:r w:rsidR="00B7527E">
        <w:rPr>
          <w:lang w:val="en-GB"/>
        </w:rPr>
        <w:t xml:space="preserve">is </w:t>
      </w:r>
      <w:r w:rsidRPr="007E0FF1">
        <w:rPr>
          <w:lang w:val="en-GB"/>
        </w:rPr>
        <w:t xml:space="preserve">the most commonly used </w:t>
      </w:r>
      <w:r w:rsidR="0010488B">
        <w:rPr>
          <w:lang w:val="en-GB"/>
        </w:rPr>
        <w:t>pair in the literature, which gives the greatest availability of comparisons</w:t>
      </w:r>
      <w:r w:rsidR="00B7527E">
        <w:rPr>
          <w:lang w:val="en-GB"/>
        </w:rPr>
        <w:t xml:space="preserve"> with other solvents</w:t>
      </w:r>
      <w:r w:rsidRPr="007E0FF1">
        <w:rPr>
          <w:lang w:val="en-GB"/>
        </w:rPr>
        <w:t xml:space="preserve">. </w:t>
      </w:r>
      <w:r w:rsidR="00080DAD">
        <w:rPr>
          <w:lang w:val="en-GB"/>
        </w:rPr>
        <w:t>Again it must be noted that</w:t>
      </w:r>
      <w:r w:rsidRPr="007E0FF1">
        <w:rPr>
          <w:lang w:val="en-GB"/>
        </w:rPr>
        <w:t xml:space="preserve"> </w:t>
      </w:r>
      <w:r w:rsidR="00BF2AD8">
        <w:rPr>
          <w:lang w:val="en-GB"/>
        </w:rPr>
        <w:t>when applying LSERs (see ESI for method and worked example) to analyse other solvent dependent phenomena</w:t>
      </w:r>
      <w:r w:rsidR="00200B61">
        <w:rPr>
          <w:lang w:val="en-GB"/>
        </w:rPr>
        <w:t>,</w:t>
      </w:r>
      <w:r w:rsidR="00BF2AD8">
        <w:rPr>
          <w:lang w:val="en-GB"/>
        </w:rPr>
        <w:t xml:space="preserve"> </w:t>
      </w:r>
      <w:r w:rsidRPr="007E0FF1">
        <w:rPr>
          <w:i/>
          <w:lang w:val="en-GB"/>
        </w:rPr>
        <w:t>β</w:t>
      </w:r>
      <w:r w:rsidR="00080DAD">
        <w:rPr>
          <w:lang w:val="en-GB"/>
        </w:rPr>
        <w:t xml:space="preserve"> values </w:t>
      </w:r>
      <w:r w:rsidR="009D0665">
        <w:rPr>
          <w:lang w:val="en-GB"/>
        </w:rPr>
        <w:t>derived from</w:t>
      </w:r>
      <w:r w:rsidR="00080DAD">
        <w:rPr>
          <w:lang w:val="en-GB"/>
        </w:rPr>
        <w:t xml:space="preserve"> different dye</w:t>
      </w:r>
      <w:r w:rsidRPr="007E0FF1">
        <w:rPr>
          <w:lang w:val="en-GB"/>
        </w:rPr>
        <w:t xml:space="preserve"> sets </w:t>
      </w:r>
      <w:r w:rsidR="009D0665">
        <w:rPr>
          <w:lang w:val="en-GB"/>
        </w:rPr>
        <w:t>should not be used together</w:t>
      </w:r>
      <w:r w:rsidRPr="007E0FF1">
        <w:rPr>
          <w:lang w:val="en-GB"/>
        </w:rPr>
        <w:t xml:space="preserve">. </w:t>
      </w:r>
    </w:p>
    <w:p w:rsidR="00945FB2" w:rsidRPr="007E0FF1" w:rsidRDefault="00945FB2" w:rsidP="008B2A31">
      <w:pPr>
        <w:pStyle w:val="NormalJustified"/>
        <w:spacing w:line="276" w:lineRule="auto"/>
        <w:ind w:firstLine="720"/>
        <w:rPr>
          <w:lang w:val="en-GB"/>
        </w:rPr>
      </w:pPr>
      <w:r w:rsidRPr="007E0FF1">
        <w:rPr>
          <w:lang w:val="en-GB"/>
        </w:rPr>
        <w:t xml:space="preserve">Table </w:t>
      </w:r>
      <w:r w:rsidR="00AE2A11" w:rsidRPr="007E0FF1">
        <w:rPr>
          <w:lang w:val="en-GB"/>
        </w:rPr>
        <w:t>4</w:t>
      </w:r>
      <w:r w:rsidRPr="007E0FF1">
        <w:rPr>
          <w:lang w:val="en-GB"/>
        </w:rPr>
        <w:t xml:space="preserve"> shows </w:t>
      </w:r>
      <w:r w:rsidRPr="007E0FF1">
        <w:rPr>
          <w:i/>
          <w:lang w:val="en-GB"/>
        </w:rPr>
        <w:t>β</w:t>
      </w:r>
      <w:r w:rsidRPr="007E0FF1">
        <w:rPr>
          <w:lang w:val="en-GB"/>
        </w:rPr>
        <w:t xml:space="preserve"> values measured by us for range ionic liquids and others from the literature obtained with the probe pair </w:t>
      </w:r>
      <w:r w:rsidRPr="007E0FF1">
        <w:rPr>
          <w:i/>
          <w:lang w:val="en-GB"/>
        </w:rPr>
        <w:t>N,N-</w:t>
      </w:r>
      <w:r w:rsidRPr="007E0FF1">
        <w:rPr>
          <w:lang w:val="en-GB"/>
        </w:rPr>
        <w:t xml:space="preserve">diethyl-4-nitroaniline/4-nitroaniline. It can be seen from Table </w:t>
      </w:r>
      <w:r w:rsidR="00AE2A11" w:rsidRPr="007E0FF1">
        <w:rPr>
          <w:lang w:val="en-GB"/>
        </w:rPr>
        <w:t>4</w:t>
      </w:r>
      <w:r w:rsidRPr="007E0FF1">
        <w:rPr>
          <w:lang w:val="en-GB"/>
        </w:rPr>
        <w:t xml:space="preserve"> that different </w:t>
      </w:r>
      <w:r w:rsidRPr="007E0FF1">
        <w:rPr>
          <w:i/>
          <w:lang w:val="en-GB"/>
        </w:rPr>
        <w:t>β</w:t>
      </w:r>
      <w:r w:rsidRPr="007E0FF1">
        <w:rPr>
          <w:lang w:val="en-GB"/>
        </w:rPr>
        <w:t xml:space="preserve"> values have been reported for the same ionic liquids. It has been shown that </w:t>
      </w:r>
      <w:r w:rsidRPr="007E0FF1">
        <w:rPr>
          <w:i/>
          <w:lang w:val="en-GB"/>
        </w:rPr>
        <w:t>β</w:t>
      </w:r>
      <w:r w:rsidRPr="007E0FF1">
        <w:rPr>
          <w:lang w:val="en-GB"/>
        </w:rPr>
        <w:t xml:space="preserve"> values of ionic liquids can be affected by the presence of molecular solvents.</w:t>
      </w:r>
      <w:r w:rsidR="00181501">
        <w:fldChar w:fldCharType="begin"/>
      </w:r>
      <w:r w:rsidR="00181501">
        <w:instrText xml:space="preserve"> NOTEREF _Ref290461354 \f \h  \* MERGEFORMAT </w:instrText>
      </w:r>
      <w:r w:rsidR="00181501">
        <w:fldChar w:fldCharType="separate"/>
      </w:r>
      <w:r w:rsidR="008B17B5" w:rsidRPr="007E0FF1">
        <w:rPr>
          <w:rStyle w:val="EndnoteReference"/>
        </w:rPr>
        <w:t>17</w:t>
      </w:r>
      <w:r w:rsidR="00181501">
        <w:fldChar w:fldCharType="end"/>
      </w:r>
      <w:r w:rsidR="0010219C" w:rsidRPr="007E0FF1">
        <w:rPr>
          <w:vertAlign w:val="superscript"/>
          <w:lang w:val="en-GB"/>
        </w:rPr>
        <w:t xml:space="preserve">, </w:t>
      </w:r>
      <w:r w:rsidR="00181501">
        <w:fldChar w:fldCharType="begin"/>
      </w:r>
      <w:r w:rsidR="00181501">
        <w:instrText xml:space="preserve"> NOTEREF _Ref290461498 \f \h  \* MERGEFORMAT </w:instrText>
      </w:r>
      <w:r w:rsidR="00181501">
        <w:fldChar w:fldCharType="separate"/>
      </w:r>
      <w:r w:rsidR="008B17B5" w:rsidRPr="007E0FF1">
        <w:rPr>
          <w:rStyle w:val="EndnoteReference"/>
        </w:rPr>
        <w:t>27</w:t>
      </w:r>
      <w:r w:rsidR="00181501">
        <w:fldChar w:fldCharType="end"/>
      </w:r>
      <w:r w:rsidR="0076299D" w:rsidRPr="007E0FF1">
        <w:rPr>
          <w:lang w:val="en-GB"/>
        </w:rPr>
        <w:t xml:space="preserve"> We also found (</w:t>
      </w:r>
      <w:r w:rsidRPr="007E0FF1">
        <w:rPr>
          <w:lang w:val="en-GB"/>
        </w:rPr>
        <w:t xml:space="preserve">Table 5) that common impurities </w:t>
      </w:r>
      <w:r w:rsidR="0076299D" w:rsidRPr="007E0FF1">
        <w:rPr>
          <w:lang w:val="en-GB"/>
        </w:rPr>
        <w:t xml:space="preserve">arising from the synthesis of the ionic liquids, </w:t>
      </w:r>
      <w:r w:rsidRPr="007E0FF1">
        <w:rPr>
          <w:lang w:val="en-GB"/>
        </w:rPr>
        <w:t>such as</w:t>
      </w:r>
      <w:r w:rsidR="00AE2A11" w:rsidRPr="007E0FF1">
        <w:rPr>
          <w:lang w:val="en-GB"/>
        </w:rPr>
        <w:t xml:space="preserve"> </w:t>
      </w:r>
      <w:r w:rsidRPr="007E0FF1">
        <w:rPr>
          <w:lang w:val="en-GB"/>
        </w:rPr>
        <w:t xml:space="preserve">alkylamines (which increase </w:t>
      </w:r>
      <w:r w:rsidRPr="007E0FF1">
        <w:rPr>
          <w:i/>
          <w:lang w:val="en-GB"/>
        </w:rPr>
        <w:t>β</w:t>
      </w:r>
      <w:r w:rsidRPr="007E0FF1">
        <w:rPr>
          <w:lang w:val="en-GB"/>
        </w:rPr>
        <w:t>), Li</w:t>
      </w:r>
      <w:r w:rsidRPr="007E0FF1">
        <w:rPr>
          <w:vertAlign w:val="superscript"/>
          <w:lang w:val="en-GB"/>
        </w:rPr>
        <w:t>+</w:t>
      </w:r>
      <w:r w:rsidRPr="007E0FF1">
        <w:rPr>
          <w:lang w:val="en-GB"/>
        </w:rPr>
        <w:t xml:space="preserve"> (which decreases </w:t>
      </w:r>
      <w:r w:rsidRPr="007E0FF1">
        <w:rPr>
          <w:i/>
          <w:lang w:val="en-GB"/>
        </w:rPr>
        <w:t>β</w:t>
      </w:r>
      <w:r w:rsidRPr="007E0FF1">
        <w:rPr>
          <w:lang w:val="en-GB"/>
        </w:rPr>
        <w:t>) and Cl</w:t>
      </w:r>
      <w:r w:rsidR="00AE2A11" w:rsidRPr="007E0FF1">
        <w:rPr>
          <w:vertAlign w:val="superscript"/>
          <w:lang w:val="en-GB"/>
        </w:rPr>
        <w:t>-</w:t>
      </w:r>
      <w:r w:rsidRPr="007E0FF1">
        <w:rPr>
          <w:vertAlign w:val="superscript"/>
          <w:lang w:val="en-GB"/>
        </w:rPr>
        <w:t xml:space="preserve"> </w:t>
      </w:r>
      <w:r w:rsidRPr="007E0FF1">
        <w:rPr>
          <w:lang w:val="en-GB"/>
        </w:rPr>
        <w:t xml:space="preserve">(which increases </w:t>
      </w:r>
      <w:r w:rsidRPr="007E0FF1">
        <w:rPr>
          <w:i/>
          <w:lang w:val="en-GB"/>
        </w:rPr>
        <w:t>β</w:t>
      </w:r>
      <w:r w:rsidRPr="007E0FF1">
        <w:rPr>
          <w:lang w:val="en-GB"/>
        </w:rPr>
        <w:t>)</w:t>
      </w:r>
      <w:r w:rsidR="0076299D" w:rsidRPr="007E0FF1">
        <w:rPr>
          <w:lang w:val="en-GB"/>
        </w:rPr>
        <w:t>,</w:t>
      </w:r>
      <w:r w:rsidRPr="007E0FF1">
        <w:rPr>
          <w:vertAlign w:val="superscript"/>
          <w:lang w:val="en-GB"/>
        </w:rPr>
        <w:t xml:space="preserve"> </w:t>
      </w:r>
      <w:r w:rsidRPr="007E0FF1">
        <w:rPr>
          <w:lang w:val="en-GB"/>
        </w:rPr>
        <w:t xml:space="preserve">can have a significant effect on the </w:t>
      </w:r>
      <w:r w:rsidRPr="007E0FF1">
        <w:rPr>
          <w:i/>
          <w:lang w:val="en-GB"/>
        </w:rPr>
        <w:t>β</w:t>
      </w:r>
      <w:r w:rsidR="00C41AA8">
        <w:rPr>
          <w:lang w:val="en-GB"/>
        </w:rPr>
        <w:t xml:space="preserve"> value obtained.</w:t>
      </w:r>
    </w:p>
    <w:p w:rsidR="00945FB2" w:rsidRPr="007E0FF1" w:rsidRDefault="00945FB2" w:rsidP="008B2A31">
      <w:pPr>
        <w:pStyle w:val="NormalJustified"/>
        <w:spacing w:line="276" w:lineRule="auto"/>
        <w:ind w:firstLine="720"/>
        <w:rPr>
          <w:lang w:val="en-GB"/>
        </w:rPr>
      </w:pPr>
      <w:r w:rsidRPr="007E0FF1">
        <w:rPr>
          <w:lang w:val="en-GB"/>
        </w:rPr>
        <w:t xml:space="preserve">It can be seen that the </w:t>
      </w:r>
      <w:r w:rsidRPr="007E0FF1">
        <w:rPr>
          <w:i/>
          <w:lang w:val="en-GB"/>
        </w:rPr>
        <w:t>β</w:t>
      </w:r>
      <w:r w:rsidRPr="007E0FF1">
        <w:rPr>
          <w:lang w:val="en-GB"/>
        </w:rPr>
        <w:t xml:space="preserve"> value is dominated by the anion of the ionic liquid, with the cation having a secondary effect. The trend in the </w:t>
      </w:r>
      <w:r w:rsidRPr="007E0FF1">
        <w:rPr>
          <w:i/>
          <w:lang w:val="en-GB"/>
        </w:rPr>
        <w:t>β</w:t>
      </w:r>
      <w:r w:rsidRPr="007E0FF1">
        <w:rPr>
          <w:lang w:val="en-GB"/>
        </w:rPr>
        <w:t xml:space="preserve"> values shows an inverse </w:t>
      </w:r>
      <w:r w:rsidR="0076299D" w:rsidRPr="007E0FF1">
        <w:rPr>
          <w:lang w:val="en-GB"/>
        </w:rPr>
        <w:t>relationship</w:t>
      </w:r>
      <w:r w:rsidRPr="007E0FF1">
        <w:rPr>
          <w:lang w:val="en-GB"/>
        </w:rPr>
        <w:t xml:space="preserve"> with the Gibbs free energy change on the deprotonation of the conjugate acid of the anion in the gas phase (</w:t>
      </w:r>
      <w:bookmarkStart w:id="52" w:name="OLE_LINK2"/>
      <w:bookmarkStart w:id="53" w:name="OLE_LINK3"/>
      <w:r w:rsidRPr="007E0FF1">
        <w:rPr>
          <w:lang w:val="en-GB"/>
        </w:rPr>
        <w:t>ΔG</w:t>
      </w:r>
      <w:r w:rsidRPr="007E0FF1">
        <w:rPr>
          <w:vertAlign w:val="subscript"/>
          <w:lang w:val="en-GB"/>
        </w:rPr>
        <w:t>H</w:t>
      </w:r>
      <w:bookmarkEnd w:id="52"/>
      <w:bookmarkEnd w:id="53"/>
      <w:r w:rsidRPr="007E0FF1">
        <w:rPr>
          <w:lang w:val="en-GB"/>
        </w:rPr>
        <w:t>).</w:t>
      </w:r>
      <w:r w:rsidR="00181501">
        <w:fldChar w:fldCharType="begin"/>
      </w:r>
      <w:r w:rsidR="00181501">
        <w:instrText xml:space="preserve"> NOTEREF _Ref274861220 \f \h  \* MERGEFORMAT </w:instrText>
      </w:r>
      <w:r w:rsidR="00181501">
        <w:fldChar w:fldCharType="separate"/>
      </w:r>
      <w:r w:rsidR="008B17B5" w:rsidRPr="007E0FF1">
        <w:rPr>
          <w:rStyle w:val="EndnoteReference"/>
        </w:rPr>
        <w:t>14</w:t>
      </w:r>
      <w:r w:rsidR="00181501">
        <w:fldChar w:fldCharType="end"/>
      </w:r>
      <w:r w:rsidR="001B1A53">
        <w:t xml:space="preserve"> </w:t>
      </w:r>
      <w:r w:rsidRPr="007E0FF1">
        <w:rPr>
          <w:lang w:val="en-GB"/>
        </w:rPr>
        <w:t>The observed trend provides us with the ability to predict these values for the ionic liquids using calculated ΔG</w:t>
      </w:r>
      <w:r w:rsidRPr="007E0FF1">
        <w:rPr>
          <w:vertAlign w:val="subscript"/>
          <w:lang w:val="en-GB"/>
        </w:rPr>
        <w:t>H</w:t>
      </w:r>
      <w:r w:rsidRPr="007E0FF1">
        <w:rPr>
          <w:lang w:val="en-GB"/>
        </w:rPr>
        <w:t xml:space="preserve">, which leads to the possibility to design ionic liquids with desired basicities. </w:t>
      </w:r>
    </w:p>
    <w:p w:rsidR="00945FB2" w:rsidRPr="007E0FF1" w:rsidRDefault="00945FB2" w:rsidP="008B2A31">
      <w:pPr>
        <w:pStyle w:val="NormalJustified"/>
        <w:spacing w:line="276" w:lineRule="auto"/>
        <w:rPr>
          <w:lang w:val="en-GB"/>
        </w:rPr>
      </w:pPr>
    </w:p>
    <w:bookmarkEnd w:id="46"/>
    <w:bookmarkEnd w:id="47"/>
    <w:p w:rsidR="00945FB2" w:rsidRPr="007E0FF1" w:rsidRDefault="00945FB2" w:rsidP="008B2A31">
      <w:pPr>
        <w:pStyle w:val="NormalJustified"/>
        <w:spacing w:line="276" w:lineRule="auto"/>
        <w:rPr>
          <w:b/>
          <w:lang w:val="en-GB"/>
        </w:rPr>
      </w:pPr>
      <w:r w:rsidRPr="007E0FF1">
        <w:rPr>
          <w:b/>
          <w:i/>
          <w:lang w:val="en-GB"/>
        </w:rPr>
        <w:t>α</w:t>
      </w:r>
      <w:r w:rsidR="0076299D" w:rsidRPr="007E0FF1">
        <w:rPr>
          <w:b/>
          <w:lang w:val="en-GB"/>
        </w:rPr>
        <w:t xml:space="preserve"> </w:t>
      </w:r>
      <w:r w:rsidRPr="007E0FF1">
        <w:rPr>
          <w:b/>
          <w:lang w:val="en-GB"/>
        </w:rPr>
        <w:t>values</w:t>
      </w:r>
    </w:p>
    <w:p w:rsidR="00945FB2" w:rsidRPr="007E0FF1" w:rsidRDefault="00945FB2" w:rsidP="008B2A31">
      <w:pPr>
        <w:pStyle w:val="NormalJustified"/>
        <w:spacing w:line="276" w:lineRule="auto"/>
        <w:rPr>
          <w:vertAlign w:val="superscript"/>
          <w:lang w:val="en-GB"/>
        </w:rPr>
      </w:pPr>
      <w:r w:rsidRPr="007E0FF1">
        <w:rPr>
          <w:lang w:val="en-GB"/>
        </w:rPr>
        <w:t xml:space="preserve">The Kamlet-Taft </w:t>
      </w:r>
      <w:r w:rsidRPr="007E0FF1">
        <w:rPr>
          <w:i/>
          <w:lang w:val="en-GB"/>
        </w:rPr>
        <w:t xml:space="preserve">α </w:t>
      </w:r>
      <w:r w:rsidRPr="007E0FF1">
        <w:rPr>
          <w:lang w:val="en-GB"/>
        </w:rPr>
        <w:t xml:space="preserve">parameter describes the ability of a solvent to donate a proton in a solvent-to-solute hydrogen bond, with the fixed reference point of </w:t>
      </w:r>
      <w:r w:rsidRPr="007E0FF1">
        <w:rPr>
          <w:i/>
          <w:lang w:val="en-GB"/>
        </w:rPr>
        <w:t>α</w:t>
      </w:r>
      <w:r w:rsidRPr="007E0FF1">
        <w:rPr>
          <w:lang w:val="en-GB"/>
        </w:rPr>
        <w:t xml:space="preserve"> = 1 for methanol.</w:t>
      </w:r>
      <w:r w:rsidRPr="007E0FF1">
        <w:rPr>
          <w:rStyle w:val="EndnoteReference"/>
          <w:lang w:val="en-GB"/>
        </w:rPr>
        <w:endnoteReference w:id="31"/>
      </w:r>
      <w:r w:rsidRPr="007E0FF1">
        <w:rPr>
          <w:lang w:val="en-GB"/>
        </w:rPr>
        <w:t xml:space="preserve"> Of all of the Kamlet-Taft parameters, </w:t>
      </w:r>
      <w:r w:rsidRPr="007E0FF1">
        <w:rPr>
          <w:i/>
          <w:lang w:val="en-GB"/>
        </w:rPr>
        <w:t>α</w:t>
      </w:r>
      <w:r w:rsidRPr="007E0FF1">
        <w:rPr>
          <w:lang w:val="en-GB"/>
        </w:rPr>
        <w:t xml:space="preserve"> has generated the greatest amount of controversy in regard to its use </w:t>
      </w:r>
      <w:r w:rsidR="00945AEB">
        <w:rPr>
          <w:lang w:val="en-GB"/>
        </w:rPr>
        <w:t>with</w:t>
      </w:r>
      <w:r w:rsidR="00945AEB" w:rsidRPr="007E0FF1">
        <w:rPr>
          <w:lang w:val="en-GB"/>
        </w:rPr>
        <w:t xml:space="preserve"> </w:t>
      </w:r>
      <w:r w:rsidRPr="007E0FF1">
        <w:rPr>
          <w:lang w:val="en-GB"/>
        </w:rPr>
        <w:t xml:space="preserve">ionic liquids. As with </w:t>
      </w:r>
      <w:r w:rsidRPr="007E0FF1">
        <w:rPr>
          <w:i/>
          <w:lang w:val="en-GB"/>
        </w:rPr>
        <w:t>β</w:t>
      </w:r>
      <w:r w:rsidRPr="007E0FF1">
        <w:rPr>
          <w:lang w:val="en-GB"/>
        </w:rPr>
        <w:t xml:space="preserve">, </w:t>
      </w:r>
      <w:r w:rsidRPr="007E0FF1">
        <w:rPr>
          <w:i/>
          <w:lang w:val="en-GB"/>
        </w:rPr>
        <w:t>α</w:t>
      </w:r>
      <w:r w:rsidRPr="007E0FF1">
        <w:rPr>
          <w:lang w:val="en-GB"/>
        </w:rPr>
        <w:t xml:space="preserve"> values are generated using the solvatochromic comparison method. However, no attempt was made to find structurally similar pairs of probes. Instead, the HBD ability of solvents is derived from Reichardt’s </w:t>
      </w:r>
      <w:r w:rsidRPr="007E0FF1">
        <w:rPr>
          <w:i/>
          <w:lang w:val="en-GB"/>
        </w:rPr>
        <w:t>E</w:t>
      </w:r>
      <w:r w:rsidRPr="007E0FF1">
        <w:rPr>
          <w:i/>
          <w:vertAlign w:val="subscript"/>
          <w:lang w:val="en-GB"/>
        </w:rPr>
        <w:t>T</w:t>
      </w:r>
      <w:r w:rsidRPr="007E0FF1">
        <w:rPr>
          <w:i/>
          <w:vertAlign w:val="superscript"/>
          <w:lang w:val="en-GB"/>
        </w:rPr>
        <w:t>30</w:t>
      </w:r>
      <w:r w:rsidRPr="007E0FF1">
        <w:rPr>
          <w:lang w:val="en-GB"/>
        </w:rPr>
        <w:t xml:space="preserve"> scale, which includes HBD and </w:t>
      </w:r>
      <w:r w:rsidR="00486B62" w:rsidRPr="007E0FF1">
        <w:rPr>
          <w:lang w:val="en-GB"/>
        </w:rPr>
        <w:t>polarizability</w:t>
      </w:r>
      <w:r w:rsidRPr="007E0FF1">
        <w:rPr>
          <w:lang w:val="en-GB"/>
        </w:rPr>
        <w:t xml:space="preserve">/polarity effects, with the latter being removed using the </w:t>
      </w:r>
      <w:r w:rsidRPr="007E0FF1">
        <w:rPr>
          <w:i/>
          <w:lang w:val="en-GB"/>
        </w:rPr>
        <w:sym w:font="Symbol" w:char="F070"/>
      </w:r>
      <w:r w:rsidRPr="007E0FF1">
        <w:rPr>
          <w:i/>
          <w:lang w:val="en-GB"/>
        </w:rPr>
        <w:t>*</w:t>
      </w:r>
      <w:r w:rsidRPr="007E0FF1">
        <w:rPr>
          <w:lang w:val="en-GB"/>
        </w:rPr>
        <w:t xml:space="preserve"> value of the solvent as shown in equation 2. </w:t>
      </w:r>
    </w:p>
    <w:p w:rsidR="00945FB2" w:rsidRPr="007E0FF1" w:rsidRDefault="00945FB2" w:rsidP="008B2A31">
      <w:pPr>
        <w:pStyle w:val="NormalJustified"/>
        <w:spacing w:line="276" w:lineRule="auto"/>
        <w:rPr>
          <w:lang w:val="en-GB"/>
        </w:rPr>
      </w:pPr>
    </w:p>
    <w:p w:rsidR="00945FB2" w:rsidRPr="007E0FF1" w:rsidRDefault="00181501" w:rsidP="008B2A31">
      <w:pPr>
        <w:pStyle w:val="NormalJustified"/>
        <w:spacing w:line="276" w:lineRule="auto"/>
        <w:rPr>
          <w:lang w:val="en-GB"/>
        </w:rPr>
      </w:pPr>
      <w:r>
        <w:rPr>
          <w:noProof/>
          <w:lang w:val="en-GB" w:eastAsia="en-GB"/>
        </w:rPr>
        <w:drawing>
          <wp:inline distT="0" distB="0" distL="0" distR="0">
            <wp:extent cx="1905000" cy="200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0" cy="200025"/>
                    </a:xfrm>
                    <a:prstGeom prst="rect">
                      <a:avLst/>
                    </a:prstGeom>
                    <a:noFill/>
                    <a:ln>
                      <a:noFill/>
                    </a:ln>
                  </pic:spPr>
                </pic:pic>
              </a:graphicData>
            </a:graphic>
          </wp:inline>
        </w:drawing>
      </w:r>
      <w:r w:rsidR="00945FB2" w:rsidRPr="007E0FF1">
        <w:rPr>
          <w:lang w:val="en-GB"/>
        </w:rPr>
        <w:tab/>
      </w:r>
      <w:r w:rsidR="00945FB2" w:rsidRPr="007E0FF1">
        <w:rPr>
          <w:lang w:val="en-GB"/>
        </w:rPr>
        <w:tab/>
      </w:r>
      <w:r w:rsidR="00945FB2" w:rsidRPr="007E0FF1">
        <w:rPr>
          <w:lang w:val="en-GB"/>
        </w:rPr>
        <w:tab/>
      </w:r>
      <w:r w:rsidR="00945FB2" w:rsidRPr="007E0FF1">
        <w:rPr>
          <w:lang w:val="en-GB"/>
        </w:rPr>
        <w:tab/>
      </w:r>
      <w:r w:rsidR="00945FB2" w:rsidRPr="007E0FF1">
        <w:rPr>
          <w:lang w:val="en-GB"/>
        </w:rPr>
        <w:tab/>
      </w:r>
      <w:r w:rsidR="00945FB2" w:rsidRPr="007E0FF1">
        <w:rPr>
          <w:lang w:val="en-GB"/>
        </w:rPr>
        <w:tab/>
      </w:r>
      <w:r w:rsidR="00945FB2" w:rsidRPr="007E0FF1">
        <w:rPr>
          <w:lang w:val="en-GB"/>
        </w:rPr>
        <w:tab/>
        <w:t>(2)</w:t>
      </w:r>
    </w:p>
    <w:p w:rsidR="00945FB2" w:rsidRPr="007E0FF1" w:rsidRDefault="00945FB2" w:rsidP="008B2A31">
      <w:pPr>
        <w:pStyle w:val="NormalJustified"/>
        <w:spacing w:line="276" w:lineRule="auto"/>
        <w:rPr>
          <w:lang w:val="en-GB"/>
        </w:rPr>
      </w:pPr>
    </w:p>
    <w:p w:rsidR="00945FB2" w:rsidRPr="007E0FF1" w:rsidRDefault="00945FB2" w:rsidP="008B2A31">
      <w:pPr>
        <w:pStyle w:val="NormalJustified"/>
        <w:spacing w:line="276" w:lineRule="auto"/>
        <w:rPr>
          <w:lang w:val="en-GB"/>
        </w:rPr>
      </w:pPr>
      <w:r w:rsidRPr="007E0FF1">
        <w:rPr>
          <w:lang w:val="en-GB"/>
        </w:rPr>
        <w:t xml:space="preserve">While the </w:t>
      </w:r>
      <w:r w:rsidRPr="007E0FF1">
        <w:rPr>
          <w:i/>
          <w:lang w:val="en-GB"/>
        </w:rPr>
        <w:t>E</w:t>
      </w:r>
      <w:r w:rsidRPr="007E0FF1">
        <w:rPr>
          <w:i/>
          <w:vertAlign w:val="subscript"/>
          <w:lang w:val="en-GB"/>
        </w:rPr>
        <w:t>T</w:t>
      </w:r>
      <w:r w:rsidRPr="007E0FF1">
        <w:rPr>
          <w:i/>
          <w:vertAlign w:val="superscript"/>
          <w:lang w:val="en-GB"/>
        </w:rPr>
        <w:t>30</w:t>
      </w:r>
      <w:r w:rsidRPr="007E0FF1">
        <w:rPr>
          <w:lang w:val="en-GB"/>
        </w:rPr>
        <w:t xml:space="preserve"> value for any given solvent is unique, clearly its </w:t>
      </w:r>
      <w:r w:rsidRPr="007E0FF1">
        <w:rPr>
          <w:i/>
          <w:lang w:val="en-GB"/>
        </w:rPr>
        <w:t>α</w:t>
      </w:r>
      <w:r w:rsidRPr="007E0FF1">
        <w:rPr>
          <w:lang w:val="en-GB"/>
        </w:rPr>
        <w:t xml:space="preserve"> value will depend upon the value of </w:t>
      </w:r>
      <w:r w:rsidRPr="007E0FF1">
        <w:rPr>
          <w:i/>
          <w:lang w:val="en-GB"/>
        </w:rPr>
        <w:t>π</w:t>
      </w:r>
      <w:r w:rsidRPr="007E0FF1">
        <w:rPr>
          <w:lang w:val="en-GB"/>
        </w:rPr>
        <w:t xml:space="preserve">* used. The higher the value for </w:t>
      </w:r>
      <w:r w:rsidRPr="007E0FF1">
        <w:rPr>
          <w:i/>
          <w:lang w:val="en-GB"/>
        </w:rPr>
        <w:t>π</w:t>
      </w:r>
      <w:r w:rsidRPr="007E0FF1">
        <w:rPr>
          <w:lang w:val="en-GB"/>
        </w:rPr>
        <w:t xml:space="preserve">* used the lower the value for </w:t>
      </w:r>
      <w:r w:rsidRPr="007E0FF1">
        <w:rPr>
          <w:i/>
          <w:lang w:val="en-GB"/>
        </w:rPr>
        <w:t>α</w:t>
      </w:r>
      <w:r w:rsidRPr="007E0FF1">
        <w:rPr>
          <w:lang w:val="en-GB"/>
        </w:rPr>
        <w:t xml:space="preserve"> will be (Figure 4). We have included </w:t>
      </w:r>
      <w:r w:rsidRPr="007E0FF1">
        <w:rPr>
          <w:i/>
          <w:lang w:val="en-GB"/>
        </w:rPr>
        <w:t>α</w:t>
      </w:r>
      <w:r w:rsidRPr="007E0FF1">
        <w:rPr>
          <w:lang w:val="en-GB"/>
        </w:rPr>
        <w:t xml:space="preserve"> values for ionic liquids prepared by us and others from the literature calculated using the </w:t>
      </w:r>
      <w:r w:rsidRPr="007E0FF1">
        <w:rPr>
          <w:i/>
          <w:lang w:val="en-GB"/>
        </w:rPr>
        <w:t>π</w:t>
      </w:r>
      <w:r w:rsidRPr="007E0FF1">
        <w:rPr>
          <w:lang w:val="en-GB"/>
        </w:rPr>
        <w:t xml:space="preserve">* values derived from measurements of </w:t>
      </w:r>
      <w:r w:rsidRPr="007E0FF1">
        <w:rPr>
          <w:i/>
          <w:lang w:val="en-GB"/>
        </w:rPr>
        <w:t>N</w:t>
      </w:r>
      <w:r w:rsidRPr="007E0FF1">
        <w:rPr>
          <w:lang w:val="en-GB"/>
        </w:rPr>
        <w:t>,</w:t>
      </w:r>
      <w:r w:rsidRPr="007E0FF1">
        <w:rPr>
          <w:i/>
          <w:lang w:val="en-GB"/>
        </w:rPr>
        <w:t>N</w:t>
      </w:r>
      <w:r w:rsidRPr="007E0FF1">
        <w:rPr>
          <w:lang w:val="en-GB"/>
        </w:rPr>
        <w:t>-diethyl-4-nitroaniline in Table 4.</w:t>
      </w:r>
      <w:r w:rsidR="00C20954">
        <w:rPr>
          <w:lang w:val="en-GB"/>
        </w:rPr>
        <w:t xml:space="preserve"> This provides the greatest logical consistency for when applying </w:t>
      </w:r>
      <w:r w:rsidR="00C20954" w:rsidRPr="007E0FF1">
        <w:rPr>
          <w:i/>
          <w:lang w:val="en-GB"/>
        </w:rPr>
        <w:t>α</w:t>
      </w:r>
      <w:r w:rsidR="00C20954" w:rsidRPr="007E0FF1">
        <w:rPr>
          <w:lang w:val="en-GB"/>
        </w:rPr>
        <w:t xml:space="preserve"> value</w:t>
      </w:r>
      <w:r w:rsidR="00C20954">
        <w:rPr>
          <w:lang w:val="en-GB"/>
        </w:rPr>
        <w:t>s in LSERs (see ESI for method and worked example).</w:t>
      </w:r>
    </w:p>
    <w:p w:rsidR="00945FB2" w:rsidRPr="007E0FF1" w:rsidRDefault="00945FB2" w:rsidP="008B2A31">
      <w:pPr>
        <w:pStyle w:val="NormalJustified"/>
        <w:spacing w:line="276" w:lineRule="auto"/>
        <w:rPr>
          <w:lang w:val="en-GB"/>
        </w:rPr>
      </w:pPr>
      <w:r w:rsidRPr="007E0FF1">
        <w:rPr>
          <w:noProof/>
          <w:lang w:val="en-GB" w:eastAsia="en-GB"/>
        </w:rPr>
        <w:lastRenderedPageBreak/>
        <w:drawing>
          <wp:inline distT="0" distB="0" distL="0" distR="0">
            <wp:extent cx="5867400" cy="3543300"/>
            <wp:effectExtent l="25400" t="0" r="0" b="0"/>
            <wp:docPr id="5" name="Picture 5" descr="Snapshot 2011-04-07 12-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napshot 2011-04-07 12-24-35"/>
                    <pic:cNvPicPr>
                      <a:picLocks noChangeAspect="1" noChangeArrowheads="1"/>
                    </pic:cNvPicPr>
                  </pic:nvPicPr>
                  <pic:blipFill>
                    <a:blip r:embed="rId13" cstate="print"/>
                    <a:srcRect/>
                    <a:stretch>
                      <a:fillRect/>
                    </a:stretch>
                  </pic:blipFill>
                  <pic:spPr bwMode="auto">
                    <a:xfrm>
                      <a:off x="0" y="0"/>
                      <a:ext cx="5867400" cy="3543300"/>
                    </a:xfrm>
                    <a:prstGeom prst="rect">
                      <a:avLst/>
                    </a:prstGeom>
                    <a:noFill/>
                    <a:ln w="9525">
                      <a:noFill/>
                      <a:miter lim="800000"/>
                      <a:headEnd/>
                      <a:tailEnd/>
                    </a:ln>
                  </pic:spPr>
                </pic:pic>
              </a:graphicData>
            </a:graphic>
          </wp:inline>
        </w:drawing>
      </w:r>
    </w:p>
    <w:p w:rsidR="00945FB2" w:rsidRPr="007E0FF1" w:rsidRDefault="00945FB2" w:rsidP="008B2A31">
      <w:pPr>
        <w:pStyle w:val="NormalJustified"/>
        <w:spacing w:line="276" w:lineRule="auto"/>
        <w:rPr>
          <w:lang w:val="en-GB"/>
        </w:rPr>
      </w:pPr>
      <w:r w:rsidRPr="007E0FF1">
        <w:rPr>
          <w:b/>
          <w:lang w:val="en-GB"/>
        </w:rPr>
        <w:t>Figure 4</w:t>
      </w:r>
      <w:r w:rsidRPr="007E0FF1">
        <w:rPr>
          <w:lang w:val="en-GB"/>
        </w:rPr>
        <w:t>:</w:t>
      </w:r>
      <w:r w:rsidRPr="007E0FF1">
        <w:rPr>
          <w:lang w:val="en-GB"/>
        </w:rPr>
        <w:tab/>
      </w:r>
      <w:r w:rsidRPr="007E0FF1">
        <w:rPr>
          <w:i/>
          <w:lang w:val="en-GB"/>
        </w:rPr>
        <w:t>α</w:t>
      </w:r>
      <w:r w:rsidRPr="007E0FF1">
        <w:rPr>
          <w:lang w:val="en-GB"/>
        </w:rPr>
        <w:t xml:space="preserve"> values for a range of ionic liquids, calculated using the spectral shift of Reichardt’s dye coupled with a range of </w:t>
      </w:r>
      <w:r w:rsidRPr="007E0FF1">
        <w:rPr>
          <w:i/>
          <w:lang w:val="en-GB"/>
        </w:rPr>
        <w:t xml:space="preserve"> π</w:t>
      </w:r>
      <w:r w:rsidRPr="007E0FF1">
        <w:rPr>
          <w:lang w:val="en-GB"/>
        </w:rPr>
        <w:t>* dyes.</w:t>
      </w:r>
    </w:p>
    <w:p w:rsidR="00E429C4" w:rsidRPr="007E0FF1" w:rsidRDefault="00E429C4" w:rsidP="008B2A31">
      <w:pPr>
        <w:pStyle w:val="NormalJustified"/>
        <w:spacing w:line="276" w:lineRule="auto"/>
        <w:rPr>
          <w:lang w:val="en-GB"/>
        </w:rPr>
      </w:pPr>
    </w:p>
    <w:p w:rsidR="00945FB2" w:rsidRPr="007E0FF1" w:rsidRDefault="00E429C4" w:rsidP="008B2A31">
      <w:pPr>
        <w:pStyle w:val="NormalJustified"/>
        <w:spacing w:line="276" w:lineRule="auto"/>
        <w:rPr>
          <w:lang w:val="en-GB"/>
        </w:rPr>
      </w:pPr>
      <w:r w:rsidRPr="007E0FF1">
        <w:rPr>
          <w:lang w:val="en-GB"/>
        </w:rPr>
        <w:tab/>
      </w:r>
      <w:r w:rsidR="00945FB2" w:rsidRPr="007E0FF1">
        <w:rPr>
          <w:lang w:val="en-GB"/>
        </w:rPr>
        <w:t xml:space="preserve">It can be seen from Table 4 that different </w:t>
      </w:r>
      <w:r w:rsidR="00945FB2" w:rsidRPr="007E0FF1">
        <w:rPr>
          <w:i/>
          <w:lang w:val="en-GB"/>
        </w:rPr>
        <w:t>α</w:t>
      </w:r>
      <w:r w:rsidR="00945FB2" w:rsidRPr="007E0FF1">
        <w:rPr>
          <w:lang w:val="en-GB"/>
        </w:rPr>
        <w:t xml:space="preserve"> values have been reported for the same ionic liquids. It has been shown that </w:t>
      </w:r>
      <w:r w:rsidR="00945FB2" w:rsidRPr="007E0FF1">
        <w:rPr>
          <w:i/>
          <w:lang w:val="en-GB"/>
        </w:rPr>
        <w:t>α</w:t>
      </w:r>
      <w:r w:rsidR="00945FB2" w:rsidRPr="007E0FF1">
        <w:rPr>
          <w:lang w:val="en-GB"/>
        </w:rPr>
        <w:t xml:space="preserve"> values of ionic liquids can be affected by the presence of molecular solvents.</w:t>
      </w:r>
      <w:r w:rsidR="00181501">
        <w:fldChar w:fldCharType="begin"/>
      </w:r>
      <w:r w:rsidR="00181501">
        <w:instrText xml:space="preserve"> NOTEREF _Ref290461354 \f \h  \* MERGEFORMAT </w:instrText>
      </w:r>
      <w:r w:rsidR="00181501">
        <w:fldChar w:fldCharType="separate"/>
      </w:r>
      <w:r w:rsidR="008B17B5" w:rsidRPr="007E0FF1">
        <w:rPr>
          <w:rStyle w:val="EndnoteReference"/>
        </w:rPr>
        <w:t>17</w:t>
      </w:r>
      <w:r w:rsidR="00181501">
        <w:fldChar w:fldCharType="end"/>
      </w:r>
      <w:r w:rsidR="0010219C" w:rsidRPr="007E0FF1">
        <w:rPr>
          <w:vertAlign w:val="superscript"/>
        </w:rPr>
        <w:t xml:space="preserve">, </w:t>
      </w:r>
      <w:r w:rsidR="00181501">
        <w:fldChar w:fldCharType="begin"/>
      </w:r>
      <w:r w:rsidR="00181501">
        <w:instrText xml:space="preserve"> NOTEREF _Ref290461498 \f \h  \* MERGEFORMAT </w:instrText>
      </w:r>
      <w:r w:rsidR="00181501">
        <w:fldChar w:fldCharType="separate"/>
      </w:r>
      <w:r w:rsidR="008B17B5" w:rsidRPr="007E0FF1">
        <w:rPr>
          <w:rStyle w:val="EndnoteReference"/>
        </w:rPr>
        <w:t>27</w:t>
      </w:r>
      <w:r w:rsidR="00181501">
        <w:fldChar w:fldCharType="end"/>
      </w:r>
      <w:r w:rsidR="00945FB2" w:rsidRPr="007E0FF1">
        <w:rPr>
          <w:lang w:val="en-GB"/>
        </w:rPr>
        <w:t xml:space="preserve"> The values would also be expected to be affected by other impurities that are commonly found in ionic liquids from the synthetic process, particularly Li</w:t>
      </w:r>
      <w:r w:rsidR="00945FB2" w:rsidRPr="007E0FF1">
        <w:rPr>
          <w:vertAlign w:val="superscript"/>
          <w:lang w:val="en-GB"/>
        </w:rPr>
        <w:t>+</w:t>
      </w:r>
      <w:r w:rsidR="00945FB2" w:rsidRPr="007E0FF1">
        <w:rPr>
          <w:lang w:val="en-GB"/>
        </w:rPr>
        <w:t xml:space="preserve"> or other small cationic species from the metathesis step, and unreacted alkylamine, which both increase the </w:t>
      </w:r>
      <w:r w:rsidR="00945FB2" w:rsidRPr="007E0FF1">
        <w:rPr>
          <w:i/>
          <w:lang w:val="en-GB"/>
        </w:rPr>
        <w:t>α</w:t>
      </w:r>
      <w:r w:rsidR="00945FB2" w:rsidRPr="007E0FF1">
        <w:rPr>
          <w:lang w:val="en-GB"/>
        </w:rPr>
        <w:t xml:space="preserve"> obtained</w:t>
      </w:r>
      <w:r w:rsidR="00687750" w:rsidRPr="007E0FF1">
        <w:rPr>
          <w:lang w:val="en-GB"/>
        </w:rPr>
        <w:t xml:space="preserve"> (Table 5)</w:t>
      </w:r>
      <w:r w:rsidR="00945FB2" w:rsidRPr="007E0FF1">
        <w:rPr>
          <w:lang w:val="en-GB"/>
        </w:rPr>
        <w:t>.  Interestingly, when we tried to investigate the effect of the protonated product from the synthesis, [HC</w:t>
      </w:r>
      <w:r w:rsidR="00945FB2" w:rsidRPr="007E0FF1">
        <w:rPr>
          <w:vertAlign w:val="subscript"/>
          <w:lang w:val="en-GB"/>
        </w:rPr>
        <w:t>1</w:t>
      </w:r>
      <w:r w:rsidR="0076299D" w:rsidRPr="007E0FF1">
        <w:rPr>
          <w:lang w:val="en-GB"/>
        </w:rPr>
        <w:t>im][NTf</w:t>
      </w:r>
      <w:r w:rsidR="00945FB2" w:rsidRPr="007E0FF1">
        <w:rPr>
          <w:vertAlign w:val="subscript"/>
          <w:lang w:val="en-GB"/>
        </w:rPr>
        <w:t>2</w:t>
      </w:r>
      <w:r w:rsidR="00945FB2" w:rsidRPr="007E0FF1">
        <w:rPr>
          <w:lang w:val="en-GB"/>
        </w:rPr>
        <w:t xml:space="preserve">], did not </w:t>
      </w:r>
      <w:r w:rsidR="00687750" w:rsidRPr="007E0FF1">
        <w:rPr>
          <w:lang w:val="en-GB"/>
        </w:rPr>
        <w:t>affect</w:t>
      </w:r>
      <w:r w:rsidR="00945FB2" w:rsidRPr="007E0FF1">
        <w:rPr>
          <w:lang w:val="en-GB"/>
        </w:rPr>
        <w:t xml:space="preserve"> the </w:t>
      </w:r>
      <w:r w:rsidR="00945FB2" w:rsidRPr="007E0FF1">
        <w:rPr>
          <w:i/>
          <w:lang w:val="en-GB"/>
        </w:rPr>
        <w:t>α</w:t>
      </w:r>
      <w:r w:rsidR="00945FB2" w:rsidRPr="007E0FF1">
        <w:rPr>
          <w:lang w:val="en-GB"/>
        </w:rPr>
        <w:t xml:space="preserve"> value at even 0.01% contamination, but instead bleached the Reichardt dye completely, making a direct measurement of </w:t>
      </w:r>
      <w:r w:rsidR="00945FB2" w:rsidRPr="007E0FF1">
        <w:rPr>
          <w:i/>
          <w:lang w:val="en-GB"/>
        </w:rPr>
        <w:t>α</w:t>
      </w:r>
      <w:r w:rsidR="00945FB2" w:rsidRPr="007E0FF1">
        <w:rPr>
          <w:lang w:val="en-GB"/>
        </w:rPr>
        <w:t xml:space="preserve"> impossible.</w:t>
      </w:r>
    </w:p>
    <w:p w:rsidR="00945FB2" w:rsidRPr="007E0FF1" w:rsidRDefault="00945FB2" w:rsidP="008B2A31">
      <w:pPr>
        <w:pStyle w:val="NormalJustified"/>
        <w:spacing w:line="276" w:lineRule="auto"/>
        <w:ind w:firstLine="720"/>
        <w:rPr>
          <w:lang w:val="en-GB"/>
        </w:rPr>
      </w:pPr>
      <w:r w:rsidRPr="007E0FF1">
        <w:rPr>
          <w:lang w:val="en-GB"/>
        </w:rPr>
        <w:t xml:space="preserve">It is recognised that the hydrogen bond donor ability of the ionic liquids can be mainly attributed to the nature of the cation, with the anion playing a secondary role. Cations with hydrogen-bonding substituents, such as –OH, have the highest </w:t>
      </w:r>
      <w:r w:rsidRPr="007E0FF1">
        <w:rPr>
          <w:i/>
          <w:lang w:val="en-GB"/>
        </w:rPr>
        <w:t>α</w:t>
      </w:r>
      <w:r w:rsidRPr="007E0FF1">
        <w:rPr>
          <w:lang w:val="en-GB"/>
        </w:rPr>
        <w:t xml:space="preserve"> values. Of the other ionic liquids, </w:t>
      </w:r>
      <w:r w:rsidRPr="007E0FF1">
        <w:rPr>
          <w:i/>
          <w:lang w:val="en-GB"/>
        </w:rPr>
        <w:t>α</w:t>
      </w:r>
      <w:r w:rsidRPr="007E0FF1">
        <w:rPr>
          <w:lang w:val="en-GB"/>
        </w:rPr>
        <w:t xml:space="preserve"> values for [C</w:t>
      </w:r>
      <w:r w:rsidRPr="007E0FF1">
        <w:rPr>
          <w:vertAlign w:val="subscript"/>
          <w:lang w:val="en-GB"/>
        </w:rPr>
        <w:t>n</w:t>
      </w:r>
      <w:r w:rsidRPr="007E0FF1">
        <w:rPr>
          <w:lang w:val="en-GB"/>
        </w:rPr>
        <w:t>C</w:t>
      </w:r>
      <w:r w:rsidRPr="007E0FF1">
        <w:rPr>
          <w:vertAlign w:val="subscript"/>
          <w:lang w:val="en-GB"/>
        </w:rPr>
        <w:t>1</w:t>
      </w:r>
      <w:r w:rsidRPr="007E0FF1">
        <w:rPr>
          <w:lang w:val="en-GB"/>
        </w:rPr>
        <w:t>im]</w:t>
      </w:r>
      <w:r w:rsidRPr="007E0FF1">
        <w:rPr>
          <w:vertAlign w:val="superscript"/>
          <w:lang w:val="en-GB"/>
        </w:rPr>
        <w:t>+</w:t>
      </w:r>
      <w:r w:rsidRPr="007E0FF1">
        <w:rPr>
          <w:lang w:val="en-GB"/>
        </w:rPr>
        <w:t xml:space="preserve"> based ionic liquids are generally high and of the order of those values observed for molecular solvents such as </w:t>
      </w:r>
      <w:r w:rsidRPr="007E0FF1">
        <w:rPr>
          <w:i/>
          <w:lang w:val="en-GB"/>
        </w:rPr>
        <w:t>tert-</w:t>
      </w:r>
      <w:r w:rsidRPr="007E0FF1">
        <w:rPr>
          <w:lang w:val="en-GB"/>
        </w:rPr>
        <w:t>butanol or formamide (0.68 and 0.71 respectively).</w:t>
      </w:r>
      <w:r w:rsidR="00D64BE8">
        <w:rPr>
          <w:lang w:val="en-GB"/>
        </w:rPr>
        <w:fldChar w:fldCharType="begin"/>
      </w:r>
      <w:r w:rsidR="0064127F">
        <w:rPr>
          <w:lang w:val="en-GB"/>
        </w:rPr>
        <w:instrText xml:space="preserve"> NOTEREF _Ref226345184 \f \h </w:instrText>
      </w:r>
      <w:r w:rsidR="00D64BE8">
        <w:rPr>
          <w:lang w:val="en-GB"/>
        </w:rPr>
      </w:r>
      <w:r w:rsidR="00D64BE8">
        <w:rPr>
          <w:lang w:val="en-GB"/>
        </w:rPr>
        <w:fldChar w:fldCharType="separate"/>
      </w:r>
      <w:r w:rsidR="0064127F" w:rsidRPr="0064127F">
        <w:rPr>
          <w:rStyle w:val="EndnoteReference"/>
        </w:rPr>
        <w:t>9</w:t>
      </w:r>
      <w:r w:rsidR="00D64BE8">
        <w:rPr>
          <w:lang w:val="en-GB"/>
        </w:rPr>
        <w:fldChar w:fldCharType="end"/>
      </w:r>
      <w:r w:rsidRPr="007E0FF1">
        <w:rPr>
          <w:lang w:val="en-GB"/>
        </w:rPr>
        <w:t xml:space="preserve"> This can be reduced by methylating at the C</w:t>
      </w:r>
      <w:r w:rsidRPr="007E0FF1">
        <w:rPr>
          <w:vertAlign w:val="superscript"/>
          <w:lang w:val="en-GB"/>
        </w:rPr>
        <w:t>2</w:t>
      </w:r>
      <w:r w:rsidRPr="007E0FF1">
        <w:rPr>
          <w:lang w:val="en-GB"/>
        </w:rPr>
        <w:t xml:space="preserve"> position of the imidazolium ring, </w:t>
      </w:r>
      <w:r w:rsidRPr="007E0FF1">
        <w:rPr>
          <w:i/>
          <w:lang w:val="en-GB"/>
        </w:rPr>
        <w:t>e.g.</w:t>
      </w:r>
      <w:r w:rsidRPr="007E0FF1">
        <w:rPr>
          <w:lang w:val="en-GB"/>
        </w:rPr>
        <w:t>, [C</w:t>
      </w:r>
      <w:r w:rsidRPr="007E0FF1">
        <w:rPr>
          <w:vertAlign w:val="subscript"/>
          <w:lang w:val="en-GB"/>
        </w:rPr>
        <w:t>4</w:t>
      </w:r>
      <w:r w:rsidRPr="007E0FF1">
        <w:rPr>
          <w:lang w:val="en-GB"/>
        </w:rPr>
        <w:t>C</w:t>
      </w:r>
      <w:r w:rsidRPr="007E0FF1">
        <w:rPr>
          <w:vertAlign w:val="subscript"/>
          <w:lang w:val="en-GB"/>
        </w:rPr>
        <w:t>1</w:t>
      </w:r>
      <w:r w:rsidRPr="007E0FF1">
        <w:rPr>
          <w:lang w:val="en-GB"/>
        </w:rPr>
        <w:t>C</w:t>
      </w:r>
      <w:r w:rsidRPr="007E0FF1">
        <w:rPr>
          <w:vertAlign w:val="subscript"/>
          <w:lang w:val="en-GB"/>
        </w:rPr>
        <w:t>1</w:t>
      </w:r>
      <w:r w:rsidRPr="007E0FF1">
        <w:rPr>
          <w:lang w:val="en-GB"/>
        </w:rPr>
        <w:t>im]</w:t>
      </w:r>
      <w:r w:rsidRPr="007E0FF1">
        <w:rPr>
          <w:vertAlign w:val="superscript"/>
          <w:lang w:val="en-GB"/>
        </w:rPr>
        <w:t>+</w:t>
      </w:r>
      <w:r w:rsidRPr="007E0FF1">
        <w:rPr>
          <w:lang w:val="en-GB"/>
        </w:rPr>
        <w:t xml:space="preserve">. A similar effect can be seen for the substitution of alkylpyridinium cations. Pyrrolidinium and ammonium ionic liquids have lesser </w:t>
      </w:r>
      <w:r w:rsidRPr="007E0FF1">
        <w:rPr>
          <w:i/>
          <w:lang w:val="en-GB"/>
        </w:rPr>
        <w:t>α</w:t>
      </w:r>
      <w:r w:rsidRPr="007E0FF1">
        <w:rPr>
          <w:lang w:val="en-GB"/>
        </w:rPr>
        <w:t xml:space="preserve"> values, with phosphonium ionic liquids having the lowest of all.</w:t>
      </w:r>
    </w:p>
    <w:p w:rsidR="00C41AA8" w:rsidRDefault="00945FB2" w:rsidP="008B2A31">
      <w:pPr>
        <w:pStyle w:val="NormalJustified"/>
        <w:spacing w:line="276" w:lineRule="auto"/>
        <w:ind w:firstLine="720"/>
        <w:rPr>
          <w:lang w:val="en-GB"/>
        </w:rPr>
      </w:pPr>
      <w:r w:rsidRPr="007E0FF1">
        <w:rPr>
          <w:lang w:val="en-GB"/>
        </w:rPr>
        <w:t xml:space="preserve">For ionic liquids with the same cation and different anions a </w:t>
      </w:r>
      <w:r w:rsidR="00C41AA8">
        <w:rPr>
          <w:lang w:val="en-GB"/>
        </w:rPr>
        <w:t xml:space="preserve">secondary but </w:t>
      </w:r>
      <w:r w:rsidRPr="007E0FF1">
        <w:rPr>
          <w:lang w:val="en-GB"/>
        </w:rPr>
        <w:t xml:space="preserve">measurable anion effect can be seen. As the anion becomes more basic (increasing </w:t>
      </w:r>
      <w:r w:rsidRPr="007E0FF1">
        <w:rPr>
          <w:i/>
          <w:lang w:val="en-GB"/>
        </w:rPr>
        <w:t>β</w:t>
      </w:r>
      <w:r w:rsidRPr="007E0FF1">
        <w:rPr>
          <w:lang w:val="en-GB"/>
        </w:rPr>
        <w:t xml:space="preserve">) the hydrogen bond donor ability of the ionic liquid decreases. We have previously </w:t>
      </w:r>
      <w:r w:rsidRPr="007E0FF1">
        <w:rPr>
          <w:lang w:val="en-GB"/>
        </w:rPr>
        <w:lastRenderedPageBreak/>
        <w:t>attributed this to a competition between the Reichardt’s dye probe and the ionic liquid for the hydrogen bonding site of the cation.</w:t>
      </w:r>
      <w:r w:rsidR="00181501">
        <w:fldChar w:fldCharType="begin"/>
      </w:r>
      <w:r w:rsidR="00181501">
        <w:instrText xml:space="preserve"> NOTEREF _Ref274861220 \f \h  \</w:instrText>
      </w:r>
      <w:r w:rsidR="00181501">
        <w:instrText xml:space="preserve">* MERGEFORMAT </w:instrText>
      </w:r>
      <w:r w:rsidR="00181501">
        <w:fldChar w:fldCharType="separate"/>
      </w:r>
      <w:r w:rsidR="008B17B5" w:rsidRPr="007E0FF1">
        <w:rPr>
          <w:rStyle w:val="EndnoteReference"/>
        </w:rPr>
        <w:t>14</w:t>
      </w:r>
      <w:r w:rsidR="00181501">
        <w:fldChar w:fldCharType="end"/>
      </w:r>
      <w:r w:rsidRPr="007E0FF1">
        <w:rPr>
          <w:lang w:val="en-GB"/>
        </w:rPr>
        <w:t xml:space="preserve"> T</w:t>
      </w:r>
      <w:r w:rsidRPr="007E0FF1">
        <w:t xml:space="preserve">he cation may hydrogen bond to the ionic liquid anion, as indicated by the </w:t>
      </w:r>
      <w:r w:rsidRPr="007E0FF1">
        <w:rPr>
          <w:vertAlign w:val="superscript"/>
        </w:rPr>
        <w:t>1</w:t>
      </w:r>
      <w:r w:rsidRPr="007E0FF1">
        <w:t xml:space="preserve">H NMR spectra of </w:t>
      </w:r>
      <w:r w:rsidRPr="007E0FF1">
        <w:rPr>
          <w:lang w:val="en-GB"/>
        </w:rPr>
        <w:t>[C</w:t>
      </w:r>
      <w:r w:rsidRPr="007E0FF1">
        <w:rPr>
          <w:vertAlign w:val="subscript"/>
          <w:lang w:val="en-GB"/>
        </w:rPr>
        <w:t>4</w:t>
      </w:r>
      <w:r w:rsidRPr="007E0FF1">
        <w:rPr>
          <w:lang w:val="en-GB"/>
        </w:rPr>
        <w:t>C</w:t>
      </w:r>
      <w:r w:rsidRPr="007E0FF1">
        <w:rPr>
          <w:vertAlign w:val="subscript"/>
          <w:lang w:val="en-GB"/>
        </w:rPr>
        <w:t>1</w:t>
      </w:r>
      <w:r w:rsidRPr="007E0FF1">
        <w:rPr>
          <w:lang w:val="en-GB"/>
        </w:rPr>
        <w:t>im]</w:t>
      </w:r>
      <w:r w:rsidRPr="007E0FF1">
        <w:rPr>
          <w:vertAlign w:val="superscript"/>
          <w:lang w:val="en-GB"/>
        </w:rPr>
        <w:t>+</w:t>
      </w:r>
      <w:r w:rsidRPr="007E0FF1">
        <w:rPr>
          <w:lang w:val="en-GB"/>
        </w:rPr>
        <w:t xml:space="preserve"> ionic liquids</w:t>
      </w:r>
      <w:r w:rsidR="00181A8C">
        <w:rPr>
          <w:lang w:val="en-GB"/>
        </w:rPr>
        <w:t xml:space="preserve"> (eqn. 3)</w:t>
      </w:r>
      <w:r w:rsidRPr="007E0FF1">
        <w:rPr>
          <w:lang w:val="en-GB"/>
        </w:rPr>
        <w:t>,</w:t>
      </w:r>
      <w:bookmarkStart w:id="54" w:name="_Ref279162551"/>
      <w:r w:rsidRPr="007E0FF1">
        <w:rPr>
          <w:rStyle w:val="EndnoteReference"/>
        </w:rPr>
        <w:endnoteReference w:id="32"/>
      </w:r>
      <w:bookmarkEnd w:id="54"/>
      <w:r w:rsidRPr="007E0FF1">
        <w:rPr>
          <w:lang w:val="en-GB"/>
        </w:rPr>
        <w:t xml:space="preserve"> or it can hydrogen bond to the solute</w:t>
      </w:r>
      <w:r w:rsidR="00181A8C">
        <w:rPr>
          <w:lang w:val="en-GB"/>
        </w:rPr>
        <w:t xml:space="preserve"> (eqn. 4)</w:t>
      </w:r>
      <w:r w:rsidRPr="007E0FF1">
        <w:rPr>
          <w:lang w:val="en-GB"/>
        </w:rPr>
        <w:t xml:space="preserve">. For any given solute, the stronger the hydrogen bond to the anion, then the weaker the hydrogen bond to the solute. </w:t>
      </w:r>
    </w:p>
    <w:p w:rsidR="00C41AA8" w:rsidRPr="00060123" w:rsidRDefault="00C41AA8" w:rsidP="00C41AA8">
      <w:pPr>
        <w:spacing w:line="480" w:lineRule="auto"/>
        <w:jc w:val="both"/>
      </w:pPr>
    </w:p>
    <w:p w:rsidR="00C41AA8" w:rsidRPr="00060123" w:rsidRDefault="00C41AA8" w:rsidP="00C41AA8">
      <w:pPr>
        <w:spacing w:line="480" w:lineRule="auto"/>
        <w:ind w:firstLine="720"/>
        <w:jc w:val="both"/>
      </w:pPr>
      <w:r w:rsidRPr="00060123">
        <w:t>C</w:t>
      </w:r>
      <w:r w:rsidRPr="00060123">
        <w:rPr>
          <w:vertAlign w:val="superscript"/>
        </w:rPr>
        <w:t>+</w:t>
      </w:r>
      <w:r w:rsidRPr="00060123">
        <w:t xml:space="preserve">  +  A</w:t>
      </w:r>
      <w:r w:rsidRPr="00060123">
        <w:rPr>
          <w:vertAlign w:val="superscript"/>
        </w:rPr>
        <w:t>-</w:t>
      </w:r>
      <w:r w:rsidRPr="00060123">
        <w:t xml:space="preserve">  </w:t>
      </w:r>
      <w:r w:rsidRPr="00060123">
        <w:rPr>
          <w:rFonts w:eastAsia="MS UI Gothic" w:hAnsi="MS UI Gothic"/>
        </w:rPr>
        <w:t>⇋</w:t>
      </w:r>
      <w:r w:rsidRPr="00060123">
        <w:t xml:space="preserve">  C</w:t>
      </w:r>
      <w:r w:rsidRPr="00060123">
        <w:rPr>
          <w:vertAlign w:val="superscript"/>
        </w:rPr>
        <w:t>+</w:t>
      </w:r>
      <w:r w:rsidRPr="00060123">
        <w:t>---A</w:t>
      </w:r>
      <w:r w:rsidRPr="00060123">
        <w:rPr>
          <w:vertAlign w:val="superscript"/>
        </w:rPr>
        <w:t>-</w:t>
      </w:r>
      <w:r w:rsidRPr="00060123">
        <w:tab/>
      </w:r>
      <w:r w:rsidRPr="00060123">
        <w:tab/>
      </w:r>
      <w:r w:rsidRPr="00060123">
        <w:tab/>
      </w:r>
      <w:r w:rsidRPr="00060123">
        <w:rPr>
          <w:position w:val="-38"/>
        </w:rPr>
        <w:object w:dxaOrig="2100" w:dyaOrig="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45pt" o:ole="">
            <v:imagedata r:id="rId14" o:title=""/>
          </v:shape>
          <o:OLEObject Type="Embed" ProgID="Equation.3" ShapeID="_x0000_i1026" DrawAspect="Content" ObjectID="_1405946414" r:id="rId15"/>
        </w:object>
      </w:r>
      <w:r w:rsidR="00181A8C">
        <w:tab/>
      </w:r>
      <w:r w:rsidR="00181A8C">
        <w:tab/>
      </w:r>
      <w:r w:rsidR="00181A8C">
        <w:tab/>
        <w:t>(3</w:t>
      </w:r>
      <w:r w:rsidRPr="00060123">
        <w:t>)</w:t>
      </w:r>
    </w:p>
    <w:p w:rsidR="00C41AA8" w:rsidRPr="00060123" w:rsidRDefault="00C41AA8" w:rsidP="00C41AA8">
      <w:pPr>
        <w:spacing w:line="480" w:lineRule="auto"/>
        <w:jc w:val="both"/>
      </w:pPr>
    </w:p>
    <w:p w:rsidR="00C41AA8" w:rsidRPr="00060123" w:rsidRDefault="00C41AA8" w:rsidP="00474800">
      <w:pPr>
        <w:spacing w:line="480" w:lineRule="auto"/>
        <w:ind w:firstLine="720"/>
        <w:jc w:val="both"/>
      </w:pPr>
      <w:r w:rsidRPr="00060123">
        <w:t>C</w:t>
      </w:r>
      <w:r w:rsidRPr="00060123">
        <w:rPr>
          <w:vertAlign w:val="superscript"/>
        </w:rPr>
        <w:t>+</w:t>
      </w:r>
      <w:r w:rsidRPr="00060123">
        <w:t xml:space="preserve">  +  solute  </w:t>
      </w:r>
      <w:r w:rsidRPr="00060123">
        <w:rPr>
          <w:rFonts w:eastAsia="MS UI Gothic" w:hAnsi="MS UI Gothic"/>
        </w:rPr>
        <w:t>⇋</w:t>
      </w:r>
      <w:r w:rsidRPr="00060123">
        <w:t xml:space="preserve">  C</w:t>
      </w:r>
      <w:r w:rsidRPr="00060123">
        <w:rPr>
          <w:vertAlign w:val="superscript"/>
        </w:rPr>
        <w:t>+</w:t>
      </w:r>
      <w:r w:rsidRPr="00060123">
        <w:t>---solute</w:t>
      </w:r>
      <w:r w:rsidRPr="00060123">
        <w:tab/>
      </w:r>
      <w:r w:rsidRPr="00060123">
        <w:tab/>
      </w:r>
      <w:r w:rsidRPr="00060123">
        <w:rPr>
          <w:position w:val="-38"/>
        </w:rPr>
        <w:object w:dxaOrig="2360" w:dyaOrig="880">
          <v:shape id="_x0000_i1027" type="#_x0000_t75" style="width:117.75pt;height:45pt" o:ole="">
            <v:imagedata r:id="rId16" o:title=""/>
          </v:shape>
          <o:OLEObject Type="Embed" ProgID="Equation.3" ShapeID="_x0000_i1027" DrawAspect="Content" ObjectID="_1405946415" r:id="rId17"/>
        </w:object>
      </w:r>
      <w:r w:rsidR="00181A8C">
        <w:tab/>
      </w:r>
      <w:r w:rsidR="00181A8C">
        <w:tab/>
        <w:t>(4</w:t>
      </w:r>
      <w:r w:rsidRPr="00060123">
        <w:t>)</w:t>
      </w:r>
    </w:p>
    <w:p w:rsidR="00C41AA8" w:rsidRDefault="00C41AA8" w:rsidP="008B2A31">
      <w:pPr>
        <w:pStyle w:val="NormalJustified"/>
        <w:spacing w:line="276" w:lineRule="auto"/>
        <w:ind w:firstLine="720"/>
        <w:rPr>
          <w:lang w:val="en-GB"/>
        </w:rPr>
      </w:pPr>
    </w:p>
    <w:p w:rsidR="00945FB2" w:rsidRPr="006209E9" w:rsidRDefault="00C41AA8" w:rsidP="008B2A31">
      <w:pPr>
        <w:pStyle w:val="NormalJustified"/>
        <w:spacing w:line="276" w:lineRule="auto"/>
        <w:ind w:firstLine="720"/>
        <w:rPr>
          <w:lang w:val="en-GB"/>
        </w:rPr>
      </w:pPr>
      <w:r w:rsidRPr="007E0FF1">
        <w:rPr>
          <w:lang w:val="en-GB"/>
        </w:rPr>
        <w:t>There are sufficient examples of ionic liquids based on the [C</w:t>
      </w:r>
      <w:r w:rsidRPr="007E0FF1">
        <w:rPr>
          <w:vertAlign w:val="subscript"/>
          <w:lang w:val="en-GB"/>
        </w:rPr>
        <w:t>4</w:t>
      </w:r>
      <w:r w:rsidRPr="007E0FF1">
        <w:rPr>
          <w:lang w:val="en-GB"/>
        </w:rPr>
        <w:t>C</w:t>
      </w:r>
      <w:r w:rsidRPr="007E0FF1">
        <w:rPr>
          <w:vertAlign w:val="subscript"/>
          <w:lang w:val="en-GB"/>
        </w:rPr>
        <w:t>1</w:t>
      </w:r>
      <w:r w:rsidRPr="007E0FF1">
        <w:rPr>
          <w:lang w:val="en-GB"/>
        </w:rPr>
        <w:t>im]</w:t>
      </w:r>
      <w:r w:rsidRPr="007E0FF1">
        <w:rPr>
          <w:vertAlign w:val="superscript"/>
          <w:lang w:val="en-GB"/>
        </w:rPr>
        <w:t>+</w:t>
      </w:r>
      <w:r w:rsidRPr="007E0FF1">
        <w:rPr>
          <w:lang w:val="en-GB"/>
        </w:rPr>
        <w:t xml:space="preserve"> cation to be able to analyse this effect</w:t>
      </w:r>
      <w:r w:rsidR="00474800">
        <w:rPr>
          <w:lang w:val="en-GB"/>
        </w:rPr>
        <w:t xml:space="preserve"> further</w:t>
      </w:r>
      <w:r w:rsidRPr="007E0FF1">
        <w:rPr>
          <w:lang w:val="en-GB"/>
        </w:rPr>
        <w:t>.</w:t>
      </w:r>
      <w:r w:rsidR="00EC7455">
        <w:rPr>
          <w:lang w:val="en-GB"/>
        </w:rPr>
        <w:t xml:space="preserve"> Figure 5 shows the </w:t>
      </w:r>
      <w:r w:rsidR="00EC7455" w:rsidRPr="007E0FF1">
        <w:rPr>
          <w:i/>
          <w:lang w:val="en-GB"/>
        </w:rPr>
        <w:t>α</w:t>
      </w:r>
      <w:r w:rsidR="00EC7455" w:rsidRPr="007E0FF1">
        <w:rPr>
          <w:lang w:val="en-GB"/>
        </w:rPr>
        <w:t xml:space="preserve"> values for a range of </w:t>
      </w:r>
      <w:r w:rsidR="00EC7455">
        <w:rPr>
          <w:lang w:val="en-GB"/>
        </w:rPr>
        <w:t>[C</w:t>
      </w:r>
      <w:r w:rsidR="00EC7455">
        <w:rPr>
          <w:vertAlign w:val="subscript"/>
          <w:lang w:val="en-GB"/>
        </w:rPr>
        <w:t>4</w:t>
      </w:r>
      <w:r w:rsidR="00EC7455">
        <w:rPr>
          <w:lang w:val="en-GB"/>
        </w:rPr>
        <w:t>C</w:t>
      </w:r>
      <w:r w:rsidR="00EC7455">
        <w:rPr>
          <w:vertAlign w:val="subscript"/>
          <w:lang w:val="en-GB"/>
        </w:rPr>
        <w:t>1</w:t>
      </w:r>
      <w:r w:rsidR="00EC7455">
        <w:rPr>
          <w:lang w:val="en-GB"/>
        </w:rPr>
        <w:t xml:space="preserve">im]X ionic liquids as a function of their </w:t>
      </w:r>
      <w:r w:rsidR="00EC7455">
        <w:rPr>
          <w:i/>
          <w:lang w:val="en-GB"/>
        </w:rPr>
        <w:t>β</w:t>
      </w:r>
      <w:r w:rsidR="00EC7455">
        <w:rPr>
          <w:lang w:val="en-GB"/>
        </w:rPr>
        <w:t xml:space="preserve"> value. It can be seen that when the anion gives rise to a low (&lt; 0.5)</w:t>
      </w:r>
      <w:r w:rsidR="00DB353D" w:rsidRPr="00DB353D">
        <w:rPr>
          <w:i/>
          <w:lang w:val="en-GB"/>
        </w:rPr>
        <w:t xml:space="preserve"> </w:t>
      </w:r>
      <w:r w:rsidR="00DB353D">
        <w:rPr>
          <w:i/>
          <w:lang w:val="en-GB"/>
        </w:rPr>
        <w:t>β</w:t>
      </w:r>
      <w:r w:rsidR="00DB353D">
        <w:rPr>
          <w:lang w:val="en-GB"/>
        </w:rPr>
        <w:t xml:space="preserve"> value the </w:t>
      </w:r>
      <w:r w:rsidR="00DB353D" w:rsidRPr="007E0FF1">
        <w:rPr>
          <w:i/>
          <w:lang w:val="en-GB"/>
        </w:rPr>
        <w:t>α</w:t>
      </w:r>
      <w:r w:rsidR="00DB353D" w:rsidRPr="007E0FF1">
        <w:rPr>
          <w:lang w:val="en-GB"/>
        </w:rPr>
        <w:t xml:space="preserve"> values</w:t>
      </w:r>
      <w:r w:rsidR="00DB353D">
        <w:rPr>
          <w:lang w:val="en-GB"/>
        </w:rPr>
        <w:t xml:space="preserve"> are similar (0.60 &lt;</w:t>
      </w:r>
      <w:r w:rsidR="00DB353D" w:rsidRPr="00DB353D">
        <w:rPr>
          <w:i/>
          <w:lang w:val="en-GB"/>
        </w:rPr>
        <w:t xml:space="preserve"> </w:t>
      </w:r>
      <w:r w:rsidR="00DB353D" w:rsidRPr="007E0FF1">
        <w:rPr>
          <w:i/>
          <w:lang w:val="en-GB"/>
        </w:rPr>
        <w:t>α</w:t>
      </w:r>
      <w:r w:rsidR="00DB353D">
        <w:rPr>
          <w:lang w:val="en-GB"/>
        </w:rPr>
        <w:t xml:space="preserve"> &gt; 0.65). Increasingly more basic anions lead to progressively lower </w:t>
      </w:r>
      <w:r w:rsidR="00DB353D" w:rsidRPr="007E0FF1">
        <w:rPr>
          <w:i/>
          <w:lang w:val="en-GB"/>
        </w:rPr>
        <w:t>α</w:t>
      </w:r>
      <w:r w:rsidR="00DB353D" w:rsidRPr="007E0FF1">
        <w:rPr>
          <w:lang w:val="en-GB"/>
        </w:rPr>
        <w:t xml:space="preserve"> values</w:t>
      </w:r>
      <w:r w:rsidR="00DB353D">
        <w:rPr>
          <w:lang w:val="en-GB"/>
        </w:rPr>
        <w:t xml:space="preserve"> until a minimum value of 0.45 is reached.</w:t>
      </w:r>
      <w:r w:rsidR="005E22A1">
        <w:rPr>
          <w:lang w:val="en-GB"/>
        </w:rPr>
        <w:t xml:space="preserve"> This minimum value is similar to that found for ionic liquids methylated at the C</w:t>
      </w:r>
      <w:r w:rsidR="005E22A1">
        <w:rPr>
          <w:vertAlign w:val="superscript"/>
          <w:lang w:val="en-GB"/>
        </w:rPr>
        <w:t>2</w:t>
      </w:r>
      <w:r w:rsidR="005E22A1">
        <w:rPr>
          <w:lang w:val="en-GB"/>
        </w:rPr>
        <w:t xml:space="preserve"> position of the ring. This suggests that for weakly basic anions, th</w:t>
      </w:r>
      <w:r w:rsidR="006209E9">
        <w:rPr>
          <w:lang w:val="en-GB"/>
        </w:rPr>
        <w:t>e Reichardt’s dye is primarily hydrogen bonded to the C</w:t>
      </w:r>
      <w:r w:rsidR="006209E9">
        <w:rPr>
          <w:vertAlign w:val="superscript"/>
          <w:lang w:val="en-GB"/>
        </w:rPr>
        <w:t>2</w:t>
      </w:r>
      <w:r w:rsidR="006209E9">
        <w:rPr>
          <w:lang w:val="en-GB"/>
        </w:rPr>
        <w:t>-H proton. As the anion becomes more basic, it competes more effectively for this proton and the Reichardt’s dye is then displaced to the C</w:t>
      </w:r>
      <w:r w:rsidR="006209E9">
        <w:rPr>
          <w:vertAlign w:val="superscript"/>
          <w:lang w:val="en-GB"/>
        </w:rPr>
        <w:t>4,5</w:t>
      </w:r>
      <w:r w:rsidR="006209E9">
        <w:rPr>
          <w:lang w:val="en-GB"/>
        </w:rPr>
        <w:t>-</w:t>
      </w:r>
      <w:r w:rsidR="00494358">
        <w:rPr>
          <w:lang w:val="en-GB"/>
        </w:rPr>
        <w:t>H protons. Recent simulations on the ionic liquid mixture [C</w:t>
      </w:r>
      <w:r w:rsidR="00494358">
        <w:rPr>
          <w:vertAlign w:val="subscript"/>
          <w:lang w:val="en-GB"/>
        </w:rPr>
        <w:t>2</w:t>
      </w:r>
      <w:r w:rsidR="00494358">
        <w:rPr>
          <w:lang w:val="en-GB"/>
        </w:rPr>
        <w:t>C</w:t>
      </w:r>
      <w:r w:rsidR="00494358">
        <w:rPr>
          <w:vertAlign w:val="subscript"/>
          <w:lang w:val="en-GB"/>
        </w:rPr>
        <w:t>1</w:t>
      </w:r>
      <w:r w:rsidR="00494358">
        <w:rPr>
          <w:lang w:val="en-GB"/>
        </w:rPr>
        <w:t>im][NCS]</w:t>
      </w:r>
      <w:r w:rsidR="00494358">
        <w:rPr>
          <w:vertAlign w:val="subscript"/>
          <w:lang w:val="en-GB"/>
        </w:rPr>
        <w:t>n</w:t>
      </w:r>
      <w:r w:rsidR="00494358">
        <w:rPr>
          <w:lang w:val="en-GB"/>
        </w:rPr>
        <w:t>Cl</w:t>
      </w:r>
      <w:r w:rsidR="00494358">
        <w:rPr>
          <w:vertAlign w:val="subscript"/>
          <w:lang w:val="en-GB"/>
        </w:rPr>
        <w:t>m</w:t>
      </w:r>
      <w:r w:rsidR="00494358">
        <w:rPr>
          <w:lang w:val="en-GB"/>
        </w:rPr>
        <w:t xml:space="preserve"> (n + m = 1) has also shown the displacement of </w:t>
      </w:r>
      <w:r w:rsidR="001D3560">
        <w:rPr>
          <w:lang w:val="en-GB"/>
        </w:rPr>
        <w:t>a</w:t>
      </w:r>
      <w:r w:rsidR="00494358">
        <w:rPr>
          <w:lang w:val="en-GB"/>
        </w:rPr>
        <w:t xml:space="preserve"> weaker hydrogen bond acceptor </w:t>
      </w:r>
      <w:r w:rsidR="001D3560">
        <w:rPr>
          <w:lang w:val="en-GB"/>
        </w:rPr>
        <w:t>([NCS]</w:t>
      </w:r>
      <w:r w:rsidR="001D3560">
        <w:rPr>
          <w:vertAlign w:val="superscript"/>
          <w:lang w:val="en-GB"/>
        </w:rPr>
        <w:t>-</w:t>
      </w:r>
      <w:r w:rsidR="001D3560">
        <w:rPr>
          <w:lang w:val="en-GB"/>
        </w:rPr>
        <w:t xml:space="preserve">) </w:t>
      </w:r>
      <w:r w:rsidR="00494358">
        <w:rPr>
          <w:lang w:val="en-GB"/>
        </w:rPr>
        <w:t>from the C</w:t>
      </w:r>
      <w:r w:rsidR="00494358">
        <w:rPr>
          <w:vertAlign w:val="superscript"/>
          <w:lang w:val="en-GB"/>
        </w:rPr>
        <w:t>2</w:t>
      </w:r>
      <w:r w:rsidR="00494358">
        <w:rPr>
          <w:lang w:val="en-GB"/>
        </w:rPr>
        <w:t>-H proton</w:t>
      </w:r>
      <w:r w:rsidR="001D3560">
        <w:rPr>
          <w:lang w:val="en-GB"/>
        </w:rPr>
        <w:t xml:space="preserve"> to the C</w:t>
      </w:r>
      <w:r w:rsidR="001D3560">
        <w:rPr>
          <w:vertAlign w:val="superscript"/>
          <w:lang w:val="en-GB"/>
        </w:rPr>
        <w:t>4,5</w:t>
      </w:r>
      <w:r w:rsidR="001D3560">
        <w:rPr>
          <w:lang w:val="en-GB"/>
        </w:rPr>
        <w:t>-H protons upon the addition of a stronger hydrogen bond acceptor (Cl</w:t>
      </w:r>
      <w:r w:rsidR="001D3560">
        <w:rPr>
          <w:vertAlign w:val="superscript"/>
          <w:lang w:val="en-GB"/>
        </w:rPr>
        <w:t>-</w:t>
      </w:r>
      <w:r w:rsidR="001D3560">
        <w:rPr>
          <w:lang w:val="en-GB"/>
        </w:rPr>
        <w:t>),</w:t>
      </w:r>
      <w:r w:rsidR="00B03F71">
        <w:rPr>
          <w:rStyle w:val="EndnoteReference"/>
          <w:lang w:val="en-GB"/>
        </w:rPr>
        <w:endnoteReference w:id="33"/>
      </w:r>
      <w:r w:rsidR="001D3560">
        <w:rPr>
          <w:lang w:val="en-GB"/>
        </w:rPr>
        <w:t xml:space="preserve"> </w:t>
      </w:r>
      <w:r w:rsidR="00BC51CB">
        <w:rPr>
          <w:lang w:val="en-GB"/>
        </w:rPr>
        <w:t>confirming</w:t>
      </w:r>
      <w:r w:rsidR="001D3560">
        <w:rPr>
          <w:lang w:val="en-GB"/>
        </w:rPr>
        <w:t xml:space="preserve"> this </w:t>
      </w:r>
      <w:r w:rsidR="00BC51CB">
        <w:rPr>
          <w:lang w:val="en-GB"/>
        </w:rPr>
        <w:t>possibility</w:t>
      </w:r>
      <w:r w:rsidR="001D3560">
        <w:rPr>
          <w:lang w:val="en-GB"/>
        </w:rPr>
        <w:t>.</w:t>
      </w:r>
    </w:p>
    <w:p w:rsidR="000A463D" w:rsidRDefault="000A463D" w:rsidP="008B2A31">
      <w:pPr>
        <w:spacing w:line="276" w:lineRule="auto"/>
        <w:jc w:val="both"/>
      </w:pPr>
    </w:p>
    <w:p w:rsidR="000A463D" w:rsidRDefault="000A463D" w:rsidP="000A463D">
      <w:pPr>
        <w:spacing w:line="276" w:lineRule="auto"/>
        <w:jc w:val="center"/>
      </w:pPr>
      <w:r w:rsidRPr="000A463D">
        <w:rPr>
          <w:noProof/>
          <w:lang w:val="en-GB" w:eastAsia="en-GB"/>
        </w:rPr>
        <w:lastRenderedPageBreak/>
        <w:drawing>
          <wp:inline distT="0" distB="0" distL="0" distR="0">
            <wp:extent cx="4806950" cy="3317875"/>
            <wp:effectExtent l="0" t="0" r="0" b="0"/>
            <wp:docPr id="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A463D" w:rsidRDefault="000A463D" w:rsidP="000A463D">
      <w:pPr>
        <w:spacing w:line="276" w:lineRule="auto"/>
        <w:jc w:val="both"/>
        <w:rPr>
          <w:lang w:val="en-GB"/>
        </w:rPr>
      </w:pPr>
      <w:r w:rsidRPr="007E0FF1">
        <w:rPr>
          <w:b/>
          <w:lang w:val="en-GB"/>
        </w:rPr>
        <w:t xml:space="preserve">Figure </w:t>
      </w:r>
      <w:r w:rsidR="00A1208C">
        <w:rPr>
          <w:b/>
          <w:lang w:val="en-GB"/>
        </w:rPr>
        <w:t>5</w:t>
      </w:r>
      <w:r>
        <w:rPr>
          <w:lang w:val="en-GB"/>
        </w:rPr>
        <w:t xml:space="preserve">: </w:t>
      </w:r>
      <w:r w:rsidRPr="007E0FF1">
        <w:rPr>
          <w:i/>
          <w:lang w:val="en-GB"/>
        </w:rPr>
        <w:t>α</w:t>
      </w:r>
      <w:r w:rsidRPr="007E0FF1">
        <w:rPr>
          <w:lang w:val="en-GB"/>
        </w:rPr>
        <w:t xml:space="preserve"> values for a range of </w:t>
      </w:r>
      <w:r>
        <w:rPr>
          <w:lang w:val="en-GB"/>
        </w:rPr>
        <w:t>[C</w:t>
      </w:r>
      <w:r>
        <w:rPr>
          <w:vertAlign w:val="subscript"/>
          <w:lang w:val="en-GB"/>
        </w:rPr>
        <w:t>4</w:t>
      </w:r>
      <w:r>
        <w:rPr>
          <w:lang w:val="en-GB"/>
        </w:rPr>
        <w:t>C</w:t>
      </w:r>
      <w:r>
        <w:rPr>
          <w:vertAlign w:val="subscript"/>
          <w:lang w:val="en-GB"/>
        </w:rPr>
        <w:t>1</w:t>
      </w:r>
      <w:r>
        <w:rPr>
          <w:lang w:val="en-GB"/>
        </w:rPr>
        <w:t xml:space="preserve">im]X ionic liquids as a function of their </w:t>
      </w:r>
      <w:r>
        <w:rPr>
          <w:i/>
          <w:lang w:val="en-GB"/>
        </w:rPr>
        <w:t>β</w:t>
      </w:r>
      <w:r>
        <w:rPr>
          <w:lang w:val="en-GB"/>
        </w:rPr>
        <w:t xml:space="preserve"> value.</w:t>
      </w:r>
    </w:p>
    <w:p w:rsidR="000A463D" w:rsidRDefault="000A463D" w:rsidP="000A463D">
      <w:pPr>
        <w:spacing w:line="276" w:lineRule="auto"/>
        <w:jc w:val="both"/>
      </w:pPr>
    </w:p>
    <w:p w:rsidR="00DB353D" w:rsidRPr="007E0FF1" w:rsidRDefault="00DB353D" w:rsidP="000A463D">
      <w:pPr>
        <w:spacing w:line="276" w:lineRule="auto"/>
        <w:jc w:val="both"/>
      </w:pPr>
      <w:r w:rsidRPr="007E0FF1">
        <w:rPr>
          <w:lang w:val="en-GB"/>
        </w:rPr>
        <w:tab/>
        <w:t>I</w:t>
      </w:r>
      <w:r w:rsidRPr="007E0FF1">
        <w:rPr>
          <w:rFonts w:eastAsia="Times"/>
          <w:lang w:val="de-DE"/>
        </w:rPr>
        <w:t xml:space="preserve">t must be recognised that there has been some disagreement in the estimation of the abilities of ionic liquids to act as hydrogen bond donors. From the outset of the application of this methodology to the study of ionic liquid polarities, we noted </w:t>
      </w:r>
      <w:r w:rsidRPr="007E0FF1">
        <w:t xml:space="preserve">that the </w:t>
      </w:r>
      <w:r w:rsidRPr="007E0FF1">
        <w:rPr>
          <w:rFonts w:eastAsia="Times"/>
          <w:lang w:val="de-DE"/>
        </w:rPr>
        <w:t xml:space="preserve">Kamlet-Taft </w:t>
      </w:r>
      <w:r w:rsidRPr="007E0FF1">
        <w:rPr>
          <w:rFonts w:eastAsia="Times"/>
          <w:i/>
          <w:lang w:val="de-DE"/>
        </w:rPr>
        <w:t xml:space="preserve">α </w:t>
      </w:r>
      <w:r w:rsidRPr="007E0FF1">
        <w:rPr>
          <w:rFonts w:eastAsia="Times"/>
          <w:lang w:val="de-DE"/>
        </w:rPr>
        <w:t xml:space="preserve">values of the ionic liquids did not agree with measurements of their </w:t>
      </w:r>
      <w:r w:rsidRPr="007E0FF1">
        <w:t>hydrogen bond donor abilities derived from GC measurements.</w:t>
      </w:r>
      <w:r w:rsidR="00181501">
        <w:fldChar w:fldCharType="begin"/>
      </w:r>
      <w:r w:rsidR="00181501">
        <w:instrText xml:space="preserve"> NOTEREF _Ref279146561 \f \h  \* MERGEFORMAT </w:instrText>
      </w:r>
      <w:r w:rsidR="00181501">
        <w:fldChar w:fldCharType="separate"/>
      </w:r>
      <w:r w:rsidRPr="007E0FF1">
        <w:t>8</w:t>
      </w:r>
      <w:r w:rsidR="00181501">
        <w:fldChar w:fldCharType="end"/>
      </w:r>
      <w:r w:rsidRPr="007E0FF1">
        <w:rPr>
          <w:vertAlign w:val="superscript"/>
        </w:rPr>
        <w:t xml:space="preserve">, </w:t>
      </w:r>
      <w:r w:rsidR="00181501">
        <w:fldChar w:fldCharType="begin"/>
      </w:r>
      <w:r w:rsidR="00181501">
        <w:instrText xml:space="preserve"> NOTEREF _</w:instrText>
      </w:r>
      <w:r w:rsidR="00181501">
        <w:instrText xml:space="preserve">Ref274861220 \f \h  \* MERGEFORMAT </w:instrText>
      </w:r>
      <w:r w:rsidR="00181501">
        <w:fldChar w:fldCharType="separate"/>
      </w:r>
      <w:r w:rsidRPr="007E0FF1">
        <w:rPr>
          <w:rStyle w:val="EndnoteReference"/>
        </w:rPr>
        <w:t>14</w:t>
      </w:r>
      <w:r w:rsidR="00181501">
        <w:fldChar w:fldCharType="end"/>
      </w:r>
      <w:r w:rsidR="001B1A53" w:rsidRPr="001B1A53">
        <w:t xml:space="preserve"> </w:t>
      </w:r>
      <w:r w:rsidRPr="007E0FF1">
        <w:t xml:space="preserve">Not only were the latter values lower, but the HBD ability of the ionic liquid was far more sensitive to changing the anion than the cation. At the time we suggested that the discrepancy might arise from differences in the probes, but had no suggestion as to what those differences might be. </w:t>
      </w:r>
    </w:p>
    <w:p w:rsidR="00945FB2" w:rsidRPr="007E0FF1" w:rsidRDefault="00945FB2" w:rsidP="008B2A31">
      <w:pPr>
        <w:spacing w:line="276" w:lineRule="auto"/>
        <w:jc w:val="both"/>
      </w:pPr>
      <w:r w:rsidRPr="007E0FF1">
        <w:tab/>
        <w:t>The Raman spectra of diphenylcyclopropane and phenol blue were shown to be far less affected by a change of ionic liquid from [C</w:t>
      </w:r>
      <w:r w:rsidRPr="007E0FF1">
        <w:rPr>
          <w:vertAlign w:val="subscript"/>
        </w:rPr>
        <w:t>4</w:t>
      </w:r>
      <w:r w:rsidRPr="007E0FF1">
        <w:t>C</w:t>
      </w:r>
      <w:r w:rsidRPr="007E0FF1">
        <w:rPr>
          <w:vertAlign w:val="subscript"/>
        </w:rPr>
        <w:t>1</w:t>
      </w:r>
      <w:r w:rsidRPr="007E0FF1">
        <w:t>im][BF</w:t>
      </w:r>
      <w:r w:rsidRPr="007E0FF1">
        <w:rPr>
          <w:vertAlign w:val="subscript"/>
        </w:rPr>
        <w:t>4</w:t>
      </w:r>
      <w:r w:rsidRPr="007E0FF1">
        <w:t>] to [C</w:t>
      </w:r>
      <w:r w:rsidRPr="007E0FF1">
        <w:rPr>
          <w:vertAlign w:val="subscript"/>
        </w:rPr>
        <w:t>4</w:t>
      </w:r>
      <w:r w:rsidRPr="007E0FF1">
        <w:t>C</w:t>
      </w:r>
      <w:r w:rsidRPr="007E0FF1">
        <w:rPr>
          <w:vertAlign w:val="subscript"/>
        </w:rPr>
        <w:t>1</w:t>
      </w:r>
      <w:r w:rsidRPr="007E0FF1">
        <w:t>C</w:t>
      </w:r>
      <w:r w:rsidRPr="007E0FF1">
        <w:rPr>
          <w:vertAlign w:val="subscript"/>
        </w:rPr>
        <w:t>1</w:t>
      </w:r>
      <w:r w:rsidRPr="007E0FF1">
        <w:t>im][BF</w:t>
      </w:r>
      <w:r w:rsidRPr="007E0FF1">
        <w:rPr>
          <w:vertAlign w:val="subscript"/>
        </w:rPr>
        <w:t>4</w:t>
      </w:r>
      <w:r w:rsidRPr="007E0FF1">
        <w:t xml:space="preserve">] than would be expected on the basis of the </w:t>
      </w:r>
      <w:r w:rsidRPr="007E0FF1">
        <w:rPr>
          <w:i/>
        </w:rPr>
        <w:t xml:space="preserve">α </w:t>
      </w:r>
      <w:r w:rsidRPr="007E0FF1">
        <w:t>values of these ionic liquids</w:t>
      </w:r>
      <w:r w:rsidRPr="007E0FF1">
        <w:rPr>
          <w:lang w:val="en-GB"/>
        </w:rPr>
        <w:t>.</w:t>
      </w:r>
      <w:r w:rsidRPr="007E0FF1">
        <w:rPr>
          <w:rStyle w:val="EndnoteReference"/>
          <w:lang w:val="en-GB"/>
        </w:rPr>
        <w:endnoteReference w:id="34"/>
      </w:r>
      <w:r w:rsidRPr="007E0FF1">
        <w:rPr>
          <w:lang w:val="en-GB"/>
        </w:rPr>
        <w:t xml:space="preserve"> This suggests that hydrogen bond donation to these solutes is not as significant as to Reichardt’s dye.</w:t>
      </w:r>
      <w:r w:rsidRPr="007E0FF1">
        <w:t xml:space="preserve"> The UV-vis spectra of Fe(phen)</w:t>
      </w:r>
      <w:r w:rsidRPr="007E0FF1">
        <w:rPr>
          <w:vertAlign w:val="subscript"/>
        </w:rPr>
        <w:t>2</w:t>
      </w:r>
      <w:r w:rsidRPr="007E0FF1">
        <w:t>(CN)</w:t>
      </w:r>
      <w:r w:rsidRPr="007E0FF1">
        <w:rPr>
          <w:vertAlign w:val="subscript"/>
        </w:rPr>
        <w:t>2</w:t>
      </w:r>
      <w:r w:rsidRPr="007E0FF1">
        <w:t xml:space="preserve"> {generated by the reduction of [Fe(phen)</w:t>
      </w:r>
      <w:r w:rsidRPr="007E0FF1">
        <w:rPr>
          <w:vertAlign w:val="subscript"/>
        </w:rPr>
        <w:t>2</w:t>
      </w:r>
      <w:r w:rsidRPr="007E0FF1">
        <w:t>(CN)</w:t>
      </w:r>
      <w:r w:rsidRPr="007E0FF1">
        <w:rPr>
          <w:vertAlign w:val="subscript"/>
        </w:rPr>
        <w:t>2</w:t>
      </w:r>
      <w:r w:rsidRPr="007E0FF1">
        <w:t>][ClO</w:t>
      </w:r>
      <w:r w:rsidRPr="007E0FF1">
        <w:rPr>
          <w:vertAlign w:val="subscript"/>
        </w:rPr>
        <w:t>4</w:t>
      </w:r>
      <w:r w:rsidRPr="007E0FF1">
        <w:t xml:space="preserve">] upon dissolving, phen = 1,10-phenanthroline} also describe ionic liquids as considerably poorer hydrogen bond donors than suggested by their </w:t>
      </w:r>
      <w:r w:rsidRPr="007E0FF1">
        <w:rPr>
          <w:i/>
        </w:rPr>
        <w:t xml:space="preserve">α </w:t>
      </w:r>
      <w:r w:rsidRPr="007E0FF1">
        <w:t>values.</w:t>
      </w:r>
      <w:r w:rsidR="00181501">
        <w:fldChar w:fldCharType="begin"/>
      </w:r>
      <w:r w:rsidR="00181501">
        <w:instrText xml:space="preserve"> NOTEREF _Ref279162551 \f \h  \* MERGEFORMAT</w:instrText>
      </w:r>
      <w:r w:rsidR="00181501">
        <w:instrText xml:space="preserve"> </w:instrText>
      </w:r>
      <w:r w:rsidR="00181501">
        <w:fldChar w:fldCharType="separate"/>
      </w:r>
      <w:r w:rsidR="008B17B5" w:rsidRPr="007E0FF1">
        <w:rPr>
          <w:rStyle w:val="EndnoteReference"/>
        </w:rPr>
        <w:t>32</w:t>
      </w:r>
      <w:r w:rsidR="00181501">
        <w:fldChar w:fldCharType="end"/>
      </w:r>
      <w:r w:rsidRPr="007E0FF1">
        <w:t xml:space="preserve"> These probes are both uncharged molecules, as were all of those used in the GC studies.</w:t>
      </w:r>
      <w:r w:rsidR="00181501">
        <w:fldChar w:fldCharType="begin"/>
      </w:r>
      <w:r w:rsidR="00181501">
        <w:instrText xml:space="preserve"> NOTEREF _Ref290395596 \f \h  \* MERGEFORMAT </w:instrText>
      </w:r>
      <w:r w:rsidR="00181501">
        <w:fldChar w:fldCharType="separate"/>
      </w:r>
      <w:r w:rsidR="008B17B5" w:rsidRPr="007E0FF1">
        <w:t>7</w:t>
      </w:r>
      <w:r w:rsidR="00181501">
        <w:fldChar w:fldCharType="end"/>
      </w:r>
      <w:r w:rsidR="00A629D5" w:rsidRPr="007E0FF1">
        <w:rPr>
          <w:vertAlign w:val="superscript"/>
        </w:rPr>
        <w:t>,</w:t>
      </w:r>
      <w:r w:rsidR="00A629D5" w:rsidRPr="007E0FF1">
        <w:t xml:space="preserve"> </w:t>
      </w:r>
      <w:r w:rsidR="00181501">
        <w:fldChar w:fldCharType="begin"/>
      </w:r>
      <w:r w:rsidR="00181501">
        <w:instrText xml:space="preserve"> NOTEREF _Ref279146561 \f \h  \* MERGEFORMAT </w:instrText>
      </w:r>
      <w:r w:rsidR="00181501">
        <w:fldChar w:fldCharType="separate"/>
      </w:r>
      <w:r w:rsidR="008B17B5" w:rsidRPr="007E0FF1">
        <w:t>8</w:t>
      </w:r>
      <w:r w:rsidR="00181501">
        <w:fldChar w:fldCharType="end"/>
      </w:r>
      <w:r w:rsidRPr="007E0FF1">
        <w:t xml:space="preserve"> Reichardt’s dye is, in contrast, zwitterionic and has an anionic phenoxide oxygen hydrogen bond acceptor site. We propose that this is the explanation for the disparity of the results of these different polarity measures.</w:t>
      </w:r>
    </w:p>
    <w:p w:rsidR="00945FB2" w:rsidRPr="007E0FF1" w:rsidRDefault="00945FB2" w:rsidP="008B2A31">
      <w:pPr>
        <w:spacing w:line="276" w:lineRule="auto"/>
        <w:jc w:val="both"/>
      </w:pPr>
      <w:r w:rsidRPr="007E0FF1">
        <w:tab/>
        <w:t xml:space="preserve">There are two implicit assumptions when attempting to use and compare empirical solvent polarity scales. The first is that if the response of the probe solute is the same in two solvents solvent then the polarities of the two solvents are the same. </w:t>
      </w:r>
      <w:r w:rsidRPr="007E0FF1">
        <w:lastRenderedPageBreak/>
        <w:t xml:space="preserve">The second is that the effect of transferring from </w:t>
      </w:r>
      <w:r w:rsidR="00687750" w:rsidRPr="007E0FF1">
        <w:t>a</w:t>
      </w:r>
      <w:r w:rsidRPr="007E0FF1">
        <w:t xml:space="preserve"> solvent </w:t>
      </w:r>
      <w:r w:rsidR="00687750" w:rsidRPr="007E0FF1">
        <w:t xml:space="preserve">with a known value </w:t>
      </w:r>
      <w:r w:rsidRPr="007E0FF1">
        <w:t xml:space="preserve">to </w:t>
      </w:r>
      <w:r w:rsidR="00687750" w:rsidRPr="007E0FF1">
        <w:t>one for which the value is not known</w:t>
      </w:r>
      <w:r w:rsidRPr="007E0FF1">
        <w:t xml:space="preserve"> is the same (or at least sufficiently similar) for all probes</w:t>
      </w:r>
      <w:r w:rsidR="00687750" w:rsidRPr="007E0FF1">
        <w:t xml:space="preserve"> and therefore all polarity scales</w:t>
      </w:r>
      <w:r w:rsidRPr="007E0FF1">
        <w:t>. It is this second assumption that we believe is breaking down here.</w:t>
      </w:r>
    </w:p>
    <w:p w:rsidR="00945FB2" w:rsidRDefault="00945FB2" w:rsidP="008B2A31">
      <w:pPr>
        <w:spacing w:line="276" w:lineRule="auto"/>
        <w:ind w:firstLine="720"/>
        <w:jc w:val="both"/>
      </w:pPr>
      <w:r w:rsidRPr="007E0FF1">
        <w:t xml:space="preserve">When transferring Reichardt’s dye from a molecular solvent to an ionic liquid the interaction of its phenoxide oxygen will include a contribution from the </w:t>
      </w:r>
      <w:r w:rsidR="00486B62" w:rsidRPr="007E0FF1">
        <w:t>Columbic</w:t>
      </w:r>
      <w:r w:rsidRPr="007E0FF1">
        <w:t xml:space="preserve"> interaction with the ionic liquid’s cation. This </w:t>
      </w:r>
      <w:r w:rsidR="00486B62" w:rsidRPr="007E0FF1">
        <w:t>Columbic</w:t>
      </w:r>
      <w:r w:rsidRPr="007E0FF1">
        <w:t xml:space="preserve"> component of the hydrogen bond between a cation and anion</w:t>
      </w:r>
      <w:r w:rsidRPr="007E0FF1">
        <w:rPr>
          <w:rStyle w:val="EndnoteReference"/>
        </w:rPr>
        <w:endnoteReference w:id="35"/>
      </w:r>
      <w:r w:rsidRPr="007E0FF1">
        <w:t xml:space="preserve"> is not present in the interaction with </w:t>
      </w:r>
      <w:r w:rsidR="00893988">
        <w:t>the</w:t>
      </w:r>
      <w:r w:rsidRPr="007E0FF1">
        <w:t xml:space="preserve"> neutral polarity probe</w:t>
      </w:r>
      <w:r w:rsidR="00A158A6">
        <w:t>s</w:t>
      </w:r>
      <w:r w:rsidR="00893988">
        <w:t xml:space="preserve"> that have been used with ionic liquids, </w:t>
      </w:r>
      <w:r w:rsidR="00893988" w:rsidRPr="007E0FF1">
        <w:t>nor is it present when the solvent is molecular</w:t>
      </w:r>
      <w:r w:rsidRPr="007E0FF1">
        <w:t xml:space="preserve">. Consequently, the transfer from a molecular solvent to an ionic liquid solvent will have a far greater effect upon </w:t>
      </w:r>
      <w:r w:rsidR="00893988">
        <w:t>Reichardt’s dye</w:t>
      </w:r>
      <w:r w:rsidRPr="007E0FF1">
        <w:t xml:space="preserve"> than for </w:t>
      </w:r>
      <w:r w:rsidR="00893988">
        <w:t>these</w:t>
      </w:r>
      <w:r w:rsidRPr="007E0FF1">
        <w:t xml:space="preserve"> neutral probe</w:t>
      </w:r>
      <w:r w:rsidR="00893988">
        <w:t>s</w:t>
      </w:r>
      <w:r w:rsidRPr="007E0FF1">
        <w:t xml:space="preserve">. This emphasizes that polarity is about a relationship between the solvent and solute and that it is as important to consider the nature of the solute as that of as the solvent when using empirical polarity scales. This is not to say that </w:t>
      </w:r>
      <w:r w:rsidR="00687750" w:rsidRPr="007E0FF1">
        <w:t>the Kamlet-Taft approach overemphasizes</w:t>
      </w:r>
      <w:r w:rsidRPr="007E0FF1">
        <w:t xml:space="preserve"> the importance of the </w:t>
      </w:r>
      <w:r w:rsidR="00486B62" w:rsidRPr="007E0FF1">
        <w:t>Columbic</w:t>
      </w:r>
      <w:r w:rsidRPr="007E0FF1">
        <w:t xml:space="preserve"> component of the hydrogen bond compared to neutral probes, or vice versa. </w:t>
      </w:r>
      <w:r w:rsidR="00A158A6">
        <w:t>It is also true that small molecules with large permanent dipoles have been demonstrated to have their hydrogen bonds dominated by a Coulombic component.</w:t>
      </w:r>
      <w:r w:rsidR="00A158A6">
        <w:rPr>
          <w:rStyle w:val="EndnoteReference"/>
        </w:rPr>
        <w:endnoteReference w:id="36"/>
      </w:r>
      <w:r w:rsidR="00A158A6">
        <w:t xml:space="preserve"> </w:t>
      </w:r>
      <w:r w:rsidRPr="007E0FF1">
        <w:t xml:space="preserve">However, it is </w:t>
      </w:r>
      <w:r w:rsidR="00A158A6">
        <w:t>true</w:t>
      </w:r>
      <w:r w:rsidRPr="007E0FF1">
        <w:t xml:space="preserve"> that solvent polarity scales based upon charged probes are more likely to aid the understanding of processes involving charged solutes in ionic liquids, and solvent polarity scales based upon neutral probes are more likely to aid the understanding of processes involving neutral solutes in ionic liquids.</w:t>
      </w:r>
    </w:p>
    <w:p w:rsidR="00945FB2" w:rsidRPr="007E0FF1" w:rsidRDefault="00945FB2" w:rsidP="008B2A31">
      <w:pPr>
        <w:spacing w:line="276" w:lineRule="auto"/>
        <w:ind w:firstLine="720"/>
        <w:jc w:val="both"/>
      </w:pPr>
    </w:p>
    <w:p w:rsidR="00945FB2" w:rsidRPr="007E0FF1" w:rsidRDefault="00945FB2" w:rsidP="008B2A31">
      <w:pPr>
        <w:spacing w:line="276" w:lineRule="auto"/>
        <w:jc w:val="both"/>
      </w:pPr>
      <w:r w:rsidRPr="007E0FF1">
        <w:rPr>
          <w:b/>
        </w:rPr>
        <w:t>Table 4</w:t>
      </w:r>
      <w:r w:rsidRPr="007E0FF1">
        <w:t xml:space="preserve">. Kamlet-Taft parameters, using the dye set Reichardt’s Dye, </w:t>
      </w:r>
      <w:r w:rsidRPr="007E0FF1">
        <w:rPr>
          <w:i/>
        </w:rPr>
        <w:t>N,N</w:t>
      </w:r>
      <w:r w:rsidRPr="007E0FF1">
        <w:t xml:space="preserve">-diethyl-4-nitroaniline and 4-nitroaniline. </w:t>
      </w:r>
      <w:r w:rsidR="007B6073" w:rsidRPr="007E0FF1">
        <w:rPr>
          <w:b/>
        </w:rPr>
        <w:t xml:space="preserve">HERE </w:t>
      </w:r>
    </w:p>
    <w:p w:rsidR="00945FB2" w:rsidRPr="007E0FF1" w:rsidRDefault="00945FB2" w:rsidP="008B2A31">
      <w:pPr>
        <w:spacing w:line="276" w:lineRule="auto"/>
        <w:jc w:val="both"/>
      </w:pPr>
    </w:p>
    <w:p w:rsidR="00A14F2E" w:rsidRPr="007E0FF1" w:rsidRDefault="00945FB2" w:rsidP="008B2A31">
      <w:pPr>
        <w:pStyle w:val="NormalJustified"/>
        <w:spacing w:line="276" w:lineRule="auto"/>
        <w:rPr>
          <w:b/>
          <w:lang w:val="en-GB"/>
        </w:rPr>
      </w:pPr>
      <w:r w:rsidRPr="007E0FF1">
        <w:rPr>
          <w:b/>
          <w:lang w:val="en-GB"/>
        </w:rPr>
        <w:t>Effect of common synthetic impurities on Kamlet-Taft measurements</w:t>
      </w:r>
    </w:p>
    <w:p w:rsidR="00945FB2" w:rsidRPr="007E0FF1" w:rsidRDefault="00B965E7" w:rsidP="008B2A31">
      <w:pPr>
        <w:pStyle w:val="NormalJustified"/>
        <w:spacing w:line="276" w:lineRule="auto"/>
        <w:rPr>
          <w:b/>
          <w:lang w:val="en-GB"/>
        </w:rPr>
      </w:pPr>
      <w:r w:rsidRPr="007E0FF1">
        <w:rPr>
          <w:lang w:val="en-GB"/>
        </w:rPr>
        <w:t>It is well established that the purification of ionic liquids is more difficult than for common volatile organic solvents and that ionic liquids can be contaminated with by-products of their synthesis and/or unreacted starting materials.</w:t>
      </w:r>
      <w:r w:rsidR="00181501">
        <w:fldChar w:fldCharType="begin"/>
      </w:r>
      <w:r w:rsidR="00181501">
        <w:instrText xml:space="preserve"> NOTEREF _Ref189977229 \f \h  \* MERGEFORMAT </w:instrText>
      </w:r>
      <w:r w:rsidR="00181501">
        <w:fldChar w:fldCharType="separate"/>
      </w:r>
      <w:r w:rsidR="008B17B5" w:rsidRPr="007E0FF1">
        <w:t>1</w:t>
      </w:r>
      <w:r w:rsidR="00181501">
        <w:fldChar w:fldCharType="end"/>
      </w:r>
      <w:r w:rsidRPr="007E0FF1">
        <w:rPr>
          <w:lang w:val="en-GB"/>
        </w:rPr>
        <w:t xml:space="preserve"> Hence, we</w:t>
      </w:r>
      <w:r w:rsidR="00945FB2" w:rsidRPr="007E0FF1">
        <w:rPr>
          <w:lang w:val="en-GB"/>
        </w:rPr>
        <w:t xml:space="preserve"> tested the effect of the various impurities that might be present from the </w:t>
      </w:r>
      <w:r w:rsidRPr="007E0FF1">
        <w:rPr>
          <w:lang w:val="en-GB"/>
        </w:rPr>
        <w:t>most common ionic liquids synthesis route</w:t>
      </w:r>
      <w:r w:rsidR="00945FB2" w:rsidRPr="007E0FF1">
        <w:rPr>
          <w:lang w:val="en-GB"/>
        </w:rPr>
        <w:t>, including water, 1-methyl</w:t>
      </w:r>
      <w:r w:rsidR="0076299D" w:rsidRPr="007E0FF1">
        <w:rPr>
          <w:lang w:val="en-GB"/>
        </w:rPr>
        <w:t>imidazole, 1-chlorobutane, Li[NTf</w:t>
      </w:r>
      <w:r w:rsidRPr="007E0FF1">
        <w:rPr>
          <w:vertAlign w:val="subscript"/>
          <w:lang w:val="en-GB"/>
        </w:rPr>
        <w:t>2</w:t>
      </w:r>
      <w:r w:rsidR="00945FB2" w:rsidRPr="007E0FF1">
        <w:rPr>
          <w:lang w:val="en-GB"/>
        </w:rPr>
        <w:t>], [C</w:t>
      </w:r>
      <w:r w:rsidR="00945FB2" w:rsidRPr="007E0FF1">
        <w:rPr>
          <w:vertAlign w:val="subscript"/>
          <w:lang w:val="en-GB"/>
        </w:rPr>
        <w:t>4</w:t>
      </w:r>
      <w:r w:rsidR="00945FB2" w:rsidRPr="007E0FF1">
        <w:rPr>
          <w:lang w:val="en-GB"/>
        </w:rPr>
        <w:t>C</w:t>
      </w:r>
      <w:r w:rsidR="00945FB2" w:rsidRPr="007E0FF1">
        <w:rPr>
          <w:vertAlign w:val="subscript"/>
          <w:lang w:val="en-GB"/>
        </w:rPr>
        <w:t>1</w:t>
      </w:r>
      <w:r w:rsidR="00945FB2" w:rsidRPr="007E0FF1">
        <w:rPr>
          <w:lang w:val="en-GB"/>
        </w:rPr>
        <w:t>im]Cl and, [HC</w:t>
      </w:r>
      <w:r w:rsidR="00A629D5" w:rsidRPr="007E0FF1">
        <w:rPr>
          <w:vertAlign w:val="subscript"/>
          <w:lang w:val="en-GB"/>
        </w:rPr>
        <w:t>1</w:t>
      </w:r>
      <w:r w:rsidR="00945FB2" w:rsidRPr="007E0FF1">
        <w:rPr>
          <w:lang w:val="en-GB"/>
        </w:rPr>
        <w:t>im]</w:t>
      </w:r>
      <w:r w:rsidR="0076299D" w:rsidRPr="007E0FF1">
        <w:rPr>
          <w:lang w:val="en-GB"/>
        </w:rPr>
        <w:t>[NTf</w:t>
      </w:r>
      <w:r w:rsidR="00945FB2" w:rsidRPr="007E0FF1">
        <w:rPr>
          <w:vertAlign w:val="subscript"/>
          <w:lang w:val="en-GB"/>
        </w:rPr>
        <w:t>2</w:t>
      </w:r>
      <w:r w:rsidR="00945FB2" w:rsidRPr="007E0FF1">
        <w:rPr>
          <w:lang w:val="en-GB"/>
        </w:rPr>
        <w:t>]</w:t>
      </w:r>
      <w:r w:rsidR="00A629D5" w:rsidRPr="007E0FF1">
        <w:rPr>
          <w:lang w:val="en-GB"/>
        </w:rPr>
        <w:t>,</w:t>
      </w:r>
      <w:r w:rsidRPr="007E0FF1">
        <w:rPr>
          <w:lang w:val="en-GB"/>
        </w:rPr>
        <w:t xml:space="preserve"> </w:t>
      </w:r>
      <w:r w:rsidR="00A629D5" w:rsidRPr="007E0FF1">
        <w:rPr>
          <w:lang w:val="en-GB"/>
        </w:rPr>
        <w:t>the by-product</w:t>
      </w:r>
      <w:r w:rsidRPr="007E0FF1">
        <w:rPr>
          <w:lang w:val="en-GB"/>
        </w:rPr>
        <w:t xml:space="preserve"> </w:t>
      </w:r>
      <w:r w:rsidR="00A629D5" w:rsidRPr="007E0FF1">
        <w:rPr>
          <w:lang w:val="en-GB"/>
        </w:rPr>
        <w:t xml:space="preserve">potentially </w:t>
      </w:r>
      <w:r w:rsidRPr="007E0FF1">
        <w:rPr>
          <w:lang w:val="en-GB"/>
        </w:rPr>
        <w:t>formed by</w:t>
      </w:r>
      <w:r w:rsidR="00A629D5" w:rsidRPr="007E0FF1">
        <w:rPr>
          <w:lang w:val="en-GB"/>
        </w:rPr>
        <w:t xml:space="preserve"> the possible competing elimination reaction</w:t>
      </w:r>
      <w:r w:rsidRPr="007E0FF1">
        <w:rPr>
          <w:lang w:val="en-GB"/>
        </w:rPr>
        <w:t xml:space="preserve"> in the synthesis of </w:t>
      </w:r>
      <w:r w:rsidR="00A629D5" w:rsidRPr="007E0FF1">
        <w:rPr>
          <w:lang w:val="en-GB"/>
        </w:rPr>
        <w:t>[C</w:t>
      </w:r>
      <w:r w:rsidR="00A629D5" w:rsidRPr="007E0FF1">
        <w:rPr>
          <w:vertAlign w:val="subscript"/>
          <w:lang w:val="en-GB"/>
        </w:rPr>
        <w:t>4</w:t>
      </w:r>
      <w:r w:rsidR="00A629D5" w:rsidRPr="007E0FF1">
        <w:rPr>
          <w:lang w:val="en-GB"/>
        </w:rPr>
        <w:t>C</w:t>
      </w:r>
      <w:r w:rsidR="00A629D5" w:rsidRPr="007E0FF1">
        <w:rPr>
          <w:vertAlign w:val="subscript"/>
          <w:lang w:val="en-GB"/>
        </w:rPr>
        <w:t>1</w:t>
      </w:r>
      <w:r w:rsidR="00A629D5" w:rsidRPr="007E0FF1">
        <w:rPr>
          <w:lang w:val="en-GB"/>
        </w:rPr>
        <w:t>im]Cl</w:t>
      </w:r>
      <w:r w:rsidR="00945FB2" w:rsidRPr="007E0FF1">
        <w:rPr>
          <w:lang w:val="en-GB"/>
        </w:rPr>
        <w:t xml:space="preserve">. </w:t>
      </w:r>
      <w:r w:rsidR="00D11FDE" w:rsidRPr="007E0FF1">
        <w:rPr>
          <w:lang w:val="en-GB"/>
        </w:rPr>
        <w:t>It is particularly important to be aware of this for the ionic impurities, which cannot be easily detected using standard spectroscopic</w:t>
      </w:r>
      <w:r w:rsidR="00804A28" w:rsidRPr="007E0FF1">
        <w:rPr>
          <w:lang w:val="en-GB"/>
        </w:rPr>
        <w:t xml:space="preserve"> analytical techniques. </w:t>
      </w:r>
      <w:r w:rsidR="00945FB2" w:rsidRPr="007E0FF1">
        <w:rPr>
          <w:lang w:val="en-GB"/>
        </w:rPr>
        <w:t xml:space="preserve">The results are shown in Table 5. </w:t>
      </w:r>
    </w:p>
    <w:p w:rsidR="00945FB2" w:rsidRPr="007E0FF1" w:rsidRDefault="00945FB2" w:rsidP="008B2A31">
      <w:pPr>
        <w:pStyle w:val="NormalJustified"/>
        <w:spacing w:line="276" w:lineRule="auto"/>
        <w:ind w:firstLine="720"/>
      </w:pPr>
      <w:r w:rsidRPr="007E0FF1">
        <w:rPr>
          <w:lang w:val="en-GB"/>
        </w:rPr>
        <w:t xml:space="preserve">The addition of water has surprisingly little effect on the Kamlet-Taft values, although this could be unique to water-immiscible nature of this ionic liquid.  It can be seen that </w:t>
      </w:r>
      <w:r w:rsidRPr="007E0FF1">
        <w:rPr>
          <w:i/>
        </w:rPr>
        <w:t>α</w:t>
      </w:r>
      <w:r w:rsidRPr="007E0FF1">
        <w:t xml:space="preserve"> and </w:t>
      </w:r>
      <w:r w:rsidRPr="007E0FF1">
        <w:rPr>
          <w:i/>
          <w:lang w:val="en-GB"/>
        </w:rPr>
        <w:t>β</w:t>
      </w:r>
      <w:r w:rsidRPr="007E0FF1">
        <w:rPr>
          <w:lang w:val="en-GB"/>
        </w:rPr>
        <w:t xml:space="preserve"> measurements are readily affected by the presence of many impurities, with resi</w:t>
      </w:r>
      <w:r w:rsidR="0076299D" w:rsidRPr="007E0FF1">
        <w:rPr>
          <w:lang w:val="en-GB"/>
        </w:rPr>
        <w:t>dual Li[NTf</w:t>
      </w:r>
      <w:r w:rsidRPr="007E0FF1">
        <w:rPr>
          <w:vertAlign w:val="subscript"/>
          <w:lang w:val="en-GB"/>
        </w:rPr>
        <w:t>2</w:t>
      </w:r>
      <w:r w:rsidRPr="007E0FF1">
        <w:rPr>
          <w:lang w:val="en-GB"/>
        </w:rPr>
        <w:t>] and [C</w:t>
      </w:r>
      <w:r w:rsidRPr="007E0FF1">
        <w:rPr>
          <w:vertAlign w:val="subscript"/>
          <w:lang w:val="en-GB"/>
        </w:rPr>
        <w:t>4</w:t>
      </w:r>
      <w:r w:rsidRPr="007E0FF1">
        <w:rPr>
          <w:lang w:val="en-GB"/>
        </w:rPr>
        <w:t>C</w:t>
      </w:r>
      <w:r w:rsidRPr="007E0FF1">
        <w:rPr>
          <w:vertAlign w:val="subscript"/>
          <w:lang w:val="en-GB"/>
        </w:rPr>
        <w:t>1</w:t>
      </w:r>
      <w:r w:rsidR="00303CD7" w:rsidRPr="007E0FF1">
        <w:rPr>
          <w:lang w:val="en-GB"/>
        </w:rPr>
        <w:t>im]Cl having large</w:t>
      </w:r>
      <w:r w:rsidRPr="007E0FF1">
        <w:rPr>
          <w:lang w:val="en-GB"/>
        </w:rPr>
        <w:t xml:space="preserve"> effects on the final value obtained, even with only 1% or less of the impurity present.  The </w:t>
      </w:r>
      <w:r w:rsidRPr="007E0FF1">
        <w:rPr>
          <w:i/>
        </w:rPr>
        <w:t>π*</w:t>
      </w:r>
      <w:r w:rsidRPr="007E0FF1">
        <w:t xml:space="preserve"> value of the ionic liquid, however, is not easily altered, with only the addition of 1-chlorobutane having a significant effect on values.  Since 1-chlorobutane is highly </w:t>
      </w:r>
      <w:r w:rsidRPr="007E0FF1">
        <w:lastRenderedPageBreak/>
        <w:t>volatile, it is unlikely that this will remain in the final ionic liquid sample without omitting the drying step of the procedure.</w:t>
      </w:r>
    </w:p>
    <w:p w:rsidR="00D048B6" w:rsidRPr="007E0FF1" w:rsidRDefault="00991A5A" w:rsidP="008B2A31">
      <w:pPr>
        <w:pStyle w:val="NormalJustified"/>
        <w:spacing w:line="276" w:lineRule="auto"/>
        <w:ind w:firstLine="720"/>
        <w:rPr>
          <w:lang w:val="en-GB"/>
        </w:rPr>
      </w:pPr>
      <w:r w:rsidRPr="007E0FF1">
        <w:rPr>
          <w:lang w:val="en-GB"/>
        </w:rPr>
        <w:t xml:space="preserve">While not being designed to act as an analytical technique, deviation of </w:t>
      </w:r>
      <w:r w:rsidR="00F25FC0" w:rsidRPr="007E0FF1">
        <w:rPr>
          <w:lang w:val="en-GB"/>
        </w:rPr>
        <w:t>Kamlet-Taft values from those of pristine samples</w:t>
      </w:r>
      <w:r w:rsidRPr="007E0FF1">
        <w:rPr>
          <w:lang w:val="en-GB"/>
        </w:rPr>
        <w:t xml:space="preserve"> do indicate which of the common ionic liquid impurities may be present and so what further purification techniques are appropriate. D</w:t>
      </w:r>
      <w:r w:rsidR="009930FE" w:rsidRPr="007E0FF1">
        <w:rPr>
          <w:lang w:val="en-GB"/>
        </w:rPr>
        <w:t>ecolourization</w:t>
      </w:r>
      <w:r w:rsidRPr="007E0FF1">
        <w:rPr>
          <w:lang w:val="en-GB"/>
        </w:rPr>
        <w:t xml:space="preserve"> of Reichardt’s dye with no change in either </w:t>
      </w:r>
      <w:r w:rsidR="0002518F" w:rsidRPr="007E0FF1">
        <w:rPr>
          <w:i/>
          <w:lang w:val="en-GB"/>
        </w:rPr>
        <w:sym w:font="Symbol" w:char="F070"/>
      </w:r>
      <w:r w:rsidR="0002518F" w:rsidRPr="007E0FF1">
        <w:rPr>
          <w:lang w:val="en-GB"/>
        </w:rPr>
        <w:t>*</w:t>
      </w:r>
      <w:r w:rsidRPr="007E0FF1">
        <w:rPr>
          <w:lang w:val="en-GB"/>
        </w:rPr>
        <w:t xml:space="preserve"> or </w:t>
      </w:r>
      <w:r w:rsidRPr="007E0FF1">
        <w:rPr>
          <w:i/>
          <w:lang w:val="en-GB"/>
        </w:rPr>
        <w:sym w:font="Symbol" w:char="F062"/>
      </w:r>
      <w:r w:rsidRPr="007E0FF1">
        <w:rPr>
          <w:lang w:val="en-GB"/>
        </w:rPr>
        <w:t xml:space="preserve"> indicates the presence of protonated cations, in our case </w:t>
      </w:r>
      <w:r w:rsidRPr="007E0FF1">
        <w:t>[HC</w:t>
      </w:r>
      <w:r w:rsidRPr="007E0FF1">
        <w:rPr>
          <w:vertAlign w:val="subscript"/>
        </w:rPr>
        <w:t>1</w:t>
      </w:r>
      <w:r w:rsidRPr="007E0FF1">
        <w:t>im]</w:t>
      </w:r>
      <w:r w:rsidRPr="007E0FF1">
        <w:rPr>
          <w:vertAlign w:val="superscript"/>
        </w:rPr>
        <w:t>+</w:t>
      </w:r>
      <w:r w:rsidRPr="007E0FF1">
        <w:t xml:space="preserve">. These can be removed </w:t>
      </w:r>
      <w:r w:rsidR="009930FE" w:rsidRPr="007E0FF1">
        <w:rPr>
          <w:lang w:val="en-GB"/>
        </w:rPr>
        <w:t xml:space="preserve">by passing </w:t>
      </w:r>
      <w:r w:rsidRPr="007E0FF1">
        <w:rPr>
          <w:lang w:val="en-GB"/>
        </w:rPr>
        <w:t xml:space="preserve">the ionic liquid </w:t>
      </w:r>
      <w:r w:rsidR="009930FE" w:rsidRPr="007E0FF1">
        <w:rPr>
          <w:lang w:val="en-GB"/>
        </w:rPr>
        <w:t>through a pad of basic alumina</w:t>
      </w:r>
      <w:r w:rsidR="0002518F" w:rsidRPr="007E0FF1">
        <w:rPr>
          <w:lang w:val="en-GB"/>
        </w:rPr>
        <w:t xml:space="preserve">. A notable increase in </w:t>
      </w:r>
      <w:r w:rsidR="0002518F" w:rsidRPr="007E0FF1">
        <w:rPr>
          <w:i/>
          <w:lang w:val="en-GB"/>
        </w:rPr>
        <w:sym w:font="Symbol" w:char="F062"/>
      </w:r>
      <w:r w:rsidR="0002518F" w:rsidRPr="007E0FF1">
        <w:rPr>
          <w:lang w:val="en-GB"/>
        </w:rPr>
        <w:t xml:space="preserve"> with a small change in </w:t>
      </w:r>
      <w:r w:rsidR="0002518F" w:rsidRPr="007E0FF1">
        <w:rPr>
          <w:i/>
          <w:lang w:val="en-GB"/>
        </w:rPr>
        <w:t>α</w:t>
      </w:r>
      <w:r w:rsidR="0002518F" w:rsidRPr="007E0FF1">
        <w:rPr>
          <w:lang w:val="en-GB"/>
        </w:rPr>
        <w:t xml:space="preserve"> and no change in </w:t>
      </w:r>
      <w:r w:rsidR="0002518F" w:rsidRPr="007E0FF1">
        <w:rPr>
          <w:i/>
          <w:lang w:val="en-GB"/>
        </w:rPr>
        <w:sym w:font="Symbol" w:char="F070"/>
      </w:r>
      <w:r w:rsidR="0002518F" w:rsidRPr="007E0FF1">
        <w:rPr>
          <w:lang w:val="en-GB"/>
        </w:rPr>
        <w:t>* indicates the presence of halide ions, which requires further aqueous washing of the ionic liquid, or its solution in a solvent suc</w:t>
      </w:r>
      <w:r w:rsidR="003C3DC6" w:rsidRPr="007E0FF1">
        <w:rPr>
          <w:lang w:val="en-GB"/>
        </w:rPr>
        <w:t xml:space="preserve">h as dichloromethane, until a negative silver nitrate test is achieved. A notable increase in </w:t>
      </w:r>
      <w:r w:rsidR="003C3DC6" w:rsidRPr="007E0FF1">
        <w:rPr>
          <w:i/>
          <w:lang w:val="en-GB"/>
        </w:rPr>
        <w:t>α</w:t>
      </w:r>
      <w:r w:rsidR="003C3DC6" w:rsidRPr="007E0FF1">
        <w:rPr>
          <w:lang w:val="en-GB"/>
        </w:rPr>
        <w:t xml:space="preserve"> with a smaller decrease in </w:t>
      </w:r>
      <w:r w:rsidR="003C3DC6" w:rsidRPr="007E0FF1">
        <w:rPr>
          <w:i/>
          <w:lang w:val="en-GB"/>
        </w:rPr>
        <w:sym w:font="Symbol" w:char="F062"/>
      </w:r>
      <w:r w:rsidR="003C3DC6" w:rsidRPr="007E0FF1">
        <w:rPr>
          <w:lang w:val="en-GB"/>
        </w:rPr>
        <w:t xml:space="preserve"> and no change in </w:t>
      </w:r>
      <w:r w:rsidR="003C3DC6" w:rsidRPr="007E0FF1">
        <w:rPr>
          <w:i/>
          <w:lang w:val="en-GB"/>
        </w:rPr>
        <w:sym w:font="Symbol" w:char="F070"/>
      </w:r>
      <w:r w:rsidR="003C3DC6" w:rsidRPr="007E0FF1">
        <w:rPr>
          <w:lang w:val="en-GB"/>
        </w:rPr>
        <w:t>* indicates the presence of Li</w:t>
      </w:r>
      <w:r w:rsidR="003C3DC6" w:rsidRPr="007E0FF1">
        <w:rPr>
          <w:vertAlign w:val="superscript"/>
          <w:lang w:val="en-GB"/>
        </w:rPr>
        <w:t>+</w:t>
      </w:r>
      <w:r w:rsidR="003C3DC6" w:rsidRPr="007E0FF1">
        <w:rPr>
          <w:lang w:val="en-GB"/>
        </w:rPr>
        <w:t xml:space="preserve"> salts, which can </w:t>
      </w:r>
      <w:r w:rsidR="00C73FCC" w:rsidRPr="007E0FF1">
        <w:rPr>
          <w:lang w:val="en-GB"/>
        </w:rPr>
        <w:t xml:space="preserve">also </w:t>
      </w:r>
      <w:r w:rsidR="003C3DC6" w:rsidRPr="007E0FF1">
        <w:rPr>
          <w:lang w:val="en-GB"/>
        </w:rPr>
        <w:t xml:space="preserve">be removed by </w:t>
      </w:r>
      <w:r w:rsidR="00C73FCC" w:rsidRPr="007E0FF1">
        <w:rPr>
          <w:lang w:val="en-GB"/>
        </w:rPr>
        <w:t>washing the ionic liquid. Most workers prefer to use an excess of the chloride salt, so that that the only lithium salt present after metathesis is LiCl and not the reactant salt, in our case Li[NTf</w:t>
      </w:r>
      <w:r w:rsidR="00C73FCC" w:rsidRPr="007E0FF1">
        <w:rPr>
          <w:vertAlign w:val="subscript"/>
          <w:lang w:val="en-GB"/>
        </w:rPr>
        <w:t>2</w:t>
      </w:r>
      <w:r w:rsidR="00C73FCC" w:rsidRPr="007E0FF1">
        <w:rPr>
          <w:lang w:val="en-GB"/>
        </w:rPr>
        <w:t>], which is more difficult to observe</w:t>
      </w:r>
      <w:r w:rsidR="003C3DC6" w:rsidRPr="007E0FF1">
        <w:rPr>
          <w:lang w:val="en-GB"/>
        </w:rPr>
        <w:t xml:space="preserve">. </w:t>
      </w:r>
      <w:r w:rsidR="00C73FCC" w:rsidRPr="007E0FF1">
        <w:rPr>
          <w:lang w:val="en-GB"/>
        </w:rPr>
        <w:t xml:space="preserve">A significant decrease in </w:t>
      </w:r>
      <w:r w:rsidR="00C73FCC" w:rsidRPr="007E0FF1">
        <w:rPr>
          <w:i/>
          <w:lang w:val="en-GB"/>
        </w:rPr>
        <w:sym w:font="Symbol" w:char="F070"/>
      </w:r>
      <w:r w:rsidR="00C73FCC" w:rsidRPr="007E0FF1">
        <w:rPr>
          <w:lang w:val="en-GB"/>
        </w:rPr>
        <w:t xml:space="preserve">* accompanied by increases in both </w:t>
      </w:r>
      <w:r w:rsidR="00C73FCC" w:rsidRPr="007E0FF1">
        <w:rPr>
          <w:i/>
          <w:lang w:val="en-GB"/>
        </w:rPr>
        <w:t>α</w:t>
      </w:r>
      <w:r w:rsidR="00C73FCC" w:rsidRPr="007E0FF1">
        <w:rPr>
          <w:lang w:val="en-GB"/>
        </w:rPr>
        <w:t xml:space="preserve"> and </w:t>
      </w:r>
      <w:r w:rsidR="00C73FCC" w:rsidRPr="007E0FF1">
        <w:rPr>
          <w:i/>
          <w:lang w:val="en-GB"/>
        </w:rPr>
        <w:sym w:font="Symbol" w:char="F062"/>
      </w:r>
      <w:r w:rsidR="003C3DC6" w:rsidRPr="007E0FF1">
        <w:rPr>
          <w:lang w:val="en-GB"/>
        </w:rPr>
        <w:t xml:space="preserve"> indicates the presence of unreacted alkylamine, which </w:t>
      </w:r>
      <w:r w:rsidR="00F25FC0" w:rsidRPr="007E0FF1">
        <w:rPr>
          <w:lang w:val="en-GB"/>
        </w:rPr>
        <w:t xml:space="preserve">although molecular tend to have high boiling points and so are not as easily removed </w:t>
      </w:r>
      <w:r w:rsidR="00F25FC0" w:rsidRPr="007E0FF1">
        <w:rPr>
          <w:i/>
          <w:lang w:val="en-GB"/>
        </w:rPr>
        <w:t>in vacuo</w:t>
      </w:r>
      <w:r w:rsidR="00F25FC0" w:rsidRPr="007E0FF1">
        <w:rPr>
          <w:lang w:val="en-GB"/>
        </w:rPr>
        <w:t xml:space="preserve"> as other possible contaminants, such as chlorobutane.  Alkylamines </w:t>
      </w:r>
      <w:r w:rsidR="0076722F" w:rsidRPr="007E0FF1">
        <w:rPr>
          <w:lang w:val="en-GB"/>
        </w:rPr>
        <w:t>can be removed by passing the ionic liquid first through a plug of acidic alumina followed by a plug of basic alumina. However, it has been noted that the use of sorbents can lead to contamination of ionic liquids.</w:t>
      </w:r>
      <w:r w:rsidR="0076722F" w:rsidRPr="007E0FF1">
        <w:rPr>
          <w:rStyle w:val="EndnoteReference"/>
        </w:rPr>
        <w:endnoteReference w:id="37"/>
      </w:r>
      <w:r w:rsidR="00224921" w:rsidRPr="007E0FF1">
        <w:rPr>
          <w:lang w:val="en-GB"/>
        </w:rPr>
        <w:t xml:space="preserve"> Hence, </w:t>
      </w:r>
      <w:r w:rsidR="00F25FC0" w:rsidRPr="007E0FF1">
        <w:rPr>
          <w:lang w:val="en-GB"/>
        </w:rPr>
        <w:t>these are</w:t>
      </w:r>
      <w:r w:rsidR="00224921" w:rsidRPr="007E0FF1">
        <w:rPr>
          <w:lang w:val="en-GB"/>
        </w:rPr>
        <w:t xml:space="preserve"> better removed by washing the ionic liquid precursor salt with ethyl acetate.</w:t>
      </w:r>
    </w:p>
    <w:p w:rsidR="0076299D" w:rsidRPr="007E0FF1" w:rsidRDefault="0076299D" w:rsidP="008B2A31">
      <w:pPr>
        <w:pStyle w:val="NormalJustified"/>
        <w:spacing w:line="276" w:lineRule="auto"/>
        <w:ind w:firstLine="720"/>
        <w:rPr>
          <w:lang w:val="en-GB"/>
        </w:rPr>
      </w:pPr>
    </w:p>
    <w:p w:rsidR="00945FB2" w:rsidRPr="007E0FF1" w:rsidRDefault="00D048B6" w:rsidP="008B2A31">
      <w:pPr>
        <w:spacing w:line="276" w:lineRule="auto"/>
        <w:jc w:val="both"/>
      </w:pPr>
      <w:r w:rsidRPr="007E0FF1">
        <w:rPr>
          <w:b/>
        </w:rPr>
        <w:t xml:space="preserve">Table 5.  </w:t>
      </w:r>
      <w:r w:rsidRPr="007E0FF1">
        <w:t>Effect on the Kamlet-Taft measurements of adding common synthetic impurities to [C</w:t>
      </w:r>
      <w:r w:rsidRPr="007E0FF1">
        <w:rPr>
          <w:vertAlign w:val="subscript"/>
        </w:rPr>
        <w:t>4</w:t>
      </w:r>
      <w:r w:rsidRPr="007E0FF1">
        <w:t>C</w:t>
      </w:r>
      <w:r w:rsidRPr="007E0FF1">
        <w:rPr>
          <w:vertAlign w:val="subscript"/>
        </w:rPr>
        <w:t>1</w:t>
      </w:r>
      <w:r w:rsidR="0076299D" w:rsidRPr="007E0FF1">
        <w:t>im][NTf</w:t>
      </w:r>
      <w:r w:rsidRPr="007E0FF1">
        <w:rPr>
          <w:vertAlign w:val="subscript"/>
        </w:rPr>
        <w:t>2</w:t>
      </w:r>
      <w:r w:rsidRPr="007E0FF1">
        <w:t xml:space="preserve">].  </w:t>
      </w:r>
    </w:p>
    <w:tbl>
      <w:tblPr>
        <w:tblStyle w:val="TableGrid"/>
        <w:tblW w:w="0" w:type="auto"/>
        <w:tblLook w:val="00BF" w:firstRow="1" w:lastRow="0" w:firstColumn="1" w:lastColumn="0" w:noHBand="0" w:noVBand="0"/>
      </w:tblPr>
      <w:tblGrid>
        <w:gridCol w:w="2518"/>
        <w:gridCol w:w="1985"/>
        <w:gridCol w:w="1984"/>
        <w:gridCol w:w="2036"/>
      </w:tblGrid>
      <w:tr w:rsidR="00945FB2" w:rsidRPr="007E0FF1" w:rsidTr="005A7988">
        <w:tc>
          <w:tcPr>
            <w:tcW w:w="2518" w:type="dxa"/>
          </w:tcPr>
          <w:p w:rsidR="00945FB2" w:rsidRPr="007E0FF1" w:rsidRDefault="00945FB2" w:rsidP="008B2A31">
            <w:pPr>
              <w:spacing w:line="276" w:lineRule="auto"/>
              <w:jc w:val="center"/>
              <w:rPr>
                <w:b/>
              </w:rPr>
            </w:pPr>
            <w:r w:rsidRPr="007E0FF1">
              <w:rPr>
                <w:b/>
              </w:rPr>
              <w:t>Impurity</w:t>
            </w:r>
          </w:p>
        </w:tc>
        <w:tc>
          <w:tcPr>
            <w:tcW w:w="1985" w:type="dxa"/>
          </w:tcPr>
          <w:p w:rsidR="00945FB2" w:rsidRPr="007E0FF1" w:rsidRDefault="00B030BA" w:rsidP="008B2A31">
            <w:pPr>
              <w:spacing w:line="276" w:lineRule="auto"/>
              <w:jc w:val="center"/>
              <w:rPr>
                <w:b/>
                <w:i/>
              </w:rPr>
            </w:pPr>
            <w:r w:rsidRPr="007E0FF1">
              <w:rPr>
                <w:b/>
              </w:rPr>
              <w:t>Δ</w:t>
            </w:r>
            <w:r w:rsidR="00945FB2" w:rsidRPr="007E0FF1">
              <w:rPr>
                <w:b/>
                <w:i/>
              </w:rPr>
              <w:t>α</w:t>
            </w:r>
          </w:p>
        </w:tc>
        <w:tc>
          <w:tcPr>
            <w:tcW w:w="1984" w:type="dxa"/>
          </w:tcPr>
          <w:p w:rsidR="00945FB2" w:rsidRPr="007E0FF1" w:rsidRDefault="00B030BA" w:rsidP="008B2A31">
            <w:pPr>
              <w:spacing w:line="276" w:lineRule="auto"/>
              <w:jc w:val="center"/>
              <w:rPr>
                <w:b/>
                <w:i/>
              </w:rPr>
            </w:pPr>
            <w:r w:rsidRPr="007E0FF1">
              <w:rPr>
                <w:b/>
              </w:rPr>
              <w:t>Δ</w:t>
            </w:r>
            <w:r w:rsidR="00945FB2" w:rsidRPr="007E0FF1">
              <w:rPr>
                <w:b/>
                <w:i/>
              </w:rPr>
              <w:t>β</w:t>
            </w:r>
          </w:p>
        </w:tc>
        <w:tc>
          <w:tcPr>
            <w:tcW w:w="2036" w:type="dxa"/>
          </w:tcPr>
          <w:p w:rsidR="00945FB2" w:rsidRPr="007E0FF1" w:rsidRDefault="00B030BA" w:rsidP="008B2A31">
            <w:pPr>
              <w:spacing w:line="276" w:lineRule="auto"/>
              <w:jc w:val="center"/>
              <w:rPr>
                <w:b/>
                <w:i/>
              </w:rPr>
            </w:pPr>
            <w:r w:rsidRPr="007E0FF1">
              <w:rPr>
                <w:b/>
              </w:rPr>
              <w:t>Δ</w:t>
            </w:r>
            <w:r w:rsidR="00945FB2" w:rsidRPr="007E0FF1">
              <w:rPr>
                <w:b/>
                <w:i/>
              </w:rPr>
              <w:t>π*</w:t>
            </w:r>
          </w:p>
        </w:tc>
      </w:tr>
      <w:tr w:rsidR="007B4598" w:rsidRPr="007E0FF1" w:rsidTr="00303CD7">
        <w:tc>
          <w:tcPr>
            <w:tcW w:w="2518" w:type="dxa"/>
          </w:tcPr>
          <w:p w:rsidR="007B4598" w:rsidRPr="007E0FF1" w:rsidRDefault="007B4598" w:rsidP="008B2A31">
            <w:pPr>
              <w:spacing w:line="276" w:lineRule="auto"/>
              <w:jc w:val="right"/>
            </w:pPr>
            <w:r w:rsidRPr="007E0FF1">
              <w:t>1-methylimidazole 1%</w:t>
            </w:r>
          </w:p>
          <w:p w:rsidR="007B4598" w:rsidRPr="007E0FF1" w:rsidRDefault="007B4598" w:rsidP="008B2A31">
            <w:pPr>
              <w:spacing w:line="276" w:lineRule="auto"/>
              <w:jc w:val="right"/>
            </w:pPr>
            <w:r w:rsidRPr="007E0FF1">
              <w:t>10%</w:t>
            </w:r>
          </w:p>
        </w:tc>
        <w:tc>
          <w:tcPr>
            <w:tcW w:w="1985" w:type="dxa"/>
          </w:tcPr>
          <w:p w:rsidR="007B4598" w:rsidRPr="007E0FF1" w:rsidRDefault="007B4598" w:rsidP="008B2A31">
            <w:pPr>
              <w:spacing w:line="276" w:lineRule="auto"/>
              <w:jc w:val="center"/>
            </w:pPr>
            <w:r w:rsidRPr="007E0FF1">
              <w:t>+0.20</w:t>
            </w:r>
          </w:p>
          <w:p w:rsidR="007B4598" w:rsidRPr="007E0FF1" w:rsidRDefault="007B4598" w:rsidP="008B2A31">
            <w:pPr>
              <w:spacing w:line="276" w:lineRule="auto"/>
              <w:jc w:val="center"/>
            </w:pPr>
            <w:r w:rsidRPr="007E0FF1">
              <w:t>+0.25</w:t>
            </w:r>
          </w:p>
        </w:tc>
        <w:tc>
          <w:tcPr>
            <w:tcW w:w="1984" w:type="dxa"/>
          </w:tcPr>
          <w:p w:rsidR="007B4598" w:rsidRPr="007E0FF1" w:rsidRDefault="007B4598" w:rsidP="008B2A31">
            <w:pPr>
              <w:spacing w:line="276" w:lineRule="auto"/>
              <w:jc w:val="center"/>
            </w:pPr>
            <w:r w:rsidRPr="007E0FF1">
              <w:t>+0.25</w:t>
            </w:r>
          </w:p>
          <w:p w:rsidR="007B4598" w:rsidRPr="007E0FF1" w:rsidRDefault="007B4598" w:rsidP="008B2A31">
            <w:pPr>
              <w:spacing w:line="276" w:lineRule="auto"/>
              <w:jc w:val="center"/>
            </w:pPr>
            <w:r w:rsidRPr="007E0FF1">
              <w:t>+0.25</w:t>
            </w:r>
          </w:p>
        </w:tc>
        <w:tc>
          <w:tcPr>
            <w:tcW w:w="2036" w:type="dxa"/>
          </w:tcPr>
          <w:p w:rsidR="007B4598" w:rsidRPr="007E0FF1" w:rsidRDefault="007B4598" w:rsidP="008B2A31">
            <w:pPr>
              <w:spacing w:line="276" w:lineRule="auto"/>
              <w:jc w:val="center"/>
            </w:pPr>
            <w:r w:rsidRPr="007E0FF1">
              <w:t>-0.18</w:t>
            </w:r>
          </w:p>
          <w:p w:rsidR="007B4598" w:rsidRPr="007E0FF1" w:rsidRDefault="007B4598" w:rsidP="008B2A31">
            <w:pPr>
              <w:spacing w:line="276" w:lineRule="auto"/>
              <w:jc w:val="center"/>
            </w:pPr>
            <w:r w:rsidRPr="007E0FF1">
              <w:t>-0.26</w:t>
            </w:r>
          </w:p>
        </w:tc>
      </w:tr>
      <w:tr w:rsidR="00945FB2" w:rsidRPr="007E0FF1" w:rsidTr="00303CD7">
        <w:tc>
          <w:tcPr>
            <w:tcW w:w="2518" w:type="dxa"/>
          </w:tcPr>
          <w:p w:rsidR="00303CD7" w:rsidRPr="007E0FF1" w:rsidRDefault="0076299D" w:rsidP="008B2A31">
            <w:pPr>
              <w:spacing w:line="276" w:lineRule="auto"/>
              <w:jc w:val="right"/>
            </w:pPr>
            <w:r w:rsidRPr="007E0FF1">
              <w:t>Li[NTf</w:t>
            </w:r>
            <w:r w:rsidR="00945FB2" w:rsidRPr="007E0FF1">
              <w:rPr>
                <w:vertAlign w:val="subscript"/>
              </w:rPr>
              <w:t>2</w:t>
            </w:r>
            <w:r w:rsidR="00945FB2" w:rsidRPr="007E0FF1">
              <w:t>]</w:t>
            </w:r>
            <w:r w:rsidR="00303CD7" w:rsidRPr="007E0FF1">
              <w:t xml:space="preserve"> 1%</w:t>
            </w:r>
          </w:p>
          <w:p w:rsidR="00945FB2" w:rsidRPr="007E0FF1" w:rsidRDefault="00303CD7" w:rsidP="008B2A31">
            <w:pPr>
              <w:spacing w:line="276" w:lineRule="auto"/>
              <w:jc w:val="right"/>
            </w:pPr>
            <w:r w:rsidRPr="007E0FF1">
              <w:t>10%</w:t>
            </w:r>
          </w:p>
        </w:tc>
        <w:tc>
          <w:tcPr>
            <w:tcW w:w="1985" w:type="dxa"/>
          </w:tcPr>
          <w:p w:rsidR="00945FB2" w:rsidRPr="007E0FF1" w:rsidRDefault="00945FB2" w:rsidP="008B2A31">
            <w:pPr>
              <w:spacing w:line="276" w:lineRule="auto"/>
              <w:jc w:val="center"/>
            </w:pPr>
            <w:r w:rsidRPr="007E0FF1">
              <w:t>+0.10</w:t>
            </w:r>
          </w:p>
          <w:p w:rsidR="00945FB2" w:rsidRPr="007E0FF1" w:rsidRDefault="00E429C4" w:rsidP="008B2A31">
            <w:pPr>
              <w:spacing w:line="276" w:lineRule="auto"/>
              <w:jc w:val="center"/>
            </w:pPr>
            <w:r w:rsidRPr="007E0FF1">
              <w:t>+0.13</w:t>
            </w:r>
          </w:p>
        </w:tc>
        <w:tc>
          <w:tcPr>
            <w:tcW w:w="1984" w:type="dxa"/>
          </w:tcPr>
          <w:p w:rsidR="00945FB2" w:rsidRPr="007E0FF1" w:rsidRDefault="00945FB2" w:rsidP="008B2A31">
            <w:pPr>
              <w:spacing w:line="276" w:lineRule="auto"/>
              <w:jc w:val="center"/>
            </w:pPr>
            <w:r w:rsidRPr="007E0FF1">
              <w:t>-0.04</w:t>
            </w:r>
          </w:p>
          <w:p w:rsidR="00945FB2" w:rsidRPr="007E0FF1" w:rsidRDefault="00E429C4" w:rsidP="008B2A31">
            <w:pPr>
              <w:spacing w:line="276" w:lineRule="auto"/>
              <w:jc w:val="center"/>
            </w:pPr>
            <w:r w:rsidRPr="007E0FF1">
              <w:t>-0.10</w:t>
            </w:r>
          </w:p>
        </w:tc>
        <w:tc>
          <w:tcPr>
            <w:tcW w:w="2036" w:type="dxa"/>
          </w:tcPr>
          <w:p w:rsidR="00692AE5" w:rsidRPr="007E0FF1" w:rsidRDefault="00692AE5" w:rsidP="008B2A31">
            <w:pPr>
              <w:spacing w:line="276" w:lineRule="auto"/>
              <w:jc w:val="center"/>
            </w:pPr>
            <w:r w:rsidRPr="007E0FF1">
              <w:t>No change</w:t>
            </w:r>
          </w:p>
          <w:p w:rsidR="00945FB2" w:rsidRPr="007E0FF1" w:rsidRDefault="00692AE5" w:rsidP="008B2A31">
            <w:pPr>
              <w:spacing w:line="276" w:lineRule="auto"/>
              <w:jc w:val="center"/>
            </w:pPr>
            <w:r w:rsidRPr="007E0FF1">
              <w:t>No change</w:t>
            </w:r>
          </w:p>
        </w:tc>
      </w:tr>
      <w:tr w:rsidR="00945FB2" w:rsidRPr="007E0FF1" w:rsidTr="00303CD7">
        <w:tc>
          <w:tcPr>
            <w:tcW w:w="2518" w:type="dxa"/>
          </w:tcPr>
          <w:p w:rsidR="00303CD7" w:rsidRPr="007E0FF1" w:rsidRDefault="00945FB2" w:rsidP="008B2A31">
            <w:pPr>
              <w:spacing w:line="276" w:lineRule="auto"/>
              <w:jc w:val="right"/>
            </w:pPr>
            <w:r w:rsidRPr="007E0FF1">
              <w:t>[C</w:t>
            </w:r>
            <w:r w:rsidRPr="007E0FF1">
              <w:rPr>
                <w:vertAlign w:val="subscript"/>
              </w:rPr>
              <w:t>4</w:t>
            </w:r>
            <w:r w:rsidRPr="007E0FF1">
              <w:t>C</w:t>
            </w:r>
            <w:r w:rsidRPr="007E0FF1">
              <w:rPr>
                <w:vertAlign w:val="subscript"/>
              </w:rPr>
              <w:t>1</w:t>
            </w:r>
            <w:r w:rsidRPr="007E0FF1">
              <w:t>im]Cl</w:t>
            </w:r>
            <w:r w:rsidR="00303CD7" w:rsidRPr="007E0FF1">
              <w:t xml:space="preserve"> 1%</w:t>
            </w:r>
          </w:p>
          <w:p w:rsidR="00945FB2" w:rsidRPr="007E0FF1" w:rsidRDefault="00303CD7" w:rsidP="008B2A31">
            <w:pPr>
              <w:spacing w:line="276" w:lineRule="auto"/>
              <w:jc w:val="right"/>
            </w:pPr>
            <w:r w:rsidRPr="007E0FF1">
              <w:t>10%</w:t>
            </w:r>
          </w:p>
        </w:tc>
        <w:tc>
          <w:tcPr>
            <w:tcW w:w="1985" w:type="dxa"/>
          </w:tcPr>
          <w:p w:rsidR="00945FB2" w:rsidRPr="007E0FF1" w:rsidRDefault="00945FB2" w:rsidP="008B2A31">
            <w:pPr>
              <w:spacing w:line="276" w:lineRule="auto"/>
              <w:jc w:val="center"/>
            </w:pPr>
            <w:r w:rsidRPr="007E0FF1">
              <w:t>-0.03</w:t>
            </w:r>
          </w:p>
          <w:p w:rsidR="00945FB2" w:rsidRPr="007E0FF1" w:rsidRDefault="00945FB2" w:rsidP="008B2A31">
            <w:pPr>
              <w:spacing w:line="276" w:lineRule="auto"/>
              <w:jc w:val="center"/>
            </w:pPr>
            <w:r w:rsidRPr="007E0FF1">
              <w:t>-0.0</w:t>
            </w:r>
            <w:r w:rsidR="00E429C4" w:rsidRPr="007E0FF1">
              <w:t>5</w:t>
            </w:r>
          </w:p>
        </w:tc>
        <w:tc>
          <w:tcPr>
            <w:tcW w:w="1984" w:type="dxa"/>
          </w:tcPr>
          <w:p w:rsidR="00945FB2" w:rsidRPr="007E0FF1" w:rsidRDefault="00945FB2" w:rsidP="008B2A31">
            <w:pPr>
              <w:spacing w:line="276" w:lineRule="auto"/>
              <w:jc w:val="center"/>
            </w:pPr>
            <w:r w:rsidRPr="007E0FF1">
              <w:t>+0.06</w:t>
            </w:r>
          </w:p>
          <w:p w:rsidR="00945FB2" w:rsidRPr="007E0FF1" w:rsidRDefault="00E429C4" w:rsidP="008B2A31">
            <w:pPr>
              <w:spacing w:line="276" w:lineRule="auto"/>
              <w:jc w:val="center"/>
            </w:pPr>
            <w:r w:rsidRPr="007E0FF1">
              <w:t>+0.11</w:t>
            </w:r>
          </w:p>
        </w:tc>
        <w:tc>
          <w:tcPr>
            <w:tcW w:w="2036" w:type="dxa"/>
          </w:tcPr>
          <w:p w:rsidR="00692AE5" w:rsidRPr="007E0FF1" w:rsidRDefault="00692AE5" w:rsidP="008B2A31">
            <w:pPr>
              <w:spacing w:line="276" w:lineRule="auto"/>
              <w:jc w:val="center"/>
            </w:pPr>
            <w:r w:rsidRPr="007E0FF1">
              <w:t>No change</w:t>
            </w:r>
          </w:p>
          <w:p w:rsidR="00945FB2" w:rsidRPr="007E0FF1" w:rsidRDefault="00692AE5" w:rsidP="008B2A31">
            <w:pPr>
              <w:spacing w:line="276" w:lineRule="auto"/>
              <w:jc w:val="center"/>
            </w:pPr>
            <w:r w:rsidRPr="007E0FF1">
              <w:t>No change</w:t>
            </w:r>
          </w:p>
        </w:tc>
      </w:tr>
      <w:tr w:rsidR="00945FB2" w:rsidRPr="007E0FF1" w:rsidTr="00303CD7">
        <w:tc>
          <w:tcPr>
            <w:tcW w:w="2518" w:type="dxa"/>
          </w:tcPr>
          <w:p w:rsidR="00303CD7" w:rsidRPr="007E0FF1" w:rsidRDefault="00945FB2" w:rsidP="008B2A31">
            <w:pPr>
              <w:spacing w:line="276" w:lineRule="auto"/>
              <w:jc w:val="right"/>
            </w:pPr>
            <w:r w:rsidRPr="007E0FF1">
              <w:t>[HC</w:t>
            </w:r>
            <w:r w:rsidR="00A629D5" w:rsidRPr="007E0FF1">
              <w:rPr>
                <w:vertAlign w:val="subscript"/>
              </w:rPr>
              <w:t>1</w:t>
            </w:r>
            <w:r w:rsidRPr="007E0FF1">
              <w:t>im]</w:t>
            </w:r>
            <w:r w:rsidR="0076299D" w:rsidRPr="007E0FF1">
              <w:t>[NTf</w:t>
            </w:r>
            <w:r w:rsidRPr="007E0FF1">
              <w:rPr>
                <w:vertAlign w:val="subscript"/>
              </w:rPr>
              <w:t>2</w:t>
            </w:r>
            <w:r w:rsidRPr="007E0FF1">
              <w:t>]</w:t>
            </w:r>
            <w:r w:rsidR="00303CD7" w:rsidRPr="007E0FF1">
              <w:t xml:space="preserve"> 1%</w:t>
            </w:r>
          </w:p>
          <w:p w:rsidR="00945FB2" w:rsidRPr="007E0FF1" w:rsidRDefault="00303CD7" w:rsidP="008B2A31">
            <w:pPr>
              <w:spacing w:line="276" w:lineRule="auto"/>
              <w:jc w:val="right"/>
            </w:pPr>
            <w:r w:rsidRPr="007E0FF1">
              <w:t>10%</w:t>
            </w:r>
          </w:p>
        </w:tc>
        <w:tc>
          <w:tcPr>
            <w:tcW w:w="1985" w:type="dxa"/>
          </w:tcPr>
          <w:p w:rsidR="00945FB2" w:rsidRPr="007E0FF1" w:rsidRDefault="00303CD7" w:rsidP="008B2A31">
            <w:pPr>
              <w:spacing w:line="276" w:lineRule="auto"/>
              <w:jc w:val="center"/>
            </w:pPr>
            <w:r w:rsidRPr="007E0FF1">
              <w:t>No spectrum</w:t>
            </w:r>
          </w:p>
          <w:p w:rsidR="00303CD7" w:rsidRPr="007E0FF1" w:rsidRDefault="00303CD7" w:rsidP="008B2A31">
            <w:pPr>
              <w:spacing w:line="276" w:lineRule="auto"/>
              <w:jc w:val="center"/>
            </w:pPr>
            <w:r w:rsidRPr="007E0FF1">
              <w:t>No spectrum</w:t>
            </w:r>
          </w:p>
        </w:tc>
        <w:tc>
          <w:tcPr>
            <w:tcW w:w="1984" w:type="dxa"/>
          </w:tcPr>
          <w:p w:rsidR="00692AE5" w:rsidRPr="007E0FF1" w:rsidRDefault="00692AE5" w:rsidP="008B2A31">
            <w:pPr>
              <w:spacing w:line="276" w:lineRule="auto"/>
              <w:jc w:val="center"/>
            </w:pPr>
            <w:r w:rsidRPr="007E0FF1">
              <w:t>No change</w:t>
            </w:r>
          </w:p>
          <w:p w:rsidR="00945FB2" w:rsidRPr="007E0FF1" w:rsidRDefault="00692AE5" w:rsidP="008B2A31">
            <w:pPr>
              <w:spacing w:line="276" w:lineRule="auto"/>
              <w:jc w:val="center"/>
            </w:pPr>
            <w:r w:rsidRPr="007E0FF1">
              <w:t>No change</w:t>
            </w:r>
          </w:p>
        </w:tc>
        <w:tc>
          <w:tcPr>
            <w:tcW w:w="2036" w:type="dxa"/>
          </w:tcPr>
          <w:p w:rsidR="00692AE5" w:rsidRPr="007E0FF1" w:rsidRDefault="00692AE5" w:rsidP="008B2A31">
            <w:pPr>
              <w:spacing w:line="276" w:lineRule="auto"/>
              <w:jc w:val="center"/>
            </w:pPr>
            <w:r w:rsidRPr="007E0FF1">
              <w:t>No change</w:t>
            </w:r>
          </w:p>
          <w:p w:rsidR="00945FB2" w:rsidRPr="007E0FF1" w:rsidRDefault="00692AE5" w:rsidP="008B2A31">
            <w:pPr>
              <w:spacing w:line="276" w:lineRule="auto"/>
              <w:jc w:val="center"/>
            </w:pPr>
            <w:r w:rsidRPr="007E0FF1">
              <w:t>No change</w:t>
            </w:r>
          </w:p>
        </w:tc>
      </w:tr>
    </w:tbl>
    <w:p w:rsidR="00945FB2" w:rsidRPr="007E0FF1" w:rsidRDefault="00945FB2" w:rsidP="008B2A31">
      <w:pPr>
        <w:spacing w:line="276" w:lineRule="auto"/>
        <w:jc w:val="both"/>
        <w:rPr>
          <w:b/>
        </w:rPr>
      </w:pPr>
    </w:p>
    <w:p w:rsidR="00945FB2" w:rsidRPr="007E0FF1" w:rsidRDefault="00945FB2" w:rsidP="008B2A31">
      <w:pPr>
        <w:spacing w:line="276" w:lineRule="auto"/>
        <w:jc w:val="both"/>
      </w:pPr>
    </w:p>
    <w:p w:rsidR="00945FB2" w:rsidRPr="007E0FF1" w:rsidRDefault="00945FB2" w:rsidP="008B2A31">
      <w:pPr>
        <w:spacing w:line="276" w:lineRule="auto"/>
        <w:jc w:val="both"/>
      </w:pPr>
      <w:r w:rsidRPr="007E0FF1">
        <w:rPr>
          <w:b/>
          <w:sz w:val="28"/>
          <w:szCs w:val="28"/>
        </w:rPr>
        <w:t>Conclusions</w:t>
      </w:r>
    </w:p>
    <w:p w:rsidR="00945FB2" w:rsidRPr="007E0FF1" w:rsidRDefault="00945FB2" w:rsidP="008B2A31">
      <w:pPr>
        <w:spacing w:line="276" w:lineRule="auto"/>
        <w:jc w:val="both"/>
      </w:pPr>
      <w:r w:rsidRPr="007E0FF1">
        <w:t xml:space="preserve">The Kamlet-Taft solvent polarity scales </w:t>
      </w:r>
      <w:r w:rsidRPr="007E0FF1">
        <w:rPr>
          <w:i/>
        </w:rPr>
        <w:t>α</w:t>
      </w:r>
      <w:r w:rsidRPr="007E0FF1">
        <w:t xml:space="preserve">, </w:t>
      </w:r>
      <w:r w:rsidRPr="007E0FF1">
        <w:rPr>
          <w:i/>
        </w:rPr>
        <w:sym w:font="Symbol" w:char="F062"/>
      </w:r>
      <w:r w:rsidRPr="007E0FF1">
        <w:t xml:space="preserve">, </w:t>
      </w:r>
      <w:r w:rsidRPr="007E0FF1">
        <w:rPr>
          <w:i/>
        </w:rPr>
        <w:sym w:font="Symbol" w:char="F070"/>
      </w:r>
      <w:r w:rsidRPr="007E0FF1">
        <w:t xml:space="preserve">* have been adapted for use with ionic liquids. The necessary changes in the methodology that have been made limit the ability for quantitative comparison of ionic liquids to those that for which a common dye set have been used. However, with this </w:t>
      </w:r>
      <w:r w:rsidRPr="007E0FF1">
        <w:rPr>
          <w:i/>
        </w:rPr>
        <w:t>proviso</w:t>
      </w:r>
      <w:r w:rsidRPr="007E0FF1">
        <w:t xml:space="preserve"> these scales provide a very useful set of solvent descriptors.</w:t>
      </w:r>
      <w:r w:rsidR="00A36DEA">
        <w:t xml:space="preserve"> Used together these scales allow complex solvent </w:t>
      </w:r>
      <w:r w:rsidR="00A36DEA">
        <w:lastRenderedPageBreak/>
        <w:t>dependent behavior to be explained using the LSER methodology.</w:t>
      </w:r>
      <w:r w:rsidRPr="007E0FF1">
        <w:t xml:space="preserve"> Differences between the </w:t>
      </w:r>
      <w:r w:rsidRPr="007E0FF1">
        <w:rPr>
          <w:i/>
        </w:rPr>
        <w:t>α</w:t>
      </w:r>
      <w:r w:rsidRPr="007E0FF1">
        <w:t xml:space="preserve"> values derived from measurements with Reichardt’s dye and </w:t>
      </w:r>
      <w:r w:rsidR="00A36DEA">
        <w:t>measurements of hydrogen bond donation with</w:t>
      </w:r>
      <w:r w:rsidRPr="007E0FF1">
        <w:t xml:space="preserve"> neutral dyes, can be explained by the presence or absence of the </w:t>
      </w:r>
      <w:r w:rsidR="00486B62" w:rsidRPr="007E0FF1">
        <w:t>Columbic</w:t>
      </w:r>
      <w:r w:rsidRPr="007E0FF1">
        <w:t xml:space="preserve"> component of the hydrogen bond.  Neither set of measurements is </w:t>
      </w:r>
      <w:r w:rsidR="00303CD7" w:rsidRPr="007E0FF1">
        <w:t>either right or</w:t>
      </w:r>
      <w:r w:rsidRPr="007E0FF1">
        <w:t xml:space="preserve"> wrong, rather one should ask which is more appropriate in a given set of circumstances. We propose that phenomena </w:t>
      </w:r>
      <w:r w:rsidR="00A36DEA">
        <w:t>dominated by Coulombic interactions</w:t>
      </w:r>
      <w:r w:rsidRPr="007E0FF1">
        <w:t xml:space="preserve"> </w:t>
      </w:r>
      <w:r w:rsidR="00A36DEA">
        <w:t>are</w:t>
      </w:r>
      <w:r w:rsidRPr="007E0FF1">
        <w:t xml:space="preserve"> be better modeled using polarity scales based upon </w:t>
      </w:r>
      <w:r w:rsidR="00A36DEA">
        <w:t>charged</w:t>
      </w:r>
      <w:r w:rsidRPr="007E0FF1">
        <w:t xml:space="preserve"> probes, whereas those </w:t>
      </w:r>
      <w:r w:rsidR="00A36DEA">
        <w:t>for which Coulomic interactions are not significant</w:t>
      </w:r>
      <w:r w:rsidRPr="007E0FF1">
        <w:t xml:space="preserve"> are </w:t>
      </w:r>
      <w:r w:rsidR="00A36DEA">
        <w:t>better</w:t>
      </w:r>
      <w:r w:rsidRPr="007E0FF1">
        <w:t xml:space="preserve"> modeled using polarity scales based upon </w:t>
      </w:r>
      <w:r w:rsidR="00A13D42">
        <w:t>neutral</w:t>
      </w:r>
      <w:r w:rsidRPr="007E0FF1">
        <w:t xml:space="preserve"> probes.</w:t>
      </w:r>
    </w:p>
    <w:p w:rsidR="00A36DEA" w:rsidRDefault="00A36DEA" w:rsidP="008B2A31">
      <w:pPr>
        <w:spacing w:line="276" w:lineRule="auto"/>
        <w:jc w:val="both"/>
      </w:pPr>
    </w:p>
    <w:p w:rsidR="00945FB2" w:rsidRPr="007E0FF1" w:rsidRDefault="00B30E82" w:rsidP="008B2A31">
      <w:pPr>
        <w:spacing w:line="276" w:lineRule="auto"/>
        <w:jc w:val="both"/>
        <w:rPr>
          <w:b/>
          <w:sz w:val="28"/>
          <w:szCs w:val="28"/>
        </w:rPr>
      </w:pPr>
      <w:r w:rsidRPr="007E0FF1">
        <w:rPr>
          <w:b/>
          <w:sz w:val="28"/>
          <w:szCs w:val="28"/>
        </w:rPr>
        <w:t>Acknowledgements</w:t>
      </w:r>
      <w:r w:rsidR="00945FB2" w:rsidRPr="007E0FF1">
        <w:rPr>
          <w:b/>
          <w:i/>
          <w:sz w:val="28"/>
          <w:szCs w:val="28"/>
        </w:rPr>
        <w:tab/>
      </w:r>
      <w:r w:rsidR="00945FB2" w:rsidRPr="007E0FF1">
        <w:rPr>
          <w:b/>
          <w:sz w:val="28"/>
          <w:szCs w:val="28"/>
        </w:rPr>
        <w:tab/>
      </w:r>
    </w:p>
    <w:p w:rsidR="00945FB2" w:rsidRPr="007E0FF1" w:rsidRDefault="00945FB2" w:rsidP="008B2A31">
      <w:pPr>
        <w:spacing w:line="276" w:lineRule="auto"/>
        <w:jc w:val="both"/>
      </w:pPr>
      <w:r w:rsidRPr="007E0FF1">
        <w:t>We would like to thank the European Research Council for the award of an Advanced Investigator grant and BASF for their continuing support of our research.</w:t>
      </w:r>
    </w:p>
    <w:p w:rsidR="00945FB2" w:rsidRPr="007E0FF1" w:rsidRDefault="00945FB2" w:rsidP="008B2A31">
      <w:pPr>
        <w:spacing w:line="276" w:lineRule="auto"/>
        <w:jc w:val="both"/>
      </w:pPr>
    </w:p>
    <w:p w:rsidR="005E29B6" w:rsidRDefault="005E29B6" w:rsidP="008B2A31">
      <w:pPr>
        <w:spacing w:line="276" w:lineRule="auto"/>
        <w:jc w:val="both"/>
        <w:rPr>
          <w:b/>
          <w:sz w:val="28"/>
          <w:szCs w:val="28"/>
        </w:rPr>
        <w:sectPr w:rsidR="005E29B6" w:rsidSect="00AD497A">
          <w:endnotePr>
            <w:numFmt w:val="decimal"/>
          </w:endnotePr>
          <w:pgSz w:w="11907" w:h="16840" w:code="9"/>
          <w:pgMar w:top="1440" w:right="1800" w:bottom="1440" w:left="1800" w:header="720" w:footer="720" w:gutter="0"/>
          <w:cols w:space="720"/>
          <w:docGrid w:linePitch="360"/>
        </w:sectPr>
      </w:pPr>
    </w:p>
    <w:p w:rsidR="005E29B6" w:rsidRPr="00DF0006" w:rsidRDefault="005E29B6" w:rsidP="005E29B6">
      <w:pPr>
        <w:spacing w:line="276" w:lineRule="auto"/>
        <w:jc w:val="both"/>
      </w:pPr>
      <w:r w:rsidRPr="00DF0006">
        <w:rPr>
          <w:b/>
        </w:rPr>
        <w:lastRenderedPageBreak/>
        <w:t>Table 4</w:t>
      </w:r>
      <w:r w:rsidRPr="00DF0006">
        <w:t xml:space="preserve">. Kamlet-Taft parameters, using the dye set Reichardt’s Dye, </w:t>
      </w:r>
      <w:r w:rsidRPr="00DF0006">
        <w:rPr>
          <w:i/>
        </w:rPr>
        <w:t>N,N</w:t>
      </w:r>
      <w:r w:rsidRPr="00DF0006">
        <w:t xml:space="preserve">-diethyl-4-nitroaniline and 4-nitroaniline. </w:t>
      </w:r>
    </w:p>
    <w:tbl>
      <w:tblPr>
        <w:tblW w:w="14834" w:type="dxa"/>
        <w:tblInd w:w="93" w:type="dxa"/>
        <w:tblLook w:val="0400" w:firstRow="0" w:lastRow="0" w:firstColumn="0" w:lastColumn="0" w:noHBand="0" w:noVBand="1"/>
      </w:tblPr>
      <w:tblGrid>
        <w:gridCol w:w="7908"/>
        <w:gridCol w:w="3575"/>
        <w:gridCol w:w="636"/>
        <w:gridCol w:w="894"/>
        <w:gridCol w:w="861"/>
        <w:gridCol w:w="960"/>
      </w:tblGrid>
      <w:tr w:rsidR="005E29B6" w:rsidRPr="00DF0006" w:rsidTr="005A2F5C">
        <w:trPr>
          <w:trHeight w:val="300"/>
        </w:trPr>
        <w:tc>
          <w:tcPr>
            <w:tcW w:w="7908" w:type="dxa"/>
            <w:tcBorders>
              <w:top w:val="nil"/>
              <w:left w:val="single" w:sz="8" w:space="0" w:color="FFFFFF"/>
              <w:bottom w:val="nil"/>
              <w:right w:val="single" w:sz="8" w:space="0" w:color="FFFFFF"/>
            </w:tcBorders>
            <w:shd w:val="clear" w:color="auto" w:fill="auto"/>
            <w:hideMark/>
          </w:tcPr>
          <w:p w:rsidR="005E29B6" w:rsidRPr="00DF0006" w:rsidRDefault="005E29B6" w:rsidP="00CA5303">
            <w:pPr>
              <w:spacing w:line="276" w:lineRule="auto"/>
              <w:jc w:val="center"/>
              <w:rPr>
                <w:b/>
                <w:bCs/>
                <w:color w:val="000000"/>
                <w:lang w:val="en-GB" w:eastAsia="en-GB"/>
              </w:rPr>
            </w:pPr>
            <w:r w:rsidRPr="00DF0006">
              <w:rPr>
                <w:b/>
                <w:bCs/>
                <w:color w:val="000000"/>
                <w:lang w:val="en-GB" w:eastAsia="en-GB"/>
              </w:rPr>
              <w:t>Ionic Liquid</w:t>
            </w:r>
          </w:p>
        </w:tc>
        <w:tc>
          <w:tcPr>
            <w:tcW w:w="3575" w:type="dxa"/>
            <w:tcBorders>
              <w:top w:val="nil"/>
              <w:left w:val="nil"/>
              <w:bottom w:val="nil"/>
              <w:right w:val="single" w:sz="8" w:space="0" w:color="FFFFFF"/>
            </w:tcBorders>
            <w:shd w:val="clear" w:color="auto" w:fill="auto"/>
            <w:hideMark/>
          </w:tcPr>
          <w:p w:rsidR="005E29B6" w:rsidRPr="00DF0006" w:rsidRDefault="005E29B6" w:rsidP="00CA5303">
            <w:pPr>
              <w:spacing w:line="276" w:lineRule="auto"/>
              <w:jc w:val="center"/>
              <w:rPr>
                <w:b/>
                <w:bCs/>
                <w:color w:val="000000"/>
                <w:lang w:val="en-GB" w:eastAsia="en-GB"/>
              </w:rPr>
            </w:pPr>
            <w:r w:rsidRPr="00DF0006">
              <w:rPr>
                <w:b/>
                <w:bCs/>
                <w:color w:val="000000"/>
                <w:lang w:val="en-GB" w:eastAsia="en-GB"/>
              </w:rPr>
              <w:t>Abbreviation</w:t>
            </w:r>
          </w:p>
        </w:tc>
        <w:tc>
          <w:tcPr>
            <w:tcW w:w="636" w:type="dxa"/>
            <w:tcBorders>
              <w:top w:val="nil"/>
              <w:left w:val="nil"/>
              <w:bottom w:val="nil"/>
              <w:right w:val="single" w:sz="8" w:space="0" w:color="FFFFFF"/>
            </w:tcBorders>
            <w:shd w:val="clear" w:color="auto" w:fill="auto"/>
            <w:hideMark/>
          </w:tcPr>
          <w:p w:rsidR="005E29B6" w:rsidRPr="00945AEB" w:rsidRDefault="003212FF" w:rsidP="00CA5303">
            <w:pPr>
              <w:spacing w:line="276" w:lineRule="auto"/>
              <w:jc w:val="center"/>
              <w:rPr>
                <w:rFonts w:ascii="Symbol" w:hAnsi="Symbol"/>
                <w:b/>
                <w:bCs/>
                <w:i/>
                <w:color w:val="000000"/>
                <w:lang w:val="en-GB" w:eastAsia="en-GB"/>
              </w:rPr>
            </w:pPr>
            <w:r w:rsidRPr="003212FF">
              <w:rPr>
                <w:rFonts w:ascii="Symbol" w:hAnsi="Symbol"/>
                <w:b/>
                <w:bCs/>
                <w:i/>
                <w:color w:val="000000"/>
                <w:lang w:val="en-GB" w:eastAsia="en-GB"/>
              </w:rPr>
              <w:t></w:t>
            </w:r>
          </w:p>
        </w:tc>
        <w:tc>
          <w:tcPr>
            <w:tcW w:w="894" w:type="dxa"/>
            <w:tcBorders>
              <w:top w:val="nil"/>
              <w:left w:val="nil"/>
              <w:bottom w:val="nil"/>
              <w:right w:val="single" w:sz="8" w:space="0" w:color="FFFFFF"/>
            </w:tcBorders>
            <w:shd w:val="clear" w:color="auto" w:fill="auto"/>
            <w:hideMark/>
          </w:tcPr>
          <w:p w:rsidR="005E29B6" w:rsidRPr="00945AEB" w:rsidRDefault="003212FF" w:rsidP="00CA5303">
            <w:pPr>
              <w:spacing w:line="276" w:lineRule="auto"/>
              <w:jc w:val="center"/>
              <w:rPr>
                <w:rFonts w:ascii="Symbol" w:hAnsi="Symbol"/>
                <w:b/>
                <w:bCs/>
                <w:i/>
                <w:color w:val="000000"/>
                <w:lang w:val="en-GB" w:eastAsia="en-GB"/>
              </w:rPr>
            </w:pPr>
            <w:r w:rsidRPr="003212FF">
              <w:rPr>
                <w:rFonts w:ascii="Symbol" w:hAnsi="Symbol"/>
                <w:b/>
                <w:bCs/>
                <w:i/>
                <w:color w:val="000000"/>
                <w:lang w:val="en-GB" w:eastAsia="en-GB"/>
              </w:rPr>
              <w:t></w:t>
            </w:r>
          </w:p>
        </w:tc>
        <w:tc>
          <w:tcPr>
            <w:tcW w:w="861" w:type="dxa"/>
            <w:tcBorders>
              <w:top w:val="nil"/>
              <w:left w:val="nil"/>
              <w:bottom w:val="nil"/>
              <w:right w:val="single" w:sz="8" w:space="0" w:color="FFFFFF"/>
            </w:tcBorders>
            <w:shd w:val="clear" w:color="auto" w:fill="auto"/>
            <w:hideMark/>
          </w:tcPr>
          <w:p w:rsidR="005E29B6" w:rsidRPr="00945AEB" w:rsidRDefault="003212FF" w:rsidP="00CA5303">
            <w:pPr>
              <w:spacing w:line="276" w:lineRule="auto"/>
              <w:jc w:val="center"/>
              <w:rPr>
                <w:b/>
                <w:bCs/>
                <w:i/>
                <w:color w:val="000000"/>
                <w:lang w:val="en-GB" w:eastAsia="en-GB"/>
              </w:rPr>
            </w:pPr>
            <w:r w:rsidRPr="003212FF">
              <w:rPr>
                <w:rFonts w:ascii="Symbol" w:hAnsi="Symbol"/>
                <w:b/>
                <w:bCs/>
                <w:i/>
                <w:color w:val="000000"/>
                <w:lang w:val="en-GB" w:eastAsia="en-GB"/>
              </w:rPr>
              <w:t></w:t>
            </w:r>
            <w:r w:rsidRPr="003212FF">
              <w:rPr>
                <w:b/>
                <w:bCs/>
                <w:i/>
                <w:color w:val="000000"/>
                <w:lang w:val="en-GB" w:eastAsia="en-GB"/>
              </w:rPr>
              <w:t>*</w:t>
            </w:r>
          </w:p>
        </w:tc>
        <w:tc>
          <w:tcPr>
            <w:tcW w:w="960" w:type="dxa"/>
            <w:tcBorders>
              <w:top w:val="nil"/>
              <w:left w:val="nil"/>
              <w:bottom w:val="nil"/>
              <w:right w:val="nil"/>
            </w:tcBorders>
            <w:shd w:val="clear" w:color="auto" w:fill="auto"/>
            <w:noWrap/>
            <w:vAlign w:val="bottom"/>
            <w:hideMark/>
          </w:tcPr>
          <w:p w:rsidR="005E29B6" w:rsidRPr="00DF0006" w:rsidRDefault="005E29B6" w:rsidP="00CA5303">
            <w:pPr>
              <w:spacing w:line="276" w:lineRule="auto"/>
              <w:rPr>
                <w:b/>
                <w:color w:val="000000"/>
                <w:lang w:val="en-GB" w:eastAsia="en-GB"/>
              </w:rPr>
            </w:pPr>
            <w:r w:rsidRPr="00DF0006">
              <w:rPr>
                <w:b/>
                <w:color w:val="000000"/>
                <w:lang w:val="en-GB" w:eastAsia="en-GB"/>
              </w:rPr>
              <w:t>Ref.</w:t>
            </w:r>
          </w:p>
        </w:tc>
      </w:tr>
      <w:tr w:rsidR="005E29B6" w:rsidRPr="00DF0006" w:rsidTr="005A2F5C">
        <w:trPr>
          <w:trHeight w:val="315"/>
        </w:trPr>
        <w:tc>
          <w:tcPr>
            <w:tcW w:w="7908" w:type="dxa"/>
            <w:tcBorders>
              <w:top w:val="nil"/>
              <w:left w:val="nil"/>
              <w:bottom w:val="nil"/>
              <w:right w:val="nil"/>
            </w:tcBorders>
            <w:shd w:val="clear" w:color="auto" w:fill="auto"/>
            <w:noWrap/>
            <w:vAlign w:val="bottom"/>
            <w:hideMark/>
          </w:tcPr>
          <w:p w:rsidR="005E29B6" w:rsidRPr="00DF0006" w:rsidRDefault="005E29B6"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5E29B6" w:rsidRPr="00DF0006" w:rsidRDefault="005E29B6" w:rsidP="00CA5303">
            <w:pPr>
              <w:spacing w:line="276" w:lineRule="auto"/>
              <w:rPr>
                <w:color w:val="000000"/>
                <w:lang w:val="en-GB" w:eastAsia="en-GB"/>
              </w:rPr>
            </w:pPr>
          </w:p>
        </w:tc>
        <w:tc>
          <w:tcPr>
            <w:tcW w:w="636" w:type="dxa"/>
            <w:tcBorders>
              <w:top w:val="nil"/>
              <w:left w:val="nil"/>
              <w:bottom w:val="single" w:sz="8" w:space="0" w:color="FFFFFF"/>
              <w:right w:val="single" w:sz="8" w:space="0" w:color="FFFFFF"/>
            </w:tcBorders>
            <w:shd w:val="clear" w:color="auto" w:fill="auto"/>
            <w:noWrap/>
            <w:vAlign w:val="bottom"/>
            <w:hideMark/>
          </w:tcPr>
          <w:p w:rsidR="005E29B6" w:rsidRPr="00DF0006" w:rsidRDefault="005E29B6" w:rsidP="00CA5303">
            <w:pPr>
              <w:spacing w:line="276" w:lineRule="auto"/>
              <w:jc w:val="right"/>
              <w:rPr>
                <w:color w:val="000000"/>
                <w:lang w:val="en-GB" w:eastAsia="en-GB"/>
              </w:rPr>
            </w:pPr>
          </w:p>
        </w:tc>
        <w:tc>
          <w:tcPr>
            <w:tcW w:w="894" w:type="dxa"/>
            <w:tcBorders>
              <w:top w:val="nil"/>
              <w:left w:val="nil"/>
              <w:bottom w:val="single" w:sz="8" w:space="0" w:color="FFFFFF"/>
              <w:right w:val="single" w:sz="8" w:space="0" w:color="FFFFFF"/>
            </w:tcBorders>
            <w:shd w:val="clear" w:color="auto" w:fill="auto"/>
            <w:noWrap/>
            <w:vAlign w:val="bottom"/>
            <w:hideMark/>
          </w:tcPr>
          <w:p w:rsidR="005E29B6" w:rsidRPr="00DF0006" w:rsidRDefault="005E29B6" w:rsidP="00CA5303">
            <w:pPr>
              <w:spacing w:line="276" w:lineRule="auto"/>
              <w:jc w:val="right"/>
              <w:rPr>
                <w:color w:val="000000"/>
                <w:lang w:val="en-GB" w:eastAsia="en-GB"/>
              </w:rPr>
            </w:pPr>
          </w:p>
        </w:tc>
        <w:tc>
          <w:tcPr>
            <w:tcW w:w="861" w:type="dxa"/>
            <w:tcBorders>
              <w:top w:val="nil"/>
              <w:left w:val="nil"/>
              <w:bottom w:val="single" w:sz="8" w:space="0" w:color="FFFFFF"/>
              <w:right w:val="single" w:sz="8" w:space="0" w:color="FFFFFF"/>
            </w:tcBorders>
            <w:shd w:val="clear" w:color="auto" w:fill="auto"/>
            <w:noWrap/>
            <w:vAlign w:val="bottom"/>
            <w:hideMark/>
          </w:tcPr>
          <w:p w:rsidR="005E29B6" w:rsidRPr="00DF0006" w:rsidRDefault="005E29B6" w:rsidP="00CA5303">
            <w:pPr>
              <w:spacing w:line="276" w:lineRule="auto"/>
              <w:jc w:val="right"/>
              <w:rPr>
                <w:color w:val="000000"/>
                <w:lang w:val="en-GB" w:eastAsia="en-GB"/>
              </w:rPr>
            </w:pPr>
          </w:p>
        </w:tc>
        <w:tc>
          <w:tcPr>
            <w:tcW w:w="960" w:type="dxa"/>
            <w:tcBorders>
              <w:top w:val="nil"/>
              <w:left w:val="nil"/>
              <w:bottom w:val="nil"/>
              <w:right w:val="nil"/>
            </w:tcBorders>
            <w:shd w:val="clear" w:color="auto" w:fill="auto"/>
            <w:noWrap/>
            <w:vAlign w:val="bottom"/>
            <w:hideMark/>
          </w:tcPr>
          <w:p w:rsidR="005E29B6" w:rsidRPr="00DF0006" w:rsidRDefault="005E29B6" w:rsidP="00CA5303">
            <w:pPr>
              <w:spacing w:line="276" w:lineRule="auto"/>
              <w:rPr>
                <w:color w:val="000000"/>
                <w:lang w:val="en-GB" w:eastAsia="en-GB"/>
              </w:rPr>
            </w:pPr>
          </w:p>
        </w:tc>
      </w:tr>
      <w:tr w:rsidR="00CE6AB0" w:rsidRPr="00DF0006" w:rsidTr="005A2F5C">
        <w:trPr>
          <w:trHeight w:val="315"/>
        </w:trPr>
        <w:tc>
          <w:tcPr>
            <w:tcW w:w="7908"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1-nonyl-1-methylmorpholinium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sidRPr="00DF0006">
              <w:rPr>
                <w:color w:val="000000"/>
                <w:lang w:val="en-GB" w:eastAsia="en-GB"/>
              </w:rPr>
              <w:t>[C</w:t>
            </w:r>
            <w:r>
              <w:rPr>
                <w:color w:val="000000"/>
                <w:vertAlign w:val="subscript"/>
                <w:lang w:val="en-GB" w:eastAsia="en-GB"/>
              </w:rPr>
              <w:t>9</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0.36</w:t>
            </w:r>
          </w:p>
        </w:tc>
        <w:tc>
          <w:tcPr>
            <w:tcW w:w="894"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0.54</w:t>
            </w:r>
          </w:p>
        </w:tc>
        <w:tc>
          <w:tcPr>
            <w:tcW w:w="861"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1.11</w:t>
            </w:r>
          </w:p>
        </w:tc>
        <w:tc>
          <w:tcPr>
            <w:tcW w:w="960"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18g</w:t>
            </w:r>
          </w:p>
        </w:tc>
      </w:tr>
      <w:tr w:rsidR="00CE6AB0" w:rsidRPr="00DF0006" w:rsidTr="005A2F5C">
        <w:trPr>
          <w:trHeight w:val="315"/>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1-octylpyridinium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pyr][NTf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0.56</w:t>
            </w:r>
          </w:p>
        </w:tc>
        <w:tc>
          <w:tcPr>
            <w:tcW w:w="894"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0.12</w:t>
            </w:r>
          </w:p>
        </w:tc>
        <w:tc>
          <w:tcPr>
            <w:tcW w:w="861"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0.97</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18e</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1-octylpyridinium tetrafluoroborate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pyr][BF</w:t>
            </w:r>
            <w:r w:rsidRPr="00DF0006">
              <w:rPr>
                <w:color w:val="000000"/>
                <w:vertAlign w:val="subscript"/>
                <w:lang w:val="en-GB" w:eastAsia="en-GB"/>
              </w:rPr>
              <w:t>4</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0.54</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0.34</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0.97</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18e</w:t>
            </w:r>
          </w:p>
        </w:tc>
      </w:tr>
      <w:tr w:rsidR="00CE6AB0" w:rsidRPr="00DF0006" w:rsidTr="005A2F5C">
        <w:trPr>
          <w:trHeight w:val="315"/>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1-octyl-1-methylpyrrolidinium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pyrr][NTf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0.8</w:t>
            </w:r>
            <w:r w:rsidR="00C7186B">
              <w:rPr>
                <w:color w:val="000000"/>
                <w:lang w:val="en-GB" w:eastAsia="en-GB"/>
              </w:rPr>
              <w:t>0</w:t>
            </w:r>
          </w:p>
        </w:tc>
        <w:tc>
          <w:tcPr>
            <w:tcW w:w="894"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0.08</w:t>
            </w:r>
          </w:p>
        </w:tc>
        <w:tc>
          <w:tcPr>
            <w:tcW w:w="861"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0.73</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18e</w:t>
            </w:r>
          </w:p>
        </w:tc>
      </w:tr>
      <w:tr w:rsidR="00CE6AB0" w:rsidRPr="00DF0006" w:rsidTr="005A2F5C">
        <w:trPr>
          <w:trHeight w:val="315"/>
        </w:trPr>
        <w:tc>
          <w:tcPr>
            <w:tcW w:w="7908"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1-octyl-1-methylmorpholinium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0.35</w:t>
            </w:r>
          </w:p>
        </w:tc>
        <w:tc>
          <w:tcPr>
            <w:tcW w:w="894"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0.54</w:t>
            </w:r>
          </w:p>
        </w:tc>
        <w:tc>
          <w:tcPr>
            <w:tcW w:w="861" w:type="dxa"/>
            <w:tcBorders>
              <w:top w:val="nil"/>
              <w:left w:val="nil"/>
              <w:bottom w:val="single" w:sz="8" w:space="0" w:color="FFFFFF"/>
              <w:right w:val="single" w:sz="8" w:space="0" w:color="FFFFFF"/>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1.11</w:t>
            </w:r>
          </w:p>
        </w:tc>
        <w:tc>
          <w:tcPr>
            <w:tcW w:w="960"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18g</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1-octyl-3-methylimidazolium tetrafluoroborate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im][BF</w:t>
            </w:r>
            <w:r w:rsidRPr="00DF0006">
              <w:rPr>
                <w:color w:val="000000"/>
                <w:vertAlign w:val="subscript"/>
                <w:lang w:val="en-GB" w:eastAsia="en-GB"/>
              </w:rPr>
              <w:t>4</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0.62</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0.41</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0.98</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15</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1-octyl-3-methylimidazolium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0.6</w:t>
            </w:r>
            <w:r w:rsidR="00C7186B">
              <w:rPr>
                <w:color w:val="000000"/>
                <w:lang w:val="en-GB" w:eastAsia="en-GB"/>
              </w:rPr>
              <w:t>0</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0.29</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0.96</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1-octyl-4-methylpyridinium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C</w:t>
            </w:r>
            <w:r w:rsidRPr="00DF0006">
              <w:rPr>
                <w:color w:val="000000"/>
                <w:vertAlign w:val="subscript"/>
                <w:lang w:val="en-GB" w:eastAsia="en-GB"/>
              </w:rPr>
              <w:t>1</w:t>
            </w:r>
            <w:r w:rsidRPr="00DF0006">
              <w:rPr>
                <w:color w:val="000000"/>
                <w:vertAlign w:val="superscript"/>
                <w:lang w:val="en-GB" w:eastAsia="en-GB"/>
              </w:rPr>
              <w:t>4</w:t>
            </w:r>
            <w:r w:rsidRPr="00DF0006">
              <w:rPr>
                <w:color w:val="000000"/>
                <w:lang w:val="en-GB" w:eastAsia="en-GB"/>
              </w:rPr>
              <w:t>pyr][NTf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0.5</w:t>
            </w:r>
            <w:r w:rsidR="00C7186B">
              <w:rPr>
                <w:color w:val="000000"/>
                <w:lang w:val="en-GB" w:eastAsia="en-GB"/>
              </w:rPr>
              <w:t>0</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0.33</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0.97</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18d</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1-octylpyridinium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C</w:t>
            </w:r>
            <w:r w:rsidRPr="00DF0006">
              <w:rPr>
                <w:color w:val="000000"/>
                <w:vertAlign w:val="subscript"/>
                <w:lang w:val="en-GB" w:eastAsia="en-GB"/>
              </w:rPr>
              <w:t>1</w:t>
            </w:r>
            <w:r w:rsidRPr="00DF0006">
              <w:rPr>
                <w:color w:val="000000"/>
                <w:vertAlign w:val="superscript"/>
                <w:lang w:val="en-GB" w:eastAsia="en-GB"/>
              </w:rPr>
              <w:t>3</w:t>
            </w:r>
            <w:r w:rsidRPr="00DF0006">
              <w:rPr>
                <w:color w:val="000000"/>
                <w:lang w:val="en-GB" w:eastAsia="en-GB"/>
              </w:rPr>
              <w:t>pyr][NTf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0.51</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0.28</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0.99</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18d</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1-octyl-3-methylpyridinium tetrafluoroborate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C</w:t>
            </w:r>
            <w:r w:rsidRPr="00DF0006">
              <w:rPr>
                <w:color w:val="000000"/>
                <w:vertAlign w:val="subscript"/>
                <w:lang w:val="en-GB" w:eastAsia="en-GB"/>
              </w:rPr>
              <w:t>1</w:t>
            </w:r>
            <w:r w:rsidRPr="00DF0006">
              <w:rPr>
                <w:color w:val="000000"/>
                <w:vertAlign w:val="superscript"/>
                <w:lang w:val="en-GB" w:eastAsia="en-GB"/>
              </w:rPr>
              <w:t>3</w:t>
            </w:r>
            <w:r w:rsidRPr="00DF0006">
              <w:rPr>
                <w:color w:val="000000"/>
                <w:lang w:val="en-GB" w:eastAsia="en-GB"/>
              </w:rPr>
              <w:t>pyr][BF</w:t>
            </w:r>
            <w:r w:rsidRPr="00DF0006">
              <w:rPr>
                <w:color w:val="000000"/>
                <w:vertAlign w:val="subscript"/>
                <w:lang w:val="en-GB" w:eastAsia="en-GB"/>
              </w:rPr>
              <w:t>4</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0.51</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0.44</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1</w:t>
            </w:r>
            <w:r w:rsidR="00D77D1B">
              <w:rPr>
                <w:color w:val="000000"/>
                <w:lang w:val="en-GB" w:eastAsia="en-GB"/>
              </w:rPr>
              <w:t>.00</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15</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1-octyl-3-methylpyridinium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C</w:t>
            </w:r>
            <w:r w:rsidRPr="00DF0006">
              <w:rPr>
                <w:color w:val="000000"/>
                <w:vertAlign w:val="subscript"/>
                <w:lang w:val="en-GB" w:eastAsia="en-GB"/>
              </w:rPr>
              <w:t>1</w:t>
            </w:r>
            <w:r w:rsidRPr="00DF0006">
              <w:rPr>
                <w:color w:val="000000"/>
                <w:vertAlign w:val="superscript"/>
                <w:lang w:val="en-GB" w:eastAsia="en-GB"/>
              </w:rPr>
              <w:t>3</w:t>
            </w:r>
            <w:r w:rsidRPr="00DF0006">
              <w:rPr>
                <w:color w:val="000000"/>
                <w:lang w:val="en-GB" w:eastAsia="en-GB"/>
              </w:rPr>
              <w:t>pyr][NTf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0.5</w:t>
            </w:r>
            <w:r w:rsidR="00C7186B">
              <w:rPr>
                <w:color w:val="000000"/>
                <w:lang w:val="en-GB" w:eastAsia="en-GB"/>
              </w:rPr>
              <w:t>0</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0.33</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0.97</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18d</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1-octyl-2-methylpyridinium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C</w:t>
            </w:r>
            <w:r w:rsidRPr="00DF0006">
              <w:rPr>
                <w:color w:val="000000"/>
                <w:vertAlign w:val="subscript"/>
                <w:lang w:val="en-GB" w:eastAsia="en-GB"/>
              </w:rPr>
              <w:t>1</w:t>
            </w:r>
            <w:r w:rsidRPr="00DF0006">
              <w:rPr>
                <w:color w:val="000000"/>
                <w:vertAlign w:val="superscript"/>
                <w:lang w:val="en-GB" w:eastAsia="en-GB"/>
              </w:rPr>
              <w:t>2</w:t>
            </w:r>
            <w:r w:rsidRPr="00DF0006">
              <w:rPr>
                <w:color w:val="000000"/>
                <w:lang w:val="en-GB" w:eastAsia="en-GB"/>
              </w:rPr>
              <w:t>pyr][NTf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0.48</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0.35</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0.95</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18d</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1-heptyl-1-methylmorpholinium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sidRPr="00DF0006">
              <w:rPr>
                <w:color w:val="000000"/>
                <w:lang w:val="en-GB" w:eastAsia="en-GB"/>
              </w:rPr>
              <w:t>[C</w:t>
            </w:r>
            <w:r>
              <w:rPr>
                <w:color w:val="000000"/>
                <w:vertAlign w:val="subscript"/>
                <w:lang w:val="en-GB" w:eastAsia="en-GB"/>
              </w:rPr>
              <w:t>7</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0.35</w:t>
            </w:r>
          </w:p>
        </w:tc>
        <w:tc>
          <w:tcPr>
            <w:tcW w:w="894"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0.54</w:t>
            </w:r>
          </w:p>
        </w:tc>
        <w:tc>
          <w:tcPr>
            <w:tcW w:w="861"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1.11</w:t>
            </w:r>
          </w:p>
        </w:tc>
        <w:tc>
          <w:tcPr>
            <w:tcW w:w="960"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18g</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1-hexylpyridinium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6</w:t>
            </w:r>
            <w:r w:rsidRPr="00DF0006">
              <w:rPr>
                <w:color w:val="000000"/>
                <w:lang w:val="en-GB" w:eastAsia="en-GB"/>
              </w:rPr>
              <w:t>pyr][NTf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0.5</w:t>
            </w:r>
            <w:r w:rsidR="00C7186B">
              <w:rPr>
                <w:color w:val="000000"/>
                <w:lang w:val="en-GB" w:eastAsia="en-GB"/>
              </w:rPr>
              <w:t>0</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0.07</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0.98</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18e</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1-hexyl-1-methylpyrrolidinium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6</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pyrr][NTf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0.76</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0.06</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0.81</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18e</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1-hexyl-1-methylmorpholinium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sidRPr="00DF0006">
              <w:rPr>
                <w:color w:val="000000"/>
                <w:lang w:val="en-GB" w:eastAsia="en-GB"/>
              </w:rPr>
              <w:t>[C</w:t>
            </w:r>
            <w:r>
              <w:rPr>
                <w:color w:val="000000"/>
                <w:vertAlign w:val="subscript"/>
                <w:lang w:val="en-GB" w:eastAsia="en-GB"/>
              </w:rPr>
              <w:t>6</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0.38</w:t>
            </w:r>
          </w:p>
        </w:tc>
        <w:tc>
          <w:tcPr>
            <w:tcW w:w="894"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0.55</w:t>
            </w:r>
          </w:p>
        </w:tc>
        <w:tc>
          <w:tcPr>
            <w:tcW w:w="861"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1.11</w:t>
            </w:r>
          </w:p>
        </w:tc>
        <w:tc>
          <w:tcPr>
            <w:tcW w:w="960"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18g</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1-hexyl-3-methylimidazolium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6</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0.65</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0.26</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0.97</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18b</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0.59</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0.25</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0.98</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1-hexyl-3-methylimidazolium chloride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6</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im]Cl</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0.48</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0.94</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1.02</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15</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1-hexyl-3-methylimidazolium bromide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6</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im]Br</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0.45</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0.74</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1.09</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15</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1-pentyl-1-methylmorpholinium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sidRPr="00DF0006">
              <w:rPr>
                <w:color w:val="000000"/>
                <w:lang w:val="en-GB" w:eastAsia="en-GB"/>
              </w:rPr>
              <w:t>[C</w:t>
            </w:r>
            <w:r>
              <w:rPr>
                <w:color w:val="000000"/>
                <w:vertAlign w:val="subscript"/>
                <w:lang w:val="en-GB" w:eastAsia="en-GB"/>
              </w:rPr>
              <w:t>5</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0.38</w:t>
            </w:r>
          </w:p>
        </w:tc>
        <w:tc>
          <w:tcPr>
            <w:tcW w:w="894"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0.54</w:t>
            </w:r>
          </w:p>
        </w:tc>
        <w:tc>
          <w:tcPr>
            <w:tcW w:w="861"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1.11</w:t>
            </w:r>
          </w:p>
        </w:tc>
        <w:tc>
          <w:tcPr>
            <w:tcW w:w="960"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18g</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1-pentyl-1-methylpyrrolidinium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5</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pyrr][NTf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0.44</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0.26</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0.95</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lastRenderedPageBreak/>
              <w:t>1-pentyl-3-methylimidazolium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5</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0.63</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0.26</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0.97</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1-butylpyridinium bis(trifluoromethanesulfonyl)imide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pyr][NTf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0.64</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0.12</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0.82</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18e</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0.54</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0.21</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1.01</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18b</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1-butylpyridinium tetrafluoroborate</w:t>
            </w:r>
          </w:p>
        </w:tc>
        <w:tc>
          <w:tcPr>
            <w:tcW w:w="3575"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pyr][BF</w:t>
            </w:r>
            <w:r w:rsidRPr="00DF0006">
              <w:rPr>
                <w:color w:val="000000"/>
                <w:vertAlign w:val="subscript"/>
                <w:lang w:val="en-GB" w:eastAsia="en-GB"/>
              </w:rPr>
              <w:t>4</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0.53</w:t>
            </w:r>
          </w:p>
        </w:tc>
        <w:tc>
          <w:tcPr>
            <w:tcW w:w="894"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0.21</w:t>
            </w:r>
          </w:p>
        </w:tc>
        <w:tc>
          <w:tcPr>
            <w:tcW w:w="861" w:type="dxa"/>
            <w:tcBorders>
              <w:top w:val="nil"/>
              <w:left w:val="nil"/>
              <w:bottom w:val="nil"/>
              <w:right w:val="nil"/>
            </w:tcBorders>
            <w:shd w:val="clear" w:color="auto" w:fill="auto"/>
            <w:noWrap/>
            <w:vAlign w:val="bottom"/>
            <w:hideMark/>
          </w:tcPr>
          <w:p w:rsidR="00CE6AB0" w:rsidRPr="00DF0006" w:rsidRDefault="00CE6AB0" w:rsidP="00CA5303">
            <w:pPr>
              <w:spacing w:line="276" w:lineRule="auto"/>
              <w:jc w:val="right"/>
              <w:rPr>
                <w:color w:val="000000"/>
                <w:lang w:val="en-GB" w:eastAsia="en-GB"/>
              </w:rPr>
            </w:pPr>
            <w:r w:rsidRPr="00DF0006">
              <w:rPr>
                <w:color w:val="000000"/>
                <w:lang w:val="en-GB" w:eastAsia="en-GB"/>
              </w:rPr>
              <w:t>1.08</w:t>
            </w:r>
          </w:p>
        </w:tc>
        <w:tc>
          <w:tcPr>
            <w:tcW w:w="960" w:type="dxa"/>
            <w:tcBorders>
              <w:top w:val="nil"/>
              <w:left w:val="nil"/>
              <w:bottom w:val="nil"/>
              <w:right w:val="nil"/>
            </w:tcBorders>
            <w:shd w:val="clear" w:color="auto" w:fill="auto"/>
            <w:noWrap/>
            <w:vAlign w:val="bottom"/>
            <w:hideMark/>
          </w:tcPr>
          <w:p w:rsidR="00CE6AB0" w:rsidRPr="00DF0006" w:rsidRDefault="00CE6AB0" w:rsidP="00CA5303">
            <w:pPr>
              <w:spacing w:line="276" w:lineRule="auto"/>
              <w:rPr>
                <w:color w:val="000000"/>
                <w:lang w:val="en-GB" w:eastAsia="en-GB"/>
              </w:rPr>
            </w:pPr>
            <w:r w:rsidRPr="00DF0006">
              <w:rPr>
                <w:color w:val="000000"/>
                <w:lang w:val="en-GB" w:eastAsia="en-GB"/>
              </w:rPr>
              <w:t>18e</w:t>
            </w:r>
          </w:p>
        </w:tc>
      </w:tr>
      <w:tr w:rsidR="00CE6AB0" w:rsidRPr="00DF0006" w:rsidTr="005A2F5C">
        <w:trPr>
          <w:trHeight w:val="300"/>
        </w:trPr>
        <w:tc>
          <w:tcPr>
            <w:tcW w:w="7908"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1-butyl-1-methylmorpholinium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sidRPr="00DF0006">
              <w:rPr>
                <w:color w:val="000000"/>
                <w:lang w:val="en-GB" w:eastAsia="en-GB"/>
              </w:rPr>
              <w:t>[C</w:t>
            </w:r>
            <w:r>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0.38</w:t>
            </w:r>
          </w:p>
        </w:tc>
        <w:tc>
          <w:tcPr>
            <w:tcW w:w="894"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0.53</w:t>
            </w:r>
          </w:p>
        </w:tc>
        <w:tc>
          <w:tcPr>
            <w:tcW w:w="861" w:type="dxa"/>
            <w:tcBorders>
              <w:top w:val="nil"/>
              <w:left w:val="nil"/>
              <w:bottom w:val="nil"/>
              <w:right w:val="nil"/>
            </w:tcBorders>
            <w:shd w:val="clear" w:color="auto" w:fill="auto"/>
            <w:noWrap/>
            <w:vAlign w:val="bottom"/>
            <w:hideMark/>
          </w:tcPr>
          <w:p w:rsidR="00CE6AB0" w:rsidRPr="00DF0006" w:rsidRDefault="00CE6AB0" w:rsidP="00CE6AB0">
            <w:pPr>
              <w:spacing w:line="276" w:lineRule="auto"/>
              <w:jc w:val="right"/>
              <w:rPr>
                <w:color w:val="000000"/>
                <w:lang w:val="en-GB" w:eastAsia="en-GB"/>
              </w:rPr>
            </w:pPr>
            <w:r>
              <w:rPr>
                <w:color w:val="000000"/>
                <w:lang w:val="en-GB" w:eastAsia="en-GB"/>
              </w:rPr>
              <w:t>1.12</w:t>
            </w:r>
          </w:p>
        </w:tc>
        <w:tc>
          <w:tcPr>
            <w:tcW w:w="960" w:type="dxa"/>
            <w:tcBorders>
              <w:top w:val="nil"/>
              <w:left w:val="nil"/>
              <w:bottom w:val="nil"/>
              <w:right w:val="nil"/>
            </w:tcBorders>
            <w:shd w:val="clear" w:color="auto" w:fill="auto"/>
            <w:noWrap/>
            <w:vAlign w:val="bottom"/>
            <w:hideMark/>
          </w:tcPr>
          <w:p w:rsidR="00CE6AB0" w:rsidRPr="00DF0006" w:rsidRDefault="00CE6AB0" w:rsidP="00CE6AB0">
            <w:pPr>
              <w:spacing w:line="276" w:lineRule="auto"/>
              <w:rPr>
                <w:color w:val="000000"/>
                <w:lang w:val="en-GB" w:eastAsia="en-GB"/>
              </w:rPr>
            </w:pPr>
            <w:r>
              <w:rPr>
                <w:color w:val="000000"/>
                <w:lang w:val="en-GB" w:eastAsia="en-GB"/>
              </w:rPr>
              <w:t>18g</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945AEB">
            <w:pPr>
              <w:spacing w:line="276" w:lineRule="auto"/>
              <w:rPr>
                <w:color w:val="000000"/>
                <w:lang w:val="en-GB" w:eastAsia="en-GB"/>
              </w:rPr>
            </w:pPr>
            <w:r>
              <w:rPr>
                <w:color w:val="000000"/>
                <w:lang w:val="en-GB" w:eastAsia="en-GB"/>
              </w:rPr>
              <w:t>1-butyl-1-methylpiperidinium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282FFD" w:rsidRPr="00DF0006" w:rsidRDefault="00282FFD" w:rsidP="00945AEB">
            <w:pPr>
              <w:spacing w:line="276" w:lineRule="auto"/>
              <w:rPr>
                <w:color w:val="000000"/>
                <w:lang w:val="en-GB" w:eastAsia="en-GB"/>
              </w:rPr>
            </w:pPr>
            <w:r w:rsidRPr="00DF0006">
              <w:rPr>
                <w:color w:val="000000"/>
                <w:lang w:val="en-GB" w:eastAsia="en-GB"/>
              </w:rPr>
              <w:t>[C</w:t>
            </w:r>
            <w:r>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Pr>
                <w:color w:val="000000"/>
                <w:lang w:val="en-GB" w:eastAsia="en-GB"/>
              </w:rPr>
              <w:t>pip</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945AEB">
            <w:pPr>
              <w:spacing w:line="276" w:lineRule="auto"/>
              <w:jc w:val="right"/>
              <w:rPr>
                <w:color w:val="000000"/>
                <w:lang w:val="en-GB" w:eastAsia="en-GB"/>
              </w:rPr>
            </w:pPr>
            <w:r>
              <w:rPr>
                <w:color w:val="000000"/>
                <w:lang w:val="en-GB" w:eastAsia="en-GB"/>
              </w:rPr>
              <w:t>0.31</w:t>
            </w:r>
          </w:p>
        </w:tc>
        <w:tc>
          <w:tcPr>
            <w:tcW w:w="894" w:type="dxa"/>
            <w:tcBorders>
              <w:top w:val="nil"/>
              <w:left w:val="nil"/>
              <w:bottom w:val="nil"/>
              <w:right w:val="nil"/>
            </w:tcBorders>
            <w:shd w:val="clear" w:color="auto" w:fill="auto"/>
            <w:noWrap/>
            <w:vAlign w:val="bottom"/>
            <w:hideMark/>
          </w:tcPr>
          <w:p w:rsidR="00282FFD" w:rsidRPr="00DF0006" w:rsidRDefault="00282FFD" w:rsidP="00945AEB">
            <w:pPr>
              <w:spacing w:line="276" w:lineRule="auto"/>
              <w:jc w:val="right"/>
              <w:rPr>
                <w:color w:val="000000"/>
                <w:lang w:val="en-GB" w:eastAsia="en-GB"/>
              </w:rPr>
            </w:pPr>
            <w:r>
              <w:rPr>
                <w:color w:val="000000"/>
                <w:lang w:val="en-GB" w:eastAsia="en-GB"/>
              </w:rPr>
              <w:t>0.49</w:t>
            </w:r>
          </w:p>
        </w:tc>
        <w:tc>
          <w:tcPr>
            <w:tcW w:w="861" w:type="dxa"/>
            <w:tcBorders>
              <w:top w:val="nil"/>
              <w:left w:val="nil"/>
              <w:bottom w:val="nil"/>
              <w:right w:val="nil"/>
            </w:tcBorders>
            <w:shd w:val="clear" w:color="auto" w:fill="auto"/>
            <w:noWrap/>
            <w:vAlign w:val="bottom"/>
            <w:hideMark/>
          </w:tcPr>
          <w:p w:rsidR="00282FFD" w:rsidRPr="00DF0006" w:rsidRDefault="00282FFD" w:rsidP="00945AEB">
            <w:pPr>
              <w:spacing w:line="276" w:lineRule="auto"/>
              <w:jc w:val="right"/>
              <w:rPr>
                <w:color w:val="000000"/>
                <w:lang w:val="en-GB" w:eastAsia="en-GB"/>
              </w:rPr>
            </w:pPr>
            <w:r>
              <w:rPr>
                <w:color w:val="000000"/>
                <w:lang w:val="en-GB" w:eastAsia="en-GB"/>
              </w:rPr>
              <w:t>1.13</w:t>
            </w:r>
          </w:p>
        </w:tc>
        <w:tc>
          <w:tcPr>
            <w:tcW w:w="960" w:type="dxa"/>
            <w:tcBorders>
              <w:top w:val="nil"/>
              <w:left w:val="nil"/>
              <w:bottom w:val="nil"/>
              <w:right w:val="nil"/>
            </w:tcBorders>
            <w:shd w:val="clear" w:color="auto" w:fill="auto"/>
            <w:noWrap/>
            <w:vAlign w:val="bottom"/>
            <w:hideMark/>
          </w:tcPr>
          <w:p w:rsidR="00282FFD" w:rsidRPr="00DF0006" w:rsidRDefault="00282FFD" w:rsidP="00945AEB">
            <w:pPr>
              <w:spacing w:line="276" w:lineRule="auto"/>
              <w:rPr>
                <w:color w:val="000000"/>
                <w:lang w:val="en-GB" w:eastAsia="en-GB"/>
              </w:rPr>
            </w:pPr>
            <w:r>
              <w:rPr>
                <w:color w:val="000000"/>
                <w:lang w:val="en-GB" w:eastAsia="en-GB"/>
              </w:rPr>
              <w:t>18g</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1-butyl-1-methylpyrrolidinium bis(trifluoromethanesulfonyl)imide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pyrr][NTf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0.73</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-0.108</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0.89</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18e</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0.57</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0.23</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0.87</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19</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0.43</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0.24</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0.95</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tetrafluoroborate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im][BF</w:t>
            </w:r>
            <w:r w:rsidRPr="00DF0006">
              <w:rPr>
                <w:color w:val="000000"/>
                <w:vertAlign w:val="subscript"/>
                <w:lang w:val="en-GB" w:eastAsia="en-GB"/>
              </w:rPr>
              <w:t>4</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0.77</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0.39</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1.04</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15</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0.63</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0.37</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1.05</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bis(trifluoromethanesulfonyl)imide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0.72</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0.24</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w:t>
            </w:r>
            <w:r w:rsidR="00BD1DBC">
              <w:rPr>
                <w:color w:val="000000"/>
                <w:lang w:val="en-GB" w:eastAsia="en-GB"/>
              </w:rPr>
              <w:t>90</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19</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0.64</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0.25</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0.97</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18b</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636" w:type="dxa"/>
            <w:tcBorders>
              <w:top w:val="nil"/>
              <w:left w:val="nil"/>
              <w:bottom w:val="nil"/>
              <w:right w:val="nil"/>
            </w:tcBorders>
            <w:shd w:val="clear" w:color="auto" w:fill="auto"/>
            <w:noWrap/>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0.61</w:t>
            </w:r>
          </w:p>
        </w:tc>
        <w:tc>
          <w:tcPr>
            <w:tcW w:w="894" w:type="dxa"/>
            <w:tcBorders>
              <w:top w:val="nil"/>
              <w:left w:val="nil"/>
              <w:bottom w:val="nil"/>
              <w:right w:val="nil"/>
            </w:tcBorders>
            <w:shd w:val="clear" w:color="auto" w:fill="auto"/>
            <w:noWrap/>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0.23</w:t>
            </w:r>
          </w:p>
        </w:tc>
        <w:tc>
          <w:tcPr>
            <w:tcW w:w="861" w:type="dxa"/>
            <w:tcBorders>
              <w:top w:val="nil"/>
              <w:left w:val="nil"/>
              <w:bottom w:val="nil"/>
              <w:right w:val="nil"/>
            </w:tcBorders>
            <w:shd w:val="clear" w:color="auto" w:fill="auto"/>
            <w:noWrap/>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0.99</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octanesulfonate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im][(C</w:t>
            </w:r>
            <w:r w:rsidRPr="00DF0006">
              <w:rPr>
                <w:color w:val="000000"/>
                <w:vertAlign w:val="subscript"/>
                <w:lang w:val="en-GB" w:eastAsia="en-GB"/>
              </w:rPr>
              <w:t>8</w:t>
            </w:r>
            <w:r w:rsidRPr="00DF0006">
              <w:rPr>
                <w:color w:val="000000"/>
                <w:lang w:val="en-GB" w:eastAsia="en-GB"/>
              </w:rPr>
              <w:t>)</w:t>
            </w:r>
            <w:r>
              <w:rPr>
                <w:color w:val="000000"/>
                <w:lang w:val="en-GB" w:eastAsia="en-GB"/>
              </w:rPr>
              <w:t>O</w:t>
            </w:r>
            <w:r w:rsidRPr="00DF0006">
              <w:rPr>
                <w:color w:val="000000"/>
                <w:lang w:val="en-GB" w:eastAsia="en-GB"/>
              </w:rPr>
              <w:t>SO</w:t>
            </w:r>
            <w:r w:rsidRPr="000F76DE">
              <w:rPr>
                <w:color w:val="000000"/>
                <w:vertAlign w:val="subscript"/>
                <w:lang w:val="en-GB" w:eastAsia="en-GB"/>
              </w:rPr>
              <w:t>3</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0.69</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0.79</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0.89</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15</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hexafluorophosphate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im][PF</w:t>
            </w:r>
            <w:r w:rsidRPr="00DF0006">
              <w:rPr>
                <w:color w:val="000000"/>
                <w:vertAlign w:val="subscript"/>
                <w:lang w:val="en-GB" w:eastAsia="en-GB"/>
              </w:rPr>
              <w:t>6</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0.68</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0.21</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1.02</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15</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0.65</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0.25</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1.02</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18b</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0.63</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0.24</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1.02</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15</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0.63</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0.19</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1.04</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hexafluoroantimonate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im][SbF</w:t>
            </w:r>
            <w:r w:rsidRPr="00DF0006">
              <w:rPr>
                <w:color w:val="000000"/>
                <w:vertAlign w:val="subscript"/>
                <w:lang w:val="en-GB" w:eastAsia="en-GB"/>
              </w:rPr>
              <w:t>6</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0.62</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0.15</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1.04</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trifluoromethanesulfonate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im][OTf]</w:t>
            </w:r>
          </w:p>
        </w:tc>
        <w:tc>
          <w:tcPr>
            <w:tcW w:w="636" w:type="dxa"/>
            <w:tcBorders>
              <w:top w:val="nil"/>
              <w:left w:val="nil"/>
              <w:bottom w:val="nil"/>
              <w:right w:val="nil"/>
            </w:tcBorders>
            <w:shd w:val="clear" w:color="auto" w:fill="auto"/>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0.62</w:t>
            </w:r>
          </w:p>
        </w:tc>
        <w:tc>
          <w:tcPr>
            <w:tcW w:w="894" w:type="dxa"/>
            <w:tcBorders>
              <w:top w:val="nil"/>
              <w:left w:val="nil"/>
              <w:bottom w:val="nil"/>
              <w:right w:val="nil"/>
            </w:tcBorders>
            <w:shd w:val="clear" w:color="auto" w:fill="auto"/>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0.49</w:t>
            </w:r>
          </w:p>
        </w:tc>
        <w:tc>
          <w:tcPr>
            <w:tcW w:w="861" w:type="dxa"/>
            <w:tcBorders>
              <w:top w:val="nil"/>
              <w:left w:val="nil"/>
              <w:bottom w:val="nil"/>
              <w:right w:val="nil"/>
            </w:tcBorders>
            <w:shd w:val="clear" w:color="auto" w:fill="auto"/>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w:t>
            </w:r>
            <w:r w:rsidR="00C7186B">
              <w:rPr>
                <w:color w:val="000000"/>
                <w:lang w:val="en-GB" w:eastAsia="en-GB"/>
              </w:rPr>
              <w:t>.00</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acetate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im][MeCO</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0.57</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1.18</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0.89</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16</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0.43</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1.05</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1.04</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18c</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0.48</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1.2</w:t>
            </w:r>
            <w:r w:rsidR="00C7186B">
              <w:rPr>
                <w:color w:val="000000"/>
                <w:lang w:val="en-GB" w:eastAsia="en-GB"/>
              </w:rPr>
              <w:t>0</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0.96</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dicyanamide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0.54</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w:t>
            </w:r>
            <w:r w:rsidR="00C7186B">
              <w:rPr>
                <w:color w:val="000000"/>
                <w:lang w:val="en-GB" w:eastAsia="en-GB"/>
              </w:rPr>
              <w:t>0</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1.05</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methylsulfate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im][MeSO</w:t>
            </w:r>
            <w:r w:rsidRPr="00DF0006">
              <w:rPr>
                <w:color w:val="000000"/>
                <w:vertAlign w:val="subscript"/>
                <w:lang w:val="en-GB" w:eastAsia="en-GB"/>
              </w:rPr>
              <w:t>4</w:t>
            </w:r>
            <w:r w:rsidRPr="00DF0006">
              <w:rPr>
                <w:color w:val="000000"/>
                <w:lang w:val="en-GB" w:eastAsia="en-GB"/>
              </w:rPr>
              <w:t>]</w:t>
            </w:r>
          </w:p>
        </w:tc>
        <w:tc>
          <w:tcPr>
            <w:tcW w:w="636" w:type="dxa"/>
            <w:tcBorders>
              <w:top w:val="nil"/>
              <w:left w:val="nil"/>
              <w:bottom w:val="nil"/>
              <w:right w:val="nil"/>
            </w:tcBorders>
            <w:shd w:val="clear" w:color="auto" w:fill="auto"/>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0.53</w:t>
            </w:r>
          </w:p>
        </w:tc>
        <w:tc>
          <w:tcPr>
            <w:tcW w:w="894" w:type="dxa"/>
            <w:tcBorders>
              <w:top w:val="nil"/>
              <w:left w:val="nil"/>
              <w:bottom w:val="nil"/>
              <w:right w:val="nil"/>
            </w:tcBorders>
            <w:shd w:val="clear" w:color="auto" w:fill="auto"/>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0.66</w:t>
            </w:r>
          </w:p>
        </w:tc>
        <w:tc>
          <w:tcPr>
            <w:tcW w:w="861" w:type="dxa"/>
            <w:tcBorders>
              <w:top w:val="nil"/>
              <w:left w:val="nil"/>
              <w:bottom w:val="nil"/>
              <w:right w:val="nil"/>
            </w:tcBorders>
            <w:shd w:val="clear" w:color="auto" w:fill="auto"/>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1.06</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lastRenderedPageBreak/>
              <w:t>1-butyl-3-methylimidazolium butyrate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im][PrCO</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0.51</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1.23</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0.92</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18c</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glycolate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im][(HO)C</w:t>
            </w:r>
            <w:r w:rsidRPr="00DF0006">
              <w:rPr>
                <w:color w:val="000000"/>
                <w:vertAlign w:val="subscript"/>
                <w:lang w:val="en-GB" w:eastAsia="en-GB"/>
              </w:rPr>
              <w:t>1</w:t>
            </w:r>
            <w:r w:rsidRPr="00DF0006">
              <w:rPr>
                <w:color w:val="000000"/>
                <w:lang w:val="en-GB" w:eastAsia="en-GB"/>
              </w:rPr>
              <w:t>CO</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0.44</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0.87</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1.12</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18c</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propionate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im][EtCO</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0.48</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1.16</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0.94</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18c</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dimethylphosphate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im][Me</w:t>
            </w:r>
            <w:r w:rsidRPr="00DF0006">
              <w:rPr>
                <w:color w:val="000000"/>
                <w:vertAlign w:val="subscript"/>
                <w:lang w:val="en-GB" w:eastAsia="en-GB"/>
              </w:rPr>
              <w:t>2</w:t>
            </w:r>
            <w:r w:rsidRPr="00DF0006">
              <w:rPr>
                <w:color w:val="000000"/>
                <w:lang w:val="en-GB" w:eastAsia="en-GB"/>
              </w:rPr>
              <w:t>PO</w:t>
            </w:r>
            <w:r w:rsidRPr="00DF0006">
              <w:rPr>
                <w:color w:val="000000"/>
                <w:vertAlign w:val="subscript"/>
                <w:lang w:val="en-GB" w:eastAsia="en-GB"/>
              </w:rPr>
              <w:t>4</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0.45</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1.13</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0.98</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methanesulfonate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im][MeSO</w:t>
            </w:r>
            <w:r w:rsidRPr="00DF0006">
              <w:rPr>
                <w:color w:val="000000"/>
                <w:vertAlign w:val="subscript"/>
                <w:lang w:val="en-GB" w:eastAsia="en-GB"/>
              </w:rPr>
              <w:t>3</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0.44</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0.77</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1.02</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malate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im][O</w:t>
            </w:r>
            <w:r w:rsidRPr="00DF0006">
              <w:rPr>
                <w:color w:val="000000"/>
                <w:vertAlign w:val="subscript"/>
                <w:lang w:val="en-GB" w:eastAsia="en-GB"/>
              </w:rPr>
              <w:t>2</w:t>
            </w:r>
            <w:r w:rsidRPr="00DF0006">
              <w:rPr>
                <w:color w:val="000000"/>
                <w:lang w:val="en-GB" w:eastAsia="en-GB"/>
              </w:rPr>
              <w:t>CCH</w:t>
            </w:r>
            <w:r w:rsidRPr="00DF0006">
              <w:rPr>
                <w:color w:val="000000"/>
                <w:vertAlign w:val="subscript"/>
                <w:lang w:val="en-GB" w:eastAsia="en-GB"/>
              </w:rPr>
              <w:t>2</w:t>
            </w:r>
            <w:r w:rsidRPr="00DF0006">
              <w:rPr>
                <w:color w:val="000000"/>
                <w:lang w:val="en-GB" w:eastAsia="en-GB"/>
              </w:rPr>
              <w:t>CH(OH)CO</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0.41</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w:t>
            </w:r>
            <w:r w:rsidR="003E6AFB">
              <w:rPr>
                <w:color w:val="000000"/>
                <w:lang w:val="en-GB" w:eastAsia="en-GB"/>
              </w:rPr>
              <w:t>.0</w:t>
            </w:r>
            <w:r w:rsidR="00C7186B">
              <w:rPr>
                <w:color w:val="000000"/>
                <w:lang w:val="en-GB" w:eastAsia="en-GB"/>
              </w:rPr>
              <w:t>0</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1.1</w:t>
            </w:r>
            <w:r w:rsidR="00C7186B">
              <w:rPr>
                <w:color w:val="000000"/>
                <w:lang w:val="en-GB" w:eastAsia="en-GB"/>
              </w:rPr>
              <w:t>0</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18c</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succinate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im][O</w:t>
            </w:r>
            <w:r w:rsidRPr="00DF0006">
              <w:rPr>
                <w:color w:val="000000"/>
                <w:vertAlign w:val="subscript"/>
                <w:lang w:val="en-GB" w:eastAsia="en-GB"/>
              </w:rPr>
              <w:t>2</w:t>
            </w:r>
            <w:r w:rsidRPr="00DF0006">
              <w:rPr>
                <w:color w:val="000000"/>
                <w:lang w:val="en-GB" w:eastAsia="en-GB"/>
              </w:rPr>
              <w:t>CCH</w:t>
            </w:r>
            <w:r w:rsidRPr="00DF0006">
              <w:rPr>
                <w:color w:val="000000"/>
                <w:vertAlign w:val="subscript"/>
                <w:lang w:val="en-GB" w:eastAsia="en-GB"/>
              </w:rPr>
              <w:t>2</w:t>
            </w:r>
            <w:r w:rsidRPr="00DF0006">
              <w:rPr>
                <w:color w:val="000000"/>
                <w:lang w:val="en-GB" w:eastAsia="en-GB"/>
              </w:rPr>
              <w:t>CH</w:t>
            </w:r>
            <w:r w:rsidRPr="00DF0006">
              <w:rPr>
                <w:color w:val="000000"/>
                <w:vertAlign w:val="subscript"/>
                <w:lang w:val="en-GB" w:eastAsia="en-GB"/>
              </w:rPr>
              <w:t>2</w:t>
            </w:r>
            <w:r w:rsidRPr="00DF0006">
              <w:rPr>
                <w:color w:val="000000"/>
                <w:lang w:val="en-GB" w:eastAsia="en-GB"/>
              </w:rPr>
              <w:t>CO</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0.39</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1.08</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1.09</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18c</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1-butyl-3-methylimidazolium maleate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im][O</w:t>
            </w:r>
            <w:r w:rsidRPr="00DF0006">
              <w:rPr>
                <w:color w:val="000000"/>
                <w:vertAlign w:val="subscript"/>
                <w:lang w:val="en-GB" w:eastAsia="en-GB"/>
              </w:rPr>
              <w:t>2</w:t>
            </w:r>
            <w:r w:rsidRPr="00DF0006">
              <w:rPr>
                <w:color w:val="000000"/>
                <w:lang w:val="en-GB" w:eastAsia="en-GB"/>
              </w:rPr>
              <w:t>CCHCHCO</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0.34</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1.02</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1.11</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18c</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1-butyl-2,3-dimethylimidazolium tetrafluoroborate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im][BF</w:t>
            </w:r>
            <w:r w:rsidRPr="00DF0006">
              <w:rPr>
                <w:color w:val="000000"/>
                <w:vertAlign w:val="subscript"/>
                <w:lang w:val="en-GB" w:eastAsia="en-GB"/>
              </w:rPr>
              <w:t>4</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0.39</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0.36</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1.08</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1-butyl-2,3-dimethylimidazolium bis(trifluoromethanesulfonyl)imide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0.38</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0.26</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1.02</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110077">
              <w:rPr>
                <w:color w:val="000000"/>
                <w:lang w:val="en-GB" w:eastAsia="en-GB"/>
              </w:rPr>
              <w:t>1-butyl-1-methylpyrrolidinium</w:t>
            </w:r>
            <w:r>
              <w:rPr>
                <w:color w:val="000000"/>
                <w:lang w:val="en-GB" w:eastAsia="en-GB"/>
              </w:rPr>
              <w:t xml:space="preserve"> </w:t>
            </w:r>
            <w:r w:rsidRPr="00110077">
              <w:rPr>
                <w:color w:val="000000"/>
                <w:lang w:val="en-GB" w:eastAsia="en-GB"/>
              </w:rPr>
              <w:t>dimethylphosphate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110077">
              <w:rPr>
                <w:color w:val="000000"/>
                <w:lang w:val="en-GB" w:eastAsia="en-GB"/>
              </w:rPr>
              <w:t>[C</w:t>
            </w:r>
            <w:r w:rsidRPr="00110077">
              <w:rPr>
                <w:color w:val="000000"/>
                <w:vertAlign w:val="subscript"/>
                <w:lang w:val="en-GB" w:eastAsia="en-GB"/>
              </w:rPr>
              <w:t>4</w:t>
            </w:r>
            <w:r w:rsidRPr="00110077">
              <w:rPr>
                <w:color w:val="000000"/>
                <w:lang w:val="en-GB" w:eastAsia="en-GB"/>
              </w:rPr>
              <w:t>C</w:t>
            </w:r>
            <w:r w:rsidRPr="00110077">
              <w:rPr>
                <w:color w:val="000000"/>
                <w:vertAlign w:val="subscript"/>
                <w:lang w:val="en-GB" w:eastAsia="en-GB"/>
              </w:rPr>
              <w:t>1</w:t>
            </w:r>
            <w:r w:rsidRPr="00110077">
              <w:rPr>
                <w:color w:val="000000"/>
                <w:lang w:val="en-GB" w:eastAsia="en-GB"/>
              </w:rPr>
              <w:t>pyrr][Me</w:t>
            </w:r>
            <w:r w:rsidRPr="00110077">
              <w:rPr>
                <w:color w:val="000000"/>
                <w:vertAlign w:val="subscript"/>
                <w:lang w:val="en-GB" w:eastAsia="en-GB"/>
              </w:rPr>
              <w:t>2</w:t>
            </w:r>
            <w:r w:rsidRPr="00110077">
              <w:rPr>
                <w:color w:val="000000"/>
                <w:lang w:val="en-GB" w:eastAsia="en-GB"/>
              </w:rPr>
              <w:t>PO</w:t>
            </w:r>
            <w:r w:rsidRPr="00110077">
              <w:rPr>
                <w:color w:val="000000"/>
                <w:vertAlign w:val="subscript"/>
                <w:lang w:val="en-GB" w:eastAsia="en-GB"/>
              </w:rPr>
              <w:t>4</w:t>
            </w:r>
            <w:r w:rsidRPr="00110077">
              <w:rPr>
                <w:color w:val="000000"/>
                <w:lang w:val="en-GB" w:eastAsia="en-GB"/>
              </w:rPr>
              <w:t>]</w:t>
            </w:r>
          </w:p>
        </w:tc>
        <w:tc>
          <w:tcPr>
            <w:tcW w:w="636" w:type="dxa"/>
            <w:tcBorders>
              <w:top w:val="nil"/>
              <w:left w:val="nil"/>
              <w:bottom w:val="nil"/>
              <w:right w:val="nil"/>
            </w:tcBorders>
            <w:shd w:val="clear" w:color="auto" w:fill="auto"/>
            <w:noWrap/>
            <w:hideMark/>
          </w:tcPr>
          <w:p w:rsidR="00282FFD" w:rsidRPr="00110077" w:rsidRDefault="00282FFD" w:rsidP="00CA5303">
            <w:pPr>
              <w:jc w:val="right"/>
              <w:rPr>
                <w:rFonts w:eastAsia="Calibri"/>
              </w:rPr>
            </w:pPr>
            <w:r w:rsidRPr="00110077">
              <w:rPr>
                <w:rFonts w:eastAsia="Calibri"/>
              </w:rPr>
              <w:t>0.24</w:t>
            </w:r>
          </w:p>
        </w:tc>
        <w:tc>
          <w:tcPr>
            <w:tcW w:w="894" w:type="dxa"/>
            <w:tcBorders>
              <w:top w:val="nil"/>
              <w:left w:val="nil"/>
              <w:bottom w:val="nil"/>
              <w:right w:val="nil"/>
            </w:tcBorders>
            <w:shd w:val="clear" w:color="auto" w:fill="auto"/>
            <w:noWrap/>
            <w:hideMark/>
          </w:tcPr>
          <w:p w:rsidR="00282FFD" w:rsidRPr="00110077" w:rsidRDefault="00282FFD" w:rsidP="00CA5303">
            <w:pPr>
              <w:jc w:val="right"/>
              <w:rPr>
                <w:rFonts w:eastAsia="Calibri"/>
              </w:rPr>
            </w:pPr>
            <w:r w:rsidRPr="00110077">
              <w:rPr>
                <w:rFonts w:eastAsia="Calibri"/>
              </w:rPr>
              <w:t>1.14</w:t>
            </w:r>
          </w:p>
        </w:tc>
        <w:tc>
          <w:tcPr>
            <w:tcW w:w="861" w:type="dxa"/>
            <w:tcBorders>
              <w:top w:val="nil"/>
              <w:left w:val="nil"/>
              <w:bottom w:val="nil"/>
              <w:right w:val="nil"/>
            </w:tcBorders>
            <w:shd w:val="clear" w:color="auto" w:fill="auto"/>
            <w:noWrap/>
            <w:hideMark/>
          </w:tcPr>
          <w:p w:rsidR="00282FFD" w:rsidRPr="00110077" w:rsidRDefault="00282FFD" w:rsidP="00CA5303">
            <w:pPr>
              <w:jc w:val="right"/>
              <w:rPr>
                <w:rFonts w:eastAsia="Calibri"/>
              </w:rPr>
            </w:pPr>
            <w:r w:rsidRPr="00110077">
              <w:rPr>
                <w:rFonts w:eastAsia="Calibri"/>
              </w:rPr>
              <w:t>1.02</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1-(2-ethoxyethyl)-1-methylpyrrolidinium bis(trifluoromethanesulfonyl)imide</w:t>
            </w:r>
          </w:p>
        </w:tc>
        <w:tc>
          <w:tcPr>
            <w:tcW w:w="3575"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2</w:t>
            </w:r>
            <w:r w:rsidRPr="00DF0006">
              <w:rPr>
                <w:color w:val="000000"/>
                <w:lang w:val="en-GB" w:eastAsia="en-GB"/>
              </w:rPr>
              <w:t>OC</w:t>
            </w:r>
            <w:r w:rsidRPr="00DF0006">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pyrr][NTf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0.49</w:t>
            </w:r>
          </w:p>
        </w:tc>
        <w:tc>
          <w:tcPr>
            <w:tcW w:w="894"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0.28</w:t>
            </w:r>
          </w:p>
        </w:tc>
        <w:tc>
          <w:tcPr>
            <w:tcW w:w="861" w:type="dxa"/>
            <w:tcBorders>
              <w:top w:val="nil"/>
              <w:left w:val="nil"/>
              <w:bottom w:val="nil"/>
              <w:right w:val="nil"/>
            </w:tcBorders>
            <w:shd w:val="clear" w:color="auto" w:fill="auto"/>
            <w:noWrap/>
            <w:vAlign w:val="bottom"/>
            <w:hideMark/>
          </w:tcPr>
          <w:p w:rsidR="00282FFD" w:rsidRPr="00DF0006" w:rsidRDefault="00282FFD" w:rsidP="00CA5303">
            <w:pPr>
              <w:spacing w:line="276" w:lineRule="auto"/>
              <w:jc w:val="right"/>
              <w:rPr>
                <w:color w:val="000000"/>
                <w:lang w:val="en-GB" w:eastAsia="en-GB"/>
              </w:rPr>
            </w:pPr>
            <w:r w:rsidRPr="00DF0006">
              <w:rPr>
                <w:color w:val="000000"/>
                <w:lang w:val="en-GB" w:eastAsia="en-GB"/>
              </w:rPr>
              <w:t>0.93</w:t>
            </w:r>
          </w:p>
        </w:tc>
        <w:tc>
          <w:tcPr>
            <w:tcW w:w="960" w:type="dxa"/>
            <w:tcBorders>
              <w:top w:val="nil"/>
              <w:left w:val="nil"/>
              <w:bottom w:val="nil"/>
              <w:right w:val="nil"/>
            </w:tcBorders>
            <w:shd w:val="clear" w:color="auto" w:fill="auto"/>
            <w:noWrap/>
            <w:vAlign w:val="bottom"/>
            <w:hideMark/>
          </w:tcPr>
          <w:p w:rsidR="00282FFD" w:rsidRPr="00DF0006" w:rsidRDefault="00282FFD" w:rsidP="00CA5303">
            <w:pPr>
              <w:spacing w:line="276" w:lineRule="auto"/>
              <w:rPr>
                <w:color w:val="000000"/>
                <w:lang w:val="en-GB" w:eastAsia="en-GB"/>
              </w:rPr>
            </w:pP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7B3D53">
            <w:pPr>
              <w:spacing w:line="276" w:lineRule="auto"/>
              <w:rPr>
                <w:color w:val="000000"/>
                <w:lang w:val="en-GB" w:eastAsia="en-GB"/>
              </w:rPr>
            </w:pPr>
            <w:r>
              <w:rPr>
                <w:color w:val="000000"/>
                <w:lang w:val="en-GB" w:eastAsia="en-GB"/>
              </w:rPr>
              <w:t>1-propyl-1-methylmorpholinium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282FFD" w:rsidRPr="00DF0006" w:rsidRDefault="00282FFD" w:rsidP="00945AEB">
            <w:pPr>
              <w:spacing w:line="276" w:lineRule="auto"/>
              <w:rPr>
                <w:color w:val="000000"/>
                <w:lang w:val="en-GB" w:eastAsia="en-GB"/>
              </w:rPr>
            </w:pPr>
            <w:r w:rsidRPr="00DF0006">
              <w:rPr>
                <w:color w:val="000000"/>
                <w:lang w:val="en-GB" w:eastAsia="en-GB"/>
              </w:rPr>
              <w:t>[C</w:t>
            </w:r>
            <w:r>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945AEB">
            <w:pPr>
              <w:spacing w:line="276" w:lineRule="auto"/>
              <w:jc w:val="right"/>
              <w:rPr>
                <w:color w:val="000000"/>
                <w:lang w:val="en-GB" w:eastAsia="en-GB"/>
              </w:rPr>
            </w:pPr>
            <w:r>
              <w:rPr>
                <w:color w:val="000000"/>
                <w:lang w:val="en-GB" w:eastAsia="en-GB"/>
              </w:rPr>
              <w:t>0.42</w:t>
            </w:r>
          </w:p>
        </w:tc>
        <w:tc>
          <w:tcPr>
            <w:tcW w:w="894" w:type="dxa"/>
            <w:tcBorders>
              <w:top w:val="nil"/>
              <w:left w:val="nil"/>
              <w:bottom w:val="nil"/>
              <w:right w:val="nil"/>
            </w:tcBorders>
            <w:shd w:val="clear" w:color="auto" w:fill="auto"/>
            <w:noWrap/>
            <w:vAlign w:val="bottom"/>
            <w:hideMark/>
          </w:tcPr>
          <w:p w:rsidR="00282FFD" w:rsidRPr="00DF0006" w:rsidRDefault="00282FFD" w:rsidP="00945AEB">
            <w:pPr>
              <w:spacing w:line="276" w:lineRule="auto"/>
              <w:jc w:val="right"/>
              <w:rPr>
                <w:color w:val="000000"/>
                <w:lang w:val="en-GB" w:eastAsia="en-GB"/>
              </w:rPr>
            </w:pPr>
            <w:r>
              <w:rPr>
                <w:color w:val="000000"/>
                <w:lang w:val="en-GB" w:eastAsia="en-GB"/>
              </w:rPr>
              <w:t>0.49</w:t>
            </w:r>
          </w:p>
        </w:tc>
        <w:tc>
          <w:tcPr>
            <w:tcW w:w="861" w:type="dxa"/>
            <w:tcBorders>
              <w:top w:val="nil"/>
              <w:left w:val="nil"/>
              <w:bottom w:val="nil"/>
              <w:right w:val="nil"/>
            </w:tcBorders>
            <w:shd w:val="clear" w:color="auto" w:fill="auto"/>
            <w:noWrap/>
            <w:vAlign w:val="bottom"/>
            <w:hideMark/>
          </w:tcPr>
          <w:p w:rsidR="00282FFD" w:rsidRPr="00DF0006" w:rsidRDefault="00282FFD" w:rsidP="00945AEB">
            <w:pPr>
              <w:spacing w:line="276" w:lineRule="auto"/>
              <w:jc w:val="right"/>
              <w:rPr>
                <w:color w:val="000000"/>
                <w:lang w:val="en-GB" w:eastAsia="en-GB"/>
              </w:rPr>
            </w:pPr>
            <w:r>
              <w:rPr>
                <w:color w:val="000000"/>
                <w:lang w:val="en-GB" w:eastAsia="en-GB"/>
              </w:rPr>
              <w:t>1.12</w:t>
            </w:r>
          </w:p>
        </w:tc>
        <w:tc>
          <w:tcPr>
            <w:tcW w:w="960" w:type="dxa"/>
            <w:tcBorders>
              <w:top w:val="nil"/>
              <w:left w:val="nil"/>
              <w:bottom w:val="nil"/>
              <w:right w:val="nil"/>
            </w:tcBorders>
            <w:shd w:val="clear" w:color="auto" w:fill="auto"/>
            <w:noWrap/>
            <w:vAlign w:val="bottom"/>
            <w:hideMark/>
          </w:tcPr>
          <w:p w:rsidR="00282FFD" w:rsidRPr="00DF0006" w:rsidRDefault="00282FFD" w:rsidP="00945AEB">
            <w:pPr>
              <w:spacing w:line="276" w:lineRule="auto"/>
              <w:rPr>
                <w:color w:val="000000"/>
                <w:lang w:val="en-GB" w:eastAsia="en-GB"/>
              </w:rPr>
            </w:pPr>
            <w:r>
              <w:rPr>
                <w:color w:val="000000"/>
                <w:lang w:val="en-GB" w:eastAsia="en-GB"/>
              </w:rPr>
              <w:t>18g</w:t>
            </w:r>
          </w:p>
        </w:tc>
      </w:tr>
      <w:tr w:rsidR="00282FFD" w:rsidRPr="00DF0006" w:rsidTr="005A2F5C">
        <w:trPr>
          <w:trHeight w:val="300"/>
        </w:trPr>
        <w:tc>
          <w:tcPr>
            <w:tcW w:w="7908" w:type="dxa"/>
            <w:tcBorders>
              <w:top w:val="nil"/>
              <w:left w:val="nil"/>
              <w:bottom w:val="nil"/>
              <w:right w:val="nil"/>
            </w:tcBorders>
            <w:shd w:val="clear" w:color="auto" w:fill="auto"/>
            <w:noWrap/>
            <w:vAlign w:val="bottom"/>
            <w:hideMark/>
          </w:tcPr>
          <w:p w:rsidR="00282FFD" w:rsidRPr="00DF0006" w:rsidRDefault="00282FFD" w:rsidP="007B3D53">
            <w:pPr>
              <w:spacing w:line="276" w:lineRule="auto"/>
              <w:rPr>
                <w:color w:val="000000"/>
                <w:lang w:val="en-GB" w:eastAsia="en-GB"/>
              </w:rPr>
            </w:pPr>
            <w:r>
              <w:rPr>
                <w:color w:val="000000"/>
                <w:lang w:val="en-GB" w:eastAsia="en-GB"/>
              </w:rPr>
              <w:t>1-ethyl-1-methylmorpholinium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282FFD" w:rsidRPr="00DF0006" w:rsidRDefault="00282FFD" w:rsidP="00945AEB">
            <w:pPr>
              <w:spacing w:line="276" w:lineRule="auto"/>
              <w:rPr>
                <w:color w:val="000000"/>
                <w:lang w:val="en-GB" w:eastAsia="en-GB"/>
              </w:rPr>
            </w:pPr>
            <w:r w:rsidRPr="00DF0006">
              <w:rPr>
                <w:color w:val="000000"/>
                <w:lang w:val="en-GB" w:eastAsia="en-GB"/>
              </w:rPr>
              <w:t>[C</w:t>
            </w:r>
            <w:r>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282FFD" w:rsidRPr="00DF0006" w:rsidRDefault="00282FFD" w:rsidP="00945AEB">
            <w:pPr>
              <w:spacing w:line="276" w:lineRule="auto"/>
              <w:jc w:val="right"/>
              <w:rPr>
                <w:color w:val="000000"/>
                <w:lang w:val="en-GB" w:eastAsia="en-GB"/>
              </w:rPr>
            </w:pPr>
            <w:r>
              <w:rPr>
                <w:color w:val="000000"/>
                <w:lang w:val="en-GB" w:eastAsia="en-GB"/>
              </w:rPr>
              <w:t>0.31</w:t>
            </w:r>
          </w:p>
        </w:tc>
        <w:tc>
          <w:tcPr>
            <w:tcW w:w="894" w:type="dxa"/>
            <w:tcBorders>
              <w:top w:val="nil"/>
              <w:left w:val="nil"/>
              <w:bottom w:val="nil"/>
              <w:right w:val="nil"/>
            </w:tcBorders>
            <w:shd w:val="clear" w:color="auto" w:fill="auto"/>
            <w:noWrap/>
            <w:vAlign w:val="bottom"/>
            <w:hideMark/>
          </w:tcPr>
          <w:p w:rsidR="00282FFD" w:rsidRPr="00DF0006" w:rsidRDefault="00282FFD" w:rsidP="00945AEB">
            <w:pPr>
              <w:spacing w:line="276" w:lineRule="auto"/>
              <w:jc w:val="right"/>
              <w:rPr>
                <w:color w:val="000000"/>
                <w:lang w:val="en-GB" w:eastAsia="en-GB"/>
              </w:rPr>
            </w:pPr>
            <w:r>
              <w:rPr>
                <w:color w:val="000000"/>
                <w:lang w:val="en-GB" w:eastAsia="en-GB"/>
              </w:rPr>
              <w:t>0.51</w:t>
            </w:r>
          </w:p>
        </w:tc>
        <w:tc>
          <w:tcPr>
            <w:tcW w:w="861" w:type="dxa"/>
            <w:tcBorders>
              <w:top w:val="nil"/>
              <w:left w:val="nil"/>
              <w:bottom w:val="nil"/>
              <w:right w:val="nil"/>
            </w:tcBorders>
            <w:shd w:val="clear" w:color="auto" w:fill="auto"/>
            <w:noWrap/>
            <w:vAlign w:val="bottom"/>
            <w:hideMark/>
          </w:tcPr>
          <w:p w:rsidR="00282FFD" w:rsidRPr="00DF0006" w:rsidRDefault="00282FFD" w:rsidP="00945AEB">
            <w:pPr>
              <w:spacing w:line="276" w:lineRule="auto"/>
              <w:jc w:val="right"/>
              <w:rPr>
                <w:color w:val="000000"/>
                <w:lang w:val="en-GB" w:eastAsia="en-GB"/>
              </w:rPr>
            </w:pPr>
            <w:r>
              <w:rPr>
                <w:color w:val="000000"/>
                <w:lang w:val="en-GB" w:eastAsia="en-GB"/>
              </w:rPr>
              <w:t>1.12</w:t>
            </w:r>
          </w:p>
        </w:tc>
        <w:tc>
          <w:tcPr>
            <w:tcW w:w="960" w:type="dxa"/>
            <w:tcBorders>
              <w:top w:val="nil"/>
              <w:left w:val="nil"/>
              <w:bottom w:val="nil"/>
              <w:right w:val="nil"/>
            </w:tcBorders>
            <w:shd w:val="clear" w:color="auto" w:fill="auto"/>
            <w:noWrap/>
            <w:vAlign w:val="bottom"/>
            <w:hideMark/>
          </w:tcPr>
          <w:p w:rsidR="00282FFD" w:rsidRPr="00DF0006" w:rsidRDefault="00282FFD"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647532">
            <w:pPr>
              <w:spacing w:line="276" w:lineRule="auto"/>
              <w:rPr>
                <w:color w:val="000000"/>
                <w:lang w:val="en-GB" w:eastAsia="en-GB"/>
              </w:rPr>
            </w:pPr>
            <w:r>
              <w:rPr>
                <w:color w:val="000000"/>
                <w:lang w:val="en-GB" w:eastAsia="en-GB"/>
              </w:rPr>
              <w:t xml:space="preserve">1-ethyl-1-methylmorpholinium </w:t>
            </w:r>
            <w:r w:rsidRPr="00DF0006">
              <w:rPr>
                <w:color w:val="000000"/>
                <w:lang w:val="en-GB" w:eastAsia="en-GB"/>
              </w:rPr>
              <w:t>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647532">
            <w:pPr>
              <w:spacing w:line="276" w:lineRule="auto"/>
              <w:rPr>
                <w:color w:val="000000"/>
                <w:lang w:val="en-GB" w:eastAsia="en-GB"/>
              </w:rPr>
            </w:pPr>
            <w:r w:rsidRPr="00DF0006">
              <w:rPr>
                <w:color w:val="000000"/>
                <w:lang w:val="en-GB" w:eastAsia="en-GB"/>
              </w:rPr>
              <w:t>[C</w:t>
            </w:r>
            <w:r>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647532">
            <w:pPr>
              <w:spacing w:line="276" w:lineRule="auto"/>
              <w:jc w:val="right"/>
              <w:rPr>
                <w:color w:val="000000"/>
                <w:lang w:val="en-GB" w:eastAsia="en-GB"/>
              </w:rPr>
            </w:pPr>
            <w:r>
              <w:rPr>
                <w:color w:val="000000"/>
                <w:lang w:val="en-GB" w:eastAsia="en-GB"/>
              </w:rPr>
              <w:t>0.50</w:t>
            </w:r>
          </w:p>
        </w:tc>
        <w:tc>
          <w:tcPr>
            <w:tcW w:w="894" w:type="dxa"/>
            <w:tcBorders>
              <w:top w:val="nil"/>
              <w:left w:val="nil"/>
              <w:bottom w:val="nil"/>
              <w:right w:val="nil"/>
            </w:tcBorders>
            <w:shd w:val="clear" w:color="auto" w:fill="auto"/>
            <w:noWrap/>
            <w:vAlign w:val="bottom"/>
            <w:hideMark/>
          </w:tcPr>
          <w:p w:rsidR="00647532" w:rsidRPr="00DF0006" w:rsidRDefault="00647532" w:rsidP="00647532">
            <w:pPr>
              <w:spacing w:line="276" w:lineRule="auto"/>
              <w:jc w:val="right"/>
              <w:rPr>
                <w:color w:val="000000"/>
                <w:lang w:val="en-GB" w:eastAsia="en-GB"/>
              </w:rPr>
            </w:pPr>
            <w:r>
              <w:rPr>
                <w:color w:val="000000"/>
                <w:lang w:val="en-GB" w:eastAsia="en-GB"/>
              </w:rPr>
              <w:t>0.</w:t>
            </w:r>
            <w:r w:rsidR="00BE4A54">
              <w:rPr>
                <w:color w:val="000000"/>
                <w:lang w:val="en-GB" w:eastAsia="en-GB"/>
              </w:rPr>
              <w:t>19</w:t>
            </w:r>
          </w:p>
        </w:tc>
        <w:tc>
          <w:tcPr>
            <w:tcW w:w="861" w:type="dxa"/>
            <w:tcBorders>
              <w:top w:val="nil"/>
              <w:left w:val="nil"/>
              <w:bottom w:val="nil"/>
              <w:right w:val="nil"/>
            </w:tcBorders>
            <w:shd w:val="clear" w:color="auto" w:fill="auto"/>
            <w:noWrap/>
            <w:vAlign w:val="bottom"/>
            <w:hideMark/>
          </w:tcPr>
          <w:p w:rsidR="00647532" w:rsidRPr="00DF0006" w:rsidRDefault="00647532" w:rsidP="00BE4A54">
            <w:pPr>
              <w:spacing w:line="276" w:lineRule="auto"/>
              <w:jc w:val="right"/>
              <w:rPr>
                <w:color w:val="000000"/>
                <w:lang w:val="en-GB" w:eastAsia="en-GB"/>
              </w:rPr>
            </w:pPr>
            <w:r>
              <w:rPr>
                <w:color w:val="000000"/>
                <w:lang w:val="en-GB" w:eastAsia="en-GB"/>
              </w:rPr>
              <w:t>1.</w:t>
            </w:r>
            <w:r w:rsidR="00BE4A54">
              <w:rPr>
                <w:color w:val="000000"/>
                <w:lang w:val="en-GB" w:eastAsia="en-GB"/>
              </w:rPr>
              <w:t>01</w:t>
            </w:r>
          </w:p>
        </w:tc>
        <w:tc>
          <w:tcPr>
            <w:tcW w:w="960" w:type="dxa"/>
            <w:tcBorders>
              <w:top w:val="nil"/>
              <w:left w:val="nil"/>
              <w:bottom w:val="nil"/>
              <w:right w:val="nil"/>
            </w:tcBorders>
            <w:shd w:val="clear" w:color="auto" w:fill="auto"/>
            <w:noWrap/>
            <w:vAlign w:val="bottom"/>
            <w:hideMark/>
          </w:tcPr>
          <w:p w:rsidR="00647532" w:rsidRPr="00DF0006" w:rsidRDefault="00647532" w:rsidP="00647532">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1-ethyl-3-methylimidazolium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0.71</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0.23</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0.98</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18b</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0.42</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0.1</w:t>
            </w:r>
            <w:r>
              <w:rPr>
                <w:color w:val="000000"/>
                <w:lang w:val="en-GB" w:eastAsia="en-GB"/>
              </w:rPr>
              <w:t>0</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1.02</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19</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0.63</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0.23</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w:t>
            </w:r>
            <w:r>
              <w:rPr>
                <w:color w:val="000000"/>
                <w:lang w:val="en-GB" w:eastAsia="en-GB"/>
              </w:rPr>
              <w:t>.00</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1-ethyl-3-methylimidazolium hexanesulfonate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im][(C</w:t>
            </w:r>
            <w:r w:rsidRPr="00DF0006">
              <w:rPr>
                <w:color w:val="000000"/>
                <w:vertAlign w:val="subscript"/>
                <w:lang w:val="en-GB" w:eastAsia="en-GB"/>
              </w:rPr>
              <w:t>6</w:t>
            </w:r>
            <w:r w:rsidRPr="00DF0006">
              <w:rPr>
                <w:color w:val="000000"/>
                <w:lang w:val="en-GB" w:eastAsia="en-GB"/>
              </w:rPr>
              <w:t>)SO</w:t>
            </w:r>
            <w:r w:rsidRPr="00DF0006">
              <w:rPr>
                <w:color w:val="000000"/>
                <w:vertAlign w:val="subscript"/>
                <w:lang w:val="en-GB" w:eastAsia="en-GB"/>
              </w:rPr>
              <w:t>4</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0.65</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0.71</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0.98</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15</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1-ethyl-3-methylimidazolium octanesulfonate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im][(C</w:t>
            </w:r>
            <w:r w:rsidRPr="00DF0006">
              <w:rPr>
                <w:color w:val="000000"/>
                <w:vertAlign w:val="subscript"/>
                <w:lang w:val="en-GB" w:eastAsia="en-GB"/>
              </w:rPr>
              <w:t>8</w:t>
            </w:r>
            <w:r w:rsidRPr="00DF0006">
              <w:rPr>
                <w:color w:val="000000"/>
                <w:lang w:val="en-GB" w:eastAsia="en-GB"/>
              </w:rPr>
              <w:t>)SO</w:t>
            </w:r>
            <w:r w:rsidRPr="00DF0006">
              <w:rPr>
                <w:color w:val="000000"/>
                <w:vertAlign w:val="subscript"/>
                <w:lang w:val="en-GB" w:eastAsia="en-GB"/>
              </w:rPr>
              <w:t>4</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0.65</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0.77</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0.93</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15</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1-ethyl-3-methylimidazolium acetate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im][MeCO</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0.57</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1.06</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0.97</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16</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1,2,4-trimethylpyrazolium triflate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1</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pyz][OTf]</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0.43</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0.25</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0.94</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1-methyl-3-pentamethyldisiloxymethylpyrrolidinium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[(SiOSi)C</w:t>
            </w:r>
            <w:r w:rsidRPr="00DF0006">
              <w:rPr>
                <w:color w:val="000000"/>
                <w:vertAlign w:val="subscript"/>
                <w:lang w:val="en-GB" w:eastAsia="en-GB"/>
              </w:rPr>
              <w:t>1</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pyrr][NTf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0.59</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0.28</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0.89</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1-methyl-3-pentamethyldisiloxymethylimidazolium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[(SiOSi)C</w:t>
            </w:r>
            <w:r w:rsidRPr="00DF0006">
              <w:rPr>
                <w:color w:val="000000"/>
                <w:vertAlign w:val="subscript"/>
                <w:lang w:val="en-GB" w:eastAsia="en-GB"/>
              </w:rPr>
              <w:t>1</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0.65</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0.28</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0.91</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lastRenderedPageBreak/>
              <w:t>1-methyl-3-heptamethyltrisiloxymethylimidazolium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[(SiO)</w:t>
            </w:r>
            <w:r w:rsidRPr="00DF0006">
              <w:rPr>
                <w:color w:val="000000"/>
                <w:vertAlign w:val="subscript"/>
                <w:lang w:val="en-GB" w:eastAsia="en-GB"/>
              </w:rPr>
              <w:t>2</w:t>
            </w:r>
            <w:r w:rsidRPr="00DF0006">
              <w:rPr>
                <w:color w:val="000000"/>
                <w:lang w:val="en-GB" w:eastAsia="en-GB"/>
              </w:rPr>
              <w:t>SiC</w:t>
            </w:r>
            <w:r w:rsidRPr="00DF0006">
              <w:rPr>
                <w:color w:val="000000"/>
                <w:vertAlign w:val="subscript"/>
                <w:lang w:val="en-GB" w:eastAsia="en-GB"/>
              </w:rPr>
              <w:t>1</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0.79</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0.33</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0.88</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1-glycer</w:t>
            </w:r>
            <w:r w:rsidRPr="00DF0006">
              <w:rPr>
                <w:color w:val="000000"/>
                <w:lang w:val="en-GB" w:eastAsia="en-GB"/>
              </w:rPr>
              <w:t xml:space="preserve">yl-3-methylimidazolium </w:t>
            </w:r>
            <w:r>
              <w:rPr>
                <w:color w:val="000000"/>
                <w:lang w:val="en-GB" w:eastAsia="en-GB"/>
              </w:rPr>
              <w:t>chloride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w:t>
            </w:r>
            <w:r>
              <w:rPr>
                <w:color w:val="000000"/>
                <w:lang w:val="en-GB" w:eastAsia="en-GB"/>
              </w:rPr>
              <w:t>]Cl</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1.12</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0.99</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0.82</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085557">
            <w:pPr>
              <w:spacing w:line="276" w:lineRule="auto"/>
              <w:rPr>
                <w:color w:val="000000"/>
                <w:lang w:val="en-GB" w:eastAsia="en-GB"/>
              </w:rPr>
            </w:pPr>
            <w:r>
              <w:rPr>
                <w:color w:val="000000"/>
                <w:lang w:val="en-GB" w:eastAsia="en-GB"/>
              </w:rPr>
              <w:t>1-glycer</w:t>
            </w:r>
            <w:r w:rsidRPr="00DF0006">
              <w:rPr>
                <w:color w:val="000000"/>
                <w:lang w:val="en-GB" w:eastAsia="en-GB"/>
              </w:rPr>
              <w:t xml:space="preserve">yl-3-methylimidazolium </w:t>
            </w:r>
            <w:r>
              <w:rPr>
                <w:color w:val="000000"/>
                <w:lang w:val="en-GB" w:eastAsia="en-GB"/>
              </w:rPr>
              <w:t>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0.87</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0.47</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1.17</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1-glycer</w:t>
            </w:r>
            <w:r w:rsidRPr="00DF0006">
              <w:rPr>
                <w:color w:val="000000"/>
                <w:lang w:val="en-GB" w:eastAsia="en-GB"/>
              </w:rPr>
              <w:t>yl-3-methylimidazolium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8B093D">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w:t>
            </w:r>
            <w:r>
              <w:rPr>
                <w:color w:val="000000"/>
                <w:lang w:val="en-GB" w:eastAsia="en-GB"/>
              </w:rPr>
              <w:t>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1.20</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0.13</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1.15</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1-glycer</w:t>
            </w:r>
            <w:r w:rsidRPr="00DF0006">
              <w:rPr>
                <w:color w:val="000000"/>
                <w:lang w:val="en-GB" w:eastAsia="en-GB"/>
              </w:rPr>
              <w:t>yl-</w:t>
            </w:r>
            <w:r>
              <w:rPr>
                <w:color w:val="000000"/>
                <w:lang w:val="en-GB" w:eastAsia="en-GB"/>
              </w:rPr>
              <w:t>2,</w:t>
            </w:r>
            <w:r w:rsidRPr="00DF0006">
              <w:rPr>
                <w:color w:val="000000"/>
                <w:lang w:val="en-GB" w:eastAsia="en-GB"/>
              </w:rPr>
              <w:t>3-</w:t>
            </w:r>
            <w:r>
              <w:rPr>
                <w:color w:val="000000"/>
                <w:lang w:val="en-GB" w:eastAsia="en-GB"/>
              </w:rPr>
              <w:t>di</w:t>
            </w:r>
            <w:r w:rsidRPr="00DF0006">
              <w:rPr>
                <w:color w:val="000000"/>
                <w:lang w:val="en-GB" w:eastAsia="en-GB"/>
              </w:rPr>
              <w:t xml:space="preserve">methylimidazolium </w:t>
            </w:r>
            <w:r>
              <w:rPr>
                <w:color w:val="000000"/>
                <w:lang w:val="en-GB" w:eastAsia="en-GB"/>
              </w:rPr>
              <w:t>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 xml:space="preserve"> C</w:t>
            </w:r>
            <w:r w:rsidRPr="00DF0006">
              <w:rPr>
                <w:color w:val="000000"/>
                <w:vertAlign w:val="subscript"/>
                <w:lang w:val="en-GB" w:eastAsia="en-GB"/>
              </w:rPr>
              <w:t>1</w:t>
            </w:r>
            <w:r w:rsidRPr="00DF0006">
              <w:rPr>
                <w:color w:val="000000"/>
                <w:lang w:val="en-GB" w:eastAsia="en-GB"/>
              </w:rPr>
              <w:t>im][N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0.87</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0.47</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1.17</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1-glycer</w:t>
            </w:r>
            <w:r w:rsidRPr="00DF0006">
              <w:rPr>
                <w:color w:val="000000"/>
                <w:lang w:val="en-GB" w:eastAsia="en-GB"/>
              </w:rPr>
              <w:t>yl-</w:t>
            </w:r>
            <w:r>
              <w:rPr>
                <w:color w:val="000000"/>
                <w:lang w:val="en-GB" w:eastAsia="en-GB"/>
              </w:rPr>
              <w:t>2,</w:t>
            </w:r>
            <w:r w:rsidRPr="00DF0006">
              <w:rPr>
                <w:color w:val="000000"/>
                <w:lang w:val="en-GB" w:eastAsia="en-GB"/>
              </w:rPr>
              <w:t>3-</w:t>
            </w:r>
            <w:r>
              <w:rPr>
                <w:color w:val="000000"/>
                <w:lang w:val="en-GB" w:eastAsia="en-GB"/>
              </w:rPr>
              <w:t>di</w:t>
            </w:r>
            <w:r w:rsidRPr="00DF0006">
              <w:rPr>
                <w:color w:val="000000"/>
                <w:lang w:val="en-GB" w:eastAsia="en-GB"/>
              </w:rPr>
              <w:t>methylimidazolium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8B093D">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 xml:space="preserve"> C</w:t>
            </w:r>
            <w:r w:rsidRPr="00DF0006">
              <w:rPr>
                <w:color w:val="000000"/>
                <w:vertAlign w:val="subscript"/>
                <w:lang w:val="en-GB" w:eastAsia="en-GB"/>
              </w:rPr>
              <w:t>1</w:t>
            </w:r>
            <w:r w:rsidRPr="00DF0006">
              <w:rPr>
                <w:color w:val="000000"/>
                <w:lang w:val="en-GB" w:eastAsia="en-GB"/>
              </w:rPr>
              <w:t>im][N</w:t>
            </w:r>
            <w:r>
              <w:rPr>
                <w:color w:val="000000"/>
                <w:lang w:val="en-GB" w:eastAsia="en-GB"/>
              </w:rPr>
              <w:t>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0.93</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0.11</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1.14</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722581">
            <w:pPr>
              <w:spacing w:line="276" w:lineRule="auto"/>
              <w:rPr>
                <w:color w:val="000000"/>
                <w:lang w:val="en-GB" w:eastAsia="en-GB"/>
              </w:rPr>
            </w:pPr>
            <w:r>
              <w:rPr>
                <w:color w:val="000000"/>
                <w:lang w:val="en-GB" w:eastAsia="en-GB"/>
              </w:rPr>
              <w:t>1-glyceryl-1-methylmorpholinium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0.85</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0.43</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1.20</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1-glycer</w:t>
            </w:r>
            <w:r w:rsidRPr="00DF0006">
              <w:rPr>
                <w:color w:val="000000"/>
                <w:lang w:val="en-GB" w:eastAsia="en-GB"/>
              </w:rPr>
              <w:t>yl-3-methyl</w:t>
            </w:r>
            <w:r>
              <w:rPr>
                <w:color w:val="000000"/>
                <w:lang w:val="en-GB" w:eastAsia="en-GB"/>
              </w:rPr>
              <w:t>morpholinium</w:t>
            </w:r>
            <w:r w:rsidRPr="00DF0006">
              <w:rPr>
                <w:color w:val="000000"/>
                <w:lang w:val="en-GB" w:eastAsia="en-GB"/>
              </w:rPr>
              <w:t xml:space="preserve">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1.25</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0.12</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1.11</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1-glyceryl-1-methylpiperidinium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Pr>
                <w:color w:val="000000"/>
                <w:lang w:val="en-GB" w:eastAsia="en-GB"/>
              </w:rPr>
              <w:t>pip</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0.86</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0.53</w:t>
            </w:r>
          </w:p>
        </w:tc>
        <w:tc>
          <w:tcPr>
            <w:tcW w:w="861" w:type="dxa"/>
            <w:tcBorders>
              <w:top w:val="nil"/>
              <w:left w:val="nil"/>
              <w:bottom w:val="nil"/>
              <w:right w:val="nil"/>
            </w:tcBorders>
            <w:shd w:val="clear" w:color="auto" w:fill="auto"/>
            <w:noWrap/>
            <w:vAlign w:val="bottom"/>
            <w:hideMark/>
          </w:tcPr>
          <w:p w:rsidR="00647532" w:rsidRPr="00DF0006" w:rsidRDefault="00647532" w:rsidP="00722581">
            <w:pPr>
              <w:spacing w:line="276" w:lineRule="auto"/>
              <w:jc w:val="right"/>
              <w:rPr>
                <w:color w:val="000000"/>
                <w:lang w:val="en-GB" w:eastAsia="en-GB"/>
              </w:rPr>
            </w:pPr>
            <w:r>
              <w:rPr>
                <w:color w:val="000000"/>
                <w:lang w:val="en-GB" w:eastAsia="en-GB"/>
              </w:rPr>
              <w:t>1.12</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1-glycer</w:t>
            </w:r>
            <w:r w:rsidRPr="00DF0006">
              <w:rPr>
                <w:color w:val="000000"/>
                <w:lang w:val="en-GB" w:eastAsia="en-GB"/>
              </w:rPr>
              <w:t>yl-3-methyl</w:t>
            </w:r>
            <w:r>
              <w:rPr>
                <w:color w:val="000000"/>
                <w:lang w:val="en-GB" w:eastAsia="en-GB"/>
              </w:rPr>
              <w:t>piperidinium</w:t>
            </w:r>
            <w:r w:rsidRPr="00DF0006">
              <w:rPr>
                <w:color w:val="000000"/>
                <w:lang w:val="en-GB" w:eastAsia="en-GB"/>
              </w:rPr>
              <w:t xml:space="preserve">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Pr>
                <w:color w:val="000000"/>
                <w:lang w:val="en-GB" w:eastAsia="en-GB"/>
              </w:rPr>
              <w:t>pip</w:t>
            </w:r>
            <w:r w:rsidRPr="00DF0006">
              <w:rPr>
                <w:color w:val="000000"/>
                <w:lang w:val="en-GB" w:eastAsia="en-GB"/>
              </w:rPr>
              <w:t>][N</w:t>
            </w:r>
            <w:r>
              <w:rPr>
                <w:color w:val="000000"/>
                <w:lang w:val="en-GB" w:eastAsia="en-GB"/>
              </w:rPr>
              <w:t>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1.23</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0.11</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1.13</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1C66C1">
            <w:pPr>
              <w:spacing w:line="276" w:lineRule="auto"/>
              <w:rPr>
                <w:color w:val="000000"/>
                <w:lang w:val="en-GB" w:eastAsia="en-GB"/>
              </w:rPr>
            </w:pPr>
            <w:r>
              <w:rPr>
                <w:color w:val="000000"/>
                <w:lang w:val="en-GB" w:eastAsia="en-GB"/>
              </w:rPr>
              <w:t>1-glyceryl-1-methylpyrrolidinium nitrate</w:t>
            </w:r>
          </w:p>
        </w:tc>
        <w:tc>
          <w:tcPr>
            <w:tcW w:w="3575" w:type="dxa"/>
            <w:tcBorders>
              <w:top w:val="nil"/>
              <w:left w:val="nil"/>
              <w:bottom w:val="nil"/>
              <w:right w:val="nil"/>
            </w:tcBorders>
            <w:shd w:val="clear" w:color="auto" w:fill="auto"/>
            <w:noWrap/>
            <w:vAlign w:val="bottom"/>
            <w:hideMark/>
          </w:tcPr>
          <w:p w:rsidR="00647532" w:rsidRPr="00DF0006" w:rsidRDefault="00647532" w:rsidP="001C66C1">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Pr>
                <w:color w:val="000000"/>
                <w:lang w:val="en-GB" w:eastAsia="en-GB"/>
              </w:rPr>
              <w:t>pyrr</w:t>
            </w:r>
            <w:r w:rsidRPr="00DF0006">
              <w:rPr>
                <w:color w:val="000000"/>
                <w:lang w:val="en-GB" w:eastAsia="en-GB"/>
              </w:rPr>
              <w:t>][N</w:t>
            </w:r>
            <w:r>
              <w:rPr>
                <w:color w:val="000000"/>
                <w:lang w:val="en-GB" w:eastAsia="en-GB"/>
              </w:rPr>
              <w:t>O</w:t>
            </w:r>
            <w:r>
              <w:rPr>
                <w:color w:val="000000"/>
                <w:vertAlign w:val="subscript"/>
                <w:lang w:val="en-GB" w:eastAsia="en-GB"/>
              </w:rPr>
              <w:t>3</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0.87</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0.53</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1.19</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1-glyceryl-1-methylpyrrolidinium dicyana</w:t>
            </w:r>
            <w:r w:rsidRPr="00DF0006">
              <w:rPr>
                <w:color w:val="000000"/>
                <w:lang w:val="en-GB" w:eastAsia="en-GB"/>
              </w:rPr>
              <w:t>mide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Pr>
                <w:color w:val="000000"/>
                <w:lang w:val="en-GB" w:eastAsia="en-GB"/>
              </w:rPr>
              <w:t>pyrr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0.90</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0.46</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1.18</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1-glycer</w:t>
            </w:r>
            <w:r w:rsidRPr="00DF0006">
              <w:rPr>
                <w:color w:val="000000"/>
                <w:lang w:val="en-GB" w:eastAsia="en-GB"/>
              </w:rPr>
              <w:t>yl-3-methyl</w:t>
            </w:r>
            <w:r>
              <w:rPr>
                <w:color w:val="000000"/>
                <w:lang w:val="en-GB" w:eastAsia="en-GB"/>
              </w:rPr>
              <w:t>pyrrolidinium</w:t>
            </w:r>
            <w:r w:rsidRPr="00DF0006">
              <w:rPr>
                <w:color w:val="000000"/>
                <w:lang w:val="en-GB" w:eastAsia="en-GB"/>
              </w:rPr>
              <w:t xml:space="preserve">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Pr>
                <w:color w:val="000000"/>
                <w:lang w:val="en-GB" w:eastAsia="en-GB"/>
              </w:rPr>
              <w:t>(</w:t>
            </w:r>
            <w:r w:rsidRPr="00DF0006">
              <w:rPr>
                <w:color w:val="000000"/>
                <w:lang w:val="en-GB" w:eastAsia="en-GB"/>
              </w:rPr>
              <w:t>HO</w:t>
            </w:r>
            <w:r>
              <w:rPr>
                <w:color w:val="000000"/>
                <w:lang w:val="en-GB" w:eastAsia="en-GB"/>
              </w:rPr>
              <w:t>)</w:t>
            </w:r>
            <w:r>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Pr>
                <w:color w:val="000000"/>
                <w:lang w:val="en-GB" w:eastAsia="en-GB"/>
              </w:rPr>
              <w:t>pyrr</w:t>
            </w:r>
            <w:r w:rsidRPr="00DF0006">
              <w:rPr>
                <w:color w:val="000000"/>
                <w:lang w:val="en-GB" w:eastAsia="en-GB"/>
              </w:rPr>
              <w:t>][N</w:t>
            </w:r>
            <w:r>
              <w:rPr>
                <w:color w:val="000000"/>
                <w:lang w:val="en-GB" w:eastAsia="en-GB"/>
              </w:rPr>
              <w:t>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1.13</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0.14</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1.14</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1-hydroxypropyl-3-methylimidazolium acetate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3</w:t>
            </w:r>
            <w:r w:rsidRPr="00DF0006">
              <w:rPr>
                <w:color w:val="000000"/>
                <w:lang w:val="en-GB" w:eastAsia="en-GB"/>
              </w:rPr>
              <w:t>C</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im][MeCO</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0.51</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0.99</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1.08</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18c</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1-hydroxyethyl-3-methylimidazolium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1.14</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0.28</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1.08</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18c</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816C0E">
            <w:pPr>
              <w:spacing w:line="276" w:lineRule="auto"/>
              <w:rPr>
                <w:color w:val="000000"/>
                <w:lang w:val="en-GB" w:eastAsia="en-GB"/>
              </w:rPr>
            </w:pPr>
            <w:r w:rsidRPr="00DF0006">
              <w:rPr>
                <w:color w:val="000000"/>
                <w:lang w:val="en-GB" w:eastAsia="en-GB"/>
              </w:rPr>
              <w:t xml:space="preserve">1-hydroxyethyl-3-methylimidazolium </w:t>
            </w:r>
            <w:r>
              <w:rPr>
                <w:color w:val="000000"/>
                <w:lang w:val="en-GB" w:eastAsia="en-GB"/>
              </w:rPr>
              <w:t>acetate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im][</w:t>
            </w:r>
            <w:r>
              <w:rPr>
                <w:color w:val="000000"/>
                <w:lang w:val="en-GB" w:eastAsia="en-GB"/>
              </w:rPr>
              <w:t>MeCO</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0.53</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0.90</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1.04</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1-hydroxyethyl-1-methylmorpholinium</w:t>
            </w:r>
            <w:r w:rsidRPr="00DF0006">
              <w:rPr>
                <w:color w:val="000000"/>
                <w:lang w:val="en-GB" w:eastAsia="en-GB"/>
              </w:rPr>
              <w:t xml:space="preserve"> </w:t>
            </w:r>
            <w:r>
              <w:rPr>
                <w:color w:val="000000"/>
                <w:lang w:val="en-GB" w:eastAsia="en-GB"/>
              </w:rPr>
              <w:t>dicyanamide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Pr>
                <w:color w:val="000000"/>
                <w:lang w:val="en-GB" w:eastAsia="en-GB"/>
              </w:rPr>
              <w:t>mor</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0.78</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0.49</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1.13</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1-hydroxyethyl-1-methylpiperidinium</w:t>
            </w:r>
            <w:r w:rsidRPr="00DF0006">
              <w:rPr>
                <w:color w:val="000000"/>
                <w:lang w:val="en-GB" w:eastAsia="en-GB"/>
              </w:rPr>
              <w:t xml:space="preserve"> </w:t>
            </w:r>
            <w:r>
              <w:rPr>
                <w:color w:val="000000"/>
                <w:lang w:val="en-GB" w:eastAsia="en-GB"/>
              </w:rPr>
              <w:t>dicyanamide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2</w:t>
            </w:r>
            <w:r w:rsidRPr="00DF0006">
              <w:rPr>
                <w:color w:val="000000"/>
                <w:lang w:val="en-GB" w:eastAsia="en-GB"/>
              </w:rPr>
              <w:t>C</w:t>
            </w:r>
            <w:r w:rsidRPr="00DF0006">
              <w:rPr>
                <w:color w:val="000000"/>
                <w:vertAlign w:val="subscript"/>
                <w:lang w:val="en-GB" w:eastAsia="en-GB"/>
              </w:rPr>
              <w:t>1</w:t>
            </w:r>
            <w:r>
              <w:rPr>
                <w:color w:val="000000"/>
                <w:lang w:val="en-GB" w:eastAsia="en-GB"/>
              </w:rPr>
              <w:t>pip</w:t>
            </w:r>
            <w:r w:rsidRPr="00DF0006">
              <w:rPr>
                <w:color w:val="000000"/>
                <w:lang w:val="en-GB" w:eastAsia="en-GB"/>
              </w:rPr>
              <w:t>][N</w:t>
            </w:r>
            <w:r>
              <w:rPr>
                <w:color w:val="000000"/>
                <w:lang w:val="en-GB" w:eastAsia="en-GB"/>
              </w:rPr>
              <w:t>(CN)</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0.78</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0.51</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Pr>
                <w:color w:val="000000"/>
                <w:lang w:val="en-GB" w:eastAsia="en-GB"/>
              </w:rPr>
              <w:t>1.11</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Pr>
                <w:color w:val="000000"/>
                <w:lang w:val="en-GB" w:eastAsia="en-GB"/>
              </w:rPr>
              <w:t>18g</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Trioctylmethylammonium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8</w:t>
            </w:r>
            <w:r w:rsidRPr="00DF0006">
              <w:rPr>
                <w:color w:val="000000"/>
                <w:lang w:val="en-GB" w:eastAsia="en-GB"/>
              </w:rPr>
              <w:t>)</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N][NTf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0.35</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0.37</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0.91</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15</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0.33</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0.23</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0.87</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19</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Trihexyltetradecylphosphonium bis(trifluoromethanesulfonyl)imide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6</w:t>
            </w:r>
            <w:r w:rsidRPr="00DF0006">
              <w:rPr>
                <w:color w:val="000000"/>
                <w:lang w:val="en-GB" w:eastAsia="en-GB"/>
              </w:rPr>
              <w:t>)</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14</w:t>
            </w:r>
            <w:r w:rsidRPr="00DF0006">
              <w:rPr>
                <w:color w:val="000000"/>
                <w:lang w:val="en-GB" w:eastAsia="en-GB"/>
              </w:rPr>
              <w:t>P][NTf</w:t>
            </w:r>
            <w:r w:rsidRPr="00DF0006">
              <w:rPr>
                <w:color w:val="000000"/>
                <w:vertAlign w:val="subscript"/>
                <w:lang w:val="en-GB" w:eastAsia="en-GB"/>
              </w:rPr>
              <w:t>2</w:t>
            </w:r>
            <w:r w:rsidRPr="00DF0006">
              <w:rPr>
                <w:color w:val="000000"/>
                <w:lang w:val="en-GB" w:eastAsia="en-GB"/>
              </w:rPr>
              <w:t>]</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0.37</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0.27</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0.83</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19</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Tetrapentylammonium 2-(cyclohexylamino)-ethanesulfonate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5</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N][CHES]</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0.5</w:t>
            </w:r>
            <w:r>
              <w:rPr>
                <w:color w:val="000000"/>
                <w:lang w:val="en-GB" w:eastAsia="en-GB"/>
              </w:rPr>
              <w:t>0</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0.91</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0.95</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18a</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Tetrapentylammonium 2-[bis(2hydroxyethyl)amino]ethanesulfonate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5</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N][BES]</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0.47</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w:t>
            </w:r>
            <w:r>
              <w:rPr>
                <w:color w:val="000000"/>
                <w:lang w:val="en-GB" w:eastAsia="en-GB"/>
              </w:rPr>
              <w:t>.00</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0.95</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18a</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Tetrapentylammonium 2-hydroxy-4-morpholinepropanesulfate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5</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N][MOPSO]</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0.33</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0.96</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0.98</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18a</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Tetrabutylammonium 2-(cyclohexylamino)-ethanesulfonate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N][CHES]</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0.56</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0.98</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0.97</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18a</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lastRenderedPageBreak/>
              <w:t>Tetrabutylammonium 2-[bis(2hydroxyethyl)amino]ethanesulfonate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N][BES]</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0.31</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0.81</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1.06</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18a</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Tetrabutylammonium 2-hydroxy-4-morpholinepropanesulfate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N][MOPSO]</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0.28</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0.74</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0.98</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18a</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Tetrabutylphoshonium valinate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P][Val]</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0.96</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1.46</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0.93</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18e</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Tetrabutylphoshonium alanate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P][Ala]</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0.88</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1.04</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0.98</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18e</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sidRPr="00DF0006">
              <w:rPr>
                <w:color w:val="000000"/>
                <w:lang w:val="en-GB" w:eastAsia="en-GB"/>
              </w:rPr>
              <w:t>Tetrabutylphosphonium glycinate</w:t>
            </w:r>
          </w:p>
        </w:tc>
        <w:tc>
          <w:tcPr>
            <w:tcW w:w="3575"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4</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P][Gly]</w:t>
            </w:r>
          </w:p>
        </w:tc>
        <w:tc>
          <w:tcPr>
            <w:tcW w:w="636"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sidRPr="00DF0006">
              <w:rPr>
                <w:color w:val="000000"/>
                <w:lang w:val="en-GB" w:eastAsia="en-GB"/>
              </w:rPr>
              <w:t>0.18</w:t>
            </w:r>
          </w:p>
        </w:tc>
        <w:tc>
          <w:tcPr>
            <w:tcW w:w="894"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sidRPr="00DF0006">
              <w:rPr>
                <w:color w:val="000000"/>
                <w:lang w:val="en-GB" w:eastAsia="en-GB"/>
              </w:rPr>
              <w:t>1.61</w:t>
            </w:r>
          </w:p>
        </w:tc>
        <w:tc>
          <w:tcPr>
            <w:tcW w:w="861" w:type="dxa"/>
            <w:tcBorders>
              <w:top w:val="nil"/>
              <w:left w:val="nil"/>
              <w:bottom w:val="nil"/>
              <w:right w:val="nil"/>
            </w:tcBorders>
            <w:shd w:val="clear" w:color="auto" w:fill="auto"/>
            <w:noWrap/>
            <w:vAlign w:val="bottom"/>
            <w:hideMark/>
          </w:tcPr>
          <w:p w:rsidR="00647532" w:rsidRPr="00DF0006" w:rsidRDefault="00647532" w:rsidP="00945AEB">
            <w:pPr>
              <w:spacing w:line="276" w:lineRule="auto"/>
              <w:jc w:val="right"/>
              <w:rPr>
                <w:color w:val="000000"/>
                <w:lang w:val="en-GB" w:eastAsia="en-GB"/>
              </w:rPr>
            </w:pPr>
            <w:r w:rsidRPr="00DF0006">
              <w:rPr>
                <w:color w:val="000000"/>
                <w:lang w:val="en-GB" w:eastAsia="en-GB"/>
              </w:rPr>
              <w:t>0.93</w:t>
            </w:r>
          </w:p>
        </w:tc>
        <w:tc>
          <w:tcPr>
            <w:tcW w:w="960" w:type="dxa"/>
            <w:tcBorders>
              <w:top w:val="nil"/>
              <w:left w:val="nil"/>
              <w:bottom w:val="nil"/>
              <w:right w:val="nil"/>
            </w:tcBorders>
            <w:shd w:val="clear" w:color="auto" w:fill="auto"/>
            <w:noWrap/>
            <w:vAlign w:val="bottom"/>
            <w:hideMark/>
          </w:tcPr>
          <w:p w:rsidR="00647532" w:rsidRPr="00DF0006" w:rsidRDefault="00647532" w:rsidP="00945AEB">
            <w:pPr>
              <w:spacing w:line="276" w:lineRule="auto"/>
              <w:rPr>
                <w:color w:val="000000"/>
                <w:lang w:val="en-GB" w:eastAsia="en-GB"/>
              </w:rPr>
            </w:pP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Tetrapropylammonium 2-(cyclohexylamino)-ethanesulfonate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3</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N][CHES]</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0.54</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0.8</w:t>
            </w:r>
            <w:r>
              <w:rPr>
                <w:color w:val="000000"/>
                <w:lang w:val="en-GB" w:eastAsia="en-GB"/>
              </w:rPr>
              <w:t>0</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1.02</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18a</w:t>
            </w:r>
          </w:p>
        </w:tc>
      </w:tr>
      <w:tr w:rsidR="00647532" w:rsidRPr="00DF0006" w:rsidTr="005A2F5C">
        <w:trPr>
          <w:trHeight w:val="300"/>
        </w:trPr>
        <w:tc>
          <w:tcPr>
            <w:tcW w:w="7908"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Tetrapropylammonium 2-hydroxy-4-morpholinepropanesulfate</w:t>
            </w:r>
          </w:p>
        </w:tc>
        <w:tc>
          <w:tcPr>
            <w:tcW w:w="3575"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[(C</w:t>
            </w:r>
            <w:r w:rsidRPr="00DF0006">
              <w:rPr>
                <w:color w:val="000000"/>
                <w:vertAlign w:val="subscript"/>
                <w:lang w:val="en-GB" w:eastAsia="en-GB"/>
              </w:rPr>
              <w:t>3</w:t>
            </w:r>
            <w:r w:rsidRPr="00DF0006">
              <w:rPr>
                <w:color w:val="000000"/>
                <w:lang w:val="en-GB" w:eastAsia="en-GB"/>
              </w:rPr>
              <w:t>)</w:t>
            </w:r>
            <w:r w:rsidRPr="00DF0006">
              <w:rPr>
                <w:color w:val="000000"/>
                <w:vertAlign w:val="subscript"/>
                <w:lang w:val="en-GB" w:eastAsia="en-GB"/>
              </w:rPr>
              <w:t>4</w:t>
            </w:r>
            <w:r w:rsidRPr="00DF0006">
              <w:rPr>
                <w:color w:val="000000"/>
                <w:lang w:val="en-GB" w:eastAsia="en-GB"/>
              </w:rPr>
              <w:t>N][MOPSO]</w:t>
            </w:r>
          </w:p>
        </w:tc>
        <w:tc>
          <w:tcPr>
            <w:tcW w:w="636"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0.22</w:t>
            </w:r>
          </w:p>
        </w:tc>
        <w:tc>
          <w:tcPr>
            <w:tcW w:w="894"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0.83</w:t>
            </w:r>
          </w:p>
        </w:tc>
        <w:tc>
          <w:tcPr>
            <w:tcW w:w="861" w:type="dxa"/>
            <w:tcBorders>
              <w:top w:val="nil"/>
              <w:left w:val="nil"/>
              <w:bottom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0.98</w:t>
            </w:r>
          </w:p>
        </w:tc>
        <w:tc>
          <w:tcPr>
            <w:tcW w:w="960" w:type="dxa"/>
            <w:tcBorders>
              <w:top w:val="nil"/>
              <w:left w:val="nil"/>
              <w:bottom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18a</w:t>
            </w:r>
          </w:p>
        </w:tc>
      </w:tr>
      <w:tr w:rsidR="00647532" w:rsidRPr="00DF0006" w:rsidTr="00983BC5">
        <w:trPr>
          <w:trHeight w:val="300"/>
        </w:trPr>
        <w:tc>
          <w:tcPr>
            <w:tcW w:w="7908" w:type="dxa"/>
            <w:tcBorders>
              <w:top w:val="nil"/>
              <w:left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Triethanolmethylammonium methylsulfate</w:t>
            </w:r>
          </w:p>
        </w:tc>
        <w:tc>
          <w:tcPr>
            <w:tcW w:w="3575" w:type="dxa"/>
            <w:tcBorders>
              <w:top w:val="nil"/>
              <w:left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2</w:t>
            </w:r>
            <w:r w:rsidRPr="00DF0006">
              <w:rPr>
                <w:color w:val="000000"/>
                <w:lang w:val="en-GB" w:eastAsia="en-GB"/>
              </w:rPr>
              <w:t>)</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N][MeSO4]</w:t>
            </w:r>
          </w:p>
        </w:tc>
        <w:tc>
          <w:tcPr>
            <w:tcW w:w="636" w:type="dxa"/>
            <w:tcBorders>
              <w:top w:val="nil"/>
              <w:left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1.1</w:t>
            </w:r>
          </w:p>
        </w:tc>
        <w:tc>
          <w:tcPr>
            <w:tcW w:w="894" w:type="dxa"/>
            <w:tcBorders>
              <w:top w:val="nil"/>
              <w:left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0.44</w:t>
            </w:r>
          </w:p>
        </w:tc>
        <w:tc>
          <w:tcPr>
            <w:tcW w:w="861" w:type="dxa"/>
            <w:tcBorders>
              <w:top w:val="nil"/>
              <w:left w:val="nil"/>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1.14</w:t>
            </w:r>
          </w:p>
        </w:tc>
        <w:tc>
          <w:tcPr>
            <w:tcW w:w="960" w:type="dxa"/>
            <w:tcBorders>
              <w:top w:val="nil"/>
              <w:left w:val="nil"/>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r>
      <w:tr w:rsidR="00647532" w:rsidRPr="00DF0006" w:rsidTr="00983BC5">
        <w:trPr>
          <w:trHeight w:val="300"/>
        </w:trPr>
        <w:tc>
          <w:tcPr>
            <w:tcW w:w="7908" w:type="dxa"/>
            <w:tcBorders>
              <w:top w:val="nil"/>
              <w:left w:val="nil"/>
              <w:bottom w:val="single" w:sz="4" w:space="0" w:color="auto"/>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sidRPr="00DF0006">
              <w:rPr>
                <w:color w:val="000000"/>
                <w:lang w:val="en-GB" w:eastAsia="en-GB"/>
              </w:rPr>
              <w:t>Triethanolmethylammonium triflate</w:t>
            </w:r>
          </w:p>
        </w:tc>
        <w:tc>
          <w:tcPr>
            <w:tcW w:w="3575" w:type="dxa"/>
            <w:tcBorders>
              <w:top w:val="nil"/>
              <w:left w:val="nil"/>
              <w:bottom w:val="single" w:sz="4" w:space="0" w:color="auto"/>
              <w:right w:val="nil"/>
            </w:tcBorders>
            <w:shd w:val="clear" w:color="auto" w:fill="auto"/>
            <w:noWrap/>
            <w:vAlign w:val="bottom"/>
            <w:hideMark/>
          </w:tcPr>
          <w:p w:rsidR="00647532" w:rsidRPr="00DF0006" w:rsidRDefault="00647532" w:rsidP="00CA5303">
            <w:pPr>
              <w:spacing w:line="276" w:lineRule="auto"/>
              <w:rPr>
                <w:color w:val="000000"/>
                <w:lang w:val="en-GB" w:eastAsia="en-GB"/>
              </w:rPr>
            </w:pPr>
            <w:r>
              <w:rPr>
                <w:color w:val="000000"/>
                <w:lang w:val="en-GB" w:eastAsia="en-GB"/>
              </w:rPr>
              <w:t>[((</w:t>
            </w:r>
            <w:r w:rsidRPr="00DF0006">
              <w:rPr>
                <w:color w:val="000000"/>
                <w:lang w:val="en-GB" w:eastAsia="en-GB"/>
              </w:rPr>
              <w:t>HO</w:t>
            </w:r>
            <w:r>
              <w:rPr>
                <w:color w:val="000000"/>
                <w:lang w:val="en-GB" w:eastAsia="en-GB"/>
              </w:rPr>
              <w:t>)</w:t>
            </w:r>
            <w:r w:rsidRPr="00DF0006">
              <w:rPr>
                <w:color w:val="000000"/>
                <w:vertAlign w:val="superscript"/>
                <w:lang w:val="en-GB" w:eastAsia="en-GB"/>
              </w:rPr>
              <w:t>2</w:t>
            </w:r>
            <w:r w:rsidRPr="00DF0006">
              <w:rPr>
                <w:color w:val="000000"/>
                <w:lang w:val="en-GB" w:eastAsia="en-GB"/>
              </w:rPr>
              <w:t>C</w:t>
            </w:r>
            <w:r w:rsidRPr="00DF0006">
              <w:rPr>
                <w:color w:val="000000"/>
                <w:vertAlign w:val="subscript"/>
                <w:lang w:val="en-GB" w:eastAsia="en-GB"/>
              </w:rPr>
              <w:t>2</w:t>
            </w:r>
            <w:r w:rsidRPr="00DF0006">
              <w:rPr>
                <w:color w:val="000000"/>
                <w:lang w:val="en-GB" w:eastAsia="en-GB"/>
              </w:rPr>
              <w:t>)</w:t>
            </w:r>
            <w:r w:rsidRPr="00DF0006">
              <w:rPr>
                <w:color w:val="000000"/>
                <w:vertAlign w:val="subscript"/>
                <w:lang w:val="en-GB" w:eastAsia="en-GB"/>
              </w:rPr>
              <w:t>3</w:t>
            </w:r>
            <w:r w:rsidRPr="00DF0006">
              <w:rPr>
                <w:color w:val="000000"/>
                <w:lang w:val="en-GB" w:eastAsia="en-GB"/>
              </w:rPr>
              <w:t>C</w:t>
            </w:r>
            <w:r w:rsidRPr="00DF0006">
              <w:rPr>
                <w:color w:val="000000"/>
                <w:vertAlign w:val="subscript"/>
                <w:lang w:val="en-GB" w:eastAsia="en-GB"/>
              </w:rPr>
              <w:t>1</w:t>
            </w:r>
            <w:r w:rsidRPr="00DF0006">
              <w:rPr>
                <w:color w:val="000000"/>
                <w:lang w:val="en-GB" w:eastAsia="en-GB"/>
              </w:rPr>
              <w:t>N][OTf]</w:t>
            </w:r>
          </w:p>
        </w:tc>
        <w:tc>
          <w:tcPr>
            <w:tcW w:w="636" w:type="dxa"/>
            <w:tcBorders>
              <w:top w:val="nil"/>
              <w:left w:val="nil"/>
              <w:bottom w:val="single" w:sz="4" w:space="0" w:color="auto"/>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1.06</w:t>
            </w:r>
          </w:p>
        </w:tc>
        <w:tc>
          <w:tcPr>
            <w:tcW w:w="894" w:type="dxa"/>
            <w:tcBorders>
              <w:top w:val="nil"/>
              <w:left w:val="nil"/>
              <w:bottom w:val="single" w:sz="4" w:space="0" w:color="auto"/>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0.29</w:t>
            </w:r>
          </w:p>
        </w:tc>
        <w:tc>
          <w:tcPr>
            <w:tcW w:w="861" w:type="dxa"/>
            <w:tcBorders>
              <w:top w:val="nil"/>
              <w:left w:val="nil"/>
              <w:bottom w:val="single" w:sz="4" w:space="0" w:color="auto"/>
              <w:right w:val="nil"/>
            </w:tcBorders>
            <w:shd w:val="clear" w:color="auto" w:fill="auto"/>
            <w:noWrap/>
            <w:vAlign w:val="bottom"/>
            <w:hideMark/>
          </w:tcPr>
          <w:p w:rsidR="00647532" w:rsidRPr="00DF0006" w:rsidRDefault="00647532" w:rsidP="00CA5303">
            <w:pPr>
              <w:spacing w:line="276" w:lineRule="auto"/>
              <w:jc w:val="right"/>
              <w:rPr>
                <w:color w:val="000000"/>
                <w:lang w:val="en-GB" w:eastAsia="en-GB"/>
              </w:rPr>
            </w:pPr>
            <w:r w:rsidRPr="00DF0006">
              <w:rPr>
                <w:color w:val="000000"/>
                <w:lang w:val="en-GB" w:eastAsia="en-GB"/>
              </w:rPr>
              <w:t>1.16</w:t>
            </w:r>
          </w:p>
        </w:tc>
        <w:tc>
          <w:tcPr>
            <w:tcW w:w="960" w:type="dxa"/>
            <w:tcBorders>
              <w:top w:val="nil"/>
              <w:left w:val="nil"/>
              <w:bottom w:val="single" w:sz="4" w:space="0" w:color="auto"/>
              <w:right w:val="nil"/>
            </w:tcBorders>
            <w:shd w:val="clear" w:color="auto" w:fill="auto"/>
            <w:noWrap/>
            <w:vAlign w:val="bottom"/>
            <w:hideMark/>
          </w:tcPr>
          <w:p w:rsidR="00647532" w:rsidRPr="00DF0006" w:rsidRDefault="00647532" w:rsidP="00CA5303">
            <w:pPr>
              <w:spacing w:line="276" w:lineRule="auto"/>
              <w:rPr>
                <w:color w:val="000000"/>
                <w:lang w:val="en-GB" w:eastAsia="en-GB"/>
              </w:rPr>
            </w:pPr>
          </w:p>
        </w:tc>
      </w:tr>
    </w:tbl>
    <w:p w:rsidR="005E29B6" w:rsidRDefault="005E29B6" w:rsidP="008B2A31">
      <w:pPr>
        <w:spacing w:line="276" w:lineRule="auto"/>
        <w:jc w:val="both"/>
        <w:rPr>
          <w:b/>
          <w:sz w:val="28"/>
          <w:szCs w:val="28"/>
        </w:rPr>
        <w:sectPr w:rsidR="005E29B6" w:rsidSect="005E29B6">
          <w:endnotePr>
            <w:numFmt w:val="decimal"/>
          </w:endnotePr>
          <w:pgSz w:w="16840" w:h="11907" w:orient="landscape" w:code="9"/>
          <w:pgMar w:top="1797" w:right="1440" w:bottom="1797" w:left="1440" w:header="720" w:footer="720" w:gutter="0"/>
          <w:cols w:space="720"/>
          <w:docGrid w:linePitch="360"/>
        </w:sectPr>
      </w:pPr>
    </w:p>
    <w:p w:rsidR="00945FB2" w:rsidRPr="00B30E82" w:rsidRDefault="00945FB2" w:rsidP="008B2A31">
      <w:pPr>
        <w:spacing w:line="276" w:lineRule="auto"/>
        <w:jc w:val="both"/>
        <w:rPr>
          <w:b/>
          <w:sz w:val="28"/>
          <w:szCs w:val="28"/>
        </w:rPr>
      </w:pPr>
      <w:r w:rsidRPr="007E0FF1">
        <w:rPr>
          <w:b/>
          <w:sz w:val="28"/>
          <w:szCs w:val="28"/>
        </w:rPr>
        <w:lastRenderedPageBreak/>
        <w:t>References</w:t>
      </w:r>
    </w:p>
    <w:p w:rsidR="00AD497A" w:rsidRDefault="00AD497A" w:rsidP="008B2A31">
      <w:pPr>
        <w:spacing w:line="276" w:lineRule="auto"/>
      </w:pPr>
    </w:p>
    <w:sectPr w:rsidR="00AD497A" w:rsidSect="005E29B6">
      <w:endnotePr>
        <w:numFmt w:val="decimal"/>
      </w:endnotePr>
      <w:pgSz w:w="11907" w:h="16840" w:code="9"/>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A9F" w:rsidRDefault="001D7A9F" w:rsidP="009C15D3">
      <w:r>
        <w:separator/>
      </w:r>
    </w:p>
  </w:endnote>
  <w:endnote w:type="continuationSeparator" w:id="0">
    <w:p w:rsidR="001D7A9F" w:rsidRDefault="001D7A9F" w:rsidP="009C15D3">
      <w:r>
        <w:continuationSeparator/>
      </w:r>
    </w:p>
  </w:endnote>
  <w:endnote w:id="1">
    <w:p w:rsidR="00C96C12" w:rsidRPr="009C577E"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w:t>
      </w:r>
      <w:r>
        <w:rPr>
          <w:sz w:val="24"/>
          <w:szCs w:val="24"/>
        </w:rPr>
        <w:t xml:space="preserve">(a) </w:t>
      </w:r>
      <w:r w:rsidRPr="009C577E">
        <w:rPr>
          <w:rStyle w:val="BodyText2Char"/>
          <w:rFonts w:ascii="Times New Roman" w:hAnsi="Times New Roman" w:cs="Times New Roman"/>
          <w:sz w:val="24"/>
          <w:szCs w:val="24"/>
        </w:rPr>
        <w:t>“Ionic Liquids in Synthesis”, P. Wasserschied and T. Welton (eds.), VCH Wiley, Weinheim, 2</w:t>
      </w:r>
      <w:r w:rsidRPr="009C577E">
        <w:rPr>
          <w:rStyle w:val="BodyText2Char"/>
          <w:rFonts w:ascii="Times New Roman" w:hAnsi="Times New Roman" w:cs="Times New Roman"/>
          <w:sz w:val="24"/>
          <w:szCs w:val="24"/>
          <w:vertAlign w:val="superscript"/>
        </w:rPr>
        <w:t>nd</w:t>
      </w:r>
      <w:r>
        <w:rPr>
          <w:rStyle w:val="BodyText2Char"/>
          <w:rFonts w:ascii="Times New Roman" w:hAnsi="Times New Roman" w:cs="Times New Roman"/>
          <w:sz w:val="24"/>
          <w:szCs w:val="24"/>
        </w:rPr>
        <w:t xml:space="preserve"> edition, 2007.</w:t>
      </w:r>
    </w:p>
  </w:endnote>
  <w:endnote w:id="2">
    <w:p w:rsidR="00C96C12" w:rsidRDefault="00C96C12" w:rsidP="008B2A31">
      <w:pPr>
        <w:pStyle w:val="EndnoteText"/>
        <w:spacing w:line="276" w:lineRule="auto"/>
      </w:pPr>
      <w:r>
        <w:rPr>
          <w:rStyle w:val="EndnoteReference"/>
        </w:rPr>
        <w:endnoteRef/>
      </w:r>
      <w:r>
        <w:t xml:space="preserve"> </w:t>
      </w:r>
      <w:r>
        <w:rPr>
          <w:rStyle w:val="BodyText2Char"/>
          <w:rFonts w:ascii="Times New Roman" w:hAnsi="Times New Roman" w:cs="Times New Roman"/>
          <w:sz w:val="24"/>
          <w:szCs w:val="24"/>
        </w:rPr>
        <w:t xml:space="preserve">J. P. Hallett, T. Welton, </w:t>
      </w:r>
      <w:r>
        <w:rPr>
          <w:rStyle w:val="BodyText2Char"/>
          <w:rFonts w:ascii="Times New Roman" w:hAnsi="Times New Roman" w:cs="Times New Roman"/>
          <w:i/>
          <w:sz w:val="24"/>
          <w:szCs w:val="24"/>
        </w:rPr>
        <w:t>Chem. Rev.</w:t>
      </w:r>
      <w:r>
        <w:rPr>
          <w:rStyle w:val="BodyText2Char"/>
          <w:rFonts w:ascii="Times New Roman" w:hAnsi="Times New Roman" w:cs="Times New Roman"/>
          <w:sz w:val="24"/>
          <w:szCs w:val="24"/>
        </w:rPr>
        <w:t xml:space="preserve">, 2011, </w:t>
      </w:r>
      <w:r>
        <w:rPr>
          <w:rStyle w:val="BodyText2Char"/>
          <w:rFonts w:ascii="Times New Roman" w:hAnsi="Times New Roman" w:cs="Times New Roman"/>
          <w:b/>
          <w:sz w:val="24"/>
          <w:szCs w:val="24"/>
        </w:rPr>
        <w:t>111</w:t>
      </w:r>
      <w:r>
        <w:rPr>
          <w:rStyle w:val="BodyText2Char"/>
          <w:rFonts w:ascii="Times New Roman" w:hAnsi="Times New Roman" w:cs="Times New Roman"/>
          <w:sz w:val="24"/>
          <w:szCs w:val="24"/>
        </w:rPr>
        <w:t xml:space="preserve">, </w:t>
      </w:r>
      <w:r w:rsidRPr="00BB6018">
        <w:rPr>
          <w:sz w:val="24"/>
          <w:szCs w:val="24"/>
          <w:lang w:val="en-US"/>
        </w:rPr>
        <w:t>3</w:t>
      </w:r>
      <w:r>
        <w:rPr>
          <w:sz w:val="24"/>
          <w:szCs w:val="24"/>
          <w:lang w:val="en-US"/>
        </w:rPr>
        <w:t>508</w:t>
      </w:r>
      <w:r>
        <w:rPr>
          <w:rStyle w:val="BodyText2Char"/>
          <w:rFonts w:ascii="Times New Roman" w:hAnsi="Times New Roman" w:cs="Times New Roman"/>
          <w:sz w:val="24"/>
          <w:szCs w:val="24"/>
        </w:rPr>
        <w:t>.</w:t>
      </w:r>
    </w:p>
  </w:endnote>
  <w:endnote w:id="3">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N. V.</w:t>
      </w:r>
      <w:r>
        <w:rPr>
          <w:sz w:val="24"/>
          <w:szCs w:val="24"/>
        </w:rPr>
        <w:t xml:space="preserve"> </w:t>
      </w:r>
      <w:r w:rsidRPr="003E185C">
        <w:rPr>
          <w:sz w:val="24"/>
          <w:szCs w:val="24"/>
        </w:rPr>
        <w:t>Plechkova,</w:t>
      </w:r>
      <w:r w:rsidRPr="00C457CA">
        <w:rPr>
          <w:sz w:val="24"/>
          <w:szCs w:val="24"/>
        </w:rPr>
        <w:t xml:space="preserve"> </w:t>
      </w:r>
      <w:r w:rsidRPr="003E185C">
        <w:rPr>
          <w:sz w:val="24"/>
          <w:szCs w:val="24"/>
        </w:rPr>
        <w:t xml:space="preserve">K. R.  Seddon, </w:t>
      </w:r>
      <w:r w:rsidRPr="003E185C">
        <w:rPr>
          <w:i/>
          <w:sz w:val="24"/>
          <w:szCs w:val="24"/>
        </w:rPr>
        <w:t>Chem. Soc. Rev.</w:t>
      </w:r>
      <w:r>
        <w:rPr>
          <w:sz w:val="24"/>
          <w:szCs w:val="24"/>
        </w:rPr>
        <w:t>,</w:t>
      </w:r>
      <w:r w:rsidRPr="003E185C">
        <w:rPr>
          <w:sz w:val="24"/>
          <w:szCs w:val="24"/>
        </w:rPr>
        <w:t xml:space="preserve"> </w:t>
      </w:r>
      <w:r w:rsidRPr="00C457CA">
        <w:rPr>
          <w:sz w:val="24"/>
          <w:szCs w:val="24"/>
        </w:rPr>
        <w:t>2008</w:t>
      </w:r>
      <w:r w:rsidRPr="003E185C">
        <w:rPr>
          <w:sz w:val="24"/>
          <w:szCs w:val="24"/>
        </w:rPr>
        <w:t xml:space="preserve">, </w:t>
      </w:r>
      <w:r w:rsidRPr="00C457CA">
        <w:rPr>
          <w:b/>
          <w:sz w:val="24"/>
          <w:szCs w:val="24"/>
        </w:rPr>
        <w:t>37</w:t>
      </w:r>
      <w:r w:rsidRPr="003E185C">
        <w:rPr>
          <w:sz w:val="24"/>
          <w:szCs w:val="24"/>
        </w:rPr>
        <w:t>, 123.</w:t>
      </w:r>
    </w:p>
  </w:endnote>
  <w:endnote w:id="4">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C. F.</w:t>
      </w:r>
      <w:r>
        <w:rPr>
          <w:sz w:val="24"/>
          <w:szCs w:val="24"/>
        </w:rPr>
        <w:t xml:space="preserve"> </w:t>
      </w:r>
      <w:r w:rsidRPr="003E185C">
        <w:rPr>
          <w:sz w:val="24"/>
          <w:szCs w:val="24"/>
        </w:rPr>
        <w:t xml:space="preserve">Poole, </w:t>
      </w:r>
      <w:r w:rsidRPr="003E185C">
        <w:rPr>
          <w:i/>
          <w:sz w:val="24"/>
          <w:szCs w:val="24"/>
        </w:rPr>
        <w:t>J. Chromatogr. A</w:t>
      </w:r>
      <w:r>
        <w:rPr>
          <w:sz w:val="24"/>
          <w:szCs w:val="24"/>
        </w:rPr>
        <w:t>,</w:t>
      </w:r>
      <w:r w:rsidRPr="003E185C">
        <w:rPr>
          <w:sz w:val="24"/>
          <w:szCs w:val="24"/>
        </w:rPr>
        <w:t xml:space="preserve"> </w:t>
      </w:r>
      <w:r w:rsidRPr="00C457CA">
        <w:rPr>
          <w:sz w:val="24"/>
          <w:szCs w:val="24"/>
        </w:rPr>
        <w:t>2004</w:t>
      </w:r>
      <w:r w:rsidRPr="003E185C">
        <w:rPr>
          <w:sz w:val="24"/>
          <w:szCs w:val="24"/>
        </w:rPr>
        <w:t xml:space="preserve">, </w:t>
      </w:r>
      <w:r w:rsidRPr="00C457CA">
        <w:rPr>
          <w:b/>
          <w:sz w:val="24"/>
          <w:szCs w:val="24"/>
        </w:rPr>
        <w:t>1037</w:t>
      </w:r>
      <w:r w:rsidRPr="003E185C">
        <w:rPr>
          <w:sz w:val="24"/>
          <w:szCs w:val="24"/>
        </w:rPr>
        <w:t>, 49.</w:t>
      </w:r>
    </w:p>
  </w:endnote>
  <w:endnote w:id="5">
    <w:p w:rsidR="00C96C12" w:rsidRPr="003E185C" w:rsidRDefault="00C96C12" w:rsidP="008B2A31">
      <w:pPr>
        <w:pStyle w:val="EndnoteText"/>
        <w:spacing w:line="276" w:lineRule="auto"/>
        <w:rPr>
          <w:sz w:val="24"/>
          <w:szCs w:val="24"/>
          <w:lang w:val="de-DE"/>
        </w:rPr>
      </w:pPr>
      <w:r w:rsidRPr="003E185C">
        <w:rPr>
          <w:rStyle w:val="EndnoteReference"/>
          <w:sz w:val="24"/>
          <w:szCs w:val="24"/>
        </w:rPr>
        <w:endnoteRef/>
      </w:r>
      <w:r w:rsidRPr="003E185C">
        <w:rPr>
          <w:sz w:val="24"/>
          <w:szCs w:val="24"/>
          <w:lang w:val="de-DE"/>
        </w:rPr>
        <w:t xml:space="preserve"> </w:t>
      </w:r>
      <w:r w:rsidRPr="003E185C">
        <w:rPr>
          <w:sz w:val="24"/>
          <w:szCs w:val="24"/>
        </w:rPr>
        <w:t>H.</w:t>
      </w:r>
      <w:r>
        <w:rPr>
          <w:sz w:val="24"/>
          <w:szCs w:val="24"/>
        </w:rPr>
        <w:t xml:space="preserve"> </w:t>
      </w:r>
      <w:r w:rsidRPr="003E185C">
        <w:rPr>
          <w:sz w:val="24"/>
          <w:szCs w:val="24"/>
        </w:rPr>
        <w:t xml:space="preserve">Weingärtner, </w:t>
      </w:r>
      <w:r w:rsidRPr="003E185C">
        <w:rPr>
          <w:i/>
          <w:sz w:val="24"/>
          <w:szCs w:val="24"/>
        </w:rPr>
        <w:t>Angew. Chem. Int. Ed.</w:t>
      </w:r>
      <w:r>
        <w:rPr>
          <w:sz w:val="24"/>
          <w:szCs w:val="24"/>
        </w:rPr>
        <w:t>,</w:t>
      </w:r>
      <w:r w:rsidRPr="003E185C">
        <w:rPr>
          <w:sz w:val="24"/>
          <w:szCs w:val="24"/>
        </w:rPr>
        <w:t xml:space="preserve"> </w:t>
      </w:r>
      <w:r w:rsidRPr="00C457CA">
        <w:rPr>
          <w:sz w:val="24"/>
          <w:szCs w:val="24"/>
        </w:rPr>
        <w:t>2008</w:t>
      </w:r>
      <w:r w:rsidRPr="003E185C">
        <w:rPr>
          <w:sz w:val="24"/>
          <w:szCs w:val="24"/>
        </w:rPr>
        <w:t xml:space="preserve">, </w:t>
      </w:r>
      <w:r w:rsidRPr="00C457CA">
        <w:rPr>
          <w:b/>
          <w:sz w:val="24"/>
          <w:szCs w:val="24"/>
        </w:rPr>
        <w:t>47</w:t>
      </w:r>
      <w:r w:rsidRPr="003E185C">
        <w:rPr>
          <w:sz w:val="24"/>
          <w:szCs w:val="24"/>
        </w:rPr>
        <w:t>, 654.</w:t>
      </w:r>
    </w:p>
  </w:endnote>
  <w:endnote w:id="6">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(a) </w:t>
      </w:r>
      <w:r w:rsidRPr="003E185C">
        <w:rPr>
          <w:sz w:val="24"/>
          <w:szCs w:val="24"/>
          <w:lang w:val="de-DE"/>
        </w:rPr>
        <w:t xml:space="preserve">C. Reichardt, </w:t>
      </w:r>
      <w:r w:rsidRPr="003E185C">
        <w:rPr>
          <w:i/>
          <w:sz w:val="24"/>
          <w:szCs w:val="24"/>
          <w:lang w:val="de-DE"/>
        </w:rPr>
        <w:t>Green Chem</w:t>
      </w:r>
      <w:r w:rsidRPr="003E185C">
        <w:rPr>
          <w:sz w:val="24"/>
          <w:szCs w:val="24"/>
          <w:lang w:val="de-DE"/>
        </w:rPr>
        <w:t xml:space="preserve">., </w:t>
      </w:r>
      <w:r w:rsidRPr="00C457CA">
        <w:rPr>
          <w:sz w:val="24"/>
          <w:szCs w:val="24"/>
          <w:lang w:val="de-DE"/>
        </w:rPr>
        <w:t>2005</w:t>
      </w:r>
      <w:r w:rsidRPr="003E185C">
        <w:rPr>
          <w:sz w:val="24"/>
          <w:szCs w:val="24"/>
          <w:lang w:val="de-DE"/>
        </w:rPr>
        <w:t xml:space="preserve">, </w:t>
      </w:r>
      <w:r w:rsidRPr="00C457CA">
        <w:rPr>
          <w:b/>
          <w:sz w:val="24"/>
          <w:szCs w:val="24"/>
          <w:lang w:val="de-DE"/>
        </w:rPr>
        <w:t>7</w:t>
      </w:r>
      <w:r>
        <w:rPr>
          <w:sz w:val="24"/>
          <w:szCs w:val="24"/>
          <w:lang w:val="de-DE"/>
        </w:rPr>
        <w:t xml:space="preserve">, 339; (b) </w:t>
      </w:r>
      <w:r>
        <w:rPr>
          <w:bCs/>
          <w:sz w:val="24"/>
          <w:szCs w:val="24"/>
        </w:rPr>
        <w:t xml:space="preserve">A. J. </w:t>
      </w:r>
      <w:r w:rsidRPr="003E185C">
        <w:rPr>
          <w:bCs/>
          <w:sz w:val="24"/>
          <w:szCs w:val="24"/>
        </w:rPr>
        <w:t>Carmichael,</w:t>
      </w:r>
      <w:r w:rsidRPr="003E185C">
        <w:rPr>
          <w:sz w:val="24"/>
          <w:szCs w:val="24"/>
        </w:rPr>
        <w:t xml:space="preserve"> K. R. Seddon, </w:t>
      </w:r>
      <w:r w:rsidRPr="003E185C">
        <w:rPr>
          <w:i/>
          <w:sz w:val="24"/>
          <w:szCs w:val="24"/>
        </w:rPr>
        <w:t>J. Phys. Org. Chem.</w:t>
      </w:r>
      <w:r w:rsidRPr="003E185C">
        <w:rPr>
          <w:sz w:val="24"/>
          <w:szCs w:val="24"/>
        </w:rPr>
        <w:t xml:space="preserve">, </w:t>
      </w:r>
      <w:r w:rsidRPr="00C457CA">
        <w:rPr>
          <w:bCs/>
          <w:sz w:val="24"/>
          <w:szCs w:val="24"/>
        </w:rPr>
        <w:t>2000</w:t>
      </w:r>
      <w:r w:rsidRPr="003E185C">
        <w:rPr>
          <w:bCs/>
          <w:sz w:val="24"/>
          <w:szCs w:val="24"/>
        </w:rPr>
        <w:t xml:space="preserve">, </w:t>
      </w:r>
      <w:r w:rsidRPr="00C457CA">
        <w:rPr>
          <w:b/>
          <w:bCs/>
          <w:sz w:val="24"/>
          <w:szCs w:val="24"/>
        </w:rPr>
        <w:t>13</w:t>
      </w:r>
      <w:r w:rsidRPr="003E185C">
        <w:rPr>
          <w:bCs/>
          <w:sz w:val="24"/>
          <w:szCs w:val="24"/>
        </w:rPr>
        <w:t>,</w:t>
      </w:r>
      <w:r>
        <w:rPr>
          <w:sz w:val="24"/>
          <w:szCs w:val="24"/>
        </w:rPr>
        <w:t xml:space="preserve"> 591; (c</w:t>
      </w:r>
      <w:r w:rsidRPr="003E185C">
        <w:rPr>
          <w:sz w:val="24"/>
          <w:szCs w:val="24"/>
        </w:rPr>
        <w:t>) W.</w:t>
      </w:r>
      <w:r>
        <w:rPr>
          <w:sz w:val="24"/>
          <w:szCs w:val="24"/>
        </w:rPr>
        <w:t xml:space="preserve"> </w:t>
      </w:r>
      <w:r w:rsidRPr="003E185C">
        <w:rPr>
          <w:sz w:val="24"/>
          <w:szCs w:val="24"/>
        </w:rPr>
        <w:t>Ogihara, T.</w:t>
      </w:r>
      <w:r>
        <w:rPr>
          <w:sz w:val="24"/>
          <w:szCs w:val="24"/>
        </w:rPr>
        <w:t xml:space="preserve"> </w:t>
      </w:r>
      <w:r w:rsidRPr="003E185C">
        <w:rPr>
          <w:sz w:val="24"/>
          <w:szCs w:val="24"/>
        </w:rPr>
        <w:t xml:space="preserve">Aoyama, H. Ohno, </w:t>
      </w:r>
      <w:r w:rsidRPr="003E185C">
        <w:rPr>
          <w:i/>
          <w:sz w:val="24"/>
          <w:szCs w:val="24"/>
        </w:rPr>
        <w:t xml:space="preserve">Chem. </w:t>
      </w:r>
      <w:r w:rsidRPr="003E185C">
        <w:rPr>
          <w:i/>
          <w:sz w:val="24"/>
          <w:szCs w:val="24"/>
          <w:lang w:val="de-DE"/>
        </w:rPr>
        <w:t>Lett</w:t>
      </w:r>
      <w:r w:rsidRPr="003E185C">
        <w:rPr>
          <w:sz w:val="24"/>
          <w:szCs w:val="24"/>
          <w:lang w:val="de-DE"/>
        </w:rPr>
        <w:t xml:space="preserve">., </w:t>
      </w:r>
      <w:r w:rsidRPr="00C457CA">
        <w:rPr>
          <w:sz w:val="24"/>
          <w:szCs w:val="24"/>
          <w:lang w:val="de-DE"/>
        </w:rPr>
        <w:t>2004</w:t>
      </w:r>
      <w:r w:rsidRPr="003E185C">
        <w:rPr>
          <w:sz w:val="24"/>
          <w:szCs w:val="24"/>
          <w:lang w:val="de-DE"/>
        </w:rPr>
        <w:t xml:space="preserve">, </w:t>
      </w:r>
      <w:r w:rsidRPr="00C457CA">
        <w:rPr>
          <w:b/>
          <w:sz w:val="24"/>
          <w:szCs w:val="24"/>
          <w:lang w:val="de-DE"/>
        </w:rPr>
        <w:t>33</w:t>
      </w:r>
      <w:r>
        <w:rPr>
          <w:sz w:val="24"/>
          <w:szCs w:val="24"/>
          <w:lang w:val="de-DE"/>
        </w:rPr>
        <w:t>, 1414; (d</w:t>
      </w:r>
      <w:r w:rsidRPr="003E185C">
        <w:rPr>
          <w:sz w:val="24"/>
          <w:szCs w:val="24"/>
          <w:lang w:val="de-DE"/>
        </w:rPr>
        <w:t xml:space="preserve">) </w:t>
      </w:r>
      <w:r w:rsidRPr="003E185C">
        <w:rPr>
          <w:sz w:val="24"/>
          <w:szCs w:val="24"/>
        </w:rPr>
        <w:t>C. J.</w:t>
      </w:r>
      <w:r>
        <w:rPr>
          <w:sz w:val="24"/>
          <w:szCs w:val="24"/>
        </w:rPr>
        <w:t xml:space="preserve"> </w:t>
      </w:r>
      <w:r w:rsidRPr="003E185C">
        <w:rPr>
          <w:sz w:val="24"/>
          <w:szCs w:val="24"/>
        </w:rPr>
        <w:t>Drummond,</w:t>
      </w:r>
      <w:r>
        <w:rPr>
          <w:sz w:val="24"/>
          <w:szCs w:val="24"/>
        </w:rPr>
        <w:t xml:space="preserve"> D. N.</w:t>
      </w:r>
      <w:r w:rsidRPr="003E185C">
        <w:rPr>
          <w:sz w:val="24"/>
          <w:szCs w:val="24"/>
        </w:rPr>
        <w:t xml:space="preserve"> Furlong, </w:t>
      </w:r>
      <w:r w:rsidRPr="003E185C">
        <w:rPr>
          <w:i/>
          <w:sz w:val="24"/>
          <w:szCs w:val="24"/>
        </w:rPr>
        <w:t>J. Chem. Soc. Faraday Trans.</w:t>
      </w:r>
      <w:r w:rsidRPr="003E185C">
        <w:rPr>
          <w:sz w:val="24"/>
          <w:szCs w:val="24"/>
        </w:rPr>
        <w:t xml:space="preserve">, </w:t>
      </w:r>
      <w:r w:rsidRPr="00C457CA">
        <w:rPr>
          <w:sz w:val="24"/>
          <w:szCs w:val="24"/>
        </w:rPr>
        <w:t>1990</w:t>
      </w:r>
      <w:r w:rsidRPr="003E185C">
        <w:rPr>
          <w:sz w:val="24"/>
          <w:szCs w:val="24"/>
        </w:rPr>
        <w:t xml:space="preserve">, </w:t>
      </w:r>
      <w:r w:rsidRPr="00C457CA">
        <w:rPr>
          <w:b/>
          <w:sz w:val="24"/>
          <w:szCs w:val="24"/>
        </w:rPr>
        <w:t>86</w:t>
      </w:r>
      <w:r w:rsidRPr="003E185C">
        <w:rPr>
          <w:sz w:val="24"/>
          <w:szCs w:val="24"/>
        </w:rPr>
        <w:t>, 3613</w:t>
      </w:r>
      <w:r>
        <w:rPr>
          <w:sz w:val="24"/>
          <w:szCs w:val="24"/>
        </w:rPr>
        <w:t>; (e</w:t>
      </w:r>
      <w:r w:rsidRPr="003E185C">
        <w:rPr>
          <w:sz w:val="24"/>
          <w:szCs w:val="24"/>
        </w:rPr>
        <w:t>)</w:t>
      </w:r>
      <w:r>
        <w:rPr>
          <w:sz w:val="24"/>
          <w:szCs w:val="24"/>
        </w:rPr>
        <w:t xml:space="preserve"> </w:t>
      </w:r>
      <w:r w:rsidRPr="003E185C">
        <w:rPr>
          <w:sz w:val="24"/>
          <w:szCs w:val="24"/>
        </w:rPr>
        <w:t>M. J. Muldoon, C. M</w:t>
      </w:r>
      <w:r>
        <w:rPr>
          <w:sz w:val="24"/>
          <w:szCs w:val="24"/>
        </w:rPr>
        <w:t>.</w:t>
      </w:r>
      <w:r w:rsidRPr="003E185C">
        <w:rPr>
          <w:sz w:val="24"/>
          <w:szCs w:val="24"/>
        </w:rPr>
        <w:t xml:space="preserve"> Gordon</w:t>
      </w:r>
      <w:r>
        <w:rPr>
          <w:sz w:val="24"/>
          <w:szCs w:val="24"/>
        </w:rPr>
        <w:t>,</w:t>
      </w:r>
      <w:r w:rsidRPr="003E185C">
        <w:rPr>
          <w:sz w:val="24"/>
          <w:szCs w:val="24"/>
        </w:rPr>
        <w:t xml:space="preserve"> I. R. Dunkin, </w:t>
      </w:r>
      <w:r w:rsidRPr="003E185C">
        <w:rPr>
          <w:i/>
          <w:sz w:val="24"/>
          <w:szCs w:val="24"/>
        </w:rPr>
        <w:t>J. Chem. Soc., Perkin Trans. 2</w:t>
      </w:r>
      <w:r>
        <w:rPr>
          <w:sz w:val="24"/>
          <w:szCs w:val="24"/>
        </w:rPr>
        <w:t>,</w:t>
      </w:r>
      <w:r w:rsidRPr="003E185C">
        <w:rPr>
          <w:sz w:val="24"/>
          <w:szCs w:val="24"/>
        </w:rPr>
        <w:t xml:space="preserve"> </w:t>
      </w:r>
      <w:r w:rsidRPr="003E185C">
        <w:rPr>
          <w:b/>
          <w:sz w:val="24"/>
          <w:szCs w:val="24"/>
        </w:rPr>
        <w:t>2001</w:t>
      </w:r>
      <w:r>
        <w:rPr>
          <w:sz w:val="24"/>
          <w:szCs w:val="24"/>
        </w:rPr>
        <w:t>, 433; (f</w:t>
      </w:r>
      <w:r w:rsidRPr="003E185C">
        <w:rPr>
          <w:sz w:val="24"/>
          <w:szCs w:val="24"/>
        </w:rPr>
        <w:t xml:space="preserve">) </w:t>
      </w:r>
      <w:r>
        <w:rPr>
          <w:sz w:val="24"/>
          <w:szCs w:val="24"/>
        </w:rPr>
        <w:t xml:space="preserve">J. Bartosik, </w:t>
      </w:r>
      <w:r w:rsidRPr="003E185C">
        <w:rPr>
          <w:sz w:val="24"/>
          <w:szCs w:val="24"/>
        </w:rPr>
        <w:t xml:space="preserve"> A.-V. Mudring, </w:t>
      </w:r>
      <w:r w:rsidRPr="003E185C">
        <w:rPr>
          <w:i/>
          <w:sz w:val="24"/>
          <w:szCs w:val="24"/>
        </w:rPr>
        <w:t>Phys. Chem. Chem. Phys.</w:t>
      </w:r>
      <w:r>
        <w:rPr>
          <w:sz w:val="24"/>
          <w:szCs w:val="24"/>
        </w:rPr>
        <w:t>,</w:t>
      </w:r>
      <w:r w:rsidRPr="003E185C">
        <w:rPr>
          <w:sz w:val="24"/>
          <w:szCs w:val="24"/>
        </w:rPr>
        <w:t xml:space="preserve"> </w:t>
      </w:r>
      <w:r w:rsidRPr="007532AE">
        <w:rPr>
          <w:sz w:val="24"/>
          <w:szCs w:val="24"/>
        </w:rPr>
        <w:t>2010</w:t>
      </w:r>
      <w:r w:rsidRPr="003E185C">
        <w:rPr>
          <w:sz w:val="24"/>
          <w:szCs w:val="24"/>
        </w:rPr>
        <w:t xml:space="preserve">, </w:t>
      </w:r>
      <w:r w:rsidRPr="007532AE">
        <w:rPr>
          <w:b/>
          <w:sz w:val="24"/>
          <w:szCs w:val="24"/>
        </w:rPr>
        <w:t>12</w:t>
      </w:r>
      <w:r w:rsidRPr="003E185C">
        <w:rPr>
          <w:sz w:val="24"/>
          <w:szCs w:val="24"/>
        </w:rPr>
        <w:t>, 4005</w:t>
      </w:r>
      <w:r>
        <w:rPr>
          <w:sz w:val="24"/>
          <w:szCs w:val="24"/>
        </w:rPr>
        <w:t>; (g</w:t>
      </w:r>
      <w:r w:rsidRPr="003E185C">
        <w:rPr>
          <w:sz w:val="24"/>
          <w:szCs w:val="24"/>
        </w:rPr>
        <w:t>)</w:t>
      </w:r>
      <w:r w:rsidRPr="007532AE">
        <w:rPr>
          <w:sz w:val="24"/>
          <w:szCs w:val="24"/>
        </w:rPr>
        <w:t xml:space="preserve"> </w:t>
      </w:r>
      <w:r w:rsidRPr="003E185C">
        <w:rPr>
          <w:sz w:val="24"/>
          <w:szCs w:val="24"/>
        </w:rPr>
        <w:t>Y. Kimura, M.</w:t>
      </w:r>
      <w:r>
        <w:rPr>
          <w:sz w:val="24"/>
          <w:szCs w:val="24"/>
        </w:rPr>
        <w:t xml:space="preserve"> </w:t>
      </w:r>
      <w:r w:rsidRPr="003E185C">
        <w:rPr>
          <w:sz w:val="24"/>
          <w:szCs w:val="24"/>
        </w:rPr>
        <w:t>Fukuda, T</w:t>
      </w:r>
      <w:r>
        <w:rPr>
          <w:sz w:val="24"/>
          <w:szCs w:val="24"/>
        </w:rPr>
        <w:t>.</w:t>
      </w:r>
      <w:r w:rsidRPr="003E185C">
        <w:rPr>
          <w:sz w:val="24"/>
          <w:szCs w:val="24"/>
        </w:rPr>
        <w:t xml:space="preserve"> Fujisawa, M.</w:t>
      </w:r>
      <w:r>
        <w:rPr>
          <w:sz w:val="24"/>
          <w:szCs w:val="24"/>
        </w:rPr>
        <w:t xml:space="preserve"> </w:t>
      </w:r>
      <w:r w:rsidRPr="003E185C">
        <w:rPr>
          <w:sz w:val="24"/>
          <w:szCs w:val="24"/>
        </w:rPr>
        <w:t xml:space="preserve">Terazima, </w:t>
      </w:r>
      <w:r w:rsidRPr="003E185C">
        <w:rPr>
          <w:i/>
          <w:sz w:val="24"/>
          <w:szCs w:val="24"/>
        </w:rPr>
        <w:t>Chem. Lett.</w:t>
      </w:r>
      <w:r>
        <w:rPr>
          <w:sz w:val="24"/>
          <w:szCs w:val="24"/>
        </w:rPr>
        <w:t>,</w:t>
      </w:r>
      <w:r w:rsidRPr="003E185C">
        <w:rPr>
          <w:sz w:val="24"/>
          <w:szCs w:val="24"/>
        </w:rPr>
        <w:t xml:space="preserve"> </w:t>
      </w:r>
      <w:r w:rsidRPr="007532AE">
        <w:rPr>
          <w:sz w:val="24"/>
          <w:szCs w:val="24"/>
        </w:rPr>
        <w:t>2005</w:t>
      </w:r>
      <w:r w:rsidRPr="003E185C">
        <w:rPr>
          <w:sz w:val="24"/>
          <w:szCs w:val="24"/>
        </w:rPr>
        <w:t xml:space="preserve">, </w:t>
      </w:r>
      <w:r w:rsidRPr="007532AE">
        <w:rPr>
          <w:b/>
          <w:sz w:val="24"/>
          <w:szCs w:val="24"/>
        </w:rPr>
        <w:t>34</w:t>
      </w:r>
      <w:r>
        <w:rPr>
          <w:sz w:val="24"/>
          <w:szCs w:val="24"/>
        </w:rPr>
        <w:t>, 338; (h</w:t>
      </w:r>
      <w:r w:rsidRPr="003E185C">
        <w:rPr>
          <w:sz w:val="24"/>
          <w:szCs w:val="24"/>
        </w:rPr>
        <w:t>) T.</w:t>
      </w:r>
      <w:r>
        <w:rPr>
          <w:sz w:val="24"/>
          <w:szCs w:val="24"/>
        </w:rPr>
        <w:t xml:space="preserve"> </w:t>
      </w:r>
      <w:r w:rsidRPr="003E185C">
        <w:rPr>
          <w:sz w:val="24"/>
          <w:szCs w:val="24"/>
        </w:rPr>
        <w:t>Fujisawa, M.</w:t>
      </w:r>
      <w:r>
        <w:rPr>
          <w:sz w:val="24"/>
          <w:szCs w:val="24"/>
        </w:rPr>
        <w:t xml:space="preserve"> </w:t>
      </w:r>
      <w:r w:rsidRPr="003E185C">
        <w:rPr>
          <w:sz w:val="24"/>
          <w:szCs w:val="24"/>
        </w:rPr>
        <w:t>Fukuda, M.; Terazima, Y.</w:t>
      </w:r>
      <w:r>
        <w:rPr>
          <w:sz w:val="24"/>
          <w:szCs w:val="24"/>
        </w:rPr>
        <w:t xml:space="preserve"> </w:t>
      </w:r>
      <w:r w:rsidRPr="003E185C">
        <w:rPr>
          <w:sz w:val="24"/>
          <w:szCs w:val="24"/>
        </w:rPr>
        <w:t xml:space="preserve">Kimura, </w:t>
      </w:r>
      <w:r w:rsidRPr="003E185C">
        <w:rPr>
          <w:i/>
          <w:sz w:val="24"/>
          <w:szCs w:val="24"/>
        </w:rPr>
        <w:t>J. Phys. Chem. A</w:t>
      </w:r>
      <w:r w:rsidRPr="003E185C">
        <w:rPr>
          <w:sz w:val="24"/>
          <w:szCs w:val="24"/>
        </w:rPr>
        <w:t xml:space="preserve">, </w:t>
      </w:r>
      <w:r w:rsidRPr="007532AE">
        <w:rPr>
          <w:i/>
          <w:sz w:val="24"/>
          <w:szCs w:val="24"/>
        </w:rPr>
        <w:t>2006</w:t>
      </w:r>
      <w:r w:rsidRPr="003E185C">
        <w:rPr>
          <w:sz w:val="24"/>
          <w:szCs w:val="24"/>
        </w:rPr>
        <w:t xml:space="preserve">, </w:t>
      </w:r>
      <w:r w:rsidRPr="007532AE">
        <w:rPr>
          <w:b/>
          <w:sz w:val="24"/>
          <w:szCs w:val="24"/>
        </w:rPr>
        <w:t>110</w:t>
      </w:r>
      <w:r w:rsidRPr="003E185C">
        <w:rPr>
          <w:sz w:val="24"/>
          <w:szCs w:val="24"/>
        </w:rPr>
        <w:t>, 6164</w:t>
      </w:r>
      <w:r>
        <w:rPr>
          <w:sz w:val="24"/>
          <w:szCs w:val="24"/>
        </w:rPr>
        <w:t>.</w:t>
      </w:r>
    </w:p>
  </w:endnote>
  <w:endnote w:id="7">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w:t>
      </w:r>
      <w:r>
        <w:rPr>
          <w:sz w:val="24"/>
          <w:szCs w:val="24"/>
        </w:rPr>
        <w:t xml:space="preserve">(a) </w:t>
      </w:r>
      <w:r w:rsidRPr="003E185C">
        <w:rPr>
          <w:sz w:val="24"/>
          <w:szCs w:val="24"/>
        </w:rPr>
        <w:t>S. K</w:t>
      </w:r>
      <w:r>
        <w:rPr>
          <w:sz w:val="24"/>
          <w:szCs w:val="24"/>
        </w:rPr>
        <w:t xml:space="preserve">. </w:t>
      </w:r>
      <w:r w:rsidRPr="003E185C">
        <w:rPr>
          <w:sz w:val="24"/>
          <w:szCs w:val="24"/>
        </w:rPr>
        <w:t xml:space="preserve">Poole, C. F. Poole, </w:t>
      </w:r>
      <w:r w:rsidRPr="003E185C">
        <w:rPr>
          <w:i/>
          <w:sz w:val="24"/>
          <w:szCs w:val="24"/>
        </w:rPr>
        <w:t>Analyst</w:t>
      </w:r>
      <w:r>
        <w:rPr>
          <w:sz w:val="24"/>
          <w:szCs w:val="24"/>
        </w:rPr>
        <w:t>,</w:t>
      </w:r>
      <w:r w:rsidRPr="003E185C">
        <w:rPr>
          <w:sz w:val="24"/>
          <w:szCs w:val="24"/>
        </w:rPr>
        <w:t xml:space="preserve"> </w:t>
      </w:r>
      <w:r w:rsidRPr="007532AE">
        <w:rPr>
          <w:sz w:val="24"/>
          <w:szCs w:val="24"/>
        </w:rPr>
        <w:t>1995</w:t>
      </w:r>
      <w:r w:rsidRPr="003E185C">
        <w:rPr>
          <w:sz w:val="24"/>
          <w:szCs w:val="24"/>
        </w:rPr>
        <w:t xml:space="preserve">, </w:t>
      </w:r>
      <w:r w:rsidRPr="007532AE">
        <w:rPr>
          <w:b/>
          <w:sz w:val="24"/>
          <w:szCs w:val="24"/>
        </w:rPr>
        <w:t>120</w:t>
      </w:r>
      <w:r>
        <w:rPr>
          <w:sz w:val="24"/>
          <w:szCs w:val="24"/>
        </w:rPr>
        <w:t xml:space="preserve">, 289; </w:t>
      </w:r>
      <w:r w:rsidRPr="003E185C">
        <w:rPr>
          <w:sz w:val="24"/>
          <w:szCs w:val="24"/>
        </w:rPr>
        <w:t>(b) Z. S.</w:t>
      </w:r>
      <w:r>
        <w:rPr>
          <w:sz w:val="24"/>
          <w:szCs w:val="24"/>
        </w:rPr>
        <w:t xml:space="preserve"> </w:t>
      </w:r>
      <w:r w:rsidRPr="003E185C">
        <w:rPr>
          <w:sz w:val="24"/>
          <w:szCs w:val="24"/>
        </w:rPr>
        <w:t xml:space="preserve">Breitbach, D. W. Armstrong, </w:t>
      </w:r>
      <w:r w:rsidRPr="003E185C">
        <w:rPr>
          <w:i/>
          <w:sz w:val="24"/>
          <w:szCs w:val="24"/>
        </w:rPr>
        <w:t>Anal. Bioanal. Chem.</w:t>
      </w:r>
      <w:r>
        <w:rPr>
          <w:sz w:val="24"/>
          <w:szCs w:val="24"/>
        </w:rPr>
        <w:t>,</w:t>
      </w:r>
      <w:r w:rsidRPr="003E185C">
        <w:rPr>
          <w:sz w:val="24"/>
          <w:szCs w:val="24"/>
        </w:rPr>
        <w:t xml:space="preserve"> </w:t>
      </w:r>
      <w:r w:rsidRPr="007532AE">
        <w:rPr>
          <w:sz w:val="24"/>
          <w:szCs w:val="24"/>
        </w:rPr>
        <w:t>2008</w:t>
      </w:r>
      <w:r w:rsidRPr="003E185C">
        <w:rPr>
          <w:sz w:val="24"/>
          <w:szCs w:val="24"/>
        </w:rPr>
        <w:t xml:space="preserve">, </w:t>
      </w:r>
      <w:r w:rsidRPr="007532AE">
        <w:rPr>
          <w:b/>
          <w:sz w:val="24"/>
          <w:szCs w:val="24"/>
        </w:rPr>
        <w:t>390</w:t>
      </w:r>
      <w:r w:rsidRPr="003E185C">
        <w:rPr>
          <w:i/>
          <w:sz w:val="24"/>
          <w:szCs w:val="24"/>
        </w:rPr>
        <w:t xml:space="preserve">, </w:t>
      </w:r>
      <w:r w:rsidRPr="003E185C">
        <w:rPr>
          <w:sz w:val="24"/>
          <w:szCs w:val="24"/>
        </w:rPr>
        <w:t>1605; (c) T.</w:t>
      </w:r>
      <w:r>
        <w:rPr>
          <w:sz w:val="24"/>
          <w:szCs w:val="24"/>
        </w:rPr>
        <w:t xml:space="preserve"> </w:t>
      </w:r>
      <w:r w:rsidRPr="003E185C">
        <w:rPr>
          <w:sz w:val="24"/>
          <w:szCs w:val="24"/>
        </w:rPr>
        <w:t>Payagala, Y.</w:t>
      </w:r>
      <w:r>
        <w:rPr>
          <w:sz w:val="24"/>
          <w:szCs w:val="24"/>
        </w:rPr>
        <w:t xml:space="preserve"> </w:t>
      </w:r>
      <w:r w:rsidRPr="003E185C">
        <w:rPr>
          <w:sz w:val="24"/>
          <w:szCs w:val="24"/>
        </w:rPr>
        <w:t>Zhang, E.</w:t>
      </w:r>
      <w:r>
        <w:rPr>
          <w:sz w:val="24"/>
          <w:szCs w:val="24"/>
        </w:rPr>
        <w:t xml:space="preserve"> </w:t>
      </w:r>
      <w:r w:rsidRPr="003E185C">
        <w:rPr>
          <w:sz w:val="24"/>
          <w:szCs w:val="24"/>
        </w:rPr>
        <w:t>Wanigasekara, K.</w:t>
      </w:r>
      <w:r>
        <w:rPr>
          <w:sz w:val="24"/>
          <w:szCs w:val="24"/>
        </w:rPr>
        <w:t xml:space="preserve"> </w:t>
      </w:r>
      <w:r w:rsidRPr="003E185C">
        <w:rPr>
          <w:sz w:val="24"/>
          <w:szCs w:val="24"/>
        </w:rPr>
        <w:t>Huang, Z. S</w:t>
      </w:r>
      <w:r>
        <w:rPr>
          <w:sz w:val="24"/>
          <w:szCs w:val="24"/>
        </w:rPr>
        <w:t>.</w:t>
      </w:r>
      <w:r w:rsidRPr="003E185C">
        <w:rPr>
          <w:sz w:val="24"/>
          <w:szCs w:val="24"/>
        </w:rPr>
        <w:t xml:space="preserve"> Breitbach, (d) Q.</w:t>
      </w:r>
      <w:r>
        <w:rPr>
          <w:sz w:val="24"/>
          <w:szCs w:val="24"/>
        </w:rPr>
        <w:t xml:space="preserve"> </w:t>
      </w:r>
      <w:r w:rsidRPr="003E185C">
        <w:rPr>
          <w:sz w:val="24"/>
          <w:szCs w:val="24"/>
        </w:rPr>
        <w:t>Zhao, J.</w:t>
      </w:r>
      <w:r>
        <w:rPr>
          <w:sz w:val="24"/>
          <w:szCs w:val="24"/>
        </w:rPr>
        <w:t xml:space="preserve"> </w:t>
      </w:r>
      <w:r w:rsidRPr="003E185C">
        <w:rPr>
          <w:sz w:val="24"/>
          <w:szCs w:val="24"/>
        </w:rPr>
        <w:t>Eichhorn, W. R</w:t>
      </w:r>
      <w:r>
        <w:rPr>
          <w:sz w:val="24"/>
          <w:szCs w:val="24"/>
        </w:rPr>
        <w:t>.</w:t>
      </w:r>
      <w:r w:rsidRPr="003E185C">
        <w:rPr>
          <w:sz w:val="24"/>
          <w:szCs w:val="24"/>
        </w:rPr>
        <w:t xml:space="preserve"> Pitner, J. L. Anderson, </w:t>
      </w:r>
      <w:r w:rsidRPr="003E185C">
        <w:rPr>
          <w:i/>
          <w:sz w:val="24"/>
          <w:szCs w:val="24"/>
        </w:rPr>
        <w:t>Anal. Bioanal. Chem.</w:t>
      </w:r>
      <w:r>
        <w:rPr>
          <w:sz w:val="24"/>
          <w:szCs w:val="24"/>
        </w:rPr>
        <w:t>,</w:t>
      </w:r>
      <w:r w:rsidRPr="003E185C">
        <w:rPr>
          <w:sz w:val="24"/>
          <w:szCs w:val="24"/>
        </w:rPr>
        <w:t xml:space="preserve"> </w:t>
      </w:r>
      <w:r w:rsidRPr="007532AE">
        <w:rPr>
          <w:sz w:val="24"/>
          <w:szCs w:val="24"/>
        </w:rPr>
        <w:t>2009</w:t>
      </w:r>
      <w:r w:rsidRPr="003E185C">
        <w:rPr>
          <w:sz w:val="24"/>
          <w:szCs w:val="24"/>
        </w:rPr>
        <w:t xml:space="preserve">, </w:t>
      </w:r>
      <w:r w:rsidRPr="007532AE">
        <w:rPr>
          <w:b/>
          <w:sz w:val="24"/>
          <w:szCs w:val="24"/>
        </w:rPr>
        <w:t>395</w:t>
      </w:r>
      <w:r w:rsidRPr="003E185C">
        <w:rPr>
          <w:sz w:val="24"/>
          <w:szCs w:val="24"/>
        </w:rPr>
        <w:t>, 22</w:t>
      </w:r>
    </w:p>
  </w:endnote>
  <w:endnote w:id="8">
    <w:p w:rsidR="00C96C12" w:rsidRPr="003E185C" w:rsidRDefault="00C96C12" w:rsidP="008B2A31">
      <w:pPr>
        <w:pStyle w:val="EndnoteText"/>
        <w:spacing w:line="276" w:lineRule="auto"/>
        <w:rPr>
          <w:sz w:val="24"/>
          <w:szCs w:val="24"/>
        </w:rPr>
      </w:pPr>
      <w:r w:rsidRPr="003E185C">
        <w:rPr>
          <w:rStyle w:val="EndnoteReference"/>
          <w:sz w:val="24"/>
          <w:szCs w:val="24"/>
        </w:rPr>
        <w:endnoteRef/>
      </w:r>
      <w:r>
        <w:rPr>
          <w:sz w:val="24"/>
          <w:szCs w:val="24"/>
        </w:rPr>
        <w:t xml:space="preserve"> </w:t>
      </w:r>
      <w:r w:rsidRPr="003E185C">
        <w:rPr>
          <w:sz w:val="24"/>
          <w:szCs w:val="24"/>
        </w:rPr>
        <w:t>J. L</w:t>
      </w:r>
      <w:r>
        <w:rPr>
          <w:sz w:val="24"/>
          <w:szCs w:val="24"/>
        </w:rPr>
        <w:t>.</w:t>
      </w:r>
      <w:r w:rsidRPr="003E185C">
        <w:rPr>
          <w:sz w:val="24"/>
          <w:szCs w:val="24"/>
        </w:rPr>
        <w:t xml:space="preserve"> Anderson,</w:t>
      </w:r>
      <w:r>
        <w:rPr>
          <w:sz w:val="24"/>
          <w:szCs w:val="24"/>
        </w:rPr>
        <w:t xml:space="preserve"> J.</w:t>
      </w:r>
      <w:r w:rsidRPr="003E185C">
        <w:rPr>
          <w:sz w:val="24"/>
          <w:szCs w:val="24"/>
        </w:rPr>
        <w:t xml:space="preserve"> Ding, </w:t>
      </w:r>
      <w:r>
        <w:rPr>
          <w:sz w:val="24"/>
          <w:szCs w:val="24"/>
        </w:rPr>
        <w:t xml:space="preserve">T. </w:t>
      </w:r>
      <w:r w:rsidRPr="003E185C">
        <w:rPr>
          <w:sz w:val="24"/>
          <w:szCs w:val="24"/>
        </w:rPr>
        <w:t xml:space="preserve">Welton, </w:t>
      </w:r>
      <w:r>
        <w:rPr>
          <w:sz w:val="24"/>
          <w:szCs w:val="24"/>
        </w:rPr>
        <w:t xml:space="preserve">D. W. </w:t>
      </w:r>
      <w:r w:rsidRPr="003E185C">
        <w:rPr>
          <w:sz w:val="24"/>
          <w:szCs w:val="24"/>
        </w:rPr>
        <w:t xml:space="preserve">Armstrong, </w:t>
      </w:r>
      <w:r w:rsidRPr="003E185C">
        <w:rPr>
          <w:i/>
          <w:sz w:val="24"/>
          <w:szCs w:val="24"/>
        </w:rPr>
        <w:t>J. Am. Chem. Soc.</w:t>
      </w:r>
      <w:r>
        <w:rPr>
          <w:sz w:val="24"/>
          <w:szCs w:val="24"/>
        </w:rPr>
        <w:t>,</w:t>
      </w:r>
      <w:r w:rsidRPr="003E185C">
        <w:rPr>
          <w:sz w:val="24"/>
          <w:szCs w:val="24"/>
        </w:rPr>
        <w:t xml:space="preserve"> </w:t>
      </w:r>
      <w:r w:rsidRPr="007532AE">
        <w:rPr>
          <w:sz w:val="24"/>
          <w:szCs w:val="24"/>
        </w:rPr>
        <w:t>2002</w:t>
      </w:r>
      <w:r w:rsidRPr="003E185C">
        <w:rPr>
          <w:sz w:val="24"/>
          <w:szCs w:val="24"/>
        </w:rPr>
        <w:t xml:space="preserve">, </w:t>
      </w:r>
      <w:r w:rsidRPr="007532AE">
        <w:rPr>
          <w:b/>
          <w:sz w:val="24"/>
          <w:szCs w:val="24"/>
        </w:rPr>
        <w:t>124</w:t>
      </w:r>
      <w:r>
        <w:rPr>
          <w:sz w:val="24"/>
          <w:szCs w:val="24"/>
        </w:rPr>
        <w:t>, 14247</w:t>
      </w:r>
      <w:r w:rsidRPr="003E185C">
        <w:rPr>
          <w:sz w:val="24"/>
          <w:szCs w:val="24"/>
        </w:rPr>
        <w:t>.</w:t>
      </w:r>
    </w:p>
  </w:endnote>
  <w:endnote w:id="9">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“Solvents and Solvent Effects in Organic Chemistry”, </w:t>
      </w:r>
      <w:r>
        <w:rPr>
          <w:i/>
          <w:sz w:val="24"/>
          <w:szCs w:val="24"/>
        </w:rPr>
        <w:t>4</w:t>
      </w:r>
      <w:r w:rsidRPr="00FB3C7F">
        <w:rPr>
          <w:i/>
          <w:sz w:val="24"/>
          <w:szCs w:val="24"/>
          <w:vertAlign w:val="superscript"/>
        </w:rPr>
        <w:t>th</w:t>
      </w:r>
      <w:r w:rsidRPr="003E185C">
        <w:rPr>
          <w:i/>
          <w:sz w:val="24"/>
          <w:szCs w:val="24"/>
        </w:rPr>
        <w:t xml:space="preserve"> Ed</w:t>
      </w:r>
      <w:r w:rsidRPr="003E185C">
        <w:rPr>
          <w:sz w:val="24"/>
          <w:szCs w:val="24"/>
        </w:rPr>
        <w:t xml:space="preserve">., </w:t>
      </w:r>
      <w:r>
        <w:rPr>
          <w:sz w:val="24"/>
          <w:szCs w:val="24"/>
        </w:rPr>
        <w:t xml:space="preserve">C. </w:t>
      </w:r>
      <w:r w:rsidRPr="003E185C">
        <w:rPr>
          <w:sz w:val="24"/>
          <w:szCs w:val="24"/>
        </w:rPr>
        <w:t xml:space="preserve">Reichardt, </w:t>
      </w:r>
      <w:r>
        <w:rPr>
          <w:sz w:val="24"/>
          <w:szCs w:val="24"/>
        </w:rPr>
        <w:t>T</w:t>
      </w:r>
      <w:r w:rsidRPr="003E185C">
        <w:rPr>
          <w:sz w:val="24"/>
          <w:szCs w:val="24"/>
        </w:rPr>
        <w:t>.</w:t>
      </w:r>
      <w:r>
        <w:rPr>
          <w:sz w:val="24"/>
          <w:szCs w:val="24"/>
        </w:rPr>
        <w:t xml:space="preserve"> Welton, WILEY-VCH, Weinheim, 2010</w:t>
      </w:r>
      <w:r w:rsidRPr="003E185C">
        <w:rPr>
          <w:sz w:val="24"/>
          <w:szCs w:val="24"/>
        </w:rPr>
        <w:t>.</w:t>
      </w:r>
    </w:p>
  </w:endnote>
  <w:endnote w:id="10">
    <w:p w:rsidR="00C96C12" w:rsidRPr="003E185C" w:rsidRDefault="00C96C12" w:rsidP="008B2A31">
      <w:pPr>
        <w:pStyle w:val="EndnoteText"/>
        <w:spacing w:line="276" w:lineRule="auto"/>
        <w:rPr>
          <w:sz w:val="24"/>
          <w:szCs w:val="24"/>
          <w:lang w:val="de-DE"/>
        </w:rPr>
      </w:pPr>
      <w:r w:rsidRPr="003E185C">
        <w:rPr>
          <w:rStyle w:val="EndnoteReference"/>
          <w:sz w:val="24"/>
          <w:szCs w:val="24"/>
        </w:rPr>
        <w:endnoteRef/>
      </w:r>
      <w:r w:rsidRPr="003E185C">
        <w:rPr>
          <w:sz w:val="24"/>
          <w:szCs w:val="24"/>
          <w:lang w:val="de-DE"/>
        </w:rPr>
        <w:t xml:space="preserve"> A. R.</w:t>
      </w:r>
      <w:r>
        <w:rPr>
          <w:sz w:val="24"/>
          <w:szCs w:val="24"/>
          <w:lang w:val="de-DE"/>
        </w:rPr>
        <w:t xml:space="preserve"> </w:t>
      </w:r>
      <w:r w:rsidRPr="003E185C">
        <w:rPr>
          <w:sz w:val="24"/>
          <w:szCs w:val="24"/>
          <w:lang w:val="de-DE"/>
        </w:rPr>
        <w:t>Katritzky, D. C.</w:t>
      </w:r>
      <w:r>
        <w:rPr>
          <w:sz w:val="24"/>
          <w:szCs w:val="24"/>
          <w:lang w:val="de-DE"/>
        </w:rPr>
        <w:t xml:space="preserve"> </w:t>
      </w:r>
      <w:r w:rsidRPr="003E185C">
        <w:rPr>
          <w:sz w:val="24"/>
          <w:szCs w:val="24"/>
          <w:lang w:val="de-DE"/>
        </w:rPr>
        <w:t>Fara, H.</w:t>
      </w:r>
      <w:r>
        <w:rPr>
          <w:sz w:val="24"/>
          <w:szCs w:val="24"/>
          <w:lang w:val="de-DE"/>
        </w:rPr>
        <w:t xml:space="preserve"> </w:t>
      </w:r>
      <w:r w:rsidRPr="003E185C">
        <w:rPr>
          <w:sz w:val="24"/>
          <w:szCs w:val="24"/>
          <w:lang w:val="de-DE"/>
        </w:rPr>
        <w:t xml:space="preserve">Yang, K. Tämm, </w:t>
      </w:r>
      <w:r w:rsidRPr="003E185C">
        <w:rPr>
          <w:i/>
          <w:sz w:val="24"/>
          <w:szCs w:val="24"/>
          <w:lang w:val="de-DE"/>
        </w:rPr>
        <w:t>Chem. Rev</w:t>
      </w:r>
      <w:r w:rsidRPr="003E185C">
        <w:rPr>
          <w:sz w:val="24"/>
          <w:szCs w:val="24"/>
          <w:lang w:val="de-DE"/>
        </w:rPr>
        <w:t>.</w:t>
      </w:r>
      <w:r>
        <w:rPr>
          <w:i/>
          <w:sz w:val="24"/>
          <w:szCs w:val="24"/>
          <w:lang w:val="de-DE"/>
        </w:rPr>
        <w:t>,</w:t>
      </w:r>
      <w:r w:rsidRPr="003E185C">
        <w:rPr>
          <w:sz w:val="24"/>
          <w:szCs w:val="24"/>
          <w:lang w:val="de-DE"/>
        </w:rPr>
        <w:t xml:space="preserve"> </w:t>
      </w:r>
      <w:r w:rsidRPr="00EA2E9A">
        <w:rPr>
          <w:sz w:val="24"/>
          <w:szCs w:val="24"/>
          <w:lang w:val="de-DE"/>
        </w:rPr>
        <w:t>2004</w:t>
      </w:r>
      <w:r w:rsidRPr="003E185C">
        <w:rPr>
          <w:sz w:val="24"/>
          <w:szCs w:val="24"/>
          <w:lang w:val="de-DE"/>
        </w:rPr>
        <w:t xml:space="preserve">, </w:t>
      </w:r>
      <w:r w:rsidRPr="00EA2E9A">
        <w:rPr>
          <w:b/>
          <w:sz w:val="24"/>
          <w:szCs w:val="24"/>
          <w:lang w:val="de-DE"/>
        </w:rPr>
        <w:t>104</w:t>
      </w:r>
      <w:r w:rsidRPr="003E185C">
        <w:rPr>
          <w:sz w:val="24"/>
          <w:szCs w:val="24"/>
          <w:lang w:val="de-DE"/>
        </w:rPr>
        <w:t>, 175.</w:t>
      </w:r>
    </w:p>
  </w:endnote>
  <w:endnote w:id="11">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R. W.</w:t>
      </w:r>
      <w:r>
        <w:rPr>
          <w:sz w:val="24"/>
          <w:szCs w:val="24"/>
        </w:rPr>
        <w:t xml:space="preserve"> </w:t>
      </w:r>
      <w:r w:rsidRPr="003E185C">
        <w:rPr>
          <w:sz w:val="24"/>
          <w:szCs w:val="24"/>
        </w:rPr>
        <w:t xml:space="preserve">Taft, M. J. Kamlet, </w:t>
      </w:r>
      <w:r w:rsidRPr="003E185C">
        <w:rPr>
          <w:i/>
          <w:sz w:val="24"/>
          <w:szCs w:val="24"/>
        </w:rPr>
        <w:t>J. Am. Chem. Soc.</w:t>
      </w:r>
      <w:r>
        <w:rPr>
          <w:sz w:val="24"/>
          <w:szCs w:val="24"/>
        </w:rPr>
        <w:t>,</w:t>
      </w:r>
      <w:r w:rsidRPr="003E185C">
        <w:rPr>
          <w:sz w:val="24"/>
          <w:szCs w:val="24"/>
        </w:rPr>
        <w:t xml:space="preserve"> </w:t>
      </w:r>
      <w:r w:rsidRPr="00EA2E9A">
        <w:rPr>
          <w:sz w:val="24"/>
          <w:szCs w:val="24"/>
        </w:rPr>
        <w:t>1976</w:t>
      </w:r>
      <w:r w:rsidRPr="003E185C">
        <w:rPr>
          <w:sz w:val="24"/>
          <w:szCs w:val="24"/>
        </w:rPr>
        <w:t xml:space="preserve">, </w:t>
      </w:r>
      <w:r w:rsidRPr="00EA2E9A">
        <w:rPr>
          <w:b/>
          <w:sz w:val="24"/>
          <w:szCs w:val="24"/>
        </w:rPr>
        <w:t>98</w:t>
      </w:r>
      <w:r>
        <w:rPr>
          <w:sz w:val="24"/>
          <w:szCs w:val="24"/>
        </w:rPr>
        <w:t>, 2886.</w:t>
      </w:r>
    </w:p>
  </w:endnote>
  <w:endnote w:id="12">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(a) M. J.</w:t>
      </w:r>
      <w:r>
        <w:rPr>
          <w:sz w:val="24"/>
          <w:szCs w:val="24"/>
        </w:rPr>
        <w:t xml:space="preserve"> </w:t>
      </w:r>
      <w:r w:rsidRPr="003E185C">
        <w:rPr>
          <w:sz w:val="24"/>
          <w:szCs w:val="24"/>
        </w:rPr>
        <w:t xml:space="preserve">Kamlet, R. W. Taft, </w:t>
      </w:r>
      <w:r w:rsidRPr="003E185C">
        <w:rPr>
          <w:i/>
          <w:sz w:val="24"/>
          <w:szCs w:val="24"/>
        </w:rPr>
        <w:t>J. Am. Chem. Soc.</w:t>
      </w:r>
      <w:r>
        <w:rPr>
          <w:sz w:val="24"/>
          <w:szCs w:val="24"/>
        </w:rPr>
        <w:t>,</w:t>
      </w:r>
      <w:r w:rsidRPr="003E185C">
        <w:rPr>
          <w:sz w:val="24"/>
          <w:szCs w:val="24"/>
        </w:rPr>
        <w:t xml:space="preserve"> </w:t>
      </w:r>
      <w:r w:rsidRPr="00EA2E9A">
        <w:rPr>
          <w:sz w:val="24"/>
          <w:szCs w:val="24"/>
        </w:rPr>
        <w:t>1976</w:t>
      </w:r>
      <w:r w:rsidRPr="003E185C">
        <w:rPr>
          <w:sz w:val="24"/>
          <w:szCs w:val="24"/>
        </w:rPr>
        <w:t xml:space="preserve">, </w:t>
      </w:r>
      <w:r w:rsidRPr="00EA2E9A">
        <w:rPr>
          <w:b/>
          <w:sz w:val="24"/>
          <w:szCs w:val="24"/>
        </w:rPr>
        <w:t>98</w:t>
      </w:r>
      <w:r w:rsidRPr="003E185C">
        <w:rPr>
          <w:sz w:val="24"/>
          <w:szCs w:val="24"/>
        </w:rPr>
        <w:t>, 377; (b) T.</w:t>
      </w:r>
      <w:r>
        <w:rPr>
          <w:sz w:val="24"/>
          <w:szCs w:val="24"/>
        </w:rPr>
        <w:t xml:space="preserve"> </w:t>
      </w:r>
      <w:r w:rsidRPr="003E185C">
        <w:rPr>
          <w:sz w:val="24"/>
          <w:szCs w:val="24"/>
        </w:rPr>
        <w:t>Yokoyama, R. W.</w:t>
      </w:r>
      <w:r>
        <w:rPr>
          <w:sz w:val="24"/>
          <w:szCs w:val="24"/>
        </w:rPr>
        <w:t xml:space="preserve"> </w:t>
      </w:r>
      <w:r w:rsidRPr="003E185C">
        <w:rPr>
          <w:sz w:val="24"/>
          <w:szCs w:val="24"/>
        </w:rPr>
        <w:t xml:space="preserve">Taft, M. J. Kamlet, </w:t>
      </w:r>
      <w:r w:rsidRPr="003E185C">
        <w:rPr>
          <w:i/>
          <w:sz w:val="24"/>
          <w:szCs w:val="24"/>
        </w:rPr>
        <w:t>J. Am. Chem. Soc.</w:t>
      </w:r>
      <w:r>
        <w:rPr>
          <w:sz w:val="24"/>
          <w:szCs w:val="24"/>
        </w:rPr>
        <w:t>,</w:t>
      </w:r>
      <w:r w:rsidRPr="003E185C">
        <w:rPr>
          <w:sz w:val="24"/>
          <w:szCs w:val="24"/>
        </w:rPr>
        <w:t xml:space="preserve"> </w:t>
      </w:r>
      <w:r w:rsidRPr="00EA2E9A">
        <w:rPr>
          <w:sz w:val="24"/>
          <w:szCs w:val="24"/>
        </w:rPr>
        <w:t>1976</w:t>
      </w:r>
      <w:r w:rsidRPr="003E185C">
        <w:rPr>
          <w:sz w:val="24"/>
          <w:szCs w:val="24"/>
        </w:rPr>
        <w:t xml:space="preserve">, </w:t>
      </w:r>
      <w:r w:rsidRPr="00EA2E9A">
        <w:rPr>
          <w:b/>
          <w:sz w:val="24"/>
          <w:szCs w:val="24"/>
        </w:rPr>
        <w:t>98</w:t>
      </w:r>
      <w:r w:rsidRPr="003E185C">
        <w:rPr>
          <w:sz w:val="24"/>
          <w:szCs w:val="24"/>
        </w:rPr>
        <w:t>, 3233.</w:t>
      </w:r>
    </w:p>
  </w:endnote>
  <w:endnote w:id="13">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M. J</w:t>
      </w:r>
      <w:r>
        <w:rPr>
          <w:sz w:val="24"/>
          <w:szCs w:val="24"/>
        </w:rPr>
        <w:t>.</w:t>
      </w:r>
      <w:r w:rsidRPr="003E185C">
        <w:rPr>
          <w:sz w:val="24"/>
          <w:szCs w:val="24"/>
        </w:rPr>
        <w:t xml:space="preserve"> Kamlet, J. L</w:t>
      </w:r>
      <w:r>
        <w:rPr>
          <w:sz w:val="24"/>
          <w:szCs w:val="24"/>
        </w:rPr>
        <w:t>.</w:t>
      </w:r>
      <w:r w:rsidRPr="003E185C">
        <w:rPr>
          <w:sz w:val="24"/>
          <w:szCs w:val="24"/>
        </w:rPr>
        <w:t xml:space="preserve"> Abboud,</w:t>
      </w:r>
      <w:r w:rsidRPr="00EA2E9A">
        <w:rPr>
          <w:sz w:val="24"/>
          <w:szCs w:val="24"/>
        </w:rPr>
        <w:t xml:space="preserve"> </w:t>
      </w:r>
      <w:r w:rsidRPr="003E185C">
        <w:rPr>
          <w:sz w:val="24"/>
          <w:szCs w:val="24"/>
        </w:rPr>
        <w:t xml:space="preserve">R. W.  Taft, </w:t>
      </w:r>
      <w:r w:rsidRPr="003E185C">
        <w:rPr>
          <w:i/>
          <w:sz w:val="24"/>
          <w:szCs w:val="24"/>
        </w:rPr>
        <w:t>J. Am. Chem. Soc.</w:t>
      </w:r>
      <w:r>
        <w:rPr>
          <w:sz w:val="24"/>
          <w:szCs w:val="24"/>
        </w:rPr>
        <w:t>,</w:t>
      </w:r>
      <w:r w:rsidRPr="003E185C">
        <w:rPr>
          <w:sz w:val="24"/>
          <w:szCs w:val="24"/>
        </w:rPr>
        <w:t xml:space="preserve"> </w:t>
      </w:r>
      <w:r w:rsidRPr="00EA2E9A">
        <w:rPr>
          <w:sz w:val="24"/>
          <w:szCs w:val="24"/>
        </w:rPr>
        <w:t>1977</w:t>
      </w:r>
      <w:r w:rsidRPr="003E185C">
        <w:rPr>
          <w:sz w:val="24"/>
          <w:szCs w:val="24"/>
        </w:rPr>
        <w:t xml:space="preserve">, </w:t>
      </w:r>
      <w:r w:rsidRPr="00EA2E9A">
        <w:rPr>
          <w:b/>
          <w:sz w:val="24"/>
          <w:szCs w:val="24"/>
        </w:rPr>
        <w:t>99</w:t>
      </w:r>
      <w:r w:rsidRPr="003E185C">
        <w:rPr>
          <w:sz w:val="24"/>
          <w:szCs w:val="24"/>
        </w:rPr>
        <w:t>, 6027.</w:t>
      </w:r>
    </w:p>
  </w:endnote>
  <w:endnote w:id="14">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L.</w:t>
      </w:r>
      <w:r>
        <w:rPr>
          <w:sz w:val="24"/>
          <w:szCs w:val="24"/>
        </w:rPr>
        <w:t xml:space="preserve"> </w:t>
      </w:r>
      <w:r w:rsidRPr="003E185C">
        <w:rPr>
          <w:sz w:val="24"/>
          <w:szCs w:val="24"/>
        </w:rPr>
        <w:t>Crowhurst, P. R</w:t>
      </w:r>
      <w:r>
        <w:rPr>
          <w:sz w:val="24"/>
          <w:szCs w:val="24"/>
        </w:rPr>
        <w:t>.</w:t>
      </w:r>
      <w:r w:rsidRPr="003E185C">
        <w:rPr>
          <w:sz w:val="24"/>
          <w:szCs w:val="24"/>
        </w:rPr>
        <w:t xml:space="preserve"> Mawdsley, J. M</w:t>
      </w:r>
      <w:r>
        <w:rPr>
          <w:sz w:val="24"/>
          <w:szCs w:val="24"/>
        </w:rPr>
        <w:t>.</w:t>
      </w:r>
      <w:r w:rsidRPr="003E185C">
        <w:rPr>
          <w:sz w:val="24"/>
          <w:szCs w:val="24"/>
        </w:rPr>
        <w:t xml:space="preserve"> Perez-Arlandis, </w:t>
      </w:r>
      <w:r>
        <w:rPr>
          <w:sz w:val="24"/>
          <w:szCs w:val="24"/>
        </w:rPr>
        <w:t xml:space="preserve">P. A. </w:t>
      </w:r>
      <w:r w:rsidRPr="003E185C">
        <w:rPr>
          <w:sz w:val="24"/>
          <w:szCs w:val="24"/>
        </w:rPr>
        <w:t xml:space="preserve">Salter, </w:t>
      </w:r>
      <w:r>
        <w:rPr>
          <w:sz w:val="24"/>
          <w:szCs w:val="24"/>
        </w:rPr>
        <w:t xml:space="preserve">T. </w:t>
      </w:r>
      <w:r w:rsidRPr="003E185C">
        <w:rPr>
          <w:sz w:val="24"/>
          <w:szCs w:val="24"/>
        </w:rPr>
        <w:t xml:space="preserve">Welton,  </w:t>
      </w:r>
      <w:r w:rsidRPr="003E185C">
        <w:rPr>
          <w:i/>
          <w:sz w:val="24"/>
          <w:szCs w:val="24"/>
        </w:rPr>
        <w:t>Phys. Chem. Chem. Phys</w:t>
      </w:r>
      <w:r w:rsidRPr="003E185C">
        <w:rPr>
          <w:sz w:val="24"/>
          <w:szCs w:val="24"/>
        </w:rPr>
        <w:t>.</w:t>
      </w:r>
      <w:r>
        <w:rPr>
          <w:sz w:val="24"/>
          <w:szCs w:val="24"/>
        </w:rPr>
        <w:t>,</w:t>
      </w:r>
      <w:r w:rsidRPr="003E185C">
        <w:rPr>
          <w:sz w:val="24"/>
          <w:szCs w:val="24"/>
        </w:rPr>
        <w:t xml:space="preserve"> </w:t>
      </w:r>
      <w:r w:rsidRPr="00EA2E9A">
        <w:rPr>
          <w:sz w:val="24"/>
          <w:szCs w:val="24"/>
        </w:rPr>
        <w:t>2003</w:t>
      </w:r>
      <w:r w:rsidRPr="003E185C">
        <w:rPr>
          <w:sz w:val="24"/>
          <w:szCs w:val="24"/>
        </w:rPr>
        <w:t xml:space="preserve">, </w:t>
      </w:r>
      <w:r w:rsidRPr="00EA2E9A">
        <w:rPr>
          <w:b/>
          <w:bCs/>
          <w:sz w:val="24"/>
          <w:szCs w:val="24"/>
        </w:rPr>
        <w:t>5</w:t>
      </w:r>
      <w:r w:rsidRPr="003E185C">
        <w:rPr>
          <w:sz w:val="24"/>
          <w:szCs w:val="24"/>
        </w:rPr>
        <w:t>, 2790.</w:t>
      </w:r>
    </w:p>
  </w:endnote>
  <w:endnote w:id="15">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w:t>
      </w:r>
      <w:r w:rsidRPr="003E185C">
        <w:rPr>
          <w:sz w:val="24"/>
          <w:szCs w:val="24"/>
          <w:lang w:val="en-US"/>
        </w:rPr>
        <w:t>A.</w:t>
      </w:r>
      <w:r>
        <w:rPr>
          <w:sz w:val="24"/>
          <w:szCs w:val="24"/>
          <w:lang w:val="en-US"/>
        </w:rPr>
        <w:t xml:space="preserve"> </w:t>
      </w:r>
      <w:r w:rsidRPr="003E185C">
        <w:rPr>
          <w:sz w:val="24"/>
          <w:szCs w:val="24"/>
          <w:lang w:val="en-US"/>
        </w:rPr>
        <w:t>Jeličić, N.</w:t>
      </w:r>
      <w:r>
        <w:rPr>
          <w:sz w:val="24"/>
          <w:szCs w:val="24"/>
          <w:lang w:val="en-US"/>
        </w:rPr>
        <w:t xml:space="preserve"> </w:t>
      </w:r>
      <w:r w:rsidRPr="003E185C">
        <w:rPr>
          <w:sz w:val="24"/>
          <w:szCs w:val="24"/>
          <w:lang w:val="en-US"/>
        </w:rPr>
        <w:t xml:space="preserve">Garcia, </w:t>
      </w:r>
      <w:r>
        <w:rPr>
          <w:sz w:val="24"/>
          <w:szCs w:val="24"/>
          <w:lang w:val="en-US"/>
        </w:rPr>
        <w:t xml:space="preserve">H.-G. </w:t>
      </w:r>
      <w:r w:rsidRPr="003E185C">
        <w:rPr>
          <w:sz w:val="24"/>
          <w:szCs w:val="24"/>
          <w:lang w:val="en-US"/>
        </w:rPr>
        <w:t xml:space="preserve">Löhmannsröben, S. Beuermann, </w:t>
      </w:r>
      <w:r w:rsidRPr="003E185C">
        <w:rPr>
          <w:i/>
          <w:sz w:val="24"/>
          <w:szCs w:val="24"/>
          <w:lang w:val="en-US"/>
        </w:rPr>
        <w:t>Macromolecules</w:t>
      </w:r>
      <w:r w:rsidRPr="003E185C">
        <w:rPr>
          <w:sz w:val="24"/>
          <w:szCs w:val="24"/>
          <w:lang w:val="en-US"/>
        </w:rPr>
        <w:t xml:space="preserve">, </w:t>
      </w:r>
      <w:r w:rsidRPr="000A5DAE">
        <w:rPr>
          <w:sz w:val="24"/>
          <w:szCs w:val="24"/>
          <w:lang w:val="en-US"/>
        </w:rPr>
        <w:t>2009</w:t>
      </w:r>
      <w:r w:rsidRPr="003E185C">
        <w:rPr>
          <w:sz w:val="24"/>
          <w:szCs w:val="24"/>
          <w:lang w:val="en-US"/>
        </w:rPr>
        <w:t xml:space="preserve">, </w:t>
      </w:r>
      <w:r w:rsidRPr="000A5DAE">
        <w:rPr>
          <w:b/>
          <w:sz w:val="24"/>
          <w:szCs w:val="24"/>
          <w:lang w:val="en-US"/>
        </w:rPr>
        <w:t>42</w:t>
      </w:r>
      <w:r w:rsidRPr="003E185C">
        <w:rPr>
          <w:sz w:val="24"/>
          <w:szCs w:val="24"/>
          <w:lang w:val="en-US"/>
        </w:rPr>
        <w:t>, 8801.</w:t>
      </w:r>
    </w:p>
  </w:endnote>
  <w:endnote w:id="16">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T. V. Doherty, M. Mora-Pale, S. E. Foley, R. J. Linhardt, J. S. Dordick, </w:t>
      </w:r>
      <w:r w:rsidRPr="003E185C">
        <w:rPr>
          <w:i/>
          <w:sz w:val="24"/>
          <w:szCs w:val="24"/>
        </w:rPr>
        <w:t>Green Chem</w:t>
      </w:r>
      <w:r>
        <w:rPr>
          <w:sz w:val="24"/>
          <w:szCs w:val="24"/>
        </w:rPr>
        <w:t>,</w:t>
      </w:r>
      <w:r w:rsidRPr="003E185C">
        <w:rPr>
          <w:i/>
          <w:sz w:val="24"/>
          <w:szCs w:val="24"/>
        </w:rPr>
        <w:t>.</w:t>
      </w:r>
      <w:r w:rsidRPr="003E185C">
        <w:rPr>
          <w:sz w:val="24"/>
          <w:szCs w:val="24"/>
        </w:rPr>
        <w:t xml:space="preserve"> 2010, </w:t>
      </w:r>
      <w:r w:rsidRPr="003E185C">
        <w:rPr>
          <w:b/>
          <w:sz w:val="24"/>
          <w:szCs w:val="24"/>
        </w:rPr>
        <w:t>12</w:t>
      </w:r>
      <w:r w:rsidRPr="003E185C">
        <w:rPr>
          <w:sz w:val="24"/>
          <w:szCs w:val="24"/>
        </w:rPr>
        <w:t>, 1967.</w:t>
      </w:r>
    </w:p>
  </w:endnote>
  <w:endnote w:id="17">
    <w:p w:rsidR="00C96C12" w:rsidRDefault="00C96C12" w:rsidP="008B2A31">
      <w:pPr>
        <w:pStyle w:val="EndnoteText"/>
        <w:spacing w:line="276" w:lineRule="auto"/>
      </w:pPr>
      <w:r>
        <w:rPr>
          <w:rStyle w:val="EndnoteReference"/>
        </w:rPr>
        <w:endnoteRef/>
      </w:r>
      <w:r>
        <w:t xml:space="preserve"> </w:t>
      </w:r>
      <w:r w:rsidRPr="003E185C">
        <w:rPr>
          <w:sz w:val="24"/>
          <w:szCs w:val="24"/>
        </w:rPr>
        <w:t xml:space="preserve">S. N. Baker, G. A. Baker, F. Bright, </w:t>
      </w:r>
      <w:r w:rsidRPr="003E185C">
        <w:rPr>
          <w:i/>
          <w:sz w:val="24"/>
          <w:szCs w:val="24"/>
        </w:rPr>
        <w:t>Green Chem.</w:t>
      </w:r>
      <w:r w:rsidRPr="003E185C">
        <w:rPr>
          <w:sz w:val="24"/>
          <w:szCs w:val="24"/>
        </w:rPr>
        <w:t xml:space="preserve">, 2002, </w:t>
      </w:r>
      <w:r w:rsidRPr="003E185C">
        <w:rPr>
          <w:b/>
          <w:sz w:val="24"/>
          <w:szCs w:val="24"/>
        </w:rPr>
        <w:t>4</w:t>
      </w:r>
      <w:r>
        <w:rPr>
          <w:sz w:val="24"/>
          <w:szCs w:val="24"/>
        </w:rPr>
        <w:t>, 165.</w:t>
      </w:r>
    </w:p>
  </w:endnote>
  <w:endnote w:id="18">
    <w:p w:rsidR="00C96C12" w:rsidRPr="00BE4D45"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(a) S. K</w:t>
      </w:r>
      <w:r>
        <w:rPr>
          <w:sz w:val="24"/>
          <w:szCs w:val="24"/>
        </w:rPr>
        <w:t>.</w:t>
      </w:r>
      <w:r w:rsidRPr="003E185C">
        <w:rPr>
          <w:sz w:val="24"/>
          <w:szCs w:val="24"/>
        </w:rPr>
        <w:t xml:space="preserve"> Poole, P. H.</w:t>
      </w:r>
      <w:r>
        <w:rPr>
          <w:sz w:val="24"/>
          <w:szCs w:val="24"/>
        </w:rPr>
        <w:t xml:space="preserve"> </w:t>
      </w:r>
      <w:r w:rsidRPr="003E185C">
        <w:rPr>
          <w:sz w:val="24"/>
          <w:szCs w:val="24"/>
        </w:rPr>
        <w:t xml:space="preserve">Shetty, C. F. Poole, </w:t>
      </w:r>
      <w:r w:rsidRPr="003E185C">
        <w:rPr>
          <w:i/>
          <w:sz w:val="24"/>
          <w:szCs w:val="24"/>
        </w:rPr>
        <w:t>Anal. Chim. Acta</w:t>
      </w:r>
      <w:r>
        <w:rPr>
          <w:sz w:val="24"/>
          <w:szCs w:val="24"/>
        </w:rPr>
        <w:t>,</w:t>
      </w:r>
      <w:r w:rsidRPr="003E185C">
        <w:rPr>
          <w:sz w:val="24"/>
          <w:szCs w:val="24"/>
        </w:rPr>
        <w:t xml:space="preserve"> </w:t>
      </w:r>
      <w:r w:rsidRPr="000A5DAE">
        <w:rPr>
          <w:sz w:val="24"/>
          <w:szCs w:val="24"/>
        </w:rPr>
        <w:t>1989</w:t>
      </w:r>
      <w:r w:rsidRPr="003E185C">
        <w:rPr>
          <w:sz w:val="24"/>
          <w:szCs w:val="24"/>
        </w:rPr>
        <w:t xml:space="preserve">, </w:t>
      </w:r>
      <w:r w:rsidRPr="000A5DAE">
        <w:rPr>
          <w:b/>
          <w:sz w:val="24"/>
          <w:szCs w:val="24"/>
        </w:rPr>
        <w:t>218</w:t>
      </w:r>
      <w:r>
        <w:rPr>
          <w:sz w:val="24"/>
          <w:szCs w:val="24"/>
        </w:rPr>
        <w:t>, 241;</w:t>
      </w:r>
      <w:r w:rsidRPr="003E185C">
        <w:rPr>
          <w:sz w:val="24"/>
          <w:szCs w:val="24"/>
        </w:rPr>
        <w:t xml:space="preserve"> (b) C. Chiappe, D. Pieraccini </w:t>
      </w:r>
      <w:r w:rsidRPr="003E185C">
        <w:rPr>
          <w:i/>
          <w:sz w:val="24"/>
          <w:szCs w:val="24"/>
        </w:rPr>
        <w:t>J. Phys. Chem. A</w:t>
      </w:r>
      <w:r>
        <w:rPr>
          <w:sz w:val="24"/>
          <w:szCs w:val="24"/>
        </w:rPr>
        <w:t>,</w:t>
      </w:r>
      <w:r w:rsidRPr="003E185C">
        <w:rPr>
          <w:sz w:val="24"/>
          <w:szCs w:val="24"/>
        </w:rPr>
        <w:t xml:space="preserve"> 2006, </w:t>
      </w:r>
      <w:r w:rsidRPr="000A5DAE">
        <w:rPr>
          <w:b/>
          <w:sz w:val="24"/>
          <w:szCs w:val="24"/>
        </w:rPr>
        <w:t>110</w:t>
      </w:r>
      <w:r>
        <w:rPr>
          <w:sz w:val="24"/>
          <w:szCs w:val="24"/>
        </w:rPr>
        <w:t>, 4937; (c</w:t>
      </w:r>
      <w:r w:rsidRPr="003E185C">
        <w:rPr>
          <w:sz w:val="24"/>
          <w:szCs w:val="24"/>
        </w:rPr>
        <w:t>) Y.</w:t>
      </w:r>
      <w:r>
        <w:rPr>
          <w:sz w:val="24"/>
          <w:szCs w:val="24"/>
        </w:rPr>
        <w:t xml:space="preserve"> </w:t>
      </w:r>
      <w:r w:rsidRPr="003E185C">
        <w:rPr>
          <w:sz w:val="24"/>
          <w:szCs w:val="24"/>
        </w:rPr>
        <w:t>Wu, T.</w:t>
      </w:r>
      <w:r>
        <w:rPr>
          <w:sz w:val="24"/>
          <w:szCs w:val="24"/>
        </w:rPr>
        <w:t xml:space="preserve"> </w:t>
      </w:r>
      <w:r w:rsidRPr="003E185C">
        <w:rPr>
          <w:sz w:val="24"/>
          <w:szCs w:val="24"/>
        </w:rPr>
        <w:t>Sasaki, K.</w:t>
      </w:r>
      <w:r>
        <w:rPr>
          <w:sz w:val="24"/>
          <w:szCs w:val="24"/>
        </w:rPr>
        <w:t xml:space="preserve"> </w:t>
      </w:r>
      <w:r w:rsidRPr="003E185C">
        <w:rPr>
          <w:sz w:val="24"/>
          <w:szCs w:val="24"/>
        </w:rPr>
        <w:t>Kazushi, T.</w:t>
      </w:r>
      <w:r>
        <w:rPr>
          <w:sz w:val="24"/>
          <w:szCs w:val="24"/>
        </w:rPr>
        <w:t xml:space="preserve"> </w:t>
      </w:r>
      <w:r w:rsidRPr="003E185C">
        <w:rPr>
          <w:sz w:val="24"/>
          <w:szCs w:val="24"/>
        </w:rPr>
        <w:t xml:space="preserve">Seo, K. Sakurai, </w:t>
      </w:r>
      <w:r w:rsidRPr="003E185C">
        <w:rPr>
          <w:i/>
          <w:sz w:val="24"/>
          <w:szCs w:val="24"/>
        </w:rPr>
        <w:t>J</w:t>
      </w:r>
      <w:r w:rsidRPr="003E185C">
        <w:rPr>
          <w:bCs/>
          <w:i/>
          <w:sz w:val="24"/>
          <w:szCs w:val="24"/>
        </w:rPr>
        <w:t>. Phys. Chem. B</w:t>
      </w:r>
      <w:r>
        <w:rPr>
          <w:bCs/>
          <w:sz w:val="24"/>
          <w:szCs w:val="24"/>
        </w:rPr>
        <w:t>,</w:t>
      </w:r>
      <w:r w:rsidRPr="003E185C">
        <w:rPr>
          <w:bCs/>
          <w:sz w:val="24"/>
          <w:szCs w:val="24"/>
        </w:rPr>
        <w:t xml:space="preserve"> </w:t>
      </w:r>
      <w:r w:rsidRPr="000A5DAE">
        <w:rPr>
          <w:bCs/>
          <w:sz w:val="24"/>
          <w:szCs w:val="24"/>
        </w:rPr>
        <w:t>2008</w:t>
      </w:r>
      <w:r w:rsidRPr="003E185C">
        <w:rPr>
          <w:bCs/>
          <w:sz w:val="24"/>
          <w:szCs w:val="24"/>
        </w:rPr>
        <w:t xml:space="preserve">, </w:t>
      </w:r>
      <w:r w:rsidRPr="000A5DAE">
        <w:rPr>
          <w:b/>
          <w:bCs/>
          <w:sz w:val="24"/>
          <w:szCs w:val="24"/>
        </w:rPr>
        <w:t>112</w:t>
      </w:r>
      <w:r>
        <w:rPr>
          <w:bCs/>
          <w:sz w:val="24"/>
          <w:szCs w:val="24"/>
        </w:rPr>
        <w:t>, 7530; (d</w:t>
      </w:r>
      <w:r w:rsidRPr="003E185C">
        <w:rPr>
          <w:bCs/>
          <w:sz w:val="24"/>
          <w:szCs w:val="24"/>
        </w:rPr>
        <w:t xml:space="preserve">) </w:t>
      </w:r>
      <w:r w:rsidRPr="003E185C">
        <w:rPr>
          <w:sz w:val="24"/>
          <w:szCs w:val="24"/>
        </w:rPr>
        <w:t>J.-M.</w:t>
      </w:r>
      <w:r>
        <w:rPr>
          <w:sz w:val="24"/>
          <w:szCs w:val="24"/>
        </w:rPr>
        <w:t xml:space="preserve"> </w:t>
      </w:r>
      <w:r w:rsidRPr="003E185C">
        <w:rPr>
          <w:sz w:val="24"/>
          <w:szCs w:val="24"/>
        </w:rPr>
        <w:t>Lee, S.</w:t>
      </w:r>
      <w:r>
        <w:rPr>
          <w:sz w:val="24"/>
          <w:szCs w:val="24"/>
        </w:rPr>
        <w:t xml:space="preserve"> </w:t>
      </w:r>
      <w:r w:rsidRPr="003E185C">
        <w:rPr>
          <w:sz w:val="24"/>
          <w:szCs w:val="24"/>
        </w:rPr>
        <w:t xml:space="preserve">Ruckes, J. M. Prausnitz, </w:t>
      </w:r>
      <w:r w:rsidRPr="003E185C">
        <w:rPr>
          <w:i/>
          <w:sz w:val="24"/>
          <w:szCs w:val="24"/>
        </w:rPr>
        <w:t>J. Phys. Chem. B</w:t>
      </w:r>
      <w:r>
        <w:rPr>
          <w:sz w:val="24"/>
          <w:szCs w:val="24"/>
        </w:rPr>
        <w:t>,</w:t>
      </w:r>
      <w:r w:rsidRPr="003E185C">
        <w:rPr>
          <w:sz w:val="24"/>
          <w:szCs w:val="24"/>
        </w:rPr>
        <w:t xml:space="preserve"> </w:t>
      </w:r>
      <w:r w:rsidRPr="000A5DAE">
        <w:rPr>
          <w:sz w:val="24"/>
          <w:szCs w:val="24"/>
        </w:rPr>
        <w:t>2008</w:t>
      </w:r>
      <w:r w:rsidRPr="003E185C">
        <w:rPr>
          <w:sz w:val="24"/>
          <w:szCs w:val="24"/>
        </w:rPr>
        <w:t xml:space="preserve">, </w:t>
      </w:r>
      <w:r w:rsidRPr="000A5DAE">
        <w:rPr>
          <w:b/>
          <w:sz w:val="24"/>
          <w:szCs w:val="24"/>
        </w:rPr>
        <w:t>112</w:t>
      </w:r>
      <w:r>
        <w:rPr>
          <w:sz w:val="24"/>
          <w:szCs w:val="24"/>
        </w:rPr>
        <w:t>, 1473; (e</w:t>
      </w:r>
      <w:r w:rsidRPr="003E185C">
        <w:rPr>
          <w:sz w:val="24"/>
          <w:szCs w:val="24"/>
          <w:lang w:val="en-US"/>
        </w:rPr>
        <w:t xml:space="preserve">) </w:t>
      </w:r>
      <w:r w:rsidRPr="003E185C">
        <w:rPr>
          <w:sz w:val="24"/>
          <w:szCs w:val="24"/>
        </w:rPr>
        <w:t xml:space="preserve">N. D. Khupse, A. Kumar, </w:t>
      </w:r>
      <w:r w:rsidRPr="003E185C">
        <w:rPr>
          <w:i/>
          <w:sz w:val="24"/>
          <w:szCs w:val="24"/>
        </w:rPr>
        <w:t>J. Phys. Chem. B</w:t>
      </w:r>
      <w:r w:rsidRPr="003E185C">
        <w:rPr>
          <w:sz w:val="24"/>
          <w:szCs w:val="24"/>
        </w:rPr>
        <w:t xml:space="preserve"> </w:t>
      </w:r>
      <w:r w:rsidRPr="000A5DAE">
        <w:rPr>
          <w:sz w:val="24"/>
          <w:szCs w:val="24"/>
        </w:rPr>
        <w:t>2010</w:t>
      </w:r>
      <w:r w:rsidRPr="003E185C">
        <w:rPr>
          <w:sz w:val="24"/>
          <w:szCs w:val="24"/>
        </w:rPr>
        <w:t xml:space="preserve">, </w:t>
      </w:r>
      <w:r w:rsidRPr="000A5DAE">
        <w:rPr>
          <w:b/>
          <w:sz w:val="24"/>
          <w:szCs w:val="24"/>
        </w:rPr>
        <w:t>114</w:t>
      </w:r>
      <w:r w:rsidRPr="003E185C">
        <w:rPr>
          <w:sz w:val="24"/>
          <w:szCs w:val="24"/>
        </w:rPr>
        <w:t>, 376; (</w:t>
      </w:r>
      <w:r>
        <w:rPr>
          <w:sz w:val="24"/>
          <w:szCs w:val="24"/>
        </w:rPr>
        <w:t>f</w:t>
      </w:r>
      <w:r w:rsidRPr="003E185C">
        <w:rPr>
          <w:sz w:val="24"/>
          <w:szCs w:val="24"/>
        </w:rPr>
        <w:t xml:space="preserve">) </w:t>
      </w:r>
      <w:r w:rsidRPr="003E185C">
        <w:rPr>
          <w:sz w:val="24"/>
          <w:szCs w:val="24"/>
          <w:lang w:val="en-US"/>
        </w:rPr>
        <w:t>A.</w:t>
      </w:r>
      <w:r>
        <w:rPr>
          <w:sz w:val="24"/>
          <w:szCs w:val="24"/>
          <w:lang w:val="en-US"/>
        </w:rPr>
        <w:t xml:space="preserve"> </w:t>
      </w:r>
      <w:r w:rsidRPr="003E185C">
        <w:rPr>
          <w:sz w:val="24"/>
          <w:szCs w:val="24"/>
          <w:lang w:val="en-US"/>
        </w:rPr>
        <w:t>Jeličić, F.</w:t>
      </w:r>
      <w:r>
        <w:rPr>
          <w:sz w:val="24"/>
          <w:szCs w:val="24"/>
          <w:lang w:val="en-US"/>
        </w:rPr>
        <w:t xml:space="preserve"> </w:t>
      </w:r>
      <w:r w:rsidRPr="003E185C">
        <w:rPr>
          <w:sz w:val="24"/>
          <w:szCs w:val="24"/>
          <w:lang w:val="en-US"/>
        </w:rPr>
        <w:t>Köhler, A.</w:t>
      </w:r>
      <w:r>
        <w:rPr>
          <w:sz w:val="24"/>
          <w:szCs w:val="24"/>
          <w:lang w:val="en-US"/>
        </w:rPr>
        <w:t xml:space="preserve"> </w:t>
      </w:r>
      <w:r w:rsidRPr="003E185C">
        <w:rPr>
          <w:sz w:val="24"/>
          <w:szCs w:val="24"/>
          <w:lang w:val="en-US"/>
        </w:rPr>
        <w:t>Winter,</w:t>
      </w:r>
      <w:r w:rsidRPr="000A5DAE">
        <w:rPr>
          <w:sz w:val="24"/>
          <w:szCs w:val="24"/>
          <w:lang w:val="en-US"/>
        </w:rPr>
        <w:t xml:space="preserve"> </w:t>
      </w:r>
      <w:r w:rsidRPr="003E185C">
        <w:rPr>
          <w:sz w:val="24"/>
          <w:szCs w:val="24"/>
          <w:lang w:val="en-US"/>
        </w:rPr>
        <w:t xml:space="preserve">S.  Beuermann, </w:t>
      </w:r>
      <w:r w:rsidRPr="003E185C">
        <w:rPr>
          <w:i/>
          <w:sz w:val="24"/>
          <w:szCs w:val="24"/>
          <w:lang w:val="en-US"/>
        </w:rPr>
        <w:t>J. Polym. Sci. A</w:t>
      </w:r>
      <w:r w:rsidRPr="003E185C">
        <w:rPr>
          <w:sz w:val="24"/>
          <w:szCs w:val="24"/>
          <w:lang w:val="en-US"/>
        </w:rPr>
        <w:t xml:space="preserve">, </w:t>
      </w:r>
      <w:r w:rsidRPr="000A5DAE">
        <w:rPr>
          <w:sz w:val="24"/>
          <w:szCs w:val="24"/>
          <w:lang w:val="en-US"/>
        </w:rPr>
        <w:t>2009</w:t>
      </w:r>
      <w:r w:rsidRPr="003E185C">
        <w:rPr>
          <w:sz w:val="24"/>
          <w:szCs w:val="24"/>
          <w:lang w:val="en-US"/>
        </w:rPr>
        <w:t xml:space="preserve">, </w:t>
      </w:r>
      <w:r w:rsidRPr="000A5DAE">
        <w:rPr>
          <w:b/>
          <w:sz w:val="24"/>
          <w:szCs w:val="24"/>
          <w:lang w:val="en-US"/>
        </w:rPr>
        <w:t>42</w:t>
      </w:r>
      <w:r w:rsidRPr="003E185C">
        <w:rPr>
          <w:sz w:val="24"/>
          <w:szCs w:val="24"/>
          <w:lang w:val="en-US"/>
        </w:rPr>
        <w:t>, 8801</w:t>
      </w:r>
      <w:r>
        <w:rPr>
          <w:sz w:val="24"/>
          <w:szCs w:val="24"/>
          <w:lang w:val="en-US"/>
        </w:rPr>
        <w:t xml:space="preserve">; (g) C. Chiappe, C. S. Pomelli, S. Rajamani, </w:t>
      </w:r>
      <w:r>
        <w:rPr>
          <w:i/>
          <w:sz w:val="24"/>
          <w:szCs w:val="24"/>
          <w:lang w:val="en-US"/>
        </w:rPr>
        <w:t>J. Phys. Chem. B</w:t>
      </w:r>
      <w:r>
        <w:rPr>
          <w:sz w:val="24"/>
          <w:szCs w:val="24"/>
          <w:lang w:val="en-US"/>
        </w:rPr>
        <w:t xml:space="preserve"> 2011, </w:t>
      </w:r>
      <w:r>
        <w:rPr>
          <w:b/>
          <w:sz w:val="24"/>
          <w:szCs w:val="24"/>
          <w:lang w:val="en-US"/>
        </w:rPr>
        <w:t>115</w:t>
      </w:r>
      <w:r>
        <w:rPr>
          <w:sz w:val="24"/>
          <w:szCs w:val="24"/>
          <w:lang w:val="en-US"/>
        </w:rPr>
        <w:t>, “Just Accepted”.</w:t>
      </w:r>
    </w:p>
  </w:endnote>
  <w:endnote w:id="19">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w:t>
      </w:r>
      <w:r w:rsidRPr="003E185C">
        <w:rPr>
          <w:sz w:val="24"/>
          <w:szCs w:val="24"/>
          <w:lang w:val="en-US"/>
        </w:rPr>
        <w:t>S.</w:t>
      </w:r>
      <w:r>
        <w:rPr>
          <w:sz w:val="24"/>
          <w:szCs w:val="24"/>
          <w:lang w:val="en-US"/>
        </w:rPr>
        <w:t xml:space="preserve"> </w:t>
      </w:r>
      <w:r w:rsidRPr="003E185C">
        <w:rPr>
          <w:sz w:val="24"/>
          <w:szCs w:val="24"/>
          <w:lang w:val="en-US"/>
        </w:rPr>
        <w:t>Coleman, R.</w:t>
      </w:r>
      <w:r>
        <w:rPr>
          <w:sz w:val="24"/>
          <w:szCs w:val="24"/>
          <w:lang w:val="en-US"/>
        </w:rPr>
        <w:t xml:space="preserve"> </w:t>
      </w:r>
      <w:r w:rsidRPr="003E185C">
        <w:rPr>
          <w:sz w:val="24"/>
          <w:szCs w:val="24"/>
          <w:lang w:val="en-US"/>
        </w:rPr>
        <w:t>Byrne, S.</w:t>
      </w:r>
      <w:r>
        <w:rPr>
          <w:sz w:val="24"/>
          <w:szCs w:val="24"/>
          <w:lang w:val="en-US"/>
        </w:rPr>
        <w:t xml:space="preserve"> </w:t>
      </w:r>
      <w:r w:rsidRPr="003E185C">
        <w:rPr>
          <w:sz w:val="24"/>
          <w:szCs w:val="24"/>
          <w:lang w:val="en-US"/>
        </w:rPr>
        <w:t>Minkovska, D.</w:t>
      </w:r>
      <w:r>
        <w:rPr>
          <w:sz w:val="24"/>
          <w:szCs w:val="24"/>
          <w:lang w:val="en-US"/>
        </w:rPr>
        <w:t xml:space="preserve"> </w:t>
      </w:r>
      <w:r w:rsidRPr="003E185C">
        <w:rPr>
          <w:sz w:val="24"/>
          <w:szCs w:val="24"/>
          <w:lang w:val="en-US"/>
        </w:rPr>
        <w:t xml:space="preserve">Diamond, </w:t>
      </w:r>
      <w:r w:rsidRPr="003E185C">
        <w:rPr>
          <w:i/>
          <w:sz w:val="24"/>
          <w:szCs w:val="24"/>
          <w:lang w:val="en-US"/>
        </w:rPr>
        <w:t>Phys. Chem. Chem. Phys.</w:t>
      </w:r>
      <w:r>
        <w:rPr>
          <w:sz w:val="24"/>
          <w:szCs w:val="24"/>
          <w:lang w:val="en-US"/>
        </w:rPr>
        <w:t>,</w:t>
      </w:r>
      <w:r w:rsidRPr="003E185C">
        <w:rPr>
          <w:sz w:val="24"/>
          <w:szCs w:val="24"/>
          <w:lang w:val="en-US"/>
        </w:rPr>
        <w:t xml:space="preserve"> </w:t>
      </w:r>
      <w:r w:rsidRPr="000A5DAE">
        <w:rPr>
          <w:sz w:val="24"/>
          <w:szCs w:val="24"/>
          <w:lang w:val="en-US"/>
        </w:rPr>
        <w:t>2009</w:t>
      </w:r>
      <w:r w:rsidRPr="003E185C">
        <w:rPr>
          <w:sz w:val="24"/>
          <w:szCs w:val="24"/>
          <w:lang w:val="en-US"/>
        </w:rPr>
        <w:t xml:space="preserve">, </w:t>
      </w:r>
      <w:r w:rsidRPr="000A5DAE">
        <w:rPr>
          <w:b/>
          <w:sz w:val="24"/>
          <w:szCs w:val="24"/>
          <w:lang w:val="en-US"/>
        </w:rPr>
        <w:t>11</w:t>
      </w:r>
      <w:r w:rsidRPr="003E185C">
        <w:rPr>
          <w:sz w:val="24"/>
          <w:szCs w:val="24"/>
          <w:lang w:val="en-US"/>
        </w:rPr>
        <w:t>, 5608.</w:t>
      </w:r>
    </w:p>
  </w:endnote>
  <w:endnote w:id="20">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S.</w:t>
      </w:r>
      <w:r>
        <w:rPr>
          <w:sz w:val="24"/>
          <w:szCs w:val="24"/>
        </w:rPr>
        <w:t xml:space="preserve"> </w:t>
      </w:r>
      <w:r w:rsidRPr="003E185C">
        <w:rPr>
          <w:sz w:val="24"/>
          <w:szCs w:val="24"/>
        </w:rPr>
        <w:t>Zhang, X.</w:t>
      </w:r>
      <w:r>
        <w:rPr>
          <w:sz w:val="24"/>
          <w:szCs w:val="24"/>
        </w:rPr>
        <w:t xml:space="preserve"> </w:t>
      </w:r>
      <w:r w:rsidRPr="003E185C">
        <w:rPr>
          <w:sz w:val="24"/>
          <w:szCs w:val="24"/>
        </w:rPr>
        <w:t>Qi, X.</w:t>
      </w:r>
      <w:r>
        <w:rPr>
          <w:sz w:val="24"/>
          <w:szCs w:val="24"/>
        </w:rPr>
        <w:t xml:space="preserve"> </w:t>
      </w:r>
      <w:r w:rsidRPr="003E185C">
        <w:rPr>
          <w:sz w:val="24"/>
          <w:szCs w:val="24"/>
        </w:rPr>
        <w:t>Ma, L.</w:t>
      </w:r>
      <w:r>
        <w:rPr>
          <w:sz w:val="24"/>
          <w:szCs w:val="24"/>
        </w:rPr>
        <w:t xml:space="preserve"> </w:t>
      </w:r>
      <w:r w:rsidRPr="003E185C">
        <w:rPr>
          <w:sz w:val="24"/>
          <w:szCs w:val="24"/>
        </w:rPr>
        <w:t>Lu, Y.</w:t>
      </w:r>
      <w:r>
        <w:rPr>
          <w:sz w:val="24"/>
          <w:szCs w:val="24"/>
        </w:rPr>
        <w:t xml:space="preserve"> </w:t>
      </w:r>
      <w:r w:rsidRPr="003E185C">
        <w:rPr>
          <w:sz w:val="24"/>
          <w:szCs w:val="24"/>
        </w:rPr>
        <w:t xml:space="preserve">Deng, </w:t>
      </w:r>
      <w:r w:rsidRPr="003E185C">
        <w:rPr>
          <w:i/>
          <w:sz w:val="24"/>
          <w:szCs w:val="24"/>
        </w:rPr>
        <w:t>J. Phys. Chem. B</w:t>
      </w:r>
      <w:r>
        <w:rPr>
          <w:sz w:val="24"/>
          <w:szCs w:val="24"/>
        </w:rPr>
        <w:t>,</w:t>
      </w:r>
      <w:r w:rsidRPr="003E185C">
        <w:rPr>
          <w:sz w:val="24"/>
          <w:szCs w:val="24"/>
        </w:rPr>
        <w:t xml:space="preserve"> </w:t>
      </w:r>
      <w:r w:rsidRPr="000A5DAE">
        <w:rPr>
          <w:sz w:val="24"/>
          <w:szCs w:val="24"/>
        </w:rPr>
        <w:t>2010</w:t>
      </w:r>
      <w:r w:rsidRPr="003E185C">
        <w:rPr>
          <w:sz w:val="24"/>
          <w:szCs w:val="24"/>
        </w:rPr>
        <w:t xml:space="preserve">, </w:t>
      </w:r>
      <w:r w:rsidRPr="000A5DAE">
        <w:rPr>
          <w:b/>
          <w:sz w:val="24"/>
          <w:szCs w:val="24"/>
        </w:rPr>
        <w:t>114</w:t>
      </w:r>
      <w:r w:rsidRPr="003E185C">
        <w:rPr>
          <w:sz w:val="24"/>
          <w:szCs w:val="24"/>
        </w:rPr>
        <w:t>, 3912.</w:t>
      </w:r>
    </w:p>
  </w:endnote>
  <w:endnote w:id="21">
    <w:p w:rsidR="00C96C12" w:rsidRPr="003E185C" w:rsidRDefault="00C96C12" w:rsidP="008B2A31">
      <w:pPr>
        <w:pStyle w:val="EndnoteText"/>
        <w:spacing w:line="276" w:lineRule="auto"/>
        <w:rPr>
          <w:i/>
          <w:sz w:val="24"/>
          <w:szCs w:val="24"/>
        </w:rPr>
      </w:pPr>
      <w:r w:rsidRPr="003E185C">
        <w:rPr>
          <w:rStyle w:val="EndnoteReference"/>
          <w:sz w:val="24"/>
          <w:szCs w:val="24"/>
        </w:rPr>
        <w:endnoteRef/>
      </w:r>
      <w:r w:rsidRPr="003E185C">
        <w:rPr>
          <w:sz w:val="24"/>
          <w:szCs w:val="24"/>
        </w:rPr>
        <w:t xml:space="preserve"> M.M. Waichigo, B.M. Hunter, T.L. Riechel, N.D. Danielson, </w:t>
      </w:r>
      <w:r w:rsidRPr="003E185C">
        <w:rPr>
          <w:i/>
          <w:sz w:val="24"/>
          <w:szCs w:val="24"/>
        </w:rPr>
        <w:t>J. Liq. Chromatogr.</w:t>
      </w:r>
    </w:p>
    <w:p w:rsidR="00C96C12" w:rsidRPr="003E185C" w:rsidRDefault="00C96C12" w:rsidP="008B2A31">
      <w:pPr>
        <w:pStyle w:val="EndnoteText"/>
        <w:spacing w:line="276" w:lineRule="auto"/>
        <w:rPr>
          <w:i/>
          <w:sz w:val="24"/>
          <w:szCs w:val="24"/>
        </w:rPr>
      </w:pPr>
      <w:r w:rsidRPr="003E185C">
        <w:rPr>
          <w:i/>
          <w:sz w:val="24"/>
          <w:szCs w:val="24"/>
          <w:lang w:val="en-US"/>
        </w:rPr>
        <w:t>Rel. Technol</w:t>
      </w:r>
      <w:r w:rsidRPr="003E185C">
        <w:rPr>
          <w:sz w:val="24"/>
          <w:szCs w:val="24"/>
          <w:lang w:val="en-US"/>
        </w:rPr>
        <w:t>.</w:t>
      </w:r>
      <w:r>
        <w:rPr>
          <w:i/>
          <w:sz w:val="24"/>
          <w:szCs w:val="24"/>
          <w:lang w:val="en-US"/>
        </w:rPr>
        <w:t>,</w:t>
      </w:r>
      <w:r w:rsidRPr="003E185C">
        <w:rPr>
          <w:sz w:val="24"/>
          <w:szCs w:val="24"/>
          <w:lang w:val="en-US"/>
        </w:rPr>
        <w:t xml:space="preserve"> 30</w:t>
      </w:r>
      <w:r>
        <w:rPr>
          <w:sz w:val="24"/>
          <w:szCs w:val="24"/>
          <w:lang w:val="en-US"/>
        </w:rPr>
        <w:t xml:space="preserve">, </w:t>
      </w:r>
      <w:r w:rsidRPr="000A5DAE">
        <w:rPr>
          <w:b/>
          <w:sz w:val="24"/>
          <w:szCs w:val="24"/>
          <w:lang w:val="en-US"/>
        </w:rPr>
        <w:t>2007</w:t>
      </w:r>
      <w:r>
        <w:rPr>
          <w:sz w:val="24"/>
          <w:szCs w:val="24"/>
          <w:lang w:val="en-US"/>
        </w:rPr>
        <w:t>,</w:t>
      </w:r>
      <w:r w:rsidRPr="003E185C">
        <w:rPr>
          <w:sz w:val="24"/>
          <w:szCs w:val="24"/>
          <w:lang w:val="en-US"/>
        </w:rPr>
        <w:t xml:space="preserve"> 165.</w:t>
      </w:r>
    </w:p>
  </w:endnote>
  <w:endnote w:id="22">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bCs/>
          <w:sz w:val="24"/>
          <w:szCs w:val="24"/>
          <w:lang w:val="en-US"/>
        </w:rPr>
        <w:t xml:space="preserve"> (a)</w:t>
      </w:r>
      <w:r>
        <w:rPr>
          <w:bCs/>
          <w:sz w:val="24"/>
          <w:szCs w:val="24"/>
          <w:lang w:val="en-US"/>
        </w:rPr>
        <w:t xml:space="preserve"> L. </w:t>
      </w:r>
      <w:r w:rsidRPr="003E185C">
        <w:rPr>
          <w:bCs/>
          <w:sz w:val="24"/>
          <w:szCs w:val="24"/>
          <w:lang w:val="en-US"/>
        </w:rPr>
        <w:t>Crowhurs</w:t>
      </w:r>
      <w:r>
        <w:rPr>
          <w:bCs/>
          <w:sz w:val="24"/>
          <w:szCs w:val="24"/>
          <w:lang w:val="en-US"/>
        </w:rPr>
        <w:t xml:space="preserve">t, N. L. Lancaster, J. M. Pérez-Arlandis, </w:t>
      </w:r>
      <w:r w:rsidRPr="003E185C">
        <w:rPr>
          <w:bCs/>
          <w:sz w:val="24"/>
          <w:szCs w:val="24"/>
          <w:lang w:val="en-US"/>
        </w:rPr>
        <w:t xml:space="preserve">T. Welton, </w:t>
      </w:r>
      <w:r w:rsidRPr="00D926C8">
        <w:rPr>
          <w:bCs/>
          <w:i/>
          <w:sz w:val="24"/>
          <w:szCs w:val="24"/>
          <w:lang w:val="en-US"/>
        </w:rPr>
        <w:t>J. Am. Chem. Soc.</w:t>
      </w:r>
      <w:r w:rsidRPr="003E185C">
        <w:rPr>
          <w:bCs/>
          <w:sz w:val="24"/>
          <w:szCs w:val="24"/>
          <w:lang w:val="en-US"/>
        </w:rPr>
        <w:t xml:space="preserve">, 2004, </w:t>
      </w:r>
      <w:r w:rsidRPr="003E185C">
        <w:rPr>
          <w:b/>
          <w:bCs/>
          <w:sz w:val="24"/>
          <w:szCs w:val="24"/>
          <w:lang w:val="en-US"/>
        </w:rPr>
        <w:t>126</w:t>
      </w:r>
      <w:r w:rsidRPr="003E185C">
        <w:rPr>
          <w:bCs/>
          <w:sz w:val="24"/>
          <w:szCs w:val="24"/>
          <w:lang w:val="en-US"/>
        </w:rPr>
        <w:t xml:space="preserve">, 11549; (b) </w:t>
      </w:r>
      <w:r w:rsidRPr="003E185C">
        <w:rPr>
          <w:sz w:val="24"/>
          <w:szCs w:val="24"/>
        </w:rPr>
        <w:t>L. Crowhurst, R. Falcone, N.</w:t>
      </w:r>
      <w:r>
        <w:rPr>
          <w:sz w:val="24"/>
          <w:szCs w:val="24"/>
        </w:rPr>
        <w:t xml:space="preserve"> L. Lancaster, V. Llopis-Mestre, </w:t>
      </w:r>
      <w:r w:rsidRPr="003E185C">
        <w:rPr>
          <w:sz w:val="24"/>
          <w:szCs w:val="24"/>
        </w:rPr>
        <w:t xml:space="preserve">T. Welton, </w:t>
      </w:r>
      <w:r w:rsidRPr="00D926C8">
        <w:rPr>
          <w:i/>
          <w:sz w:val="24"/>
          <w:szCs w:val="24"/>
        </w:rPr>
        <w:t>J. Org. Chem</w:t>
      </w:r>
      <w:r w:rsidRPr="003E185C">
        <w:rPr>
          <w:sz w:val="24"/>
          <w:szCs w:val="24"/>
        </w:rPr>
        <w:t xml:space="preserve">., 2006, </w:t>
      </w:r>
      <w:r w:rsidRPr="003E185C">
        <w:rPr>
          <w:b/>
          <w:sz w:val="24"/>
          <w:szCs w:val="24"/>
        </w:rPr>
        <w:t>71</w:t>
      </w:r>
      <w:r w:rsidRPr="003E185C">
        <w:rPr>
          <w:sz w:val="24"/>
          <w:szCs w:val="24"/>
        </w:rPr>
        <w:t>, 8847</w:t>
      </w:r>
      <w:r w:rsidRPr="003E185C">
        <w:rPr>
          <w:bCs/>
          <w:sz w:val="24"/>
          <w:szCs w:val="24"/>
          <w:lang w:val="en-US"/>
        </w:rPr>
        <w:t xml:space="preserve"> (c) </w:t>
      </w:r>
      <w:r w:rsidRPr="003E185C">
        <w:rPr>
          <w:bCs/>
          <w:sz w:val="24"/>
          <w:szCs w:val="24"/>
        </w:rPr>
        <w:t xml:space="preserve">I.  </w:t>
      </w:r>
      <w:r>
        <w:rPr>
          <w:bCs/>
          <w:sz w:val="24"/>
          <w:szCs w:val="24"/>
        </w:rPr>
        <w:t xml:space="preserve">Newington, J. M. Perez-Arlandis, </w:t>
      </w:r>
      <w:r w:rsidRPr="003E185C">
        <w:rPr>
          <w:bCs/>
          <w:sz w:val="24"/>
          <w:szCs w:val="24"/>
        </w:rPr>
        <w:t xml:space="preserve">T. Welton, </w:t>
      </w:r>
      <w:r w:rsidRPr="00D926C8">
        <w:rPr>
          <w:bCs/>
          <w:i/>
          <w:sz w:val="24"/>
          <w:szCs w:val="24"/>
        </w:rPr>
        <w:t>Org. Lett</w:t>
      </w:r>
      <w:r w:rsidRPr="003E185C">
        <w:rPr>
          <w:bCs/>
          <w:sz w:val="24"/>
          <w:szCs w:val="24"/>
        </w:rPr>
        <w:t>., 2007,</w:t>
      </w:r>
      <w:r w:rsidRPr="003E185C">
        <w:rPr>
          <w:bCs/>
          <w:sz w:val="24"/>
          <w:szCs w:val="24"/>
          <w:lang w:val="en-US"/>
        </w:rPr>
        <w:t xml:space="preserve"> </w:t>
      </w:r>
      <w:r w:rsidRPr="003E185C">
        <w:rPr>
          <w:b/>
          <w:bCs/>
          <w:sz w:val="24"/>
          <w:szCs w:val="24"/>
          <w:lang w:val="en-US"/>
        </w:rPr>
        <w:t>9</w:t>
      </w:r>
      <w:r w:rsidRPr="003E185C">
        <w:rPr>
          <w:bCs/>
          <w:sz w:val="24"/>
          <w:szCs w:val="24"/>
          <w:lang w:val="en-US"/>
        </w:rPr>
        <w:t>, 5247; (d) G. Ranieri, J. P. Hallett</w:t>
      </w:r>
      <w:r>
        <w:rPr>
          <w:bCs/>
          <w:sz w:val="24"/>
          <w:szCs w:val="24"/>
          <w:lang w:val="en-US"/>
        </w:rPr>
        <w:t xml:space="preserve">, </w:t>
      </w:r>
      <w:r w:rsidRPr="003E185C">
        <w:rPr>
          <w:bCs/>
          <w:sz w:val="24"/>
          <w:szCs w:val="24"/>
          <w:lang w:val="en-US"/>
        </w:rPr>
        <w:t xml:space="preserve">T. Welton, </w:t>
      </w:r>
      <w:r w:rsidRPr="00D926C8">
        <w:rPr>
          <w:bCs/>
          <w:i/>
          <w:sz w:val="24"/>
          <w:szCs w:val="24"/>
          <w:lang w:val="en-US"/>
        </w:rPr>
        <w:t>Ind. Eng. Chem. Res</w:t>
      </w:r>
      <w:r w:rsidRPr="003E185C">
        <w:rPr>
          <w:bCs/>
          <w:sz w:val="24"/>
          <w:szCs w:val="24"/>
          <w:lang w:val="en-US"/>
        </w:rPr>
        <w:t xml:space="preserve">., 2008, </w:t>
      </w:r>
      <w:r w:rsidRPr="003E185C">
        <w:rPr>
          <w:b/>
          <w:bCs/>
          <w:sz w:val="24"/>
          <w:szCs w:val="24"/>
          <w:lang w:val="en-US"/>
        </w:rPr>
        <w:t>47</w:t>
      </w:r>
      <w:r w:rsidRPr="003E185C">
        <w:rPr>
          <w:bCs/>
          <w:sz w:val="24"/>
          <w:szCs w:val="24"/>
          <w:lang w:val="en-US"/>
        </w:rPr>
        <w:t>, 638;</w:t>
      </w:r>
      <w:r w:rsidRPr="003E185C">
        <w:rPr>
          <w:sz w:val="24"/>
          <w:szCs w:val="24"/>
        </w:rPr>
        <w:t xml:space="preserve"> (e) </w:t>
      </w:r>
      <w:r w:rsidRPr="003E185C">
        <w:rPr>
          <w:bCs/>
          <w:sz w:val="24"/>
          <w:szCs w:val="24"/>
        </w:rPr>
        <w:t xml:space="preserve">R. Bini, C. Chiappe, V. Llopis Mestre, C. S. Pomelli, T. Welton, </w:t>
      </w:r>
      <w:r w:rsidRPr="00D926C8">
        <w:rPr>
          <w:bCs/>
          <w:i/>
          <w:sz w:val="24"/>
          <w:szCs w:val="24"/>
        </w:rPr>
        <w:t>Org. Biomol. Chem</w:t>
      </w:r>
      <w:r>
        <w:rPr>
          <w:bCs/>
          <w:sz w:val="24"/>
          <w:szCs w:val="24"/>
        </w:rPr>
        <w:t>.,</w:t>
      </w:r>
      <w:r w:rsidRPr="003E185C">
        <w:rPr>
          <w:bCs/>
          <w:sz w:val="24"/>
          <w:szCs w:val="24"/>
        </w:rPr>
        <w:t xml:space="preserve"> 2008, </w:t>
      </w:r>
      <w:r w:rsidRPr="003E185C">
        <w:rPr>
          <w:b/>
          <w:bCs/>
          <w:sz w:val="24"/>
          <w:szCs w:val="24"/>
        </w:rPr>
        <w:t>6</w:t>
      </w:r>
      <w:r w:rsidRPr="003E185C">
        <w:rPr>
          <w:bCs/>
          <w:sz w:val="24"/>
          <w:szCs w:val="24"/>
        </w:rPr>
        <w:t>, 2522;</w:t>
      </w:r>
      <w:r w:rsidRPr="003E185C">
        <w:rPr>
          <w:sz w:val="24"/>
          <w:szCs w:val="24"/>
        </w:rPr>
        <w:t xml:space="preserve"> (f) </w:t>
      </w:r>
      <w:r w:rsidRPr="003E185C">
        <w:rPr>
          <w:bCs/>
          <w:sz w:val="24"/>
          <w:szCs w:val="24"/>
        </w:rPr>
        <w:t xml:space="preserve">T. Wells, J. P. Hallett, C. K. Williams, </w:t>
      </w:r>
      <w:r>
        <w:rPr>
          <w:bCs/>
          <w:sz w:val="24"/>
          <w:szCs w:val="24"/>
        </w:rPr>
        <w:t xml:space="preserve">T. Welton, </w:t>
      </w:r>
      <w:r w:rsidRPr="00D926C8">
        <w:rPr>
          <w:bCs/>
          <w:i/>
          <w:sz w:val="24"/>
          <w:szCs w:val="24"/>
        </w:rPr>
        <w:t>J. Org. Chem</w:t>
      </w:r>
      <w:r>
        <w:rPr>
          <w:bCs/>
          <w:sz w:val="24"/>
          <w:szCs w:val="24"/>
        </w:rPr>
        <w:t>.,</w:t>
      </w:r>
      <w:r w:rsidRPr="003E185C">
        <w:rPr>
          <w:bCs/>
          <w:sz w:val="24"/>
          <w:szCs w:val="24"/>
        </w:rPr>
        <w:t xml:space="preserve"> 2008, </w:t>
      </w:r>
      <w:r w:rsidRPr="003E185C">
        <w:rPr>
          <w:b/>
          <w:bCs/>
          <w:sz w:val="24"/>
          <w:szCs w:val="24"/>
        </w:rPr>
        <w:t>73</w:t>
      </w:r>
      <w:r w:rsidRPr="003E185C">
        <w:rPr>
          <w:bCs/>
          <w:sz w:val="24"/>
          <w:szCs w:val="24"/>
        </w:rPr>
        <w:t xml:space="preserve">, 5585; (g) P. Illner, S. Begel, S. Kern, R. Puchta, R. Van Eldik, </w:t>
      </w:r>
      <w:r w:rsidRPr="003E185C">
        <w:rPr>
          <w:bCs/>
          <w:i/>
          <w:sz w:val="24"/>
          <w:szCs w:val="24"/>
        </w:rPr>
        <w:t>Inorg. Chem.</w:t>
      </w:r>
      <w:r w:rsidRPr="003E185C">
        <w:rPr>
          <w:bCs/>
          <w:sz w:val="24"/>
          <w:szCs w:val="24"/>
        </w:rPr>
        <w:t xml:space="preserve">, 2009, </w:t>
      </w:r>
      <w:r w:rsidRPr="003E185C">
        <w:rPr>
          <w:b/>
          <w:bCs/>
          <w:sz w:val="24"/>
          <w:szCs w:val="24"/>
        </w:rPr>
        <w:t>48</w:t>
      </w:r>
      <w:r w:rsidRPr="003E185C">
        <w:rPr>
          <w:bCs/>
          <w:sz w:val="24"/>
          <w:szCs w:val="24"/>
        </w:rPr>
        <w:t xml:space="preserve">, 588; (h) J. C. Schleicher, A. M. Scurto, </w:t>
      </w:r>
      <w:r w:rsidRPr="003E185C">
        <w:rPr>
          <w:bCs/>
          <w:i/>
          <w:sz w:val="24"/>
          <w:szCs w:val="24"/>
        </w:rPr>
        <w:t>Green Chem.</w:t>
      </w:r>
      <w:r w:rsidRPr="003E185C">
        <w:rPr>
          <w:bCs/>
          <w:sz w:val="24"/>
          <w:szCs w:val="24"/>
        </w:rPr>
        <w:t xml:space="preserve">, 2009, </w:t>
      </w:r>
      <w:r w:rsidRPr="003E185C">
        <w:rPr>
          <w:b/>
          <w:bCs/>
          <w:sz w:val="24"/>
          <w:szCs w:val="24"/>
        </w:rPr>
        <w:t>11</w:t>
      </w:r>
      <w:r w:rsidRPr="003E185C">
        <w:rPr>
          <w:bCs/>
          <w:sz w:val="24"/>
          <w:szCs w:val="24"/>
        </w:rPr>
        <w:t xml:space="preserve">, 694; (i) S. M. Nabavizadeh, H. R. Shahsavari, H. Sepehrpour, F. N. Hosseini, S. Jamali, M. Rashidi, </w:t>
      </w:r>
      <w:r w:rsidRPr="003E185C">
        <w:rPr>
          <w:bCs/>
          <w:i/>
          <w:sz w:val="24"/>
          <w:szCs w:val="24"/>
        </w:rPr>
        <w:t>Dalton Trans.</w:t>
      </w:r>
      <w:r>
        <w:rPr>
          <w:bCs/>
          <w:sz w:val="24"/>
          <w:szCs w:val="24"/>
        </w:rPr>
        <w:t>,</w:t>
      </w:r>
      <w:r w:rsidRPr="003E185C">
        <w:rPr>
          <w:bCs/>
          <w:sz w:val="24"/>
          <w:szCs w:val="24"/>
        </w:rPr>
        <w:t xml:space="preserve"> 2010, </w:t>
      </w:r>
      <w:r w:rsidRPr="00D926C8">
        <w:rPr>
          <w:b/>
          <w:bCs/>
          <w:sz w:val="24"/>
          <w:szCs w:val="24"/>
        </w:rPr>
        <w:t>39</w:t>
      </w:r>
      <w:r w:rsidRPr="003E185C">
        <w:rPr>
          <w:bCs/>
          <w:sz w:val="24"/>
          <w:szCs w:val="24"/>
        </w:rPr>
        <w:t>, 7800.</w:t>
      </w:r>
    </w:p>
  </w:endnote>
  <w:endnote w:id="23">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(a) V. Cimpeanu, V. Pârvulescu, V. I. Pârvulescu, J. M. Thompson, C. Hardacre, </w:t>
      </w:r>
      <w:r w:rsidRPr="003E185C">
        <w:rPr>
          <w:i/>
          <w:sz w:val="24"/>
          <w:szCs w:val="24"/>
        </w:rPr>
        <w:t>Catal. Today</w:t>
      </w:r>
      <w:r>
        <w:rPr>
          <w:i/>
          <w:sz w:val="24"/>
          <w:szCs w:val="24"/>
        </w:rPr>
        <w:t>,</w:t>
      </w:r>
      <w:r w:rsidRPr="003E185C">
        <w:rPr>
          <w:sz w:val="24"/>
          <w:szCs w:val="24"/>
        </w:rPr>
        <w:t xml:space="preserve"> 2006, </w:t>
      </w:r>
      <w:r w:rsidRPr="00D926C8">
        <w:rPr>
          <w:b/>
          <w:sz w:val="24"/>
          <w:szCs w:val="24"/>
        </w:rPr>
        <w:t>117</w:t>
      </w:r>
      <w:r w:rsidRPr="003E185C">
        <w:rPr>
          <w:sz w:val="24"/>
          <w:szCs w:val="24"/>
        </w:rPr>
        <w:t xml:space="preserve">, 126; (b) M. Khodadadi-Mohaddam, H. Habibi-Yangjeh, M. R. Gholami, </w:t>
      </w:r>
      <w:r w:rsidRPr="003E185C">
        <w:rPr>
          <w:i/>
          <w:sz w:val="24"/>
          <w:szCs w:val="24"/>
        </w:rPr>
        <w:t>Appl. Catal. A</w:t>
      </w:r>
      <w:r>
        <w:rPr>
          <w:sz w:val="24"/>
          <w:szCs w:val="24"/>
        </w:rPr>
        <w:t>,</w:t>
      </w:r>
      <w:r w:rsidRPr="003E185C">
        <w:rPr>
          <w:sz w:val="24"/>
          <w:szCs w:val="24"/>
        </w:rPr>
        <w:t xml:space="preserve"> 2008, </w:t>
      </w:r>
      <w:r w:rsidRPr="00D926C8">
        <w:rPr>
          <w:b/>
          <w:sz w:val="24"/>
          <w:szCs w:val="24"/>
        </w:rPr>
        <w:t>341</w:t>
      </w:r>
      <w:r w:rsidRPr="003E185C">
        <w:rPr>
          <w:sz w:val="24"/>
          <w:szCs w:val="24"/>
        </w:rPr>
        <w:t xml:space="preserve">, 58; (c) J. Teixeira, A. R. Silva, L. C. Branco, C. A. M. Afonso, C. Freire, </w:t>
      </w:r>
      <w:r w:rsidRPr="003E185C">
        <w:rPr>
          <w:i/>
          <w:sz w:val="24"/>
          <w:szCs w:val="24"/>
        </w:rPr>
        <w:t>Inorg. Chim. Acta</w:t>
      </w:r>
      <w:r w:rsidRPr="003E185C">
        <w:rPr>
          <w:sz w:val="24"/>
          <w:szCs w:val="24"/>
        </w:rPr>
        <w:t xml:space="preserve">, 2010, </w:t>
      </w:r>
      <w:r w:rsidRPr="003E185C">
        <w:rPr>
          <w:b/>
          <w:sz w:val="24"/>
          <w:szCs w:val="24"/>
        </w:rPr>
        <w:t>363</w:t>
      </w:r>
      <w:r w:rsidRPr="003E185C">
        <w:rPr>
          <w:sz w:val="24"/>
          <w:szCs w:val="24"/>
        </w:rPr>
        <w:t>, 3321.</w:t>
      </w:r>
    </w:p>
  </w:endnote>
  <w:endnote w:id="24">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S. Coleman, R. Byrne, S. Minkovska, D. Diamond </w:t>
      </w:r>
      <w:r w:rsidRPr="003E185C">
        <w:rPr>
          <w:i/>
          <w:sz w:val="24"/>
          <w:szCs w:val="24"/>
        </w:rPr>
        <w:t>J. Phys. Chem. B.</w:t>
      </w:r>
      <w:r w:rsidRPr="003E185C">
        <w:rPr>
          <w:sz w:val="24"/>
          <w:szCs w:val="24"/>
        </w:rPr>
        <w:t xml:space="preserve">, 2009, </w:t>
      </w:r>
      <w:r w:rsidRPr="003E185C">
        <w:rPr>
          <w:b/>
          <w:sz w:val="24"/>
          <w:szCs w:val="24"/>
        </w:rPr>
        <w:t>113</w:t>
      </w:r>
      <w:r w:rsidRPr="003E185C">
        <w:rPr>
          <w:sz w:val="24"/>
          <w:szCs w:val="24"/>
        </w:rPr>
        <w:t>, 15589.</w:t>
      </w:r>
    </w:p>
  </w:endnote>
  <w:endnote w:id="25">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M. J.</w:t>
      </w:r>
      <w:r>
        <w:rPr>
          <w:sz w:val="24"/>
          <w:szCs w:val="24"/>
        </w:rPr>
        <w:t xml:space="preserve"> </w:t>
      </w:r>
      <w:r w:rsidRPr="003E185C">
        <w:rPr>
          <w:sz w:val="24"/>
          <w:szCs w:val="24"/>
        </w:rPr>
        <w:t>Kamlet, T. N.</w:t>
      </w:r>
      <w:r>
        <w:rPr>
          <w:sz w:val="24"/>
          <w:szCs w:val="24"/>
        </w:rPr>
        <w:t xml:space="preserve"> </w:t>
      </w:r>
      <w:r w:rsidRPr="003E185C">
        <w:rPr>
          <w:sz w:val="24"/>
          <w:szCs w:val="24"/>
        </w:rPr>
        <w:t>Hall, J.</w:t>
      </w:r>
      <w:r>
        <w:rPr>
          <w:sz w:val="24"/>
          <w:szCs w:val="24"/>
        </w:rPr>
        <w:t xml:space="preserve"> </w:t>
      </w:r>
      <w:r w:rsidRPr="003E185C">
        <w:rPr>
          <w:sz w:val="24"/>
          <w:szCs w:val="24"/>
        </w:rPr>
        <w:t xml:space="preserve">Boykin,  R. W. Taft, </w:t>
      </w:r>
      <w:r w:rsidRPr="003E185C">
        <w:rPr>
          <w:i/>
          <w:sz w:val="24"/>
          <w:szCs w:val="24"/>
        </w:rPr>
        <w:t>J. Org. Chem.</w:t>
      </w:r>
      <w:r>
        <w:rPr>
          <w:sz w:val="24"/>
          <w:szCs w:val="24"/>
        </w:rPr>
        <w:t>,</w:t>
      </w:r>
      <w:r w:rsidRPr="003E185C">
        <w:rPr>
          <w:sz w:val="24"/>
          <w:szCs w:val="24"/>
        </w:rPr>
        <w:t xml:space="preserve"> </w:t>
      </w:r>
      <w:r w:rsidRPr="00D926C8">
        <w:rPr>
          <w:sz w:val="24"/>
          <w:szCs w:val="24"/>
        </w:rPr>
        <w:t>1979</w:t>
      </w:r>
      <w:r w:rsidRPr="003E185C">
        <w:rPr>
          <w:sz w:val="24"/>
          <w:szCs w:val="24"/>
        </w:rPr>
        <w:t xml:space="preserve">, </w:t>
      </w:r>
      <w:r w:rsidRPr="00D926C8">
        <w:rPr>
          <w:b/>
          <w:sz w:val="24"/>
          <w:szCs w:val="24"/>
        </w:rPr>
        <w:t>44</w:t>
      </w:r>
      <w:r w:rsidRPr="003E185C">
        <w:rPr>
          <w:sz w:val="24"/>
          <w:szCs w:val="24"/>
        </w:rPr>
        <w:t>, 2599.</w:t>
      </w:r>
    </w:p>
  </w:endnote>
  <w:endnote w:id="26">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Y. Marcus, </w:t>
      </w:r>
      <w:r w:rsidRPr="003E185C">
        <w:rPr>
          <w:i/>
          <w:sz w:val="24"/>
          <w:szCs w:val="24"/>
        </w:rPr>
        <w:t>Chem. Soc. Rev.</w:t>
      </w:r>
      <w:r w:rsidRPr="003E185C">
        <w:rPr>
          <w:sz w:val="24"/>
          <w:szCs w:val="24"/>
        </w:rPr>
        <w:t xml:space="preserve">, 1993, </w:t>
      </w:r>
      <w:r w:rsidRPr="003E185C">
        <w:rPr>
          <w:b/>
          <w:sz w:val="24"/>
          <w:szCs w:val="24"/>
        </w:rPr>
        <w:t>22</w:t>
      </w:r>
      <w:r w:rsidRPr="003E185C">
        <w:rPr>
          <w:sz w:val="24"/>
          <w:szCs w:val="24"/>
        </w:rPr>
        <w:t>, 409.</w:t>
      </w:r>
    </w:p>
  </w:endnote>
  <w:endnote w:id="27">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(a) B. R. Mellein, S. N. V. K. Aki, R. L. Ladewski, J. F. Brennecke, </w:t>
      </w:r>
      <w:r w:rsidRPr="003E185C">
        <w:rPr>
          <w:i/>
          <w:sz w:val="24"/>
          <w:szCs w:val="24"/>
        </w:rPr>
        <w:t>J. Phys. Chem. B</w:t>
      </w:r>
      <w:r w:rsidRPr="003E185C">
        <w:rPr>
          <w:sz w:val="24"/>
          <w:szCs w:val="24"/>
        </w:rPr>
        <w:t xml:space="preserve">, 2007, </w:t>
      </w:r>
      <w:r w:rsidRPr="003E185C">
        <w:rPr>
          <w:b/>
          <w:sz w:val="24"/>
          <w:szCs w:val="24"/>
        </w:rPr>
        <w:t>111</w:t>
      </w:r>
      <w:r>
        <w:rPr>
          <w:sz w:val="24"/>
          <w:szCs w:val="24"/>
        </w:rPr>
        <w:t>, 131; (b</w:t>
      </w:r>
      <w:r w:rsidRPr="003E185C">
        <w:rPr>
          <w:sz w:val="24"/>
          <w:szCs w:val="24"/>
        </w:rPr>
        <w:t xml:space="preserve">) S. Trivedi, N. I. Malek, K. Behera, S. Pandey, </w:t>
      </w:r>
      <w:r w:rsidRPr="003E185C">
        <w:rPr>
          <w:i/>
          <w:sz w:val="24"/>
          <w:szCs w:val="24"/>
        </w:rPr>
        <w:t>J. Phys. Chem. B</w:t>
      </w:r>
      <w:r w:rsidRPr="003E185C">
        <w:rPr>
          <w:sz w:val="24"/>
          <w:szCs w:val="24"/>
        </w:rPr>
        <w:t xml:space="preserve">, 2010, </w:t>
      </w:r>
      <w:r w:rsidRPr="003E185C">
        <w:rPr>
          <w:b/>
          <w:sz w:val="24"/>
          <w:szCs w:val="24"/>
        </w:rPr>
        <w:t>114</w:t>
      </w:r>
      <w:r>
        <w:rPr>
          <w:sz w:val="24"/>
          <w:szCs w:val="24"/>
        </w:rPr>
        <w:t xml:space="preserve">, 8118; (c) N. D. Khuspse, A. Kumar, </w:t>
      </w:r>
      <w:r w:rsidRPr="003E185C">
        <w:rPr>
          <w:i/>
          <w:sz w:val="24"/>
          <w:szCs w:val="24"/>
        </w:rPr>
        <w:t>J. Phys. Chem. B</w:t>
      </w:r>
      <w:r>
        <w:rPr>
          <w:sz w:val="24"/>
          <w:szCs w:val="24"/>
        </w:rPr>
        <w:t>, 2011</w:t>
      </w:r>
      <w:r w:rsidRPr="003E185C">
        <w:rPr>
          <w:sz w:val="24"/>
          <w:szCs w:val="24"/>
        </w:rPr>
        <w:t xml:space="preserve">, </w:t>
      </w:r>
      <w:r>
        <w:rPr>
          <w:b/>
          <w:sz w:val="24"/>
          <w:szCs w:val="24"/>
        </w:rPr>
        <w:t>115</w:t>
      </w:r>
      <w:r>
        <w:rPr>
          <w:sz w:val="24"/>
          <w:szCs w:val="24"/>
        </w:rPr>
        <w:t>, 711.</w:t>
      </w:r>
    </w:p>
  </w:endnote>
  <w:endnote w:id="28">
    <w:p w:rsidR="00C96C12" w:rsidRPr="003E185C" w:rsidRDefault="00C96C12" w:rsidP="005956B2">
      <w:pPr>
        <w:pStyle w:val="EndnoteText"/>
        <w:spacing w:line="276" w:lineRule="auto"/>
        <w:rPr>
          <w:sz w:val="24"/>
          <w:szCs w:val="24"/>
        </w:rPr>
      </w:pPr>
      <w:r w:rsidRPr="003E185C">
        <w:rPr>
          <w:rStyle w:val="EndnoteReference"/>
          <w:sz w:val="24"/>
          <w:szCs w:val="24"/>
        </w:rPr>
        <w:endnoteRef/>
      </w:r>
      <w:r w:rsidRPr="003E185C">
        <w:rPr>
          <w:sz w:val="24"/>
          <w:szCs w:val="24"/>
        </w:rPr>
        <w:t xml:space="preserve"> A.</w:t>
      </w:r>
      <w:r>
        <w:rPr>
          <w:sz w:val="24"/>
          <w:szCs w:val="24"/>
        </w:rPr>
        <w:t xml:space="preserve"> </w:t>
      </w:r>
      <w:r w:rsidRPr="003E185C">
        <w:rPr>
          <w:sz w:val="24"/>
          <w:szCs w:val="24"/>
        </w:rPr>
        <w:t>Oehlke, K.</w:t>
      </w:r>
      <w:r>
        <w:rPr>
          <w:sz w:val="24"/>
          <w:szCs w:val="24"/>
        </w:rPr>
        <w:t xml:space="preserve"> </w:t>
      </w:r>
      <w:r w:rsidRPr="003E185C">
        <w:rPr>
          <w:sz w:val="24"/>
          <w:szCs w:val="24"/>
        </w:rPr>
        <w:t>Hofmann, S.</w:t>
      </w:r>
      <w:r>
        <w:rPr>
          <w:sz w:val="24"/>
          <w:szCs w:val="24"/>
        </w:rPr>
        <w:t xml:space="preserve"> </w:t>
      </w:r>
      <w:r w:rsidRPr="003E185C">
        <w:rPr>
          <w:sz w:val="24"/>
          <w:szCs w:val="24"/>
        </w:rPr>
        <w:t xml:space="preserve">Spange, </w:t>
      </w:r>
      <w:r w:rsidRPr="003E185C">
        <w:rPr>
          <w:i/>
          <w:sz w:val="24"/>
          <w:szCs w:val="24"/>
        </w:rPr>
        <w:t>New J. Chem.</w:t>
      </w:r>
      <w:r>
        <w:rPr>
          <w:sz w:val="24"/>
          <w:szCs w:val="24"/>
        </w:rPr>
        <w:t>,</w:t>
      </w:r>
      <w:r w:rsidRPr="003E185C">
        <w:rPr>
          <w:sz w:val="24"/>
          <w:szCs w:val="24"/>
        </w:rPr>
        <w:t xml:space="preserve"> </w:t>
      </w:r>
      <w:r w:rsidRPr="00D926C8">
        <w:rPr>
          <w:sz w:val="24"/>
          <w:szCs w:val="24"/>
        </w:rPr>
        <w:t>2006</w:t>
      </w:r>
      <w:r w:rsidRPr="003E185C">
        <w:rPr>
          <w:sz w:val="24"/>
          <w:szCs w:val="24"/>
        </w:rPr>
        <w:t xml:space="preserve">, </w:t>
      </w:r>
      <w:r w:rsidRPr="00D926C8">
        <w:rPr>
          <w:b/>
          <w:sz w:val="24"/>
          <w:szCs w:val="24"/>
        </w:rPr>
        <w:t>30</w:t>
      </w:r>
      <w:r w:rsidRPr="003E185C">
        <w:rPr>
          <w:sz w:val="24"/>
          <w:szCs w:val="24"/>
        </w:rPr>
        <w:t>, 533.</w:t>
      </w:r>
    </w:p>
  </w:endnote>
  <w:endnote w:id="29">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Y.</w:t>
      </w:r>
      <w:r>
        <w:rPr>
          <w:sz w:val="24"/>
          <w:szCs w:val="24"/>
        </w:rPr>
        <w:t xml:space="preserve"> </w:t>
      </w:r>
      <w:r w:rsidRPr="003E185C">
        <w:rPr>
          <w:sz w:val="24"/>
          <w:szCs w:val="24"/>
        </w:rPr>
        <w:t>Kimura, T.</w:t>
      </w:r>
      <w:r>
        <w:rPr>
          <w:sz w:val="24"/>
          <w:szCs w:val="24"/>
        </w:rPr>
        <w:t xml:space="preserve"> </w:t>
      </w:r>
      <w:r w:rsidRPr="003E185C">
        <w:rPr>
          <w:sz w:val="24"/>
          <w:szCs w:val="24"/>
        </w:rPr>
        <w:t xml:space="preserve">Hamamoto, M. Terazima, </w:t>
      </w:r>
      <w:r w:rsidRPr="003E185C">
        <w:rPr>
          <w:i/>
          <w:sz w:val="24"/>
          <w:szCs w:val="24"/>
        </w:rPr>
        <w:t>J. Phys. Chem. A</w:t>
      </w:r>
      <w:r>
        <w:rPr>
          <w:sz w:val="24"/>
          <w:szCs w:val="24"/>
        </w:rPr>
        <w:t>,</w:t>
      </w:r>
      <w:r w:rsidRPr="003E185C">
        <w:rPr>
          <w:sz w:val="24"/>
          <w:szCs w:val="24"/>
        </w:rPr>
        <w:t xml:space="preserve"> </w:t>
      </w:r>
      <w:r w:rsidRPr="00D926C8">
        <w:rPr>
          <w:sz w:val="24"/>
          <w:szCs w:val="24"/>
        </w:rPr>
        <w:t>2007</w:t>
      </w:r>
      <w:r w:rsidRPr="003E185C">
        <w:rPr>
          <w:sz w:val="24"/>
          <w:szCs w:val="24"/>
        </w:rPr>
        <w:t xml:space="preserve">, </w:t>
      </w:r>
      <w:r w:rsidRPr="00D926C8">
        <w:rPr>
          <w:b/>
          <w:sz w:val="24"/>
          <w:szCs w:val="24"/>
        </w:rPr>
        <w:t>111</w:t>
      </w:r>
      <w:r w:rsidRPr="003E185C">
        <w:rPr>
          <w:sz w:val="24"/>
          <w:szCs w:val="24"/>
        </w:rPr>
        <w:t>, 7081.</w:t>
      </w:r>
    </w:p>
  </w:endnote>
  <w:endnote w:id="30">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(a) M. N. Kobrak, </w:t>
      </w:r>
      <w:r w:rsidRPr="003E185C">
        <w:rPr>
          <w:i/>
          <w:sz w:val="24"/>
          <w:szCs w:val="24"/>
        </w:rPr>
        <w:t>J. Phys. Chem. B</w:t>
      </w:r>
      <w:r w:rsidRPr="003E185C">
        <w:rPr>
          <w:sz w:val="24"/>
          <w:szCs w:val="24"/>
        </w:rPr>
        <w:t xml:space="preserve">, </w:t>
      </w:r>
      <w:r w:rsidRPr="00D926C8">
        <w:rPr>
          <w:sz w:val="24"/>
          <w:szCs w:val="24"/>
        </w:rPr>
        <w:t>2007</w:t>
      </w:r>
      <w:r w:rsidRPr="003E185C">
        <w:rPr>
          <w:sz w:val="24"/>
          <w:szCs w:val="24"/>
        </w:rPr>
        <w:t xml:space="preserve">, </w:t>
      </w:r>
      <w:r w:rsidRPr="00D926C8">
        <w:rPr>
          <w:b/>
          <w:sz w:val="24"/>
          <w:szCs w:val="24"/>
        </w:rPr>
        <w:t>111</w:t>
      </w:r>
      <w:r w:rsidRPr="003E185C">
        <w:rPr>
          <w:sz w:val="24"/>
          <w:szCs w:val="24"/>
        </w:rPr>
        <w:t xml:space="preserve">, 4755; (b) M. N. Kobrak, </w:t>
      </w:r>
      <w:r w:rsidRPr="003E185C">
        <w:rPr>
          <w:i/>
          <w:sz w:val="24"/>
          <w:szCs w:val="24"/>
        </w:rPr>
        <w:t>Green Chem.</w:t>
      </w:r>
      <w:r w:rsidRPr="003E185C">
        <w:rPr>
          <w:sz w:val="24"/>
          <w:szCs w:val="24"/>
        </w:rPr>
        <w:t xml:space="preserve">, </w:t>
      </w:r>
      <w:r w:rsidRPr="00D926C8">
        <w:rPr>
          <w:sz w:val="24"/>
          <w:szCs w:val="24"/>
        </w:rPr>
        <w:t>2008</w:t>
      </w:r>
      <w:r w:rsidRPr="003E185C">
        <w:rPr>
          <w:sz w:val="24"/>
          <w:szCs w:val="24"/>
        </w:rPr>
        <w:t xml:space="preserve">, </w:t>
      </w:r>
      <w:r w:rsidRPr="00D926C8">
        <w:rPr>
          <w:b/>
          <w:sz w:val="24"/>
          <w:szCs w:val="24"/>
        </w:rPr>
        <w:t>10</w:t>
      </w:r>
      <w:r w:rsidRPr="003E185C">
        <w:rPr>
          <w:sz w:val="24"/>
          <w:szCs w:val="24"/>
        </w:rPr>
        <w:t>, 80.</w:t>
      </w:r>
    </w:p>
  </w:endnote>
  <w:endnote w:id="31">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M. T. Kamlet, R. W. Taft </w:t>
      </w:r>
      <w:r w:rsidRPr="003E185C">
        <w:rPr>
          <w:i/>
          <w:sz w:val="24"/>
          <w:szCs w:val="24"/>
        </w:rPr>
        <w:t>J. Am. Chem. Soc.</w:t>
      </w:r>
      <w:r>
        <w:rPr>
          <w:sz w:val="24"/>
          <w:szCs w:val="24"/>
        </w:rPr>
        <w:t>,</w:t>
      </w:r>
      <w:r w:rsidRPr="003E185C">
        <w:rPr>
          <w:sz w:val="24"/>
          <w:szCs w:val="24"/>
        </w:rPr>
        <w:t xml:space="preserve"> </w:t>
      </w:r>
      <w:r w:rsidRPr="00D926C8">
        <w:rPr>
          <w:sz w:val="24"/>
          <w:szCs w:val="24"/>
        </w:rPr>
        <w:t>1976</w:t>
      </w:r>
      <w:r w:rsidRPr="003E185C">
        <w:rPr>
          <w:sz w:val="24"/>
          <w:szCs w:val="24"/>
        </w:rPr>
        <w:t xml:space="preserve">, </w:t>
      </w:r>
      <w:r w:rsidRPr="00D926C8">
        <w:rPr>
          <w:b/>
          <w:sz w:val="24"/>
          <w:szCs w:val="24"/>
        </w:rPr>
        <w:t>98</w:t>
      </w:r>
      <w:r w:rsidRPr="003E185C">
        <w:rPr>
          <w:sz w:val="24"/>
          <w:szCs w:val="24"/>
        </w:rPr>
        <w:t>, 2886.</w:t>
      </w:r>
    </w:p>
  </w:endnote>
  <w:endnote w:id="32">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R.</w:t>
      </w:r>
      <w:r>
        <w:rPr>
          <w:sz w:val="24"/>
          <w:szCs w:val="24"/>
        </w:rPr>
        <w:t xml:space="preserve"> </w:t>
      </w:r>
      <w:r w:rsidRPr="003E185C">
        <w:rPr>
          <w:sz w:val="24"/>
          <w:szCs w:val="24"/>
        </w:rPr>
        <w:t>Lungwitz, M.</w:t>
      </w:r>
      <w:r>
        <w:rPr>
          <w:sz w:val="24"/>
          <w:szCs w:val="24"/>
        </w:rPr>
        <w:t xml:space="preserve"> </w:t>
      </w:r>
      <w:r w:rsidRPr="003E185C">
        <w:rPr>
          <w:sz w:val="24"/>
          <w:szCs w:val="24"/>
        </w:rPr>
        <w:t>Friederich,</w:t>
      </w:r>
      <w:r w:rsidRPr="00DA1DC6">
        <w:rPr>
          <w:sz w:val="24"/>
          <w:szCs w:val="24"/>
        </w:rPr>
        <w:t xml:space="preserve"> </w:t>
      </w:r>
      <w:r w:rsidRPr="003E185C">
        <w:rPr>
          <w:sz w:val="24"/>
          <w:szCs w:val="24"/>
        </w:rPr>
        <w:t>W. Linert, S.</w:t>
      </w:r>
      <w:r>
        <w:rPr>
          <w:sz w:val="24"/>
          <w:szCs w:val="24"/>
        </w:rPr>
        <w:t xml:space="preserve"> </w:t>
      </w:r>
      <w:r w:rsidRPr="003E185C">
        <w:rPr>
          <w:sz w:val="24"/>
          <w:szCs w:val="24"/>
        </w:rPr>
        <w:t xml:space="preserve">Spange, </w:t>
      </w:r>
      <w:r w:rsidRPr="003E185C">
        <w:rPr>
          <w:i/>
          <w:sz w:val="24"/>
          <w:szCs w:val="24"/>
        </w:rPr>
        <w:t>New J. Chem.</w:t>
      </w:r>
      <w:r>
        <w:rPr>
          <w:sz w:val="24"/>
          <w:szCs w:val="24"/>
        </w:rPr>
        <w:t>,</w:t>
      </w:r>
      <w:r w:rsidRPr="003E185C">
        <w:rPr>
          <w:sz w:val="24"/>
          <w:szCs w:val="24"/>
        </w:rPr>
        <w:t xml:space="preserve"> </w:t>
      </w:r>
      <w:r w:rsidRPr="00DA1DC6">
        <w:rPr>
          <w:sz w:val="24"/>
          <w:szCs w:val="24"/>
        </w:rPr>
        <w:t>2008</w:t>
      </w:r>
      <w:r w:rsidRPr="003E185C">
        <w:rPr>
          <w:sz w:val="24"/>
          <w:szCs w:val="24"/>
        </w:rPr>
        <w:t xml:space="preserve">, </w:t>
      </w:r>
      <w:r w:rsidRPr="00DA1DC6">
        <w:rPr>
          <w:b/>
          <w:sz w:val="24"/>
          <w:szCs w:val="24"/>
        </w:rPr>
        <w:t>32</w:t>
      </w:r>
      <w:r w:rsidRPr="003E185C">
        <w:rPr>
          <w:sz w:val="24"/>
          <w:szCs w:val="24"/>
        </w:rPr>
        <w:t>, 1493.</w:t>
      </w:r>
    </w:p>
  </w:endnote>
  <w:endnote w:id="33">
    <w:p w:rsidR="00C96C12" w:rsidRPr="00B03F71" w:rsidRDefault="00C96C12">
      <w:pPr>
        <w:pStyle w:val="EndnoteText"/>
        <w:rPr>
          <w:sz w:val="24"/>
          <w:szCs w:val="24"/>
        </w:rPr>
      </w:pPr>
      <w:r>
        <w:rPr>
          <w:rStyle w:val="EndnoteReference"/>
        </w:rPr>
        <w:endnoteRef/>
      </w:r>
      <w:r>
        <w:t xml:space="preserve"> </w:t>
      </w:r>
      <w:r>
        <w:rPr>
          <w:sz w:val="24"/>
          <w:szCs w:val="24"/>
        </w:rPr>
        <w:t>M. Brüssel,</w:t>
      </w:r>
      <w:r w:rsidRPr="00B03F71">
        <w:rPr>
          <w:sz w:val="24"/>
          <w:szCs w:val="24"/>
        </w:rPr>
        <w:t xml:space="preserve"> M</w:t>
      </w:r>
      <w:r>
        <w:rPr>
          <w:sz w:val="24"/>
          <w:szCs w:val="24"/>
        </w:rPr>
        <w:t xml:space="preserve">. </w:t>
      </w:r>
      <w:r w:rsidRPr="00B03F71">
        <w:rPr>
          <w:sz w:val="24"/>
          <w:szCs w:val="24"/>
        </w:rPr>
        <w:t>Brehm, T</w:t>
      </w:r>
      <w:r>
        <w:rPr>
          <w:sz w:val="24"/>
          <w:szCs w:val="24"/>
        </w:rPr>
        <w:t>.</w:t>
      </w:r>
      <w:r w:rsidRPr="00B03F71">
        <w:rPr>
          <w:sz w:val="24"/>
          <w:szCs w:val="24"/>
        </w:rPr>
        <w:t xml:space="preserve"> Voigt</w:t>
      </w:r>
      <w:r>
        <w:rPr>
          <w:sz w:val="24"/>
          <w:szCs w:val="24"/>
        </w:rPr>
        <w:t>,</w:t>
      </w:r>
      <w:r w:rsidRPr="00B03F71">
        <w:rPr>
          <w:sz w:val="24"/>
          <w:szCs w:val="24"/>
        </w:rPr>
        <w:t xml:space="preserve"> B</w:t>
      </w:r>
      <w:r>
        <w:rPr>
          <w:sz w:val="24"/>
          <w:szCs w:val="24"/>
        </w:rPr>
        <w:t>.</w:t>
      </w:r>
      <w:r w:rsidRPr="00B03F71">
        <w:rPr>
          <w:sz w:val="24"/>
          <w:szCs w:val="24"/>
        </w:rPr>
        <w:t xml:space="preserve"> Kirchner, </w:t>
      </w:r>
      <w:r w:rsidRPr="00B03F71">
        <w:rPr>
          <w:bCs/>
          <w:i/>
          <w:iCs/>
          <w:sz w:val="24"/>
          <w:szCs w:val="24"/>
          <w:lang w:val="en-US"/>
        </w:rPr>
        <w:t>Phys. Chem. Chem. Phys.</w:t>
      </w:r>
      <w:r w:rsidRPr="00B03F71">
        <w:rPr>
          <w:bCs/>
          <w:sz w:val="24"/>
          <w:szCs w:val="24"/>
          <w:lang w:val="en-US"/>
        </w:rPr>
        <w:t>, 2011, 13, 13617.</w:t>
      </w:r>
    </w:p>
  </w:endnote>
  <w:endnote w:id="34">
    <w:p w:rsidR="00C96C12" w:rsidRPr="003E185C"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T.</w:t>
      </w:r>
      <w:r>
        <w:rPr>
          <w:sz w:val="24"/>
          <w:szCs w:val="24"/>
        </w:rPr>
        <w:t xml:space="preserve"> </w:t>
      </w:r>
      <w:r w:rsidRPr="003E185C">
        <w:rPr>
          <w:sz w:val="24"/>
          <w:szCs w:val="24"/>
        </w:rPr>
        <w:t>Fujisawa, M.</w:t>
      </w:r>
      <w:r>
        <w:rPr>
          <w:sz w:val="24"/>
          <w:szCs w:val="24"/>
        </w:rPr>
        <w:t xml:space="preserve"> </w:t>
      </w:r>
      <w:r w:rsidRPr="003E185C">
        <w:rPr>
          <w:sz w:val="24"/>
          <w:szCs w:val="24"/>
        </w:rPr>
        <w:t>Fukuda,</w:t>
      </w:r>
      <w:r>
        <w:rPr>
          <w:sz w:val="24"/>
          <w:szCs w:val="24"/>
        </w:rPr>
        <w:t xml:space="preserve"> </w:t>
      </w:r>
      <w:r w:rsidRPr="003E185C">
        <w:rPr>
          <w:sz w:val="24"/>
          <w:szCs w:val="24"/>
        </w:rPr>
        <w:t>M. Terazima, Y.</w:t>
      </w:r>
      <w:r>
        <w:rPr>
          <w:sz w:val="24"/>
          <w:szCs w:val="24"/>
        </w:rPr>
        <w:t xml:space="preserve"> </w:t>
      </w:r>
      <w:r w:rsidRPr="003E185C">
        <w:rPr>
          <w:sz w:val="24"/>
          <w:szCs w:val="24"/>
        </w:rPr>
        <w:t xml:space="preserve">Kimura, </w:t>
      </w:r>
      <w:r w:rsidRPr="003E185C">
        <w:rPr>
          <w:i/>
          <w:sz w:val="24"/>
          <w:szCs w:val="24"/>
        </w:rPr>
        <w:t>J. Phys. Chem. A</w:t>
      </w:r>
      <w:r w:rsidRPr="003E185C">
        <w:rPr>
          <w:sz w:val="24"/>
          <w:szCs w:val="24"/>
        </w:rPr>
        <w:t xml:space="preserve">, </w:t>
      </w:r>
      <w:r w:rsidRPr="00DA1DC6">
        <w:rPr>
          <w:sz w:val="24"/>
          <w:szCs w:val="24"/>
        </w:rPr>
        <w:t>2006</w:t>
      </w:r>
      <w:r w:rsidRPr="003E185C">
        <w:rPr>
          <w:sz w:val="24"/>
          <w:szCs w:val="24"/>
        </w:rPr>
        <w:t xml:space="preserve">, </w:t>
      </w:r>
      <w:r w:rsidRPr="00DA1DC6">
        <w:rPr>
          <w:b/>
          <w:sz w:val="24"/>
          <w:szCs w:val="24"/>
        </w:rPr>
        <w:t>110</w:t>
      </w:r>
      <w:r w:rsidRPr="003E185C">
        <w:rPr>
          <w:sz w:val="24"/>
          <w:szCs w:val="24"/>
        </w:rPr>
        <w:t>, 6164.</w:t>
      </w:r>
    </w:p>
  </w:endnote>
  <w:endnote w:id="35">
    <w:p w:rsidR="00C96C12" w:rsidRPr="00A158A6" w:rsidRDefault="00C96C12" w:rsidP="008B2A31">
      <w:pPr>
        <w:pStyle w:val="EndnoteText"/>
        <w:spacing w:line="276" w:lineRule="auto"/>
        <w:rPr>
          <w:sz w:val="24"/>
          <w:szCs w:val="24"/>
        </w:rPr>
      </w:pPr>
      <w:r w:rsidRPr="003E185C">
        <w:rPr>
          <w:rStyle w:val="EndnoteReference"/>
          <w:sz w:val="24"/>
          <w:szCs w:val="24"/>
        </w:rPr>
        <w:endnoteRef/>
      </w:r>
      <w:r w:rsidRPr="003E185C">
        <w:rPr>
          <w:sz w:val="24"/>
          <w:szCs w:val="24"/>
        </w:rPr>
        <w:t xml:space="preserve"> </w:t>
      </w:r>
      <w:r w:rsidRPr="00A158A6">
        <w:rPr>
          <w:sz w:val="24"/>
          <w:szCs w:val="24"/>
        </w:rPr>
        <w:t xml:space="preserve">P. A. Hunt, B. Kirchner, T. Welton, </w:t>
      </w:r>
      <w:r w:rsidRPr="00A158A6">
        <w:rPr>
          <w:i/>
          <w:sz w:val="24"/>
          <w:szCs w:val="24"/>
        </w:rPr>
        <w:t>Chem. Eur. J.</w:t>
      </w:r>
      <w:r w:rsidRPr="00A158A6">
        <w:rPr>
          <w:sz w:val="24"/>
          <w:szCs w:val="24"/>
        </w:rPr>
        <w:t xml:space="preserve">, 2006, </w:t>
      </w:r>
      <w:r w:rsidRPr="00A158A6">
        <w:rPr>
          <w:b/>
          <w:sz w:val="24"/>
          <w:szCs w:val="24"/>
        </w:rPr>
        <w:t>12</w:t>
      </w:r>
      <w:r w:rsidRPr="00A158A6">
        <w:rPr>
          <w:sz w:val="24"/>
          <w:szCs w:val="24"/>
        </w:rPr>
        <w:t>, 6762.</w:t>
      </w:r>
    </w:p>
  </w:endnote>
  <w:endnote w:id="36">
    <w:p w:rsidR="00C96C12" w:rsidRPr="00A158A6" w:rsidRDefault="00C96C12" w:rsidP="00A158A6">
      <w:pPr>
        <w:pStyle w:val="EndnoteText"/>
        <w:rPr>
          <w:sz w:val="24"/>
          <w:szCs w:val="24"/>
        </w:rPr>
      </w:pPr>
      <w:r w:rsidRPr="00A158A6">
        <w:rPr>
          <w:rStyle w:val="EndnoteReference"/>
          <w:sz w:val="24"/>
          <w:szCs w:val="24"/>
        </w:rPr>
        <w:endnoteRef/>
      </w:r>
      <w:r w:rsidRPr="00A158A6">
        <w:rPr>
          <w:sz w:val="24"/>
          <w:szCs w:val="24"/>
        </w:rPr>
        <w:t xml:space="preserve"> X</w:t>
      </w:r>
      <w:r>
        <w:rPr>
          <w:sz w:val="24"/>
          <w:szCs w:val="24"/>
        </w:rPr>
        <w:t>.</w:t>
      </w:r>
      <w:r w:rsidRPr="00A158A6">
        <w:rPr>
          <w:sz w:val="24"/>
          <w:szCs w:val="24"/>
        </w:rPr>
        <w:t xml:space="preserve"> Li, L</w:t>
      </w:r>
      <w:r>
        <w:rPr>
          <w:sz w:val="24"/>
          <w:szCs w:val="24"/>
        </w:rPr>
        <w:t>.</w:t>
      </w:r>
      <w:r w:rsidRPr="00A158A6">
        <w:rPr>
          <w:sz w:val="24"/>
          <w:szCs w:val="24"/>
        </w:rPr>
        <w:t xml:space="preserve"> Liu, H. B</w:t>
      </w:r>
      <w:r>
        <w:rPr>
          <w:sz w:val="24"/>
          <w:szCs w:val="24"/>
        </w:rPr>
        <w:t>.</w:t>
      </w:r>
      <w:r w:rsidRPr="00A158A6">
        <w:rPr>
          <w:sz w:val="24"/>
          <w:szCs w:val="24"/>
        </w:rPr>
        <w:t xml:space="preserve"> Schlegel, </w:t>
      </w:r>
      <w:r w:rsidRPr="00A158A6">
        <w:rPr>
          <w:i/>
          <w:sz w:val="24"/>
          <w:szCs w:val="24"/>
        </w:rPr>
        <w:t>J. Am. Chem. Soc</w:t>
      </w:r>
      <w:r>
        <w:rPr>
          <w:sz w:val="24"/>
          <w:szCs w:val="24"/>
        </w:rPr>
        <w:t>.</w:t>
      </w:r>
      <w:r w:rsidRPr="00A158A6">
        <w:rPr>
          <w:sz w:val="24"/>
          <w:szCs w:val="24"/>
        </w:rPr>
        <w:t xml:space="preserve">, 2002, </w:t>
      </w:r>
      <w:r w:rsidRPr="00A158A6">
        <w:rPr>
          <w:b/>
          <w:sz w:val="24"/>
          <w:szCs w:val="24"/>
        </w:rPr>
        <w:t>124</w:t>
      </w:r>
      <w:r>
        <w:rPr>
          <w:sz w:val="24"/>
          <w:szCs w:val="24"/>
        </w:rPr>
        <w:t>, 9639.</w:t>
      </w:r>
    </w:p>
  </w:endnote>
  <w:endnote w:id="37">
    <w:p w:rsidR="00C96C12" w:rsidRPr="00A158A6" w:rsidRDefault="00C96C12" w:rsidP="008B2A31">
      <w:pPr>
        <w:pStyle w:val="EndnoteText"/>
        <w:spacing w:line="276" w:lineRule="auto"/>
        <w:rPr>
          <w:sz w:val="24"/>
          <w:szCs w:val="24"/>
        </w:rPr>
      </w:pPr>
      <w:r w:rsidRPr="00A158A6">
        <w:rPr>
          <w:rStyle w:val="EndnoteReference"/>
          <w:sz w:val="24"/>
          <w:szCs w:val="24"/>
        </w:rPr>
        <w:endnoteRef/>
      </w:r>
      <w:r w:rsidRPr="00A158A6">
        <w:rPr>
          <w:sz w:val="24"/>
          <w:szCs w:val="24"/>
        </w:rPr>
        <w:t xml:space="preserve"> B. R. Clare, P. M. Bayley, A. S. Best, M. Forsyth, D. R. MacFarlane, </w:t>
      </w:r>
      <w:r w:rsidRPr="00A158A6">
        <w:rPr>
          <w:i/>
          <w:sz w:val="24"/>
          <w:szCs w:val="24"/>
        </w:rPr>
        <w:t>Chem. Commun.</w:t>
      </w:r>
      <w:r w:rsidRPr="00A158A6">
        <w:rPr>
          <w:sz w:val="24"/>
          <w:szCs w:val="24"/>
        </w:rPr>
        <w:t xml:space="preserve"> </w:t>
      </w:r>
      <w:r w:rsidRPr="00A158A6">
        <w:rPr>
          <w:b/>
          <w:sz w:val="24"/>
          <w:szCs w:val="24"/>
        </w:rPr>
        <w:t>2008</w:t>
      </w:r>
      <w:r w:rsidRPr="00A158A6">
        <w:rPr>
          <w:sz w:val="24"/>
          <w:szCs w:val="24"/>
        </w:rPr>
        <w:t>, 2689.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UI Gothic">
    <w:panose1 w:val="020B0600070205080204"/>
    <w:charset w:val="80"/>
    <w:family w:val="swiss"/>
    <w:pitch w:val="variable"/>
    <w:sig w:usb0="E00002FF" w:usb1="6AC7FDFB" w:usb2="00000012" w:usb3="00000000" w:csb0="0002009F" w:csb1="00000000"/>
  </w:font>
  <w:font w:name="Times">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A9F" w:rsidRDefault="001D7A9F" w:rsidP="009C15D3">
      <w:r>
        <w:separator/>
      </w:r>
    </w:p>
  </w:footnote>
  <w:footnote w:type="continuationSeparator" w:id="0">
    <w:p w:rsidR="001D7A9F" w:rsidRDefault="001D7A9F" w:rsidP="009C15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1CA2BA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9308F8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7F0B9B6"/>
    <w:lvl w:ilvl="0">
      <w:start w:val="1"/>
      <w:numFmt w:val="decimal"/>
      <w:pStyle w:val="ListNumber3"/>
      <w:lvlText w:val="%1."/>
      <w:lvlJc w:val="left"/>
      <w:pPr>
        <w:tabs>
          <w:tab w:val="num" w:pos="926"/>
        </w:tabs>
        <w:ind w:left="926" w:hanging="360"/>
      </w:pPr>
    </w:lvl>
  </w:abstractNum>
  <w:abstractNum w:abstractNumId="3">
    <w:nsid w:val="FFFFFF7F"/>
    <w:multiLevelType w:val="singleLevel"/>
    <w:tmpl w:val="1F3A41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4C0CF71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F8CF41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C6454C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ECBA4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A6A1B4"/>
    <w:lvl w:ilvl="0">
      <w:start w:val="1"/>
      <w:numFmt w:val="decimal"/>
      <w:pStyle w:val="ListNumber"/>
      <w:lvlText w:val="%1."/>
      <w:lvlJc w:val="left"/>
      <w:pPr>
        <w:tabs>
          <w:tab w:val="num" w:pos="360"/>
        </w:tabs>
        <w:ind w:left="360" w:hanging="360"/>
      </w:pPr>
    </w:lvl>
  </w:abstractNum>
  <w:abstractNum w:abstractNumId="9">
    <w:nsid w:val="FFFFFF89"/>
    <w:multiLevelType w:val="singleLevel"/>
    <w:tmpl w:val="6EFE8CA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61755F"/>
    <w:multiLevelType w:val="multilevel"/>
    <w:tmpl w:val="3AA431C6"/>
    <w:lvl w:ilvl="0">
      <w:start w:val="1"/>
      <w:numFmt w:val="bullet"/>
      <w:lvlText w:val="●"/>
      <w:lvlJc w:val="left"/>
      <w:pPr>
        <w:tabs>
          <w:tab w:val="num" w:pos="720"/>
        </w:tabs>
        <w:ind w:left="720" w:hanging="36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5165155"/>
    <w:multiLevelType w:val="multilevel"/>
    <w:tmpl w:val="D7C8946C"/>
    <w:lvl w:ilvl="0">
      <w:start w:val="1"/>
      <w:numFmt w:val="decimal"/>
      <w:pStyle w:val="Heading1"/>
      <w:lvlText w:val="3.%1"/>
      <w:lvlJc w:val="left"/>
      <w:pPr>
        <w:tabs>
          <w:tab w:val="num" w:pos="1107"/>
        </w:tabs>
        <w:ind w:left="972" w:hanging="432"/>
      </w:pPr>
      <w:rPr>
        <w:rFonts w:hint="default"/>
      </w:rPr>
    </w:lvl>
    <w:lvl w:ilvl="1">
      <w:start w:val="1"/>
      <w:numFmt w:val="decimal"/>
      <w:pStyle w:val="Heading2"/>
      <w:lvlText w:val="3.%1.%2"/>
      <w:lvlJc w:val="left"/>
      <w:pPr>
        <w:tabs>
          <w:tab w:val="num" w:pos="771"/>
        </w:tabs>
        <w:ind w:left="576" w:hanging="576"/>
      </w:pPr>
      <w:rPr>
        <w:rFonts w:hint="default"/>
      </w:rPr>
    </w:lvl>
    <w:lvl w:ilvl="2">
      <w:start w:val="1"/>
      <w:numFmt w:val="decimal"/>
      <w:pStyle w:val="Heading3"/>
      <w:lvlText w:val="3.%1.%2.%3"/>
      <w:lvlJc w:val="left"/>
      <w:pPr>
        <w:tabs>
          <w:tab w:val="num" w:pos="913"/>
        </w:tabs>
        <w:ind w:left="720" w:hanging="720"/>
      </w:pPr>
      <w:rPr>
        <w:rFonts w:hint="default"/>
      </w:rPr>
    </w:lvl>
    <w:lvl w:ilvl="3">
      <w:start w:val="1"/>
      <w:numFmt w:val="decimal"/>
      <w:pStyle w:val="Heading4"/>
      <w:lvlText w:val="3.%1.%2.%3.%4"/>
      <w:lvlJc w:val="left"/>
      <w:pPr>
        <w:tabs>
          <w:tab w:val="num" w:pos="1055"/>
        </w:tabs>
        <w:ind w:left="864" w:hanging="864"/>
      </w:pPr>
      <w:rPr>
        <w:rFonts w:hint="default"/>
      </w:rPr>
    </w:lvl>
    <w:lvl w:ilvl="4">
      <w:start w:val="1"/>
      <w:numFmt w:val="decimal"/>
      <w:pStyle w:val="Heading5"/>
      <w:lvlText w:val="3.%1.%2.%3.%4.%5"/>
      <w:lvlJc w:val="left"/>
      <w:pPr>
        <w:tabs>
          <w:tab w:val="num" w:pos="1202"/>
        </w:tabs>
        <w:ind w:left="1008" w:hanging="1008"/>
      </w:pPr>
      <w:rPr>
        <w:rFonts w:hint="default"/>
      </w:rPr>
    </w:lvl>
    <w:lvl w:ilvl="5">
      <w:start w:val="1"/>
      <w:numFmt w:val="decimal"/>
      <w:pStyle w:val="Heading6"/>
      <w:lvlText w:val="3.%1.%2.%3.%4.%5.%6"/>
      <w:lvlJc w:val="left"/>
      <w:pPr>
        <w:tabs>
          <w:tab w:val="num" w:pos="1344"/>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2">
    <w:nsid w:val="06521A06"/>
    <w:multiLevelType w:val="hybridMultilevel"/>
    <w:tmpl w:val="2280D438"/>
    <w:lvl w:ilvl="0" w:tplc="3CC6E364">
      <w:start w:val="1"/>
      <w:numFmt w:val="bullet"/>
      <w:lvlText w:val="●"/>
      <w:lvlJc w:val="left"/>
      <w:pPr>
        <w:tabs>
          <w:tab w:val="num" w:pos="720"/>
        </w:tabs>
        <w:ind w:left="720" w:hanging="360"/>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DBE5452"/>
    <w:multiLevelType w:val="hybridMultilevel"/>
    <w:tmpl w:val="059232E0"/>
    <w:lvl w:ilvl="0" w:tplc="04090003">
      <w:start w:val="1"/>
      <w:numFmt w:val="bullet"/>
      <w:lvlText w:val="o"/>
      <w:lvlJc w:val="left"/>
      <w:pPr>
        <w:tabs>
          <w:tab w:val="num" w:pos="1800"/>
        </w:tabs>
        <w:ind w:left="1800" w:hanging="360"/>
      </w:pPr>
      <w:rPr>
        <w:rFonts w:ascii="Courier New" w:hAnsi="Courier New" w:cs="Courier New" w:hint="default"/>
        <w:color w:val="auto"/>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nsid w:val="1E1B1FDD"/>
    <w:multiLevelType w:val="hybridMultilevel"/>
    <w:tmpl w:val="9D82F49A"/>
    <w:lvl w:ilvl="0" w:tplc="9034A766">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E4A38CF"/>
    <w:multiLevelType w:val="hybridMultilevel"/>
    <w:tmpl w:val="1E3E9E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1AA21AC"/>
    <w:multiLevelType w:val="hybridMultilevel"/>
    <w:tmpl w:val="9F0659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05024C6"/>
    <w:multiLevelType w:val="hybridMultilevel"/>
    <w:tmpl w:val="85ACAE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46963DF"/>
    <w:multiLevelType w:val="hybridMultilevel"/>
    <w:tmpl w:val="3AA431C6"/>
    <w:lvl w:ilvl="0" w:tplc="3CC6E364">
      <w:start w:val="1"/>
      <w:numFmt w:val="bullet"/>
      <w:lvlText w:val="●"/>
      <w:lvlJc w:val="left"/>
      <w:pPr>
        <w:tabs>
          <w:tab w:val="num" w:pos="720"/>
        </w:tabs>
        <w:ind w:left="720" w:hanging="360"/>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A74E0"/>
    <w:multiLevelType w:val="multilevel"/>
    <w:tmpl w:val="2A72D0BA"/>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E8A3D80"/>
    <w:multiLevelType w:val="hybridMultilevel"/>
    <w:tmpl w:val="4386E4C4"/>
    <w:lvl w:ilvl="0" w:tplc="052843F4">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9E748A5"/>
    <w:multiLevelType w:val="hybridMultilevel"/>
    <w:tmpl w:val="462EA648"/>
    <w:lvl w:ilvl="0" w:tplc="9E34ADA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5CAB5CFE"/>
    <w:multiLevelType w:val="hybridMultilevel"/>
    <w:tmpl w:val="1C0ECFFA"/>
    <w:lvl w:ilvl="0" w:tplc="8DC08934">
      <w:start w:val="1"/>
      <w:numFmt w:val="lowerRoman"/>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3">
    <w:nsid w:val="612333EE"/>
    <w:multiLevelType w:val="hybridMultilevel"/>
    <w:tmpl w:val="33246814"/>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87340DC"/>
    <w:multiLevelType w:val="multilevel"/>
    <w:tmpl w:val="3AA431C6"/>
    <w:lvl w:ilvl="0">
      <w:start w:val="1"/>
      <w:numFmt w:val="bullet"/>
      <w:lvlText w:val="●"/>
      <w:lvlJc w:val="left"/>
      <w:pPr>
        <w:tabs>
          <w:tab w:val="num" w:pos="720"/>
        </w:tabs>
        <w:ind w:left="720" w:hanging="36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8903525"/>
    <w:multiLevelType w:val="hybridMultilevel"/>
    <w:tmpl w:val="01F21A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A05032C"/>
    <w:multiLevelType w:val="multilevel"/>
    <w:tmpl w:val="D03665E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CAB3B24"/>
    <w:multiLevelType w:val="hybridMultilevel"/>
    <w:tmpl w:val="EDFC7D7C"/>
    <w:lvl w:ilvl="0" w:tplc="FF0630F0">
      <w:start w:val="1"/>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6D8F51EF"/>
    <w:multiLevelType w:val="multilevel"/>
    <w:tmpl w:val="12BC08A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002586B"/>
    <w:multiLevelType w:val="hybridMultilevel"/>
    <w:tmpl w:val="983A52EA"/>
    <w:lvl w:ilvl="0" w:tplc="04090003">
      <w:start w:val="1"/>
      <w:numFmt w:val="bullet"/>
      <w:lvlText w:val="o"/>
      <w:lvlJc w:val="left"/>
      <w:pPr>
        <w:tabs>
          <w:tab w:val="num" w:pos="720"/>
        </w:tabs>
        <w:ind w:left="720" w:hanging="360"/>
      </w:pPr>
      <w:rPr>
        <w:rFonts w:ascii="Courier New" w:hAnsi="Courier New" w:cs="Courier New"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9824EA5"/>
    <w:multiLevelType w:val="hybridMultilevel"/>
    <w:tmpl w:val="8A5AFE9C"/>
    <w:lvl w:ilvl="0" w:tplc="3CC6E364">
      <w:start w:val="1"/>
      <w:numFmt w:val="bullet"/>
      <w:lvlText w:val="●"/>
      <w:lvlJc w:val="left"/>
      <w:pPr>
        <w:tabs>
          <w:tab w:val="num" w:pos="720"/>
        </w:tabs>
        <w:ind w:left="720" w:hanging="360"/>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E1B29C6"/>
    <w:multiLevelType w:val="multilevel"/>
    <w:tmpl w:val="AE686B26"/>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F012722"/>
    <w:multiLevelType w:val="hybridMultilevel"/>
    <w:tmpl w:val="14DE0A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1"/>
  </w:num>
  <w:num w:numId="3">
    <w:abstractNumId w:val="0"/>
  </w:num>
  <w:num w:numId="4">
    <w:abstractNumId w:val="1"/>
  </w:num>
  <w:num w:numId="5">
    <w:abstractNumId w:val="2"/>
  </w:num>
  <w:num w:numId="6">
    <w:abstractNumId w:val="3"/>
  </w:num>
  <w:num w:numId="7">
    <w:abstractNumId w:val="8"/>
  </w:num>
  <w:num w:numId="8">
    <w:abstractNumId w:val="4"/>
  </w:num>
  <w:num w:numId="9">
    <w:abstractNumId w:val="5"/>
  </w:num>
  <w:num w:numId="10">
    <w:abstractNumId w:val="6"/>
  </w:num>
  <w:num w:numId="11">
    <w:abstractNumId w:val="7"/>
  </w:num>
  <w:num w:numId="12">
    <w:abstractNumId w:val="9"/>
  </w:num>
  <w:num w:numId="13">
    <w:abstractNumId w:val="21"/>
  </w:num>
  <w:num w:numId="14">
    <w:abstractNumId w:val="26"/>
  </w:num>
  <w:num w:numId="15">
    <w:abstractNumId w:val="28"/>
  </w:num>
  <w:num w:numId="16">
    <w:abstractNumId w:val="22"/>
  </w:num>
  <w:num w:numId="17">
    <w:abstractNumId w:val="31"/>
  </w:num>
  <w:num w:numId="18">
    <w:abstractNumId w:val="19"/>
  </w:num>
  <w:num w:numId="19">
    <w:abstractNumId w:val="15"/>
  </w:num>
  <w:num w:numId="20">
    <w:abstractNumId w:val="12"/>
  </w:num>
  <w:num w:numId="21">
    <w:abstractNumId w:val="30"/>
  </w:num>
  <w:num w:numId="22">
    <w:abstractNumId w:val="18"/>
  </w:num>
  <w:num w:numId="23">
    <w:abstractNumId w:val="24"/>
  </w:num>
  <w:num w:numId="24">
    <w:abstractNumId w:val="29"/>
  </w:num>
  <w:num w:numId="25">
    <w:abstractNumId w:val="10"/>
  </w:num>
  <w:num w:numId="26">
    <w:abstractNumId w:val="13"/>
  </w:num>
  <w:num w:numId="27">
    <w:abstractNumId w:val="20"/>
  </w:num>
  <w:num w:numId="28">
    <w:abstractNumId w:val="25"/>
  </w:num>
  <w:num w:numId="29">
    <w:abstractNumId w:val="32"/>
  </w:num>
  <w:num w:numId="30">
    <w:abstractNumId w:val="16"/>
  </w:num>
  <w:num w:numId="31">
    <w:abstractNumId w:val="17"/>
  </w:num>
  <w:num w:numId="32">
    <w:abstractNumId w:val="23"/>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FB2"/>
    <w:rsid w:val="00013CC8"/>
    <w:rsid w:val="0002518F"/>
    <w:rsid w:val="00040BB6"/>
    <w:rsid w:val="00051D59"/>
    <w:rsid w:val="00073797"/>
    <w:rsid w:val="00080DAD"/>
    <w:rsid w:val="000839E2"/>
    <w:rsid w:val="00085557"/>
    <w:rsid w:val="00092D7B"/>
    <w:rsid w:val="000A463D"/>
    <w:rsid w:val="000B7DC4"/>
    <w:rsid w:val="000D20E5"/>
    <w:rsid w:val="000F79FC"/>
    <w:rsid w:val="0010219C"/>
    <w:rsid w:val="0010488B"/>
    <w:rsid w:val="001150C2"/>
    <w:rsid w:val="001304D0"/>
    <w:rsid w:val="001325EA"/>
    <w:rsid w:val="00133582"/>
    <w:rsid w:val="0014486E"/>
    <w:rsid w:val="0016371F"/>
    <w:rsid w:val="00170A55"/>
    <w:rsid w:val="00181501"/>
    <w:rsid w:val="00181692"/>
    <w:rsid w:val="00181A8C"/>
    <w:rsid w:val="001A3FC2"/>
    <w:rsid w:val="001A564A"/>
    <w:rsid w:val="001A7726"/>
    <w:rsid w:val="001B1A53"/>
    <w:rsid w:val="001B2329"/>
    <w:rsid w:val="001B3A38"/>
    <w:rsid w:val="001C66C1"/>
    <w:rsid w:val="001D0B4C"/>
    <w:rsid w:val="001D3560"/>
    <w:rsid w:val="001D79D8"/>
    <w:rsid w:val="001D7A9F"/>
    <w:rsid w:val="001E3F51"/>
    <w:rsid w:val="001E4D63"/>
    <w:rsid w:val="001F05DE"/>
    <w:rsid w:val="00200B61"/>
    <w:rsid w:val="00206780"/>
    <w:rsid w:val="00224921"/>
    <w:rsid w:val="00236B20"/>
    <w:rsid w:val="00250145"/>
    <w:rsid w:val="00255A9A"/>
    <w:rsid w:val="00272C3B"/>
    <w:rsid w:val="00282FFD"/>
    <w:rsid w:val="00295424"/>
    <w:rsid w:val="0029733C"/>
    <w:rsid w:val="002A71A4"/>
    <w:rsid w:val="002E5AF3"/>
    <w:rsid w:val="0030213C"/>
    <w:rsid w:val="00303CD7"/>
    <w:rsid w:val="0030707B"/>
    <w:rsid w:val="0031530F"/>
    <w:rsid w:val="003173D9"/>
    <w:rsid w:val="003212FF"/>
    <w:rsid w:val="00330C7C"/>
    <w:rsid w:val="0034446B"/>
    <w:rsid w:val="00345669"/>
    <w:rsid w:val="00346DC0"/>
    <w:rsid w:val="00360873"/>
    <w:rsid w:val="00371384"/>
    <w:rsid w:val="003C200D"/>
    <w:rsid w:val="003C3DC6"/>
    <w:rsid w:val="003D567B"/>
    <w:rsid w:val="003E0373"/>
    <w:rsid w:val="003E6AFB"/>
    <w:rsid w:val="00403A57"/>
    <w:rsid w:val="00410FD7"/>
    <w:rsid w:val="004344F2"/>
    <w:rsid w:val="00440534"/>
    <w:rsid w:val="00460046"/>
    <w:rsid w:val="004735F6"/>
    <w:rsid w:val="00474800"/>
    <w:rsid w:val="00480748"/>
    <w:rsid w:val="00481920"/>
    <w:rsid w:val="00486B62"/>
    <w:rsid w:val="00494358"/>
    <w:rsid w:val="004B52D7"/>
    <w:rsid w:val="004D076E"/>
    <w:rsid w:val="004D2491"/>
    <w:rsid w:val="004D4E74"/>
    <w:rsid w:val="004F1492"/>
    <w:rsid w:val="004F5AD0"/>
    <w:rsid w:val="005239F2"/>
    <w:rsid w:val="00567FAC"/>
    <w:rsid w:val="0057717C"/>
    <w:rsid w:val="00580415"/>
    <w:rsid w:val="005819C8"/>
    <w:rsid w:val="0058459A"/>
    <w:rsid w:val="00586EBE"/>
    <w:rsid w:val="0058716D"/>
    <w:rsid w:val="00592ACB"/>
    <w:rsid w:val="005956B2"/>
    <w:rsid w:val="005A2558"/>
    <w:rsid w:val="005A2F5C"/>
    <w:rsid w:val="005A7988"/>
    <w:rsid w:val="005D244A"/>
    <w:rsid w:val="005E22A1"/>
    <w:rsid w:val="005E29B6"/>
    <w:rsid w:val="005F4CE3"/>
    <w:rsid w:val="00601EFF"/>
    <w:rsid w:val="00605102"/>
    <w:rsid w:val="00616E4A"/>
    <w:rsid w:val="006209E9"/>
    <w:rsid w:val="00630444"/>
    <w:rsid w:val="0064127F"/>
    <w:rsid w:val="00641725"/>
    <w:rsid w:val="00647532"/>
    <w:rsid w:val="00650878"/>
    <w:rsid w:val="00655CFA"/>
    <w:rsid w:val="00672CE2"/>
    <w:rsid w:val="00687750"/>
    <w:rsid w:val="00692AE5"/>
    <w:rsid w:val="006A3350"/>
    <w:rsid w:val="006C253B"/>
    <w:rsid w:val="006C7E47"/>
    <w:rsid w:val="007030B2"/>
    <w:rsid w:val="00722581"/>
    <w:rsid w:val="00736EDD"/>
    <w:rsid w:val="007373E1"/>
    <w:rsid w:val="0075724F"/>
    <w:rsid w:val="0076299D"/>
    <w:rsid w:val="0076722F"/>
    <w:rsid w:val="00770C29"/>
    <w:rsid w:val="00787A1C"/>
    <w:rsid w:val="007966FD"/>
    <w:rsid w:val="007A2D69"/>
    <w:rsid w:val="007A66F1"/>
    <w:rsid w:val="007B3D53"/>
    <w:rsid w:val="007B4598"/>
    <w:rsid w:val="007B6073"/>
    <w:rsid w:val="007B62B5"/>
    <w:rsid w:val="007C2A14"/>
    <w:rsid w:val="007C75D6"/>
    <w:rsid w:val="007D48AE"/>
    <w:rsid w:val="007E0FF1"/>
    <w:rsid w:val="007F08A5"/>
    <w:rsid w:val="007F1635"/>
    <w:rsid w:val="007F345D"/>
    <w:rsid w:val="00804A28"/>
    <w:rsid w:val="00816C0E"/>
    <w:rsid w:val="008215F9"/>
    <w:rsid w:val="00832671"/>
    <w:rsid w:val="00833C38"/>
    <w:rsid w:val="00847146"/>
    <w:rsid w:val="0085670B"/>
    <w:rsid w:val="00887C14"/>
    <w:rsid w:val="00893988"/>
    <w:rsid w:val="008B093D"/>
    <w:rsid w:val="008B17B5"/>
    <w:rsid w:val="008B2A31"/>
    <w:rsid w:val="008C6E6D"/>
    <w:rsid w:val="008D6478"/>
    <w:rsid w:val="008F32C8"/>
    <w:rsid w:val="008F5937"/>
    <w:rsid w:val="0090156C"/>
    <w:rsid w:val="00945AEB"/>
    <w:rsid w:val="00945BB4"/>
    <w:rsid w:val="00945FB2"/>
    <w:rsid w:val="0095266D"/>
    <w:rsid w:val="009618AA"/>
    <w:rsid w:val="009755E6"/>
    <w:rsid w:val="00983BC5"/>
    <w:rsid w:val="00985C19"/>
    <w:rsid w:val="00991A5A"/>
    <w:rsid w:val="009930FE"/>
    <w:rsid w:val="0099377D"/>
    <w:rsid w:val="00993BBC"/>
    <w:rsid w:val="009A2DCC"/>
    <w:rsid w:val="009C15D3"/>
    <w:rsid w:val="009C577E"/>
    <w:rsid w:val="009C5A83"/>
    <w:rsid w:val="009D0665"/>
    <w:rsid w:val="009D76C8"/>
    <w:rsid w:val="009E102F"/>
    <w:rsid w:val="00A0375E"/>
    <w:rsid w:val="00A11836"/>
    <w:rsid w:val="00A1208C"/>
    <w:rsid w:val="00A12A8A"/>
    <w:rsid w:val="00A13D42"/>
    <w:rsid w:val="00A14F2E"/>
    <w:rsid w:val="00A158A6"/>
    <w:rsid w:val="00A1704B"/>
    <w:rsid w:val="00A17793"/>
    <w:rsid w:val="00A238C5"/>
    <w:rsid w:val="00A30D4B"/>
    <w:rsid w:val="00A369A5"/>
    <w:rsid w:val="00A36DEA"/>
    <w:rsid w:val="00A45D8E"/>
    <w:rsid w:val="00A47EE7"/>
    <w:rsid w:val="00A6045D"/>
    <w:rsid w:val="00A629D5"/>
    <w:rsid w:val="00A90F65"/>
    <w:rsid w:val="00A95F62"/>
    <w:rsid w:val="00AA1CB0"/>
    <w:rsid w:val="00AC6F36"/>
    <w:rsid w:val="00AD497A"/>
    <w:rsid w:val="00AE0225"/>
    <w:rsid w:val="00AE2A11"/>
    <w:rsid w:val="00B011CB"/>
    <w:rsid w:val="00B030BA"/>
    <w:rsid w:val="00B03F71"/>
    <w:rsid w:val="00B05806"/>
    <w:rsid w:val="00B20CF6"/>
    <w:rsid w:val="00B20EDB"/>
    <w:rsid w:val="00B30E82"/>
    <w:rsid w:val="00B36A3A"/>
    <w:rsid w:val="00B7527E"/>
    <w:rsid w:val="00B965E7"/>
    <w:rsid w:val="00BB6018"/>
    <w:rsid w:val="00BC51CB"/>
    <w:rsid w:val="00BD1DBC"/>
    <w:rsid w:val="00BE0BD8"/>
    <w:rsid w:val="00BE4A54"/>
    <w:rsid w:val="00BE4D45"/>
    <w:rsid w:val="00BF122E"/>
    <w:rsid w:val="00BF2AD8"/>
    <w:rsid w:val="00C0310B"/>
    <w:rsid w:val="00C128BD"/>
    <w:rsid w:val="00C136DD"/>
    <w:rsid w:val="00C167A0"/>
    <w:rsid w:val="00C20954"/>
    <w:rsid w:val="00C41AA8"/>
    <w:rsid w:val="00C41F2D"/>
    <w:rsid w:val="00C47F33"/>
    <w:rsid w:val="00C60F4E"/>
    <w:rsid w:val="00C7186B"/>
    <w:rsid w:val="00C73FCC"/>
    <w:rsid w:val="00C85468"/>
    <w:rsid w:val="00C96C12"/>
    <w:rsid w:val="00C97604"/>
    <w:rsid w:val="00C97DE1"/>
    <w:rsid w:val="00CA0ED6"/>
    <w:rsid w:val="00CA5303"/>
    <w:rsid w:val="00CB3D76"/>
    <w:rsid w:val="00CC4867"/>
    <w:rsid w:val="00CE6AB0"/>
    <w:rsid w:val="00D048B6"/>
    <w:rsid w:val="00D04D3C"/>
    <w:rsid w:val="00D11FDE"/>
    <w:rsid w:val="00D3448B"/>
    <w:rsid w:val="00D64BE8"/>
    <w:rsid w:val="00D658E9"/>
    <w:rsid w:val="00D777E9"/>
    <w:rsid w:val="00D77D1B"/>
    <w:rsid w:val="00D92844"/>
    <w:rsid w:val="00DA39B9"/>
    <w:rsid w:val="00DB353D"/>
    <w:rsid w:val="00DC3392"/>
    <w:rsid w:val="00DD4A05"/>
    <w:rsid w:val="00DE59CD"/>
    <w:rsid w:val="00DE6218"/>
    <w:rsid w:val="00E02A64"/>
    <w:rsid w:val="00E077A5"/>
    <w:rsid w:val="00E207AD"/>
    <w:rsid w:val="00E20E92"/>
    <w:rsid w:val="00E4248A"/>
    <w:rsid w:val="00E429C4"/>
    <w:rsid w:val="00E43E26"/>
    <w:rsid w:val="00E461F7"/>
    <w:rsid w:val="00E701F4"/>
    <w:rsid w:val="00E8293F"/>
    <w:rsid w:val="00E838F6"/>
    <w:rsid w:val="00E941F3"/>
    <w:rsid w:val="00EB4F24"/>
    <w:rsid w:val="00EB64FD"/>
    <w:rsid w:val="00EC319D"/>
    <w:rsid w:val="00EC7455"/>
    <w:rsid w:val="00EE0E4C"/>
    <w:rsid w:val="00EE6B4D"/>
    <w:rsid w:val="00EF7E17"/>
    <w:rsid w:val="00F02B45"/>
    <w:rsid w:val="00F05E0C"/>
    <w:rsid w:val="00F10560"/>
    <w:rsid w:val="00F157ED"/>
    <w:rsid w:val="00F24D86"/>
    <w:rsid w:val="00F25FC0"/>
    <w:rsid w:val="00F33F81"/>
    <w:rsid w:val="00F60621"/>
    <w:rsid w:val="00F7161A"/>
    <w:rsid w:val="00F72A50"/>
    <w:rsid w:val="00F8065C"/>
    <w:rsid w:val="00FB1F20"/>
    <w:rsid w:val="00FB4951"/>
    <w:rsid w:val="00FC0B8F"/>
    <w:rsid w:val="00FF2BB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ne number" w:uiPriority="99"/>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HTML Acronym" w:uiPriority="99"/>
    <w:lsdException w:name="HTML Cite" w:uiPriority="99"/>
    <w:lsdException w:name="HTML Code" w:uiPriority="99"/>
    <w:lsdException w:name="HTML Definition" w:uiPriority="99"/>
    <w:lsdException w:name="HTML Keyboar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FB2"/>
    <w:rPr>
      <w:rFonts w:ascii="Times New Roman" w:eastAsia="Times New Roman" w:hAnsi="Times New Roman" w:cs="Times New Roman"/>
      <w:sz w:val="24"/>
      <w:szCs w:val="24"/>
      <w:lang w:val="en-US"/>
    </w:rPr>
  </w:style>
  <w:style w:type="paragraph" w:styleId="Heading1">
    <w:name w:val="heading 1"/>
    <w:basedOn w:val="Normal"/>
    <w:next w:val="Normal"/>
    <w:link w:val="Heading1Char"/>
    <w:autoRedefine/>
    <w:qFormat/>
    <w:rsid w:val="00945FB2"/>
    <w:pPr>
      <w:keepNext/>
      <w:numPr>
        <w:numId w:val="2"/>
      </w:numPr>
      <w:spacing w:before="840" w:after="240" w:line="360" w:lineRule="auto"/>
      <w:jc w:val="center"/>
      <w:outlineLvl w:val="0"/>
    </w:pPr>
    <w:rPr>
      <w:b/>
      <w:bCs/>
      <w:kern w:val="32"/>
      <w:sz w:val="32"/>
      <w:szCs w:val="36"/>
      <w:lang w:val="en-GB"/>
    </w:rPr>
  </w:style>
  <w:style w:type="paragraph" w:styleId="Heading2">
    <w:name w:val="heading 2"/>
    <w:basedOn w:val="Normal"/>
    <w:next w:val="Normal"/>
    <w:link w:val="Heading2Char"/>
    <w:qFormat/>
    <w:rsid w:val="00945FB2"/>
    <w:pPr>
      <w:keepNext/>
      <w:numPr>
        <w:ilvl w:val="1"/>
        <w:numId w:val="2"/>
      </w:numPr>
      <w:spacing w:before="480" w:after="240" w:line="360" w:lineRule="auto"/>
      <w:jc w:val="center"/>
      <w:outlineLvl w:val="1"/>
    </w:pPr>
    <w:rPr>
      <w:rFonts w:cs="Arial"/>
      <w:b/>
      <w:bCs/>
      <w:i/>
      <w:iCs/>
      <w:sz w:val="28"/>
      <w:szCs w:val="28"/>
      <w:lang w:val="en-GB"/>
    </w:rPr>
  </w:style>
  <w:style w:type="paragraph" w:styleId="Heading3">
    <w:name w:val="heading 3"/>
    <w:basedOn w:val="Normal"/>
    <w:next w:val="Normal"/>
    <w:link w:val="Heading3Char"/>
    <w:autoRedefine/>
    <w:qFormat/>
    <w:rsid w:val="00945FB2"/>
    <w:pPr>
      <w:keepNext/>
      <w:numPr>
        <w:ilvl w:val="2"/>
        <w:numId w:val="2"/>
      </w:numPr>
      <w:tabs>
        <w:tab w:val="left" w:pos="794"/>
      </w:tabs>
      <w:spacing w:before="480" w:after="480" w:line="360" w:lineRule="auto"/>
      <w:jc w:val="both"/>
      <w:outlineLvl w:val="2"/>
    </w:pPr>
    <w:rPr>
      <w:b/>
      <w:bCs/>
      <w:u w:val="single"/>
      <w:lang w:val="en-GB"/>
    </w:rPr>
  </w:style>
  <w:style w:type="paragraph" w:styleId="Heading4">
    <w:name w:val="heading 4"/>
    <w:basedOn w:val="Normal"/>
    <w:next w:val="Normal"/>
    <w:link w:val="Heading4Char"/>
    <w:autoRedefine/>
    <w:qFormat/>
    <w:rsid w:val="00945FB2"/>
    <w:pPr>
      <w:keepNext/>
      <w:numPr>
        <w:ilvl w:val="3"/>
        <w:numId w:val="2"/>
      </w:numPr>
      <w:spacing w:before="240" w:after="360" w:line="360" w:lineRule="auto"/>
      <w:jc w:val="both"/>
      <w:outlineLvl w:val="3"/>
    </w:pPr>
    <w:rPr>
      <w:i/>
      <w:szCs w:val="28"/>
      <w:lang w:val="en-GB"/>
    </w:rPr>
  </w:style>
  <w:style w:type="paragraph" w:styleId="Heading5">
    <w:name w:val="heading 5"/>
    <w:basedOn w:val="Normal"/>
    <w:next w:val="Normal"/>
    <w:link w:val="Heading5Char"/>
    <w:qFormat/>
    <w:rsid w:val="00945FB2"/>
    <w:pPr>
      <w:numPr>
        <w:ilvl w:val="4"/>
        <w:numId w:val="2"/>
      </w:numPr>
      <w:spacing w:before="240" w:after="60" w:line="360" w:lineRule="auto"/>
      <w:jc w:val="both"/>
      <w:outlineLvl w:val="4"/>
    </w:pPr>
    <w:rPr>
      <w:b/>
      <w:bCs/>
      <w:i/>
      <w:iCs/>
      <w:sz w:val="26"/>
      <w:szCs w:val="26"/>
      <w:lang w:val="en-GB"/>
    </w:rPr>
  </w:style>
  <w:style w:type="paragraph" w:styleId="Heading6">
    <w:name w:val="heading 6"/>
    <w:basedOn w:val="Normal"/>
    <w:next w:val="Normal"/>
    <w:link w:val="Heading6Char"/>
    <w:qFormat/>
    <w:rsid w:val="00945FB2"/>
    <w:pPr>
      <w:numPr>
        <w:ilvl w:val="5"/>
        <w:numId w:val="2"/>
      </w:numPr>
      <w:spacing w:before="240" w:after="60" w:line="360" w:lineRule="auto"/>
      <w:jc w:val="both"/>
      <w:outlineLvl w:val="5"/>
    </w:pPr>
    <w:rPr>
      <w:b/>
      <w:bCs/>
      <w:sz w:val="22"/>
      <w:szCs w:val="22"/>
      <w:lang w:val="en-GB"/>
    </w:rPr>
  </w:style>
  <w:style w:type="paragraph" w:styleId="Heading7">
    <w:name w:val="heading 7"/>
    <w:basedOn w:val="Normal"/>
    <w:next w:val="Normal"/>
    <w:link w:val="Heading7Char"/>
    <w:qFormat/>
    <w:rsid w:val="00945FB2"/>
    <w:pPr>
      <w:numPr>
        <w:ilvl w:val="6"/>
        <w:numId w:val="2"/>
      </w:numPr>
      <w:spacing w:before="240" w:after="60" w:line="360" w:lineRule="auto"/>
      <w:jc w:val="both"/>
      <w:outlineLvl w:val="6"/>
    </w:pPr>
    <w:rPr>
      <w:lang w:val="en-GB"/>
    </w:rPr>
  </w:style>
  <w:style w:type="paragraph" w:styleId="Heading8">
    <w:name w:val="heading 8"/>
    <w:basedOn w:val="Normal"/>
    <w:next w:val="Normal"/>
    <w:link w:val="Heading8Char"/>
    <w:qFormat/>
    <w:rsid w:val="00945FB2"/>
    <w:pPr>
      <w:numPr>
        <w:ilvl w:val="7"/>
        <w:numId w:val="2"/>
      </w:numPr>
      <w:spacing w:before="240" w:after="60" w:line="360" w:lineRule="auto"/>
      <w:jc w:val="both"/>
      <w:outlineLvl w:val="7"/>
    </w:pPr>
    <w:rPr>
      <w:i/>
      <w:iCs/>
      <w:lang w:val="en-GB"/>
    </w:rPr>
  </w:style>
  <w:style w:type="paragraph" w:styleId="Heading9">
    <w:name w:val="heading 9"/>
    <w:basedOn w:val="Normal"/>
    <w:next w:val="Normal"/>
    <w:link w:val="Heading9Char"/>
    <w:qFormat/>
    <w:rsid w:val="00945FB2"/>
    <w:pPr>
      <w:numPr>
        <w:ilvl w:val="8"/>
        <w:numId w:val="2"/>
      </w:numPr>
      <w:spacing w:before="240" w:after="60" w:line="360" w:lineRule="auto"/>
      <w:jc w:val="both"/>
      <w:outlineLvl w:val="8"/>
    </w:pPr>
    <w:rPr>
      <w:rFonts w:cs="Arial"/>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5FB2"/>
    <w:rPr>
      <w:rFonts w:ascii="Times New Roman" w:eastAsia="Times New Roman" w:hAnsi="Times New Roman" w:cs="Times New Roman"/>
      <w:b/>
      <w:bCs/>
      <w:kern w:val="32"/>
      <w:sz w:val="32"/>
      <w:szCs w:val="36"/>
    </w:rPr>
  </w:style>
  <w:style w:type="character" w:customStyle="1" w:styleId="Heading2Char">
    <w:name w:val="Heading 2 Char"/>
    <w:basedOn w:val="DefaultParagraphFont"/>
    <w:link w:val="Heading2"/>
    <w:rsid w:val="00945FB2"/>
    <w:rPr>
      <w:rFonts w:ascii="Times New Roman" w:eastAsia="Times New Roman" w:hAnsi="Times New Roman" w:cs="Arial"/>
      <w:b/>
      <w:bCs/>
      <w:i/>
      <w:iCs/>
      <w:sz w:val="28"/>
      <w:szCs w:val="28"/>
    </w:rPr>
  </w:style>
  <w:style w:type="character" w:customStyle="1" w:styleId="Heading3Char">
    <w:name w:val="Heading 3 Char"/>
    <w:basedOn w:val="DefaultParagraphFont"/>
    <w:link w:val="Heading3"/>
    <w:rsid w:val="00945FB2"/>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945FB2"/>
    <w:rPr>
      <w:rFonts w:ascii="Times New Roman" w:eastAsia="Times New Roman" w:hAnsi="Times New Roman" w:cs="Times New Roman"/>
      <w:i/>
      <w:sz w:val="24"/>
      <w:szCs w:val="28"/>
    </w:rPr>
  </w:style>
  <w:style w:type="character" w:customStyle="1" w:styleId="Heading5Char">
    <w:name w:val="Heading 5 Char"/>
    <w:basedOn w:val="DefaultParagraphFont"/>
    <w:link w:val="Heading5"/>
    <w:rsid w:val="00945FB2"/>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945FB2"/>
    <w:rPr>
      <w:rFonts w:ascii="Times New Roman" w:eastAsia="Times New Roman" w:hAnsi="Times New Roman" w:cs="Times New Roman"/>
      <w:b/>
      <w:bCs/>
      <w:sz w:val="22"/>
      <w:szCs w:val="22"/>
    </w:rPr>
  </w:style>
  <w:style w:type="character" w:customStyle="1" w:styleId="Heading7Char">
    <w:name w:val="Heading 7 Char"/>
    <w:basedOn w:val="DefaultParagraphFont"/>
    <w:link w:val="Heading7"/>
    <w:rsid w:val="00945FB2"/>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945FB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945FB2"/>
    <w:rPr>
      <w:rFonts w:ascii="Times New Roman" w:eastAsia="Times New Roman" w:hAnsi="Times New Roman" w:cs="Arial"/>
      <w:sz w:val="24"/>
      <w:szCs w:val="22"/>
    </w:rPr>
  </w:style>
  <w:style w:type="paragraph" w:styleId="TOC1">
    <w:name w:val="toc 1"/>
    <w:basedOn w:val="Normal"/>
    <w:next w:val="Normal"/>
    <w:autoRedefine/>
    <w:semiHidden/>
    <w:rsid w:val="00945FB2"/>
    <w:pPr>
      <w:spacing w:before="360" w:line="360" w:lineRule="auto"/>
    </w:pPr>
    <w:rPr>
      <w:rFonts w:ascii="Arial" w:hAnsi="Arial" w:cs="Arial"/>
      <w:b/>
      <w:bCs/>
      <w:caps/>
      <w:lang w:val="en-GB"/>
    </w:rPr>
  </w:style>
  <w:style w:type="paragraph" w:styleId="Header">
    <w:name w:val="header"/>
    <w:basedOn w:val="Normal"/>
    <w:link w:val="HeaderChar"/>
    <w:rsid w:val="00945FB2"/>
    <w:pPr>
      <w:tabs>
        <w:tab w:val="center" w:pos="4320"/>
        <w:tab w:val="right" w:pos="8640"/>
      </w:tabs>
      <w:spacing w:line="360" w:lineRule="auto"/>
      <w:jc w:val="both"/>
    </w:pPr>
    <w:rPr>
      <w:lang w:val="en-GB"/>
    </w:rPr>
  </w:style>
  <w:style w:type="character" w:customStyle="1" w:styleId="HeaderChar">
    <w:name w:val="Header Char"/>
    <w:basedOn w:val="DefaultParagraphFont"/>
    <w:link w:val="Header"/>
    <w:rsid w:val="00945FB2"/>
    <w:rPr>
      <w:rFonts w:ascii="Times New Roman" w:eastAsia="Times New Roman" w:hAnsi="Times New Roman" w:cs="Times New Roman"/>
      <w:sz w:val="24"/>
      <w:szCs w:val="24"/>
    </w:rPr>
  </w:style>
  <w:style w:type="paragraph" w:styleId="TOC2">
    <w:name w:val="toc 2"/>
    <w:basedOn w:val="Normal"/>
    <w:next w:val="Normal"/>
    <w:autoRedefine/>
    <w:semiHidden/>
    <w:rsid w:val="00945FB2"/>
    <w:pPr>
      <w:spacing w:before="240" w:line="360" w:lineRule="auto"/>
    </w:pPr>
    <w:rPr>
      <w:b/>
      <w:bCs/>
      <w:sz w:val="20"/>
      <w:szCs w:val="20"/>
      <w:lang w:val="en-GB"/>
    </w:rPr>
  </w:style>
  <w:style w:type="paragraph" w:styleId="TOC3">
    <w:name w:val="toc 3"/>
    <w:basedOn w:val="Normal"/>
    <w:next w:val="Normal"/>
    <w:autoRedefine/>
    <w:semiHidden/>
    <w:rsid w:val="00945FB2"/>
    <w:pPr>
      <w:spacing w:line="360" w:lineRule="auto"/>
      <w:ind w:left="240"/>
    </w:pPr>
    <w:rPr>
      <w:sz w:val="20"/>
      <w:szCs w:val="20"/>
      <w:lang w:val="en-GB"/>
    </w:rPr>
  </w:style>
  <w:style w:type="paragraph" w:styleId="TOC4">
    <w:name w:val="toc 4"/>
    <w:basedOn w:val="Normal"/>
    <w:next w:val="Normal"/>
    <w:autoRedefine/>
    <w:semiHidden/>
    <w:rsid w:val="00945FB2"/>
    <w:pPr>
      <w:spacing w:line="360" w:lineRule="auto"/>
      <w:ind w:left="480"/>
    </w:pPr>
    <w:rPr>
      <w:sz w:val="20"/>
      <w:szCs w:val="20"/>
      <w:lang w:val="en-GB"/>
    </w:rPr>
  </w:style>
  <w:style w:type="paragraph" w:styleId="TOC5">
    <w:name w:val="toc 5"/>
    <w:basedOn w:val="Normal"/>
    <w:next w:val="Normal"/>
    <w:autoRedefine/>
    <w:semiHidden/>
    <w:rsid w:val="00945FB2"/>
    <w:pPr>
      <w:spacing w:line="360" w:lineRule="auto"/>
      <w:ind w:left="720"/>
    </w:pPr>
    <w:rPr>
      <w:sz w:val="20"/>
      <w:szCs w:val="20"/>
      <w:lang w:val="en-GB"/>
    </w:rPr>
  </w:style>
  <w:style w:type="paragraph" w:styleId="TOC6">
    <w:name w:val="toc 6"/>
    <w:basedOn w:val="Normal"/>
    <w:next w:val="Normal"/>
    <w:autoRedefine/>
    <w:semiHidden/>
    <w:rsid w:val="00945FB2"/>
    <w:pPr>
      <w:spacing w:line="360" w:lineRule="auto"/>
      <w:ind w:left="960"/>
    </w:pPr>
    <w:rPr>
      <w:sz w:val="20"/>
      <w:szCs w:val="20"/>
      <w:lang w:val="en-GB"/>
    </w:rPr>
  </w:style>
  <w:style w:type="paragraph" w:styleId="TOC7">
    <w:name w:val="toc 7"/>
    <w:basedOn w:val="Normal"/>
    <w:next w:val="Normal"/>
    <w:autoRedefine/>
    <w:semiHidden/>
    <w:rsid w:val="00945FB2"/>
    <w:pPr>
      <w:spacing w:line="360" w:lineRule="auto"/>
      <w:ind w:left="1200"/>
    </w:pPr>
    <w:rPr>
      <w:sz w:val="20"/>
      <w:szCs w:val="20"/>
      <w:lang w:val="en-GB"/>
    </w:rPr>
  </w:style>
  <w:style w:type="paragraph" w:styleId="TOC8">
    <w:name w:val="toc 8"/>
    <w:basedOn w:val="Normal"/>
    <w:next w:val="Normal"/>
    <w:autoRedefine/>
    <w:semiHidden/>
    <w:rsid w:val="00945FB2"/>
    <w:pPr>
      <w:spacing w:line="360" w:lineRule="auto"/>
      <w:ind w:left="1440"/>
    </w:pPr>
    <w:rPr>
      <w:sz w:val="20"/>
      <w:szCs w:val="20"/>
      <w:lang w:val="en-GB"/>
    </w:rPr>
  </w:style>
  <w:style w:type="paragraph" w:styleId="TOC9">
    <w:name w:val="toc 9"/>
    <w:basedOn w:val="Normal"/>
    <w:next w:val="Normal"/>
    <w:autoRedefine/>
    <w:semiHidden/>
    <w:rsid w:val="00945FB2"/>
    <w:pPr>
      <w:spacing w:line="360" w:lineRule="auto"/>
      <w:ind w:left="1680"/>
    </w:pPr>
    <w:rPr>
      <w:sz w:val="20"/>
      <w:szCs w:val="20"/>
      <w:lang w:val="en-GB"/>
    </w:rPr>
  </w:style>
  <w:style w:type="character" w:styleId="Hyperlink">
    <w:name w:val="Hyperlink"/>
    <w:basedOn w:val="DefaultParagraphFont"/>
    <w:rsid w:val="00945FB2"/>
    <w:rPr>
      <w:color w:val="0000FF"/>
      <w:u w:val="single"/>
    </w:rPr>
  </w:style>
  <w:style w:type="paragraph" w:styleId="EndnoteText">
    <w:name w:val="endnote text"/>
    <w:basedOn w:val="Normal"/>
    <w:link w:val="EndnoteTextChar"/>
    <w:semiHidden/>
    <w:rsid w:val="00945FB2"/>
    <w:pPr>
      <w:jc w:val="both"/>
    </w:pPr>
    <w:rPr>
      <w:sz w:val="20"/>
      <w:szCs w:val="20"/>
      <w:lang w:val="en-GB"/>
    </w:rPr>
  </w:style>
  <w:style w:type="character" w:customStyle="1" w:styleId="EndnoteTextChar">
    <w:name w:val="Endnote Text Char"/>
    <w:basedOn w:val="DefaultParagraphFont"/>
    <w:link w:val="EndnoteText"/>
    <w:rsid w:val="00945FB2"/>
    <w:rPr>
      <w:rFonts w:ascii="Times New Roman" w:eastAsia="Times New Roman" w:hAnsi="Times New Roman" w:cs="Times New Roman"/>
    </w:rPr>
  </w:style>
  <w:style w:type="character" w:styleId="EndnoteReference">
    <w:name w:val="endnote reference"/>
    <w:basedOn w:val="DefaultParagraphFont"/>
    <w:semiHidden/>
    <w:rsid w:val="00945FB2"/>
    <w:rPr>
      <w:vertAlign w:val="superscript"/>
    </w:rPr>
  </w:style>
  <w:style w:type="character" w:styleId="FollowedHyperlink">
    <w:name w:val="FollowedHyperlink"/>
    <w:basedOn w:val="DefaultParagraphFont"/>
    <w:rsid w:val="00945FB2"/>
    <w:rPr>
      <w:color w:val="800080"/>
      <w:u w:val="single"/>
    </w:rPr>
  </w:style>
  <w:style w:type="paragraph" w:styleId="BodyText">
    <w:name w:val="Body Text"/>
    <w:basedOn w:val="Normal"/>
    <w:link w:val="BodyTextChar"/>
    <w:rsid w:val="00945FB2"/>
    <w:pPr>
      <w:jc w:val="both"/>
    </w:pPr>
    <w:rPr>
      <w:rFonts w:ascii="Arial" w:hAnsi="Arial" w:cs="Arial"/>
      <w:lang w:val="en-GB" w:eastAsia="es-ES"/>
    </w:rPr>
  </w:style>
  <w:style w:type="character" w:customStyle="1" w:styleId="BodyTextChar">
    <w:name w:val="Body Text Char"/>
    <w:basedOn w:val="DefaultParagraphFont"/>
    <w:link w:val="BodyText"/>
    <w:rsid w:val="00945FB2"/>
    <w:rPr>
      <w:rFonts w:ascii="Arial" w:eastAsia="Times New Roman" w:hAnsi="Arial" w:cs="Arial"/>
      <w:sz w:val="24"/>
      <w:szCs w:val="24"/>
      <w:lang w:eastAsia="es-ES"/>
    </w:rPr>
  </w:style>
  <w:style w:type="paragraph" w:styleId="Caption">
    <w:name w:val="caption"/>
    <w:basedOn w:val="Normal"/>
    <w:next w:val="Normal"/>
    <w:link w:val="CaptionChar"/>
    <w:qFormat/>
    <w:rsid w:val="00945FB2"/>
    <w:pPr>
      <w:spacing w:before="120" w:after="120"/>
      <w:ind w:left="1191" w:hanging="1191"/>
      <w:jc w:val="both"/>
    </w:pPr>
    <w:rPr>
      <w:b/>
      <w:bCs/>
      <w:sz w:val="20"/>
      <w:szCs w:val="20"/>
      <w:lang w:val="en-GB"/>
    </w:rPr>
  </w:style>
  <w:style w:type="paragraph" w:styleId="BodyText2">
    <w:name w:val="Body Text 2"/>
    <w:basedOn w:val="Normal"/>
    <w:link w:val="BodyText2Char"/>
    <w:rsid w:val="00945FB2"/>
    <w:pPr>
      <w:jc w:val="center"/>
    </w:pPr>
    <w:rPr>
      <w:rFonts w:ascii="Arial" w:hAnsi="Arial" w:cs="Arial"/>
      <w:sz w:val="20"/>
      <w:szCs w:val="20"/>
      <w:lang w:val="en-GB"/>
    </w:rPr>
  </w:style>
  <w:style w:type="character" w:customStyle="1" w:styleId="BodyText2Char">
    <w:name w:val="Body Text 2 Char"/>
    <w:basedOn w:val="DefaultParagraphFont"/>
    <w:link w:val="BodyText2"/>
    <w:rsid w:val="00945FB2"/>
    <w:rPr>
      <w:rFonts w:ascii="Arial" w:eastAsia="Times New Roman" w:hAnsi="Arial" w:cs="Arial"/>
    </w:rPr>
  </w:style>
  <w:style w:type="paragraph" w:customStyle="1" w:styleId="Table">
    <w:name w:val="Table"/>
    <w:basedOn w:val="Caption"/>
    <w:rsid w:val="00945FB2"/>
    <w:pPr>
      <w:ind w:left="0" w:firstLine="0"/>
    </w:pPr>
  </w:style>
  <w:style w:type="paragraph" w:styleId="Footer">
    <w:name w:val="footer"/>
    <w:basedOn w:val="Normal"/>
    <w:link w:val="FooterChar"/>
    <w:rsid w:val="00945FB2"/>
    <w:pPr>
      <w:tabs>
        <w:tab w:val="center" w:pos="4153"/>
        <w:tab w:val="right" w:pos="8306"/>
      </w:tabs>
      <w:spacing w:line="360" w:lineRule="auto"/>
      <w:jc w:val="both"/>
    </w:pPr>
    <w:rPr>
      <w:lang w:val="en-GB"/>
    </w:rPr>
  </w:style>
  <w:style w:type="character" w:customStyle="1" w:styleId="FooterChar">
    <w:name w:val="Footer Char"/>
    <w:basedOn w:val="DefaultParagraphFont"/>
    <w:link w:val="Footer"/>
    <w:rsid w:val="00945FB2"/>
    <w:rPr>
      <w:rFonts w:ascii="Times New Roman" w:eastAsia="Times New Roman" w:hAnsi="Times New Roman" w:cs="Times New Roman"/>
      <w:sz w:val="24"/>
      <w:szCs w:val="24"/>
    </w:rPr>
  </w:style>
  <w:style w:type="character" w:styleId="PageNumber">
    <w:name w:val="page number"/>
    <w:basedOn w:val="DefaultParagraphFont"/>
    <w:rsid w:val="00945FB2"/>
  </w:style>
  <w:style w:type="paragraph" w:customStyle="1" w:styleId="Style1">
    <w:name w:val="Style1"/>
    <w:basedOn w:val="Heading2"/>
    <w:rsid w:val="00945FB2"/>
    <w:pPr>
      <w:jc w:val="both"/>
    </w:pPr>
    <w:rPr>
      <w:sz w:val="22"/>
    </w:rPr>
  </w:style>
  <w:style w:type="paragraph" w:customStyle="1" w:styleId="StyleStyle1NotItalic">
    <w:name w:val="Style Style1 + Not Italic"/>
    <w:basedOn w:val="Style1"/>
    <w:rsid w:val="00945FB2"/>
    <w:pPr>
      <w:spacing w:after="720"/>
      <w:ind w:left="578" w:hanging="578"/>
    </w:pPr>
    <w:rPr>
      <w:i w:val="0"/>
      <w:iCs w:val="0"/>
    </w:rPr>
  </w:style>
  <w:style w:type="paragraph" w:styleId="BodyText3">
    <w:name w:val="Body Text 3"/>
    <w:basedOn w:val="Normal"/>
    <w:link w:val="BodyText3Char"/>
    <w:rsid w:val="00945FB2"/>
    <w:pPr>
      <w:autoSpaceDE w:val="0"/>
      <w:autoSpaceDN w:val="0"/>
      <w:adjustRightInd w:val="0"/>
      <w:spacing w:line="360" w:lineRule="auto"/>
    </w:pPr>
    <w:rPr>
      <w:szCs w:val="21"/>
    </w:rPr>
  </w:style>
  <w:style w:type="character" w:customStyle="1" w:styleId="BodyText3Char">
    <w:name w:val="Body Text 3 Char"/>
    <w:basedOn w:val="DefaultParagraphFont"/>
    <w:link w:val="BodyText3"/>
    <w:rsid w:val="00945FB2"/>
    <w:rPr>
      <w:rFonts w:ascii="Times New Roman" w:eastAsia="Times New Roman" w:hAnsi="Times New Roman" w:cs="Times New Roman"/>
      <w:sz w:val="24"/>
      <w:szCs w:val="21"/>
      <w:lang w:val="en-US"/>
    </w:rPr>
  </w:style>
  <w:style w:type="paragraph" w:styleId="FootnoteText">
    <w:name w:val="footnote text"/>
    <w:basedOn w:val="Normal"/>
    <w:link w:val="FootnoteTextChar"/>
    <w:semiHidden/>
    <w:rsid w:val="00945FB2"/>
    <w:pPr>
      <w:spacing w:line="360" w:lineRule="auto"/>
      <w:jc w:val="both"/>
    </w:pPr>
    <w:rPr>
      <w:sz w:val="20"/>
      <w:szCs w:val="20"/>
      <w:lang w:val="en-GB"/>
    </w:rPr>
  </w:style>
  <w:style w:type="character" w:customStyle="1" w:styleId="FootnoteTextChar">
    <w:name w:val="Footnote Text Char"/>
    <w:basedOn w:val="DefaultParagraphFont"/>
    <w:link w:val="FootnoteText"/>
    <w:semiHidden/>
    <w:rsid w:val="00945FB2"/>
    <w:rPr>
      <w:rFonts w:ascii="Times New Roman" w:eastAsia="Times New Roman" w:hAnsi="Times New Roman" w:cs="Times New Roman"/>
    </w:rPr>
  </w:style>
  <w:style w:type="character" w:styleId="FootnoteReference">
    <w:name w:val="footnote reference"/>
    <w:basedOn w:val="DefaultParagraphFont"/>
    <w:semiHidden/>
    <w:rsid w:val="00945FB2"/>
    <w:rPr>
      <w:vertAlign w:val="superscript"/>
    </w:rPr>
  </w:style>
  <w:style w:type="table" w:styleId="TableGrid">
    <w:name w:val="Table Grid"/>
    <w:basedOn w:val="TableNormal"/>
    <w:rsid w:val="00945FB2"/>
    <w:pPr>
      <w:spacing w:line="360" w:lineRule="auto"/>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semiHidden/>
    <w:rsid w:val="00945FB2"/>
    <w:pPr>
      <w:shd w:val="clear" w:color="auto" w:fill="000080"/>
      <w:spacing w:line="360" w:lineRule="auto"/>
      <w:jc w:val="both"/>
    </w:pPr>
    <w:rPr>
      <w:rFonts w:ascii="Tahoma" w:hAnsi="Tahoma" w:cs="Tahoma"/>
      <w:sz w:val="20"/>
      <w:szCs w:val="20"/>
      <w:lang w:val="en-GB"/>
    </w:rPr>
  </w:style>
  <w:style w:type="character" w:customStyle="1" w:styleId="DocumentMapChar">
    <w:name w:val="Document Map Char"/>
    <w:basedOn w:val="DefaultParagraphFont"/>
    <w:link w:val="DocumentMap"/>
    <w:semiHidden/>
    <w:rsid w:val="00945FB2"/>
    <w:rPr>
      <w:rFonts w:ascii="Tahoma" w:eastAsia="Times New Roman" w:hAnsi="Tahoma" w:cs="Tahoma"/>
      <w:shd w:val="clear" w:color="auto" w:fill="000080"/>
    </w:rPr>
  </w:style>
  <w:style w:type="character" w:styleId="CommentReference">
    <w:name w:val="annotation reference"/>
    <w:basedOn w:val="DefaultParagraphFont"/>
    <w:semiHidden/>
    <w:rsid w:val="00945FB2"/>
    <w:rPr>
      <w:sz w:val="16"/>
      <w:szCs w:val="16"/>
    </w:rPr>
  </w:style>
  <w:style w:type="paragraph" w:styleId="CommentText">
    <w:name w:val="annotation text"/>
    <w:basedOn w:val="Normal"/>
    <w:link w:val="CommentTextChar"/>
    <w:semiHidden/>
    <w:rsid w:val="00945FB2"/>
    <w:pPr>
      <w:spacing w:line="360" w:lineRule="auto"/>
      <w:jc w:val="both"/>
    </w:pPr>
    <w:rPr>
      <w:sz w:val="20"/>
      <w:szCs w:val="20"/>
      <w:lang w:val="en-GB"/>
    </w:rPr>
  </w:style>
  <w:style w:type="character" w:customStyle="1" w:styleId="CommentTextChar">
    <w:name w:val="Comment Text Char"/>
    <w:basedOn w:val="DefaultParagraphFont"/>
    <w:link w:val="CommentText"/>
    <w:semiHidden/>
    <w:rsid w:val="00945FB2"/>
    <w:rPr>
      <w:rFonts w:ascii="Times New Roman" w:eastAsia="Times New Roman" w:hAnsi="Times New Roman" w:cs="Times New Roman"/>
    </w:rPr>
  </w:style>
  <w:style w:type="paragraph" w:styleId="CommentSubject">
    <w:name w:val="annotation subject"/>
    <w:basedOn w:val="CommentText"/>
    <w:next w:val="CommentText"/>
    <w:link w:val="CommentSubjectChar"/>
    <w:semiHidden/>
    <w:rsid w:val="00945FB2"/>
    <w:rPr>
      <w:b/>
      <w:bCs/>
    </w:rPr>
  </w:style>
  <w:style w:type="character" w:customStyle="1" w:styleId="CommentSubjectChar">
    <w:name w:val="Comment Subject Char"/>
    <w:basedOn w:val="CommentTextChar"/>
    <w:link w:val="CommentSubject"/>
    <w:semiHidden/>
    <w:rsid w:val="00945FB2"/>
    <w:rPr>
      <w:rFonts w:ascii="Times New Roman" w:eastAsia="Times New Roman" w:hAnsi="Times New Roman" w:cs="Times New Roman"/>
      <w:b/>
      <w:bCs/>
    </w:rPr>
  </w:style>
  <w:style w:type="paragraph" w:styleId="BalloonText">
    <w:name w:val="Balloon Text"/>
    <w:basedOn w:val="Normal"/>
    <w:link w:val="BalloonTextChar"/>
    <w:semiHidden/>
    <w:rsid w:val="00945FB2"/>
    <w:pPr>
      <w:spacing w:line="360" w:lineRule="auto"/>
      <w:jc w:val="both"/>
    </w:pPr>
    <w:rPr>
      <w:rFonts w:ascii="Tahoma" w:hAnsi="Tahoma" w:cs="Tahoma"/>
      <w:sz w:val="16"/>
      <w:szCs w:val="16"/>
      <w:lang w:val="en-GB"/>
    </w:rPr>
  </w:style>
  <w:style w:type="character" w:customStyle="1" w:styleId="BalloonTextChar">
    <w:name w:val="Balloon Text Char"/>
    <w:basedOn w:val="DefaultParagraphFont"/>
    <w:link w:val="BalloonText"/>
    <w:semiHidden/>
    <w:rsid w:val="00945FB2"/>
    <w:rPr>
      <w:rFonts w:ascii="Tahoma" w:eastAsia="Times New Roman" w:hAnsi="Tahoma" w:cs="Tahoma"/>
      <w:sz w:val="16"/>
      <w:szCs w:val="16"/>
    </w:rPr>
  </w:style>
  <w:style w:type="paragraph" w:customStyle="1" w:styleId="CaptionFigGraph">
    <w:name w:val="Caption Fig Graph"/>
    <w:basedOn w:val="Caption"/>
    <w:link w:val="CaptionFigGraphCharChar"/>
    <w:autoRedefine/>
    <w:rsid w:val="00945FB2"/>
    <w:pPr>
      <w:pBdr>
        <w:bottom w:val="single" w:sz="4" w:space="1" w:color="auto"/>
      </w:pBdr>
      <w:spacing w:before="360" w:line="480" w:lineRule="auto"/>
      <w:ind w:left="0" w:firstLine="0"/>
    </w:pPr>
  </w:style>
  <w:style w:type="character" w:customStyle="1" w:styleId="CaptionChar">
    <w:name w:val="Caption Char"/>
    <w:basedOn w:val="DefaultParagraphFont"/>
    <w:link w:val="Caption"/>
    <w:rsid w:val="00945FB2"/>
    <w:rPr>
      <w:rFonts w:ascii="Times New Roman" w:eastAsia="Times New Roman" w:hAnsi="Times New Roman" w:cs="Times New Roman"/>
      <w:b/>
      <w:bCs/>
    </w:rPr>
  </w:style>
  <w:style w:type="character" w:customStyle="1" w:styleId="CaptionFigGraphCharChar">
    <w:name w:val="Caption Fig Graph Char Char"/>
    <w:basedOn w:val="CaptionChar"/>
    <w:link w:val="CaptionFigGraph"/>
    <w:rsid w:val="00945FB2"/>
    <w:rPr>
      <w:rFonts w:ascii="Times New Roman" w:eastAsia="Times New Roman" w:hAnsi="Times New Roman" w:cs="Times New Roman"/>
      <w:b/>
      <w:bCs/>
    </w:rPr>
  </w:style>
  <w:style w:type="paragraph" w:styleId="TableofFigures">
    <w:name w:val="table of figures"/>
    <w:basedOn w:val="Normal"/>
    <w:next w:val="Normal"/>
    <w:semiHidden/>
    <w:rsid w:val="00945FB2"/>
    <w:pPr>
      <w:spacing w:line="360" w:lineRule="auto"/>
    </w:pPr>
    <w:rPr>
      <w:i/>
      <w:iCs/>
      <w:sz w:val="20"/>
      <w:szCs w:val="20"/>
      <w:lang w:val="en-GB"/>
    </w:rPr>
  </w:style>
  <w:style w:type="paragraph" w:styleId="BlockText">
    <w:name w:val="Block Text"/>
    <w:basedOn w:val="Normal"/>
    <w:rsid w:val="00945FB2"/>
    <w:pPr>
      <w:spacing w:after="120" w:line="360" w:lineRule="auto"/>
      <w:ind w:left="1440" w:right="1440"/>
      <w:jc w:val="both"/>
    </w:pPr>
    <w:rPr>
      <w:lang w:val="en-GB"/>
    </w:rPr>
  </w:style>
  <w:style w:type="paragraph" w:styleId="BodyTextFirstIndent">
    <w:name w:val="Body Text First Indent"/>
    <w:basedOn w:val="BodyText"/>
    <w:link w:val="BodyTextFirstIndentChar"/>
    <w:rsid w:val="00945FB2"/>
    <w:pPr>
      <w:spacing w:after="120" w:line="360" w:lineRule="auto"/>
      <w:ind w:firstLine="210"/>
    </w:pPr>
    <w:rPr>
      <w:rFonts w:ascii="Times New Roman" w:hAnsi="Times New Roman" w:cs="Times New Roman"/>
      <w:lang w:eastAsia="en-US"/>
    </w:rPr>
  </w:style>
  <w:style w:type="character" w:customStyle="1" w:styleId="BodyTextFirstIndentChar">
    <w:name w:val="Body Text First Indent Char"/>
    <w:basedOn w:val="BodyTextChar"/>
    <w:link w:val="BodyTextFirstIndent"/>
    <w:rsid w:val="00945FB2"/>
    <w:rPr>
      <w:rFonts w:ascii="Times New Roman" w:eastAsia="Times New Roman" w:hAnsi="Times New Roman" w:cs="Times New Roman"/>
      <w:sz w:val="24"/>
      <w:szCs w:val="24"/>
      <w:lang w:eastAsia="es-ES"/>
    </w:rPr>
  </w:style>
  <w:style w:type="paragraph" w:styleId="BodyTextIndent">
    <w:name w:val="Body Text Indent"/>
    <w:basedOn w:val="Normal"/>
    <w:link w:val="BodyTextIndentChar"/>
    <w:rsid w:val="00945FB2"/>
    <w:pPr>
      <w:spacing w:after="120" w:line="360" w:lineRule="auto"/>
      <w:ind w:left="283"/>
      <w:jc w:val="both"/>
    </w:pPr>
    <w:rPr>
      <w:lang w:val="en-GB"/>
    </w:rPr>
  </w:style>
  <w:style w:type="character" w:customStyle="1" w:styleId="BodyTextIndentChar">
    <w:name w:val="Body Text Indent Char"/>
    <w:basedOn w:val="DefaultParagraphFont"/>
    <w:link w:val="BodyTextIndent"/>
    <w:rsid w:val="00945FB2"/>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rsid w:val="00945FB2"/>
    <w:pPr>
      <w:ind w:firstLine="210"/>
    </w:pPr>
  </w:style>
  <w:style w:type="character" w:customStyle="1" w:styleId="BodyTextFirstIndent2Char">
    <w:name w:val="Body Text First Indent 2 Char"/>
    <w:basedOn w:val="BodyTextIndentChar"/>
    <w:link w:val="BodyTextFirstIndent2"/>
    <w:rsid w:val="00945FB2"/>
    <w:rPr>
      <w:rFonts w:ascii="Times New Roman" w:eastAsia="Times New Roman" w:hAnsi="Times New Roman" w:cs="Times New Roman"/>
      <w:sz w:val="24"/>
      <w:szCs w:val="24"/>
    </w:rPr>
  </w:style>
  <w:style w:type="paragraph" w:styleId="BodyTextIndent2">
    <w:name w:val="Body Text Indent 2"/>
    <w:basedOn w:val="Normal"/>
    <w:link w:val="BodyTextIndent2Char"/>
    <w:rsid w:val="00945FB2"/>
    <w:pPr>
      <w:spacing w:after="120" w:line="480" w:lineRule="auto"/>
      <w:ind w:left="283"/>
      <w:jc w:val="both"/>
    </w:pPr>
    <w:rPr>
      <w:lang w:val="en-GB"/>
    </w:rPr>
  </w:style>
  <w:style w:type="character" w:customStyle="1" w:styleId="BodyTextIndent2Char">
    <w:name w:val="Body Text Indent 2 Char"/>
    <w:basedOn w:val="DefaultParagraphFont"/>
    <w:link w:val="BodyTextIndent2"/>
    <w:rsid w:val="00945FB2"/>
    <w:rPr>
      <w:rFonts w:ascii="Times New Roman" w:eastAsia="Times New Roman" w:hAnsi="Times New Roman" w:cs="Times New Roman"/>
      <w:sz w:val="24"/>
      <w:szCs w:val="24"/>
    </w:rPr>
  </w:style>
  <w:style w:type="paragraph" w:styleId="BodyTextIndent3">
    <w:name w:val="Body Text Indent 3"/>
    <w:basedOn w:val="Normal"/>
    <w:link w:val="BodyTextIndent3Char"/>
    <w:rsid w:val="00945FB2"/>
    <w:pPr>
      <w:spacing w:after="120" w:line="360" w:lineRule="auto"/>
      <w:ind w:left="283"/>
      <w:jc w:val="both"/>
    </w:pPr>
    <w:rPr>
      <w:sz w:val="16"/>
      <w:szCs w:val="16"/>
      <w:lang w:val="en-GB"/>
    </w:rPr>
  </w:style>
  <w:style w:type="character" w:customStyle="1" w:styleId="BodyTextIndent3Char">
    <w:name w:val="Body Text Indent 3 Char"/>
    <w:basedOn w:val="DefaultParagraphFont"/>
    <w:link w:val="BodyTextIndent3"/>
    <w:rsid w:val="00945FB2"/>
    <w:rPr>
      <w:rFonts w:ascii="Times New Roman" w:eastAsia="Times New Roman" w:hAnsi="Times New Roman" w:cs="Times New Roman"/>
      <w:sz w:val="16"/>
      <w:szCs w:val="16"/>
    </w:rPr>
  </w:style>
  <w:style w:type="paragraph" w:styleId="Closing">
    <w:name w:val="Closing"/>
    <w:basedOn w:val="Normal"/>
    <w:link w:val="ClosingChar"/>
    <w:rsid w:val="00945FB2"/>
    <w:pPr>
      <w:spacing w:line="360" w:lineRule="auto"/>
      <w:ind w:left="4252"/>
      <w:jc w:val="both"/>
    </w:pPr>
    <w:rPr>
      <w:lang w:val="en-GB"/>
    </w:rPr>
  </w:style>
  <w:style w:type="character" w:customStyle="1" w:styleId="ClosingChar">
    <w:name w:val="Closing Char"/>
    <w:basedOn w:val="DefaultParagraphFont"/>
    <w:link w:val="Closing"/>
    <w:rsid w:val="00945FB2"/>
    <w:rPr>
      <w:rFonts w:ascii="Times New Roman" w:eastAsia="Times New Roman" w:hAnsi="Times New Roman" w:cs="Times New Roman"/>
      <w:sz w:val="24"/>
      <w:szCs w:val="24"/>
    </w:rPr>
  </w:style>
  <w:style w:type="paragraph" w:styleId="Date">
    <w:name w:val="Date"/>
    <w:basedOn w:val="Normal"/>
    <w:next w:val="Normal"/>
    <w:link w:val="DateChar"/>
    <w:rsid w:val="00945FB2"/>
    <w:pPr>
      <w:spacing w:line="360" w:lineRule="auto"/>
      <w:jc w:val="both"/>
    </w:pPr>
    <w:rPr>
      <w:lang w:val="en-GB"/>
    </w:rPr>
  </w:style>
  <w:style w:type="character" w:customStyle="1" w:styleId="DateChar">
    <w:name w:val="Date Char"/>
    <w:basedOn w:val="DefaultParagraphFont"/>
    <w:link w:val="Date"/>
    <w:rsid w:val="00945FB2"/>
    <w:rPr>
      <w:rFonts w:ascii="Times New Roman" w:eastAsia="Times New Roman" w:hAnsi="Times New Roman" w:cs="Times New Roman"/>
      <w:sz w:val="24"/>
      <w:szCs w:val="24"/>
    </w:rPr>
  </w:style>
  <w:style w:type="paragraph" w:styleId="E-mailSignature">
    <w:name w:val="E-mail Signature"/>
    <w:basedOn w:val="Normal"/>
    <w:link w:val="E-mailSignatureChar"/>
    <w:rsid w:val="00945FB2"/>
    <w:pPr>
      <w:spacing w:line="360" w:lineRule="auto"/>
      <w:jc w:val="both"/>
    </w:pPr>
    <w:rPr>
      <w:lang w:val="en-GB"/>
    </w:rPr>
  </w:style>
  <w:style w:type="character" w:customStyle="1" w:styleId="E-mailSignatureChar">
    <w:name w:val="E-mail Signature Char"/>
    <w:basedOn w:val="DefaultParagraphFont"/>
    <w:link w:val="E-mailSignature"/>
    <w:rsid w:val="00945FB2"/>
    <w:rPr>
      <w:rFonts w:ascii="Times New Roman" w:eastAsia="Times New Roman" w:hAnsi="Times New Roman" w:cs="Times New Roman"/>
      <w:sz w:val="24"/>
      <w:szCs w:val="24"/>
    </w:rPr>
  </w:style>
  <w:style w:type="paragraph" w:styleId="EnvelopeAddress">
    <w:name w:val="envelope address"/>
    <w:basedOn w:val="Normal"/>
    <w:rsid w:val="00945FB2"/>
    <w:pPr>
      <w:framePr w:w="7920" w:h="1980" w:hRule="exact" w:hSpace="180" w:wrap="auto" w:hAnchor="page" w:xAlign="center" w:yAlign="bottom"/>
      <w:spacing w:line="360" w:lineRule="auto"/>
      <w:ind w:left="2880"/>
      <w:jc w:val="both"/>
    </w:pPr>
    <w:rPr>
      <w:rFonts w:ascii="Arial" w:hAnsi="Arial" w:cs="Arial"/>
      <w:lang w:val="en-GB"/>
    </w:rPr>
  </w:style>
  <w:style w:type="paragraph" w:styleId="EnvelopeReturn">
    <w:name w:val="envelope return"/>
    <w:basedOn w:val="Normal"/>
    <w:rsid w:val="00945FB2"/>
    <w:pPr>
      <w:spacing w:line="360" w:lineRule="auto"/>
      <w:jc w:val="both"/>
    </w:pPr>
    <w:rPr>
      <w:rFonts w:ascii="Arial" w:hAnsi="Arial" w:cs="Arial"/>
      <w:sz w:val="20"/>
      <w:szCs w:val="20"/>
      <w:lang w:val="en-GB"/>
    </w:rPr>
  </w:style>
  <w:style w:type="paragraph" w:styleId="HTMLAddress">
    <w:name w:val="HTML Address"/>
    <w:basedOn w:val="Normal"/>
    <w:link w:val="HTMLAddressChar"/>
    <w:rsid w:val="00945FB2"/>
    <w:pPr>
      <w:spacing w:line="360" w:lineRule="auto"/>
      <w:jc w:val="both"/>
    </w:pPr>
    <w:rPr>
      <w:i/>
      <w:iCs/>
      <w:lang w:val="en-GB"/>
    </w:rPr>
  </w:style>
  <w:style w:type="character" w:customStyle="1" w:styleId="HTMLAddressChar">
    <w:name w:val="HTML Address Char"/>
    <w:basedOn w:val="DefaultParagraphFont"/>
    <w:link w:val="HTMLAddress"/>
    <w:rsid w:val="00945FB2"/>
    <w:rPr>
      <w:rFonts w:ascii="Times New Roman" w:eastAsia="Times New Roman" w:hAnsi="Times New Roman" w:cs="Times New Roman"/>
      <w:i/>
      <w:iCs/>
      <w:sz w:val="24"/>
      <w:szCs w:val="24"/>
    </w:rPr>
  </w:style>
  <w:style w:type="paragraph" w:styleId="HTMLPreformatted">
    <w:name w:val="HTML Preformatted"/>
    <w:basedOn w:val="Normal"/>
    <w:link w:val="HTMLPreformattedChar"/>
    <w:rsid w:val="00945FB2"/>
    <w:pPr>
      <w:spacing w:line="360" w:lineRule="auto"/>
      <w:jc w:val="both"/>
    </w:pPr>
    <w:rPr>
      <w:rFonts w:ascii="Courier New" w:hAnsi="Courier New" w:cs="Courier New"/>
      <w:sz w:val="20"/>
      <w:szCs w:val="20"/>
      <w:lang w:val="en-GB"/>
    </w:rPr>
  </w:style>
  <w:style w:type="character" w:customStyle="1" w:styleId="HTMLPreformattedChar">
    <w:name w:val="HTML Preformatted Char"/>
    <w:basedOn w:val="DefaultParagraphFont"/>
    <w:link w:val="HTMLPreformatted"/>
    <w:rsid w:val="00945FB2"/>
    <w:rPr>
      <w:rFonts w:ascii="Courier New" w:eastAsia="Times New Roman" w:hAnsi="Courier New" w:cs="Courier New"/>
    </w:rPr>
  </w:style>
  <w:style w:type="paragraph" w:styleId="Index1">
    <w:name w:val="index 1"/>
    <w:basedOn w:val="Normal"/>
    <w:next w:val="Normal"/>
    <w:autoRedefine/>
    <w:semiHidden/>
    <w:rsid w:val="00945FB2"/>
    <w:pPr>
      <w:spacing w:line="360" w:lineRule="auto"/>
      <w:ind w:left="240" w:hanging="240"/>
      <w:jc w:val="both"/>
    </w:pPr>
    <w:rPr>
      <w:lang w:val="en-GB"/>
    </w:rPr>
  </w:style>
  <w:style w:type="paragraph" w:styleId="Index2">
    <w:name w:val="index 2"/>
    <w:basedOn w:val="Normal"/>
    <w:next w:val="Normal"/>
    <w:autoRedefine/>
    <w:semiHidden/>
    <w:rsid w:val="00945FB2"/>
    <w:pPr>
      <w:spacing w:line="360" w:lineRule="auto"/>
      <w:ind w:left="480" w:hanging="240"/>
      <w:jc w:val="both"/>
    </w:pPr>
    <w:rPr>
      <w:lang w:val="en-GB"/>
    </w:rPr>
  </w:style>
  <w:style w:type="paragraph" w:styleId="Index3">
    <w:name w:val="index 3"/>
    <w:basedOn w:val="Normal"/>
    <w:next w:val="Normal"/>
    <w:autoRedefine/>
    <w:semiHidden/>
    <w:rsid w:val="00945FB2"/>
    <w:pPr>
      <w:spacing w:line="360" w:lineRule="auto"/>
      <w:ind w:left="720" w:hanging="240"/>
      <w:jc w:val="both"/>
    </w:pPr>
    <w:rPr>
      <w:lang w:val="en-GB"/>
    </w:rPr>
  </w:style>
  <w:style w:type="paragraph" w:styleId="Index4">
    <w:name w:val="index 4"/>
    <w:basedOn w:val="Normal"/>
    <w:next w:val="Normal"/>
    <w:autoRedefine/>
    <w:semiHidden/>
    <w:rsid w:val="00945FB2"/>
    <w:pPr>
      <w:spacing w:line="360" w:lineRule="auto"/>
      <w:ind w:left="960" w:hanging="240"/>
      <w:jc w:val="both"/>
    </w:pPr>
    <w:rPr>
      <w:lang w:val="en-GB"/>
    </w:rPr>
  </w:style>
  <w:style w:type="paragraph" w:styleId="Index5">
    <w:name w:val="index 5"/>
    <w:basedOn w:val="Normal"/>
    <w:next w:val="Normal"/>
    <w:autoRedefine/>
    <w:semiHidden/>
    <w:rsid w:val="00945FB2"/>
    <w:pPr>
      <w:spacing w:line="360" w:lineRule="auto"/>
      <w:ind w:left="1200" w:hanging="240"/>
      <w:jc w:val="both"/>
    </w:pPr>
    <w:rPr>
      <w:lang w:val="en-GB"/>
    </w:rPr>
  </w:style>
  <w:style w:type="paragraph" w:styleId="Index6">
    <w:name w:val="index 6"/>
    <w:basedOn w:val="Normal"/>
    <w:next w:val="Normal"/>
    <w:autoRedefine/>
    <w:semiHidden/>
    <w:rsid w:val="00945FB2"/>
    <w:pPr>
      <w:spacing w:line="360" w:lineRule="auto"/>
      <w:ind w:left="1440" w:hanging="240"/>
      <w:jc w:val="both"/>
    </w:pPr>
    <w:rPr>
      <w:lang w:val="en-GB"/>
    </w:rPr>
  </w:style>
  <w:style w:type="paragraph" w:styleId="Index7">
    <w:name w:val="index 7"/>
    <w:basedOn w:val="Normal"/>
    <w:next w:val="Normal"/>
    <w:autoRedefine/>
    <w:semiHidden/>
    <w:rsid w:val="00945FB2"/>
    <w:pPr>
      <w:spacing w:line="360" w:lineRule="auto"/>
      <w:ind w:left="1680" w:hanging="240"/>
      <w:jc w:val="both"/>
    </w:pPr>
    <w:rPr>
      <w:lang w:val="en-GB"/>
    </w:rPr>
  </w:style>
  <w:style w:type="paragraph" w:styleId="Index8">
    <w:name w:val="index 8"/>
    <w:basedOn w:val="Normal"/>
    <w:next w:val="Normal"/>
    <w:autoRedefine/>
    <w:semiHidden/>
    <w:rsid w:val="00945FB2"/>
    <w:pPr>
      <w:spacing w:line="360" w:lineRule="auto"/>
      <w:ind w:left="1920" w:hanging="240"/>
      <w:jc w:val="both"/>
    </w:pPr>
    <w:rPr>
      <w:lang w:val="en-GB"/>
    </w:rPr>
  </w:style>
  <w:style w:type="paragraph" w:styleId="Index9">
    <w:name w:val="index 9"/>
    <w:basedOn w:val="Normal"/>
    <w:next w:val="Normal"/>
    <w:autoRedefine/>
    <w:semiHidden/>
    <w:rsid w:val="00945FB2"/>
    <w:pPr>
      <w:spacing w:line="360" w:lineRule="auto"/>
      <w:ind w:left="2160" w:hanging="240"/>
      <w:jc w:val="both"/>
    </w:pPr>
    <w:rPr>
      <w:lang w:val="en-GB"/>
    </w:rPr>
  </w:style>
  <w:style w:type="paragraph" w:styleId="IndexHeading">
    <w:name w:val="index heading"/>
    <w:basedOn w:val="Normal"/>
    <w:next w:val="Index1"/>
    <w:semiHidden/>
    <w:rsid w:val="00945FB2"/>
    <w:pPr>
      <w:spacing w:line="360" w:lineRule="auto"/>
      <w:jc w:val="both"/>
    </w:pPr>
    <w:rPr>
      <w:rFonts w:ascii="Arial" w:hAnsi="Arial" w:cs="Arial"/>
      <w:b/>
      <w:bCs/>
      <w:lang w:val="en-GB"/>
    </w:rPr>
  </w:style>
  <w:style w:type="paragraph" w:styleId="List">
    <w:name w:val="List"/>
    <w:basedOn w:val="Normal"/>
    <w:rsid w:val="00945FB2"/>
    <w:pPr>
      <w:spacing w:line="360" w:lineRule="auto"/>
      <w:ind w:left="283" w:hanging="283"/>
      <w:jc w:val="both"/>
    </w:pPr>
    <w:rPr>
      <w:lang w:val="en-GB"/>
    </w:rPr>
  </w:style>
  <w:style w:type="paragraph" w:styleId="List2">
    <w:name w:val="List 2"/>
    <w:basedOn w:val="Normal"/>
    <w:rsid w:val="00945FB2"/>
    <w:pPr>
      <w:spacing w:line="360" w:lineRule="auto"/>
      <w:ind w:left="566" w:hanging="283"/>
      <w:jc w:val="both"/>
    </w:pPr>
    <w:rPr>
      <w:lang w:val="en-GB"/>
    </w:rPr>
  </w:style>
  <w:style w:type="paragraph" w:styleId="List3">
    <w:name w:val="List 3"/>
    <w:basedOn w:val="Normal"/>
    <w:rsid w:val="00945FB2"/>
    <w:pPr>
      <w:spacing w:line="360" w:lineRule="auto"/>
      <w:ind w:left="849" w:hanging="283"/>
      <w:jc w:val="both"/>
    </w:pPr>
    <w:rPr>
      <w:lang w:val="en-GB"/>
    </w:rPr>
  </w:style>
  <w:style w:type="paragraph" w:styleId="List4">
    <w:name w:val="List 4"/>
    <w:basedOn w:val="Normal"/>
    <w:rsid w:val="00945FB2"/>
    <w:pPr>
      <w:spacing w:line="360" w:lineRule="auto"/>
      <w:ind w:left="1132" w:hanging="283"/>
      <w:jc w:val="both"/>
    </w:pPr>
    <w:rPr>
      <w:lang w:val="en-GB"/>
    </w:rPr>
  </w:style>
  <w:style w:type="paragraph" w:styleId="List5">
    <w:name w:val="List 5"/>
    <w:basedOn w:val="Normal"/>
    <w:rsid w:val="00945FB2"/>
    <w:pPr>
      <w:spacing w:line="360" w:lineRule="auto"/>
      <w:ind w:left="1415" w:hanging="283"/>
      <w:jc w:val="both"/>
    </w:pPr>
    <w:rPr>
      <w:lang w:val="en-GB"/>
    </w:rPr>
  </w:style>
  <w:style w:type="paragraph" w:styleId="ListBullet">
    <w:name w:val="List Bullet"/>
    <w:basedOn w:val="Normal"/>
    <w:rsid w:val="00945FB2"/>
    <w:pPr>
      <w:numPr>
        <w:numId w:val="12"/>
      </w:numPr>
      <w:spacing w:line="360" w:lineRule="auto"/>
      <w:jc w:val="both"/>
    </w:pPr>
    <w:rPr>
      <w:lang w:val="en-GB"/>
    </w:rPr>
  </w:style>
  <w:style w:type="paragraph" w:styleId="ListBullet2">
    <w:name w:val="List Bullet 2"/>
    <w:basedOn w:val="Normal"/>
    <w:rsid w:val="00945FB2"/>
    <w:pPr>
      <w:numPr>
        <w:numId w:val="11"/>
      </w:numPr>
      <w:spacing w:line="360" w:lineRule="auto"/>
      <w:jc w:val="both"/>
    </w:pPr>
    <w:rPr>
      <w:lang w:val="en-GB"/>
    </w:rPr>
  </w:style>
  <w:style w:type="paragraph" w:styleId="ListBullet3">
    <w:name w:val="List Bullet 3"/>
    <w:basedOn w:val="Normal"/>
    <w:rsid w:val="00945FB2"/>
    <w:pPr>
      <w:numPr>
        <w:numId w:val="10"/>
      </w:numPr>
      <w:spacing w:line="360" w:lineRule="auto"/>
      <w:jc w:val="both"/>
    </w:pPr>
    <w:rPr>
      <w:lang w:val="en-GB"/>
    </w:rPr>
  </w:style>
  <w:style w:type="paragraph" w:styleId="ListBullet4">
    <w:name w:val="List Bullet 4"/>
    <w:basedOn w:val="Normal"/>
    <w:rsid w:val="00945FB2"/>
    <w:pPr>
      <w:numPr>
        <w:numId w:val="9"/>
      </w:numPr>
      <w:spacing w:line="360" w:lineRule="auto"/>
      <w:jc w:val="both"/>
    </w:pPr>
    <w:rPr>
      <w:lang w:val="en-GB"/>
    </w:rPr>
  </w:style>
  <w:style w:type="paragraph" w:styleId="ListBullet5">
    <w:name w:val="List Bullet 5"/>
    <w:basedOn w:val="Normal"/>
    <w:rsid w:val="00945FB2"/>
    <w:pPr>
      <w:numPr>
        <w:numId w:val="8"/>
      </w:numPr>
      <w:spacing w:line="360" w:lineRule="auto"/>
      <w:jc w:val="both"/>
    </w:pPr>
    <w:rPr>
      <w:lang w:val="en-GB"/>
    </w:rPr>
  </w:style>
  <w:style w:type="paragraph" w:styleId="ListContinue">
    <w:name w:val="List Continue"/>
    <w:basedOn w:val="Normal"/>
    <w:rsid w:val="00945FB2"/>
    <w:pPr>
      <w:spacing w:after="120" w:line="360" w:lineRule="auto"/>
      <w:ind w:left="283"/>
      <w:jc w:val="both"/>
    </w:pPr>
    <w:rPr>
      <w:lang w:val="en-GB"/>
    </w:rPr>
  </w:style>
  <w:style w:type="paragraph" w:styleId="ListContinue2">
    <w:name w:val="List Continue 2"/>
    <w:basedOn w:val="Normal"/>
    <w:rsid w:val="00945FB2"/>
    <w:pPr>
      <w:spacing w:after="120" w:line="360" w:lineRule="auto"/>
      <w:ind w:left="566"/>
      <w:jc w:val="both"/>
    </w:pPr>
    <w:rPr>
      <w:lang w:val="en-GB"/>
    </w:rPr>
  </w:style>
  <w:style w:type="paragraph" w:styleId="ListContinue3">
    <w:name w:val="List Continue 3"/>
    <w:basedOn w:val="Normal"/>
    <w:rsid w:val="00945FB2"/>
    <w:pPr>
      <w:spacing w:after="120" w:line="360" w:lineRule="auto"/>
      <w:ind w:left="849"/>
      <w:jc w:val="both"/>
    </w:pPr>
    <w:rPr>
      <w:lang w:val="en-GB"/>
    </w:rPr>
  </w:style>
  <w:style w:type="paragraph" w:styleId="ListContinue4">
    <w:name w:val="List Continue 4"/>
    <w:basedOn w:val="Normal"/>
    <w:rsid w:val="00945FB2"/>
    <w:pPr>
      <w:spacing w:after="120" w:line="360" w:lineRule="auto"/>
      <w:ind w:left="1132"/>
      <w:jc w:val="both"/>
    </w:pPr>
    <w:rPr>
      <w:lang w:val="en-GB"/>
    </w:rPr>
  </w:style>
  <w:style w:type="paragraph" w:styleId="ListContinue5">
    <w:name w:val="List Continue 5"/>
    <w:basedOn w:val="Normal"/>
    <w:rsid w:val="00945FB2"/>
    <w:pPr>
      <w:spacing w:after="120" w:line="360" w:lineRule="auto"/>
      <w:ind w:left="1415"/>
      <w:jc w:val="both"/>
    </w:pPr>
    <w:rPr>
      <w:lang w:val="en-GB"/>
    </w:rPr>
  </w:style>
  <w:style w:type="paragraph" w:styleId="ListNumber">
    <w:name w:val="List Number"/>
    <w:basedOn w:val="Normal"/>
    <w:rsid w:val="00945FB2"/>
    <w:pPr>
      <w:numPr>
        <w:numId w:val="7"/>
      </w:numPr>
      <w:spacing w:line="360" w:lineRule="auto"/>
      <w:jc w:val="both"/>
    </w:pPr>
    <w:rPr>
      <w:lang w:val="en-GB"/>
    </w:rPr>
  </w:style>
  <w:style w:type="paragraph" w:styleId="ListNumber2">
    <w:name w:val="List Number 2"/>
    <w:basedOn w:val="Normal"/>
    <w:rsid w:val="00945FB2"/>
    <w:pPr>
      <w:numPr>
        <w:numId w:val="6"/>
      </w:numPr>
      <w:spacing w:line="360" w:lineRule="auto"/>
      <w:jc w:val="both"/>
    </w:pPr>
    <w:rPr>
      <w:lang w:val="en-GB"/>
    </w:rPr>
  </w:style>
  <w:style w:type="paragraph" w:styleId="ListNumber3">
    <w:name w:val="List Number 3"/>
    <w:basedOn w:val="Normal"/>
    <w:rsid w:val="00945FB2"/>
    <w:pPr>
      <w:numPr>
        <w:numId w:val="5"/>
      </w:numPr>
      <w:spacing w:line="360" w:lineRule="auto"/>
      <w:jc w:val="both"/>
    </w:pPr>
    <w:rPr>
      <w:lang w:val="en-GB"/>
    </w:rPr>
  </w:style>
  <w:style w:type="paragraph" w:styleId="ListNumber4">
    <w:name w:val="List Number 4"/>
    <w:basedOn w:val="Normal"/>
    <w:rsid w:val="00945FB2"/>
    <w:pPr>
      <w:numPr>
        <w:numId w:val="4"/>
      </w:numPr>
      <w:spacing w:line="360" w:lineRule="auto"/>
      <w:jc w:val="both"/>
    </w:pPr>
    <w:rPr>
      <w:lang w:val="en-GB"/>
    </w:rPr>
  </w:style>
  <w:style w:type="paragraph" w:styleId="ListNumber5">
    <w:name w:val="List Number 5"/>
    <w:basedOn w:val="Normal"/>
    <w:rsid w:val="00945FB2"/>
    <w:pPr>
      <w:numPr>
        <w:numId w:val="3"/>
      </w:numPr>
      <w:spacing w:line="360" w:lineRule="auto"/>
      <w:jc w:val="both"/>
    </w:pPr>
    <w:rPr>
      <w:lang w:val="en-GB"/>
    </w:rPr>
  </w:style>
  <w:style w:type="paragraph" w:styleId="MacroText">
    <w:name w:val="macro"/>
    <w:link w:val="MacroTextChar"/>
    <w:semiHidden/>
    <w:rsid w:val="00945FB2"/>
    <w:pPr>
      <w:tabs>
        <w:tab w:val="left" w:pos="480"/>
        <w:tab w:val="left" w:pos="960"/>
        <w:tab w:val="left" w:pos="1440"/>
        <w:tab w:val="left" w:pos="1920"/>
        <w:tab w:val="left" w:pos="2400"/>
        <w:tab w:val="left" w:pos="2880"/>
        <w:tab w:val="left" w:pos="3360"/>
        <w:tab w:val="left" w:pos="3840"/>
        <w:tab w:val="left" w:pos="4320"/>
      </w:tabs>
      <w:spacing w:line="360" w:lineRule="auto"/>
      <w:jc w:val="both"/>
    </w:pPr>
    <w:rPr>
      <w:rFonts w:ascii="Courier New" w:eastAsia="Times New Roman" w:hAnsi="Courier New" w:cs="Courier New"/>
    </w:rPr>
  </w:style>
  <w:style w:type="character" w:customStyle="1" w:styleId="MacroTextChar">
    <w:name w:val="Macro Text Char"/>
    <w:basedOn w:val="DefaultParagraphFont"/>
    <w:link w:val="MacroText"/>
    <w:semiHidden/>
    <w:rsid w:val="00945FB2"/>
    <w:rPr>
      <w:rFonts w:ascii="Courier New" w:eastAsia="Times New Roman" w:hAnsi="Courier New" w:cs="Courier New"/>
    </w:rPr>
  </w:style>
  <w:style w:type="paragraph" w:styleId="MessageHeader">
    <w:name w:val="Message Header"/>
    <w:basedOn w:val="Normal"/>
    <w:link w:val="MessageHeaderChar"/>
    <w:rsid w:val="00945FB2"/>
    <w:pPr>
      <w:pBdr>
        <w:top w:val="single" w:sz="6" w:space="1" w:color="auto"/>
        <w:left w:val="single" w:sz="6" w:space="1" w:color="auto"/>
        <w:bottom w:val="single" w:sz="6" w:space="1" w:color="auto"/>
        <w:right w:val="single" w:sz="6" w:space="1" w:color="auto"/>
      </w:pBdr>
      <w:shd w:val="pct20" w:color="auto" w:fill="auto"/>
      <w:spacing w:line="360" w:lineRule="auto"/>
      <w:ind w:left="1134" w:hanging="1134"/>
      <w:jc w:val="both"/>
    </w:pPr>
    <w:rPr>
      <w:rFonts w:ascii="Arial" w:hAnsi="Arial" w:cs="Arial"/>
      <w:lang w:val="en-GB"/>
    </w:rPr>
  </w:style>
  <w:style w:type="character" w:customStyle="1" w:styleId="MessageHeaderChar">
    <w:name w:val="Message Header Char"/>
    <w:basedOn w:val="DefaultParagraphFont"/>
    <w:link w:val="MessageHeader"/>
    <w:rsid w:val="00945FB2"/>
    <w:rPr>
      <w:rFonts w:ascii="Arial" w:eastAsia="Times New Roman" w:hAnsi="Arial" w:cs="Arial"/>
      <w:sz w:val="24"/>
      <w:szCs w:val="24"/>
      <w:shd w:val="pct20" w:color="auto" w:fill="auto"/>
    </w:rPr>
  </w:style>
  <w:style w:type="paragraph" w:styleId="NormalWeb">
    <w:name w:val="Normal (Web)"/>
    <w:basedOn w:val="Normal"/>
    <w:rsid w:val="00945FB2"/>
    <w:pPr>
      <w:spacing w:line="360" w:lineRule="auto"/>
      <w:jc w:val="both"/>
    </w:pPr>
    <w:rPr>
      <w:lang w:val="en-GB"/>
    </w:rPr>
  </w:style>
  <w:style w:type="paragraph" w:styleId="NormalIndent">
    <w:name w:val="Normal Indent"/>
    <w:basedOn w:val="Normal"/>
    <w:rsid w:val="00945FB2"/>
    <w:pPr>
      <w:spacing w:line="360" w:lineRule="auto"/>
      <w:ind w:left="720"/>
      <w:jc w:val="both"/>
    </w:pPr>
    <w:rPr>
      <w:lang w:val="en-GB"/>
    </w:rPr>
  </w:style>
  <w:style w:type="paragraph" w:styleId="NoteHeading">
    <w:name w:val="Note Heading"/>
    <w:basedOn w:val="Normal"/>
    <w:next w:val="Normal"/>
    <w:link w:val="NoteHeadingChar"/>
    <w:rsid w:val="00945FB2"/>
    <w:pPr>
      <w:spacing w:line="360" w:lineRule="auto"/>
      <w:jc w:val="both"/>
    </w:pPr>
    <w:rPr>
      <w:lang w:val="en-GB"/>
    </w:rPr>
  </w:style>
  <w:style w:type="character" w:customStyle="1" w:styleId="NoteHeadingChar">
    <w:name w:val="Note Heading Char"/>
    <w:basedOn w:val="DefaultParagraphFont"/>
    <w:link w:val="NoteHeading"/>
    <w:rsid w:val="00945FB2"/>
    <w:rPr>
      <w:rFonts w:ascii="Times New Roman" w:eastAsia="Times New Roman" w:hAnsi="Times New Roman" w:cs="Times New Roman"/>
      <w:sz w:val="24"/>
      <w:szCs w:val="24"/>
    </w:rPr>
  </w:style>
  <w:style w:type="paragraph" w:styleId="PlainText">
    <w:name w:val="Plain Text"/>
    <w:basedOn w:val="Normal"/>
    <w:link w:val="PlainTextChar"/>
    <w:rsid w:val="00945FB2"/>
    <w:pPr>
      <w:spacing w:line="360" w:lineRule="auto"/>
      <w:jc w:val="both"/>
    </w:pPr>
    <w:rPr>
      <w:rFonts w:ascii="Courier New" w:hAnsi="Courier New" w:cs="Courier New"/>
      <w:sz w:val="20"/>
      <w:szCs w:val="20"/>
      <w:lang w:val="en-GB"/>
    </w:rPr>
  </w:style>
  <w:style w:type="character" w:customStyle="1" w:styleId="PlainTextChar">
    <w:name w:val="Plain Text Char"/>
    <w:basedOn w:val="DefaultParagraphFont"/>
    <w:link w:val="PlainText"/>
    <w:rsid w:val="00945FB2"/>
    <w:rPr>
      <w:rFonts w:ascii="Courier New" w:eastAsia="Times New Roman" w:hAnsi="Courier New" w:cs="Courier New"/>
    </w:rPr>
  </w:style>
  <w:style w:type="paragraph" w:styleId="Salutation">
    <w:name w:val="Salutation"/>
    <w:basedOn w:val="Normal"/>
    <w:next w:val="Normal"/>
    <w:link w:val="SalutationChar"/>
    <w:rsid w:val="00945FB2"/>
    <w:pPr>
      <w:spacing w:line="360" w:lineRule="auto"/>
      <w:jc w:val="both"/>
    </w:pPr>
    <w:rPr>
      <w:lang w:val="en-GB"/>
    </w:rPr>
  </w:style>
  <w:style w:type="character" w:customStyle="1" w:styleId="SalutationChar">
    <w:name w:val="Salutation Char"/>
    <w:basedOn w:val="DefaultParagraphFont"/>
    <w:link w:val="Salutation"/>
    <w:rsid w:val="00945FB2"/>
    <w:rPr>
      <w:rFonts w:ascii="Times New Roman" w:eastAsia="Times New Roman" w:hAnsi="Times New Roman" w:cs="Times New Roman"/>
      <w:sz w:val="24"/>
      <w:szCs w:val="24"/>
    </w:rPr>
  </w:style>
  <w:style w:type="paragraph" w:styleId="Signature">
    <w:name w:val="Signature"/>
    <w:basedOn w:val="Normal"/>
    <w:link w:val="SignatureChar"/>
    <w:rsid w:val="00945FB2"/>
    <w:pPr>
      <w:spacing w:line="360" w:lineRule="auto"/>
      <w:ind w:left="4252"/>
      <w:jc w:val="both"/>
    </w:pPr>
    <w:rPr>
      <w:lang w:val="en-GB"/>
    </w:rPr>
  </w:style>
  <w:style w:type="character" w:customStyle="1" w:styleId="SignatureChar">
    <w:name w:val="Signature Char"/>
    <w:basedOn w:val="DefaultParagraphFont"/>
    <w:link w:val="Signature"/>
    <w:rsid w:val="00945FB2"/>
    <w:rPr>
      <w:rFonts w:ascii="Times New Roman" w:eastAsia="Times New Roman" w:hAnsi="Times New Roman" w:cs="Times New Roman"/>
      <w:sz w:val="24"/>
      <w:szCs w:val="24"/>
    </w:rPr>
  </w:style>
  <w:style w:type="paragraph" w:styleId="Subtitle">
    <w:name w:val="Subtitle"/>
    <w:basedOn w:val="Normal"/>
    <w:link w:val="SubtitleChar"/>
    <w:qFormat/>
    <w:rsid w:val="00945FB2"/>
    <w:pPr>
      <w:spacing w:after="60" w:line="360" w:lineRule="auto"/>
      <w:jc w:val="center"/>
      <w:outlineLvl w:val="1"/>
    </w:pPr>
    <w:rPr>
      <w:rFonts w:ascii="Arial" w:hAnsi="Arial" w:cs="Arial"/>
      <w:lang w:val="en-GB"/>
    </w:rPr>
  </w:style>
  <w:style w:type="character" w:customStyle="1" w:styleId="SubtitleChar">
    <w:name w:val="Subtitle Char"/>
    <w:basedOn w:val="DefaultParagraphFont"/>
    <w:link w:val="Subtitle"/>
    <w:rsid w:val="00945FB2"/>
    <w:rPr>
      <w:rFonts w:ascii="Arial" w:eastAsia="Times New Roman" w:hAnsi="Arial" w:cs="Arial"/>
      <w:sz w:val="24"/>
      <w:szCs w:val="24"/>
    </w:rPr>
  </w:style>
  <w:style w:type="paragraph" w:styleId="TableofAuthorities">
    <w:name w:val="table of authorities"/>
    <w:basedOn w:val="Normal"/>
    <w:next w:val="Normal"/>
    <w:semiHidden/>
    <w:rsid w:val="00945FB2"/>
    <w:pPr>
      <w:spacing w:line="360" w:lineRule="auto"/>
      <w:ind w:left="240" w:hanging="240"/>
      <w:jc w:val="both"/>
    </w:pPr>
    <w:rPr>
      <w:lang w:val="en-GB"/>
    </w:rPr>
  </w:style>
  <w:style w:type="paragraph" w:styleId="Title">
    <w:name w:val="Title"/>
    <w:basedOn w:val="Normal"/>
    <w:link w:val="TitleChar"/>
    <w:qFormat/>
    <w:rsid w:val="00945FB2"/>
    <w:pPr>
      <w:spacing w:before="240" w:after="60" w:line="360" w:lineRule="auto"/>
      <w:jc w:val="center"/>
      <w:outlineLvl w:val="0"/>
    </w:pPr>
    <w:rPr>
      <w:rFonts w:ascii="Arial" w:hAnsi="Arial" w:cs="Arial"/>
      <w:b/>
      <w:bCs/>
      <w:kern w:val="28"/>
      <w:sz w:val="32"/>
      <w:szCs w:val="32"/>
      <w:lang w:val="en-GB"/>
    </w:rPr>
  </w:style>
  <w:style w:type="character" w:customStyle="1" w:styleId="TitleChar">
    <w:name w:val="Title Char"/>
    <w:basedOn w:val="DefaultParagraphFont"/>
    <w:link w:val="Title"/>
    <w:rsid w:val="00945FB2"/>
    <w:rPr>
      <w:rFonts w:ascii="Arial" w:eastAsia="Times New Roman" w:hAnsi="Arial" w:cs="Arial"/>
      <w:b/>
      <w:bCs/>
      <w:kern w:val="28"/>
      <w:sz w:val="32"/>
      <w:szCs w:val="32"/>
    </w:rPr>
  </w:style>
  <w:style w:type="paragraph" w:styleId="TOAHeading">
    <w:name w:val="toa heading"/>
    <w:basedOn w:val="Normal"/>
    <w:next w:val="Normal"/>
    <w:semiHidden/>
    <w:rsid w:val="00945FB2"/>
    <w:pPr>
      <w:spacing w:before="120" w:line="360" w:lineRule="auto"/>
      <w:jc w:val="both"/>
    </w:pPr>
    <w:rPr>
      <w:rFonts w:ascii="Arial" w:hAnsi="Arial" w:cs="Arial"/>
      <w:b/>
      <w:bCs/>
      <w:lang w:val="en-GB"/>
    </w:rPr>
  </w:style>
  <w:style w:type="table" w:styleId="TableGrid2">
    <w:name w:val="Table Grid 2"/>
    <w:basedOn w:val="TableNormal"/>
    <w:rsid w:val="00945FB2"/>
    <w:pPr>
      <w:jc w:val="center"/>
    </w:pPr>
    <w:rPr>
      <w:rFonts w:ascii="Times New Roman" w:eastAsia="SimSu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pPr>
        <w:jc w:val="center"/>
      </w:pPr>
      <w:rPr>
        <w:b/>
        <w:bCs/>
      </w:r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Simple1">
    <w:name w:val="Table Simple 1"/>
    <w:basedOn w:val="TableNormal"/>
    <w:rsid w:val="00945FB2"/>
    <w:rPr>
      <w:rFonts w:ascii="Times New Roman" w:eastAsia="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CharChar">
    <w:name w:val="Char Char"/>
    <w:basedOn w:val="DefaultParagraphFont"/>
    <w:rsid w:val="00945FB2"/>
    <w:rPr>
      <w:b/>
      <w:bCs/>
      <w:lang w:val="es-ES" w:eastAsia="es-ES" w:bidi="ar-SA"/>
    </w:rPr>
  </w:style>
  <w:style w:type="paragraph" w:customStyle="1" w:styleId="Heading41">
    <w:name w:val="Heading 41"/>
    <w:basedOn w:val="Normal"/>
    <w:rsid w:val="00945FB2"/>
    <w:pPr>
      <w:spacing w:line="360" w:lineRule="auto"/>
    </w:pPr>
    <w:rPr>
      <w:i/>
      <w:lang w:val="en-GB" w:eastAsia="es-ES"/>
    </w:rPr>
  </w:style>
  <w:style w:type="paragraph" w:customStyle="1" w:styleId="NormalJustified">
    <w:name w:val="Normal + Justified"/>
    <w:aliases w:val="Line spacing:  Double"/>
    <w:basedOn w:val="Normal"/>
    <w:rsid w:val="00945FB2"/>
    <w:pPr>
      <w:spacing w:line="480" w:lineRule="auto"/>
      <w:jc w:val="both"/>
    </w:pPr>
  </w:style>
  <w:style w:type="paragraph" w:styleId="ListParagraph">
    <w:name w:val="List Paragraph"/>
    <w:basedOn w:val="Normal"/>
    <w:uiPriority w:val="34"/>
    <w:qFormat/>
    <w:rsid w:val="005E29B6"/>
    <w:pPr>
      <w:ind w:left="720"/>
      <w:contextualSpacing/>
    </w:pPr>
  </w:style>
  <w:style w:type="paragraph" w:styleId="Revision">
    <w:name w:val="Revision"/>
    <w:hidden/>
    <w:uiPriority w:val="99"/>
    <w:semiHidden/>
    <w:rsid w:val="00945AEB"/>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ne number" w:uiPriority="99"/>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HTML Acronym" w:uiPriority="99"/>
    <w:lsdException w:name="HTML Cite" w:uiPriority="99"/>
    <w:lsdException w:name="HTML Code" w:uiPriority="99"/>
    <w:lsdException w:name="HTML Definition" w:uiPriority="99"/>
    <w:lsdException w:name="HTML Keyboar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FB2"/>
    <w:rPr>
      <w:rFonts w:ascii="Times New Roman" w:eastAsia="Times New Roman" w:hAnsi="Times New Roman" w:cs="Times New Roman"/>
      <w:sz w:val="24"/>
      <w:szCs w:val="24"/>
      <w:lang w:val="en-US"/>
    </w:rPr>
  </w:style>
  <w:style w:type="paragraph" w:styleId="Heading1">
    <w:name w:val="heading 1"/>
    <w:basedOn w:val="Normal"/>
    <w:next w:val="Normal"/>
    <w:link w:val="Heading1Char"/>
    <w:autoRedefine/>
    <w:qFormat/>
    <w:rsid w:val="00945FB2"/>
    <w:pPr>
      <w:keepNext/>
      <w:numPr>
        <w:numId w:val="2"/>
      </w:numPr>
      <w:spacing w:before="840" w:after="240" w:line="360" w:lineRule="auto"/>
      <w:jc w:val="center"/>
      <w:outlineLvl w:val="0"/>
    </w:pPr>
    <w:rPr>
      <w:b/>
      <w:bCs/>
      <w:kern w:val="32"/>
      <w:sz w:val="32"/>
      <w:szCs w:val="36"/>
      <w:lang w:val="en-GB"/>
    </w:rPr>
  </w:style>
  <w:style w:type="paragraph" w:styleId="Heading2">
    <w:name w:val="heading 2"/>
    <w:basedOn w:val="Normal"/>
    <w:next w:val="Normal"/>
    <w:link w:val="Heading2Char"/>
    <w:qFormat/>
    <w:rsid w:val="00945FB2"/>
    <w:pPr>
      <w:keepNext/>
      <w:numPr>
        <w:ilvl w:val="1"/>
        <w:numId w:val="2"/>
      </w:numPr>
      <w:spacing w:before="480" w:after="240" w:line="360" w:lineRule="auto"/>
      <w:jc w:val="center"/>
      <w:outlineLvl w:val="1"/>
    </w:pPr>
    <w:rPr>
      <w:rFonts w:cs="Arial"/>
      <w:b/>
      <w:bCs/>
      <w:i/>
      <w:iCs/>
      <w:sz w:val="28"/>
      <w:szCs w:val="28"/>
      <w:lang w:val="en-GB"/>
    </w:rPr>
  </w:style>
  <w:style w:type="paragraph" w:styleId="Heading3">
    <w:name w:val="heading 3"/>
    <w:basedOn w:val="Normal"/>
    <w:next w:val="Normal"/>
    <w:link w:val="Heading3Char"/>
    <w:autoRedefine/>
    <w:qFormat/>
    <w:rsid w:val="00945FB2"/>
    <w:pPr>
      <w:keepNext/>
      <w:numPr>
        <w:ilvl w:val="2"/>
        <w:numId w:val="2"/>
      </w:numPr>
      <w:tabs>
        <w:tab w:val="left" w:pos="794"/>
      </w:tabs>
      <w:spacing w:before="480" w:after="480" w:line="360" w:lineRule="auto"/>
      <w:jc w:val="both"/>
      <w:outlineLvl w:val="2"/>
    </w:pPr>
    <w:rPr>
      <w:b/>
      <w:bCs/>
      <w:u w:val="single"/>
      <w:lang w:val="en-GB"/>
    </w:rPr>
  </w:style>
  <w:style w:type="paragraph" w:styleId="Heading4">
    <w:name w:val="heading 4"/>
    <w:basedOn w:val="Normal"/>
    <w:next w:val="Normal"/>
    <w:link w:val="Heading4Char"/>
    <w:autoRedefine/>
    <w:qFormat/>
    <w:rsid w:val="00945FB2"/>
    <w:pPr>
      <w:keepNext/>
      <w:numPr>
        <w:ilvl w:val="3"/>
        <w:numId w:val="2"/>
      </w:numPr>
      <w:spacing w:before="240" w:after="360" w:line="360" w:lineRule="auto"/>
      <w:jc w:val="both"/>
      <w:outlineLvl w:val="3"/>
    </w:pPr>
    <w:rPr>
      <w:i/>
      <w:szCs w:val="28"/>
      <w:lang w:val="en-GB"/>
    </w:rPr>
  </w:style>
  <w:style w:type="paragraph" w:styleId="Heading5">
    <w:name w:val="heading 5"/>
    <w:basedOn w:val="Normal"/>
    <w:next w:val="Normal"/>
    <w:link w:val="Heading5Char"/>
    <w:qFormat/>
    <w:rsid w:val="00945FB2"/>
    <w:pPr>
      <w:numPr>
        <w:ilvl w:val="4"/>
        <w:numId w:val="2"/>
      </w:numPr>
      <w:spacing w:before="240" w:after="60" w:line="360" w:lineRule="auto"/>
      <w:jc w:val="both"/>
      <w:outlineLvl w:val="4"/>
    </w:pPr>
    <w:rPr>
      <w:b/>
      <w:bCs/>
      <w:i/>
      <w:iCs/>
      <w:sz w:val="26"/>
      <w:szCs w:val="26"/>
      <w:lang w:val="en-GB"/>
    </w:rPr>
  </w:style>
  <w:style w:type="paragraph" w:styleId="Heading6">
    <w:name w:val="heading 6"/>
    <w:basedOn w:val="Normal"/>
    <w:next w:val="Normal"/>
    <w:link w:val="Heading6Char"/>
    <w:qFormat/>
    <w:rsid w:val="00945FB2"/>
    <w:pPr>
      <w:numPr>
        <w:ilvl w:val="5"/>
        <w:numId w:val="2"/>
      </w:numPr>
      <w:spacing w:before="240" w:after="60" w:line="360" w:lineRule="auto"/>
      <w:jc w:val="both"/>
      <w:outlineLvl w:val="5"/>
    </w:pPr>
    <w:rPr>
      <w:b/>
      <w:bCs/>
      <w:sz w:val="22"/>
      <w:szCs w:val="22"/>
      <w:lang w:val="en-GB"/>
    </w:rPr>
  </w:style>
  <w:style w:type="paragraph" w:styleId="Heading7">
    <w:name w:val="heading 7"/>
    <w:basedOn w:val="Normal"/>
    <w:next w:val="Normal"/>
    <w:link w:val="Heading7Char"/>
    <w:qFormat/>
    <w:rsid w:val="00945FB2"/>
    <w:pPr>
      <w:numPr>
        <w:ilvl w:val="6"/>
        <w:numId w:val="2"/>
      </w:numPr>
      <w:spacing w:before="240" w:after="60" w:line="360" w:lineRule="auto"/>
      <w:jc w:val="both"/>
      <w:outlineLvl w:val="6"/>
    </w:pPr>
    <w:rPr>
      <w:lang w:val="en-GB"/>
    </w:rPr>
  </w:style>
  <w:style w:type="paragraph" w:styleId="Heading8">
    <w:name w:val="heading 8"/>
    <w:basedOn w:val="Normal"/>
    <w:next w:val="Normal"/>
    <w:link w:val="Heading8Char"/>
    <w:qFormat/>
    <w:rsid w:val="00945FB2"/>
    <w:pPr>
      <w:numPr>
        <w:ilvl w:val="7"/>
        <w:numId w:val="2"/>
      </w:numPr>
      <w:spacing w:before="240" w:after="60" w:line="360" w:lineRule="auto"/>
      <w:jc w:val="both"/>
      <w:outlineLvl w:val="7"/>
    </w:pPr>
    <w:rPr>
      <w:i/>
      <w:iCs/>
      <w:lang w:val="en-GB"/>
    </w:rPr>
  </w:style>
  <w:style w:type="paragraph" w:styleId="Heading9">
    <w:name w:val="heading 9"/>
    <w:basedOn w:val="Normal"/>
    <w:next w:val="Normal"/>
    <w:link w:val="Heading9Char"/>
    <w:qFormat/>
    <w:rsid w:val="00945FB2"/>
    <w:pPr>
      <w:numPr>
        <w:ilvl w:val="8"/>
        <w:numId w:val="2"/>
      </w:numPr>
      <w:spacing w:before="240" w:after="60" w:line="360" w:lineRule="auto"/>
      <w:jc w:val="both"/>
      <w:outlineLvl w:val="8"/>
    </w:pPr>
    <w:rPr>
      <w:rFonts w:cs="Arial"/>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5FB2"/>
    <w:rPr>
      <w:rFonts w:ascii="Times New Roman" w:eastAsia="Times New Roman" w:hAnsi="Times New Roman" w:cs="Times New Roman"/>
      <w:b/>
      <w:bCs/>
      <w:kern w:val="32"/>
      <w:sz w:val="32"/>
      <w:szCs w:val="36"/>
    </w:rPr>
  </w:style>
  <w:style w:type="character" w:customStyle="1" w:styleId="Heading2Char">
    <w:name w:val="Heading 2 Char"/>
    <w:basedOn w:val="DefaultParagraphFont"/>
    <w:link w:val="Heading2"/>
    <w:rsid w:val="00945FB2"/>
    <w:rPr>
      <w:rFonts w:ascii="Times New Roman" w:eastAsia="Times New Roman" w:hAnsi="Times New Roman" w:cs="Arial"/>
      <w:b/>
      <w:bCs/>
      <w:i/>
      <w:iCs/>
      <w:sz w:val="28"/>
      <w:szCs w:val="28"/>
    </w:rPr>
  </w:style>
  <w:style w:type="character" w:customStyle="1" w:styleId="Heading3Char">
    <w:name w:val="Heading 3 Char"/>
    <w:basedOn w:val="DefaultParagraphFont"/>
    <w:link w:val="Heading3"/>
    <w:rsid w:val="00945FB2"/>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945FB2"/>
    <w:rPr>
      <w:rFonts w:ascii="Times New Roman" w:eastAsia="Times New Roman" w:hAnsi="Times New Roman" w:cs="Times New Roman"/>
      <w:i/>
      <w:sz w:val="24"/>
      <w:szCs w:val="28"/>
    </w:rPr>
  </w:style>
  <w:style w:type="character" w:customStyle="1" w:styleId="Heading5Char">
    <w:name w:val="Heading 5 Char"/>
    <w:basedOn w:val="DefaultParagraphFont"/>
    <w:link w:val="Heading5"/>
    <w:rsid w:val="00945FB2"/>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945FB2"/>
    <w:rPr>
      <w:rFonts w:ascii="Times New Roman" w:eastAsia="Times New Roman" w:hAnsi="Times New Roman" w:cs="Times New Roman"/>
      <w:b/>
      <w:bCs/>
      <w:sz w:val="22"/>
      <w:szCs w:val="22"/>
    </w:rPr>
  </w:style>
  <w:style w:type="character" w:customStyle="1" w:styleId="Heading7Char">
    <w:name w:val="Heading 7 Char"/>
    <w:basedOn w:val="DefaultParagraphFont"/>
    <w:link w:val="Heading7"/>
    <w:rsid w:val="00945FB2"/>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945FB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945FB2"/>
    <w:rPr>
      <w:rFonts w:ascii="Times New Roman" w:eastAsia="Times New Roman" w:hAnsi="Times New Roman" w:cs="Arial"/>
      <w:sz w:val="24"/>
      <w:szCs w:val="22"/>
    </w:rPr>
  </w:style>
  <w:style w:type="paragraph" w:styleId="TOC1">
    <w:name w:val="toc 1"/>
    <w:basedOn w:val="Normal"/>
    <w:next w:val="Normal"/>
    <w:autoRedefine/>
    <w:semiHidden/>
    <w:rsid w:val="00945FB2"/>
    <w:pPr>
      <w:spacing w:before="360" w:line="360" w:lineRule="auto"/>
    </w:pPr>
    <w:rPr>
      <w:rFonts w:ascii="Arial" w:hAnsi="Arial" w:cs="Arial"/>
      <w:b/>
      <w:bCs/>
      <w:caps/>
      <w:lang w:val="en-GB"/>
    </w:rPr>
  </w:style>
  <w:style w:type="paragraph" w:styleId="Header">
    <w:name w:val="header"/>
    <w:basedOn w:val="Normal"/>
    <w:link w:val="HeaderChar"/>
    <w:rsid w:val="00945FB2"/>
    <w:pPr>
      <w:tabs>
        <w:tab w:val="center" w:pos="4320"/>
        <w:tab w:val="right" w:pos="8640"/>
      </w:tabs>
      <w:spacing w:line="360" w:lineRule="auto"/>
      <w:jc w:val="both"/>
    </w:pPr>
    <w:rPr>
      <w:lang w:val="en-GB"/>
    </w:rPr>
  </w:style>
  <w:style w:type="character" w:customStyle="1" w:styleId="HeaderChar">
    <w:name w:val="Header Char"/>
    <w:basedOn w:val="DefaultParagraphFont"/>
    <w:link w:val="Header"/>
    <w:rsid w:val="00945FB2"/>
    <w:rPr>
      <w:rFonts w:ascii="Times New Roman" w:eastAsia="Times New Roman" w:hAnsi="Times New Roman" w:cs="Times New Roman"/>
      <w:sz w:val="24"/>
      <w:szCs w:val="24"/>
    </w:rPr>
  </w:style>
  <w:style w:type="paragraph" w:styleId="TOC2">
    <w:name w:val="toc 2"/>
    <w:basedOn w:val="Normal"/>
    <w:next w:val="Normal"/>
    <w:autoRedefine/>
    <w:semiHidden/>
    <w:rsid w:val="00945FB2"/>
    <w:pPr>
      <w:spacing w:before="240" w:line="360" w:lineRule="auto"/>
    </w:pPr>
    <w:rPr>
      <w:b/>
      <w:bCs/>
      <w:sz w:val="20"/>
      <w:szCs w:val="20"/>
      <w:lang w:val="en-GB"/>
    </w:rPr>
  </w:style>
  <w:style w:type="paragraph" w:styleId="TOC3">
    <w:name w:val="toc 3"/>
    <w:basedOn w:val="Normal"/>
    <w:next w:val="Normal"/>
    <w:autoRedefine/>
    <w:semiHidden/>
    <w:rsid w:val="00945FB2"/>
    <w:pPr>
      <w:spacing w:line="360" w:lineRule="auto"/>
      <w:ind w:left="240"/>
    </w:pPr>
    <w:rPr>
      <w:sz w:val="20"/>
      <w:szCs w:val="20"/>
      <w:lang w:val="en-GB"/>
    </w:rPr>
  </w:style>
  <w:style w:type="paragraph" w:styleId="TOC4">
    <w:name w:val="toc 4"/>
    <w:basedOn w:val="Normal"/>
    <w:next w:val="Normal"/>
    <w:autoRedefine/>
    <w:semiHidden/>
    <w:rsid w:val="00945FB2"/>
    <w:pPr>
      <w:spacing w:line="360" w:lineRule="auto"/>
      <w:ind w:left="480"/>
    </w:pPr>
    <w:rPr>
      <w:sz w:val="20"/>
      <w:szCs w:val="20"/>
      <w:lang w:val="en-GB"/>
    </w:rPr>
  </w:style>
  <w:style w:type="paragraph" w:styleId="TOC5">
    <w:name w:val="toc 5"/>
    <w:basedOn w:val="Normal"/>
    <w:next w:val="Normal"/>
    <w:autoRedefine/>
    <w:semiHidden/>
    <w:rsid w:val="00945FB2"/>
    <w:pPr>
      <w:spacing w:line="360" w:lineRule="auto"/>
      <w:ind w:left="720"/>
    </w:pPr>
    <w:rPr>
      <w:sz w:val="20"/>
      <w:szCs w:val="20"/>
      <w:lang w:val="en-GB"/>
    </w:rPr>
  </w:style>
  <w:style w:type="paragraph" w:styleId="TOC6">
    <w:name w:val="toc 6"/>
    <w:basedOn w:val="Normal"/>
    <w:next w:val="Normal"/>
    <w:autoRedefine/>
    <w:semiHidden/>
    <w:rsid w:val="00945FB2"/>
    <w:pPr>
      <w:spacing w:line="360" w:lineRule="auto"/>
      <w:ind w:left="960"/>
    </w:pPr>
    <w:rPr>
      <w:sz w:val="20"/>
      <w:szCs w:val="20"/>
      <w:lang w:val="en-GB"/>
    </w:rPr>
  </w:style>
  <w:style w:type="paragraph" w:styleId="TOC7">
    <w:name w:val="toc 7"/>
    <w:basedOn w:val="Normal"/>
    <w:next w:val="Normal"/>
    <w:autoRedefine/>
    <w:semiHidden/>
    <w:rsid w:val="00945FB2"/>
    <w:pPr>
      <w:spacing w:line="360" w:lineRule="auto"/>
      <w:ind w:left="1200"/>
    </w:pPr>
    <w:rPr>
      <w:sz w:val="20"/>
      <w:szCs w:val="20"/>
      <w:lang w:val="en-GB"/>
    </w:rPr>
  </w:style>
  <w:style w:type="paragraph" w:styleId="TOC8">
    <w:name w:val="toc 8"/>
    <w:basedOn w:val="Normal"/>
    <w:next w:val="Normal"/>
    <w:autoRedefine/>
    <w:semiHidden/>
    <w:rsid w:val="00945FB2"/>
    <w:pPr>
      <w:spacing w:line="360" w:lineRule="auto"/>
      <w:ind w:left="1440"/>
    </w:pPr>
    <w:rPr>
      <w:sz w:val="20"/>
      <w:szCs w:val="20"/>
      <w:lang w:val="en-GB"/>
    </w:rPr>
  </w:style>
  <w:style w:type="paragraph" w:styleId="TOC9">
    <w:name w:val="toc 9"/>
    <w:basedOn w:val="Normal"/>
    <w:next w:val="Normal"/>
    <w:autoRedefine/>
    <w:semiHidden/>
    <w:rsid w:val="00945FB2"/>
    <w:pPr>
      <w:spacing w:line="360" w:lineRule="auto"/>
      <w:ind w:left="1680"/>
    </w:pPr>
    <w:rPr>
      <w:sz w:val="20"/>
      <w:szCs w:val="20"/>
      <w:lang w:val="en-GB"/>
    </w:rPr>
  </w:style>
  <w:style w:type="character" w:styleId="Hyperlink">
    <w:name w:val="Hyperlink"/>
    <w:basedOn w:val="DefaultParagraphFont"/>
    <w:rsid w:val="00945FB2"/>
    <w:rPr>
      <w:color w:val="0000FF"/>
      <w:u w:val="single"/>
    </w:rPr>
  </w:style>
  <w:style w:type="paragraph" w:styleId="EndnoteText">
    <w:name w:val="endnote text"/>
    <w:basedOn w:val="Normal"/>
    <w:link w:val="EndnoteTextChar"/>
    <w:semiHidden/>
    <w:rsid w:val="00945FB2"/>
    <w:pPr>
      <w:jc w:val="both"/>
    </w:pPr>
    <w:rPr>
      <w:sz w:val="20"/>
      <w:szCs w:val="20"/>
      <w:lang w:val="en-GB"/>
    </w:rPr>
  </w:style>
  <w:style w:type="character" w:customStyle="1" w:styleId="EndnoteTextChar">
    <w:name w:val="Endnote Text Char"/>
    <w:basedOn w:val="DefaultParagraphFont"/>
    <w:link w:val="EndnoteText"/>
    <w:rsid w:val="00945FB2"/>
    <w:rPr>
      <w:rFonts w:ascii="Times New Roman" w:eastAsia="Times New Roman" w:hAnsi="Times New Roman" w:cs="Times New Roman"/>
    </w:rPr>
  </w:style>
  <w:style w:type="character" w:styleId="EndnoteReference">
    <w:name w:val="endnote reference"/>
    <w:basedOn w:val="DefaultParagraphFont"/>
    <w:semiHidden/>
    <w:rsid w:val="00945FB2"/>
    <w:rPr>
      <w:vertAlign w:val="superscript"/>
    </w:rPr>
  </w:style>
  <w:style w:type="character" w:styleId="FollowedHyperlink">
    <w:name w:val="FollowedHyperlink"/>
    <w:basedOn w:val="DefaultParagraphFont"/>
    <w:rsid w:val="00945FB2"/>
    <w:rPr>
      <w:color w:val="800080"/>
      <w:u w:val="single"/>
    </w:rPr>
  </w:style>
  <w:style w:type="paragraph" w:styleId="BodyText">
    <w:name w:val="Body Text"/>
    <w:basedOn w:val="Normal"/>
    <w:link w:val="BodyTextChar"/>
    <w:rsid w:val="00945FB2"/>
    <w:pPr>
      <w:jc w:val="both"/>
    </w:pPr>
    <w:rPr>
      <w:rFonts w:ascii="Arial" w:hAnsi="Arial" w:cs="Arial"/>
      <w:lang w:val="en-GB" w:eastAsia="es-ES"/>
    </w:rPr>
  </w:style>
  <w:style w:type="character" w:customStyle="1" w:styleId="BodyTextChar">
    <w:name w:val="Body Text Char"/>
    <w:basedOn w:val="DefaultParagraphFont"/>
    <w:link w:val="BodyText"/>
    <w:rsid w:val="00945FB2"/>
    <w:rPr>
      <w:rFonts w:ascii="Arial" w:eastAsia="Times New Roman" w:hAnsi="Arial" w:cs="Arial"/>
      <w:sz w:val="24"/>
      <w:szCs w:val="24"/>
      <w:lang w:eastAsia="es-ES"/>
    </w:rPr>
  </w:style>
  <w:style w:type="paragraph" w:styleId="Caption">
    <w:name w:val="caption"/>
    <w:basedOn w:val="Normal"/>
    <w:next w:val="Normal"/>
    <w:link w:val="CaptionChar"/>
    <w:qFormat/>
    <w:rsid w:val="00945FB2"/>
    <w:pPr>
      <w:spacing w:before="120" w:after="120"/>
      <w:ind w:left="1191" w:hanging="1191"/>
      <w:jc w:val="both"/>
    </w:pPr>
    <w:rPr>
      <w:b/>
      <w:bCs/>
      <w:sz w:val="20"/>
      <w:szCs w:val="20"/>
      <w:lang w:val="en-GB"/>
    </w:rPr>
  </w:style>
  <w:style w:type="paragraph" w:styleId="BodyText2">
    <w:name w:val="Body Text 2"/>
    <w:basedOn w:val="Normal"/>
    <w:link w:val="BodyText2Char"/>
    <w:rsid w:val="00945FB2"/>
    <w:pPr>
      <w:jc w:val="center"/>
    </w:pPr>
    <w:rPr>
      <w:rFonts w:ascii="Arial" w:hAnsi="Arial" w:cs="Arial"/>
      <w:sz w:val="20"/>
      <w:szCs w:val="20"/>
      <w:lang w:val="en-GB"/>
    </w:rPr>
  </w:style>
  <w:style w:type="character" w:customStyle="1" w:styleId="BodyText2Char">
    <w:name w:val="Body Text 2 Char"/>
    <w:basedOn w:val="DefaultParagraphFont"/>
    <w:link w:val="BodyText2"/>
    <w:rsid w:val="00945FB2"/>
    <w:rPr>
      <w:rFonts w:ascii="Arial" w:eastAsia="Times New Roman" w:hAnsi="Arial" w:cs="Arial"/>
    </w:rPr>
  </w:style>
  <w:style w:type="paragraph" w:customStyle="1" w:styleId="Table">
    <w:name w:val="Table"/>
    <w:basedOn w:val="Caption"/>
    <w:rsid w:val="00945FB2"/>
    <w:pPr>
      <w:ind w:left="0" w:firstLine="0"/>
    </w:pPr>
  </w:style>
  <w:style w:type="paragraph" w:styleId="Footer">
    <w:name w:val="footer"/>
    <w:basedOn w:val="Normal"/>
    <w:link w:val="FooterChar"/>
    <w:rsid w:val="00945FB2"/>
    <w:pPr>
      <w:tabs>
        <w:tab w:val="center" w:pos="4153"/>
        <w:tab w:val="right" w:pos="8306"/>
      </w:tabs>
      <w:spacing w:line="360" w:lineRule="auto"/>
      <w:jc w:val="both"/>
    </w:pPr>
    <w:rPr>
      <w:lang w:val="en-GB"/>
    </w:rPr>
  </w:style>
  <w:style w:type="character" w:customStyle="1" w:styleId="FooterChar">
    <w:name w:val="Footer Char"/>
    <w:basedOn w:val="DefaultParagraphFont"/>
    <w:link w:val="Footer"/>
    <w:rsid w:val="00945FB2"/>
    <w:rPr>
      <w:rFonts w:ascii="Times New Roman" w:eastAsia="Times New Roman" w:hAnsi="Times New Roman" w:cs="Times New Roman"/>
      <w:sz w:val="24"/>
      <w:szCs w:val="24"/>
    </w:rPr>
  </w:style>
  <w:style w:type="character" w:styleId="PageNumber">
    <w:name w:val="page number"/>
    <w:basedOn w:val="DefaultParagraphFont"/>
    <w:rsid w:val="00945FB2"/>
  </w:style>
  <w:style w:type="paragraph" w:customStyle="1" w:styleId="Style1">
    <w:name w:val="Style1"/>
    <w:basedOn w:val="Heading2"/>
    <w:rsid w:val="00945FB2"/>
    <w:pPr>
      <w:jc w:val="both"/>
    </w:pPr>
    <w:rPr>
      <w:sz w:val="22"/>
    </w:rPr>
  </w:style>
  <w:style w:type="paragraph" w:customStyle="1" w:styleId="StyleStyle1NotItalic">
    <w:name w:val="Style Style1 + Not Italic"/>
    <w:basedOn w:val="Style1"/>
    <w:rsid w:val="00945FB2"/>
    <w:pPr>
      <w:spacing w:after="720"/>
      <w:ind w:left="578" w:hanging="578"/>
    </w:pPr>
    <w:rPr>
      <w:i w:val="0"/>
      <w:iCs w:val="0"/>
    </w:rPr>
  </w:style>
  <w:style w:type="paragraph" w:styleId="BodyText3">
    <w:name w:val="Body Text 3"/>
    <w:basedOn w:val="Normal"/>
    <w:link w:val="BodyText3Char"/>
    <w:rsid w:val="00945FB2"/>
    <w:pPr>
      <w:autoSpaceDE w:val="0"/>
      <w:autoSpaceDN w:val="0"/>
      <w:adjustRightInd w:val="0"/>
      <w:spacing w:line="360" w:lineRule="auto"/>
    </w:pPr>
    <w:rPr>
      <w:szCs w:val="21"/>
    </w:rPr>
  </w:style>
  <w:style w:type="character" w:customStyle="1" w:styleId="BodyText3Char">
    <w:name w:val="Body Text 3 Char"/>
    <w:basedOn w:val="DefaultParagraphFont"/>
    <w:link w:val="BodyText3"/>
    <w:rsid w:val="00945FB2"/>
    <w:rPr>
      <w:rFonts w:ascii="Times New Roman" w:eastAsia="Times New Roman" w:hAnsi="Times New Roman" w:cs="Times New Roman"/>
      <w:sz w:val="24"/>
      <w:szCs w:val="21"/>
      <w:lang w:val="en-US"/>
    </w:rPr>
  </w:style>
  <w:style w:type="paragraph" w:styleId="FootnoteText">
    <w:name w:val="footnote text"/>
    <w:basedOn w:val="Normal"/>
    <w:link w:val="FootnoteTextChar"/>
    <w:semiHidden/>
    <w:rsid w:val="00945FB2"/>
    <w:pPr>
      <w:spacing w:line="360" w:lineRule="auto"/>
      <w:jc w:val="both"/>
    </w:pPr>
    <w:rPr>
      <w:sz w:val="20"/>
      <w:szCs w:val="20"/>
      <w:lang w:val="en-GB"/>
    </w:rPr>
  </w:style>
  <w:style w:type="character" w:customStyle="1" w:styleId="FootnoteTextChar">
    <w:name w:val="Footnote Text Char"/>
    <w:basedOn w:val="DefaultParagraphFont"/>
    <w:link w:val="FootnoteText"/>
    <w:semiHidden/>
    <w:rsid w:val="00945FB2"/>
    <w:rPr>
      <w:rFonts w:ascii="Times New Roman" w:eastAsia="Times New Roman" w:hAnsi="Times New Roman" w:cs="Times New Roman"/>
    </w:rPr>
  </w:style>
  <w:style w:type="character" w:styleId="FootnoteReference">
    <w:name w:val="footnote reference"/>
    <w:basedOn w:val="DefaultParagraphFont"/>
    <w:semiHidden/>
    <w:rsid w:val="00945FB2"/>
    <w:rPr>
      <w:vertAlign w:val="superscript"/>
    </w:rPr>
  </w:style>
  <w:style w:type="table" w:styleId="TableGrid">
    <w:name w:val="Table Grid"/>
    <w:basedOn w:val="TableNormal"/>
    <w:rsid w:val="00945FB2"/>
    <w:pPr>
      <w:spacing w:line="360" w:lineRule="auto"/>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semiHidden/>
    <w:rsid w:val="00945FB2"/>
    <w:pPr>
      <w:shd w:val="clear" w:color="auto" w:fill="000080"/>
      <w:spacing w:line="360" w:lineRule="auto"/>
      <w:jc w:val="both"/>
    </w:pPr>
    <w:rPr>
      <w:rFonts w:ascii="Tahoma" w:hAnsi="Tahoma" w:cs="Tahoma"/>
      <w:sz w:val="20"/>
      <w:szCs w:val="20"/>
      <w:lang w:val="en-GB"/>
    </w:rPr>
  </w:style>
  <w:style w:type="character" w:customStyle="1" w:styleId="DocumentMapChar">
    <w:name w:val="Document Map Char"/>
    <w:basedOn w:val="DefaultParagraphFont"/>
    <w:link w:val="DocumentMap"/>
    <w:semiHidden/>
    <w:rsid w:val="00945FB2"/>
    <w:rPr>
      <w:rFonts w:ascii="Tahoma" w:eastAsia="Times New Roman" w:hAnsi="Tahoma" w:cs="Tahoma"/>
      <w:shd w:val="clear" w:color="auto" w:fill="000080"/>
    </w:rPr>
  </w:style>
  <w:style w:type="character" w:styleId="CommentReference">
    <w:name w:val="annotation reference"/>
    <w:basedOn w:val="DefaultParagraphFont"/>
    <w:semiHidden/>
    <w:rsid w:val="00945FB2"/>
    <w:rPr>
      <w:sz w:val="16"/>
      <w:szCs w:val="16"/>
    </w:rPr>
  </w:style>
  <w:style w:type="paragraph" w:styleId="CommentText">
    <w:name w:val="annotation text"/>
    <w:basedOn w:val="Normal"/>
    <w:link w:val="CommentTextChar"/>
    <w:semiHidden/>
    <w:rsid w:val="00945FB2"/>
    <w:pPr>
      <w:spacing w:line="360" w:lineRule="auto"/>
      <w:jc w:val="both"/>
    </w:pPr>
    <w:rPr>
      <w:sz w:val="20"/>
      <w:szCs w:val="20"/>
      <w:lang w:val="en-GB"/>
    </w:rPr>
  </w:style>
  <w:style w:type="character" w:customStyle="1" w:styleId="CommentTextChar">
    <w:name w:val="Comment Text Char"/>
    <w:basedOn w:val="DefaultParagraphFont"/>
    <w:link w:val="CommentText"/>
    <w:semiHidden/>
    <w:rsid w:val="00945FB2"/>
    <w:rPr>
      <w:rFonts w:ascii="Times New Roman" w:eastAsia="Times New Roman" w:hAnsi="Times New Roman" w:cs="Times New Roman"/>
    </w:rPr>
  </w:style>
  <w:style w:type="paragraph" w:styleId="CommentSubject">
    <w:name w:val="annotation subject"/>
    <w:basedOn w:val="CommentText"/>
    <w:next w:val="CommentText"/>
    <w:link w:val="CommentSubjectChar"/>
    <w:semiHidden/>
    <w:rsid w:val="00945FB2"/>
    <w:rPr>
      <w:b/>
      <w:bCs/>
    </w:rPr>
  </w:style>
  <w:style w:type="character" w:customStyle="1" w:styleId="CommentSubjectChar">
    <w:name w:val="Comment Subject Char"/>
    <w:basedOn w:val="CommentTextChar"/>
    <w:link w:val="CommentSubject"/>
    <w:semiHidden/>
    <w:rsid w:val="00945FB2"/>
    <w:rPr>
      <w:rFonts w:ascii="Times New Roman" w:eastAsia="Times New Roman" w:hAnsi="Times New Roman" w:cs="Times New Roman"/>
      <w:b/>
      <w:bCs/>
    </w:rPr>
  </w:style>
  <w:style w:type="paragraph" w:styleId="BalloonText">
    <w:name w:val="Balloon Text"/>
    <w:basedOn w:val="Normal"/>
    <w:link w:val="BalloonTextChar"/>
    <w:semiHidden/>
    <w:rsid w:val="00945FB2"/>
    <w:pPr>
      <w:spacing w:line="360" w:lineRule="auto"/>
      <w:jc w:val="both"/>
    </w:pPr>
    <w:rPr>
      <w:rFonts w:ascii="Tahoma" w:hAnsi="Tahoma" w:cs="Tahoma"/>
      <w:sz w:val="16"/>
      <w:szCs w:val="16"/>
      <w:lang w:val="en-GB"/>
    </w:rPr>
  </w:style>
  <w:style w:type="character" w:customStyle="1" w:styleId="BalloonTextChar">
    <w:name w:val="Balloon Text Char"/>
    <w:basedOn w:val="DefaultParagraphFont"/>
    <w:link w:val="BalloonText"/>
    <w:semiHidden/>
    <w:rsid w:val="00945FB2"/>
    <w:rPr>
      <w:rFonts w:ascii="Tahoma" w:eastAsia="Times New Roman" w:hAnsi="Tahoma" w:cs="Tahoma"/>
      <w:sz w:val="16"/>
      <w:szCs w:val="16"/>
    </w:rPr>
  </w:style>
  <w:style w:type="paragraph" w:customStyle="1" w:styleId="CaptionFigGraph">
    <w:name w:val="Caption Fig Graph"/>
    <w:basedOn w:val="Caption"/>
    <w:link w:val="CaptionFigGraphCharChar"/>
    <w:autoRedefine/>
    <w:rsid w:val="00945FB2"/>
    <w:pPr>
      <w:pBdr>
        <w:bottom w:val="single" w:sz="4" w:space="1" w:color="auto"/>
      </w:pBdr>
      <w:spacing w:before="360" w:line="480" w:lineRule="auto"/>
      <w:ind w:left="0" w:firstLine="0"/>
    </w:pPr>
  </w:style>
  <w:style w:type="character" w:customStyle="1" w:styleId="CaptionChar">
    <w:name w:val="Caption Char"/>
    <w:basedOn w:val="DefaultParagraphFont"/>
    <w:link w:val="Caption"/>
    <w:rsid w:val="00945FB2"/>
    <w:rPr>
      <w:rFonts w:ascii="Times New Roman" w:eastAsia="Times New Roman" w:hAnsi="Times New Roman" w:cs="Times New Roman"/>
      <w:b/>
      <w:bCs/>
    </w:rPr>
  </w:style>
  <w:style w:type="character" w:customStyle="1" w:styleId="CaptionFigGraphCharChar">
    <w:name w:val="Caption Fig Graph Char Char"/>
    <w:basedOn w:val="CaptionChar"/>
    <w:link w:val="CaptionFigGraph"/>
    <w:rsid w:val="00945FB2"/>
    <w:rPr>
      <w:rFonts w:ascii="Times New Roman" w:eastAsia="Times New Roman" w:hAnsi="Times New Roman" w:cs="Times New Roman"/>
      <w:b/>
      <w:bCs/>
    </w:rPr>
  </w:style>
  <w:style w:type="paragraph" w:styleId="TableofFigures">
    <w:name w:val="table of figures"/>
    <w:basedOn w:val="Normal"/>
    <w:next w:val="Normal"/>
    <w:semiHidden/>
    <w:rsid w:val="00945FB2"/>
    <w:pPr>
      <w:spacing w:line="360" w:lineRule="auto"/>
    </w:pPr>
    <w:rPr>
      <w:i/>
      <w:iCs/>
      <w:sz w:val="20"/>
      <w:szCs w:val="20"/>
      <w:lang w:val="en-GB"/>
    </w:rPr>
  </w:style>
  <w:style w:type="paragraph" w:styleId="BlockText">
    <w:name w:val="Block Text"/>
    <w:basedOn w:val="Normal"/>
    <w:rsid w:val="00945FB2"/>
    <w:pPr>
      <w:spacing w:after="120" w:line="360" w:lineRule="auto"/>
      <w:ind w:left="1440" w:right="1440"/>
      <w:jc w:val="both"/>
    </w:pPr>
    <w:rPr>
      <w:lang w:val="en-GB"/>
    </w:rPr>
  </w:style>
  <w:style w:type="paragraph" w:styleId="BodyTextFirstIndent">
    <w:name w:val="Body Text First Indent"/>
    <w:basedOn w:val="BodyText"/>
    <w:link w:val="BodyTextFirstIndentChar"/>
    <w:rsid w:val="00945FB2"/>
    <w:pPr>
      <w:spacing w:after="120" w:line="360" w:lineRule="auto"/>
      <w:ind w:firstLine="210"/>
    </w:pPr>
    <w:rPr>
      <w:rFonts w:ascii="Times New Roman" w:hAnsi="Times New Roman" w:cs="Times New Roman"/>
      <w:lang w:eastAsia="en-US"/>
    </w:rPr>
  </w:style>
  <w:style w:type="character" w:customStyle="1" w:styleId="BodyTextFirstIndentChar">
    <w:name w:val="Body Text First Indent Char"/>
    <w:basedOn w:val="BodyTextChar"/>
    <w:link w:val="BodyTextFirstIndent"/>
    <w:rsid w:val="00945FB2"/>
    <w:rPr>
      <w:rFonts w:ascii="Times New Roman" w:eastAsia="Times New Roman" w:hAnsi="Times New Roman" w:cs="Times New Roman"/>
      <w:sz w:val="24"/>
      <w:szCs w:val="24"/>
      <w:lang w:eastAsia="es-ES"/>
    </w:rPr>
  </w:style>
  <w:style w:type="paragraph" w:styleId="BodyTextIndent">
    <w:name w:val="Body Text Indent"/>
    <w:basedOn w:val="Normal"/>
    <w:link w:val="BodyTextIndentChar"/>
    <w:rsid w:val="00945FB2"/>
    <w:pPr>
      <w:spacing w:after="120" w:line="360" w:lineRule="auto"/>
      <w:ind w:left="283"/>
      <w:jc w:val="both"/>
    </w:pPr>
    <w:rPr>
      <w:lang w:val="en-GB"/>
    </w:rPr>
  </w:style>
  <w:style w:type="character" w:customStyle="1" w:styleId="BodyTextIndentChar">
    <w:name w:val="Body Text Indent Char"/>
    <w:basedOn w:val="DefaultParagraphFont"/>
    <w:link w:val="BodyTextIndent"/>
    <w:rsid w:val="00945FB2"/>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rsid w:val="00945FB2"/>
    <w:pPr>
      <w:ind w:firstLine="210"/>
    </w:pPr>
  </w:style>
  <w:style w:type="character" w:customStyle="1" w:styleId="BodyTextFirstIndent2Char">
    <w:name w:val="Body Text First Indent 2 Char"/>
    <w:basedOn w:val="BodyTextIndentChar"/>
    <w:link w:val="BodyTextFirstIndent2"/>
    <w:rsid w:val="00945FB2"/>
    <w:rPr>
      <w:rFonts w:ascii="Times New Roman" w:eastAsia="Times New Roman" w:hAnsi="Times New Roman" w:cs="Times New Roman"/>
      <w:sz w:val="24"/>
      <w:szCs w:val="24"/>
    </w:rPr>
  </w:style>
  <w:style w:type="paragraph" w:styleId="BodyTextIndent2">
    <w:name w:val="Body Text Indent 2"/>
    <w:basedOn w:val="Normal"/>
    <w:link w:val="BodyTextIndent2Char"/>
    <w:rsid w:val="00945FB2"/>
    <w:pPr>
      <w:spacing w:after="120" w:line="480" w:lineRule="auto"/>
      <w:ind w:left="283"/>
      <w:jc w:val="both"/>
    </w:pPr>
    <w:rPr>
      <w:lang w:val="en-GB"/>
    </w:rPr>
  </w:style>
  <w:style w:type="character" w:customStyle="1" w:styleId="BodyTextIndent2Char">
    <w:name w:val="Body Text Indent 2 Char"/>
    <w:basedOn w:val="DefaultParagraphFont"/>
    <w:link w:val="BodyTextIndent2"/>
    <w:rsid w:val="00945FB2"/>
    <w:rPr>
      <w:rFonts w:ascii="Times New Roman" w:eastAsia="Times New Roman" w:hAnsi="Times New Roman" w:cs="Times New Roman"/>
      <w:sz w:val="24"/>
      <w:szCs w:val="24"/>
    </w:rPr>
  </w:style>
  <w:style w:type="paragraph" w:styleId="BodyTextIndent3">
    <w:name w:val="Body Text Indent 3"/>
    <w:basedOn w:val="Normal"/>
    <w:link w:val="BodyTextIndent3Char"/>
    <w:rsid w:val="00945FB2"/>
    <w:pPr>
      <w:spacing w:after="120" w:line="360" w:lineRule="auto"/>
      <w:ind w:left="283"/>
      <w:jc w:val="both"/>
    </w:pPr>
    <w:rPr>
      <w:sz w:val="16"/>
      <w:szCs w:val="16"/>
      <w:lang w:val="en-GB"/>
    </w:rPr>
  </w:style>
  <w:style w:type="character" w:customStyle="1" w:styleId="BodyTextIndent3Char">
    <w:name w:val="Body Text Indent 3 Char"/>
    <w:basedOn w:val="DefaultParagraphFont"/>
    <w:link w:val="BodyTextIndent3"/>
    <w:rsid w:val="00945FB2"/>
    <w:rPr>
      <w:rFonts w:ascii="Times New Roman" w:eastAsia="Times New Roman" w:hAnsi="Times New Roman" w:cs="Times New Roman"/>
      <w:sz w:val="16"/>
      <w:szCs w:val="16"/>
    </w:rPr>
  </w:style>
  <w:style w:type="paragraph" w:styleId="Closing">
    <w:name w:val="Closing"/>
    <w:basedOn w:val="Normal"/>
    <w:link w:val="ClosingChar"/>
    <w:rsid w:val="00945FB2"/>
    <w:pPr>
      <w:spacing w:line="360" w:lineRule="auto"/>
      <w:ind w:left="4252"/>
      <w:jc w:val="both"/>
    </w:pPr>
    <w:rPr>
      <w:lang w:val="en-GB"/>
    </w:rPr>
  </w:style>
  <w:style w:type="character" w:customStyle="1" w:styleId="ClosingChar">
    <w:name w:val="Closing Char"/>
    <w:basedOn w:val="DefaultParagraphFont"/>
    <w:link w:val="Closing"/>
    <w:rsid w:val="00945FB2"/>
    <w:rPr>
      <w:rFonts w:ascii="Times New Roman" w:eastAsia="Times New Roman" w:hAnsi="Times New Roman" w:cs="Times New Roman"/>
      <w:sz w:val="24"/>
      <w:szCs w:val="24"/>
    </w:rPr>
  </w:style>
  <w:style w:type="paragraph" w:styleId="Date">
    <w:name w:val="Date"/>
    <w:basedOn w:val="Normal"/>
    <w:next w:val="Normal"/>
    <w:link w:val="DateChar"/>
    <w:rsid w:val="00945FB2"/>
    <w:pPr>
      <w:spacing w:line="360" w:lineRule="auto"/>
      <w:jc w:val="both"/>
    </w:pPr>
    <w:rPr>
      <w:lang w:val="en-GB"/>
    </w:rPr>
  </w:style>
  <w:style w:type="character" w:customStyle="1" w:styleId="DateChar">
    <w:name w:val="Date Char"/>
    <w:basedOn w:val="DefaultParagraphFont"/>
    <w:link w:val="Date"/>
    <w:rsid w:val="00945FB2"/>
    <w:rPr>
      <w:rFonts w:ascii="Times New Roman" w:eastAsia="Times New Roman" w:hAnsi="Times New Roman" w:cs="Times New Roman"/>
      <w:sz w:val="24"/>
      <w:szCs w:val="24"/>
    </w:rPr>
  </w:style>
  <w:style w:type="paragraph" w:styleId="E-mailSignature">
    <w:name w:val="E-mail Signature"/>
    <w:basedOn w:val="Normal"/>
    <w:link w:val="E-mailSignatureChar"/>
    <w:rsid w:val="00945FB2"/>
    <w:pPr>
      <w:spacing w:line="360" w:lineRule="auto"/>
      <w:jc w:val="both"/>
    </w:pPr>
    <w:rPr>
      <w:lang w:val="en-GB"/>
    </w:rPr>
  </w:style>
  <w:style w:type="character" w:customStyle="1" w:styleId="E-mailSignatureChar">
    <w:name w:val="E-mail Signature Char"/>
    <w:basedOn w:val="DefaultParagraphFont"/>
    <w:link w:val="E-mailSignature"/>
    <w:rsid w:val="00945FB2"/>
    <w:rPr>
      <w:rFonts w:ascii="Times New Roman" w:eastAsia="Times New Roman" w:hAnsi="Times New Roman" w:cs="Times New Roman"/>
      <w:sz w:val="24"/>
      <w:szCs w:val="24"/>
    </w:rPr>
  </w:style>
  <w:style w:type="paragraph" w:styleId="EnvelopeAddress">
    <w:name w:val="envelope address"/>
    <w:basedOn w:val="Normal"/>
    <w:rsid w:val="00945FB2"/>
    <w:pPr>
      <w:framePr w:w="7920" w:h="1980" w:hRule="exact" w:hSpace="180" w:wrap="auto" w:hAnchor="page" w:xAlign="center" w:yAlign="bottom"/>
      <w:spacing w:line="360" w:lineRule="auto"/>
      <w:ind w:left="2880"/>
      <w:jc w:val="both"/>
    </w:pPr>
    <w:rPr>
      <w:rFonts w:ascii="Arial" w:hAnsi="Arial" w:cs="Arial"/>
      <w:lang w:val="en-GB"/>
    </w:rPr>
  </w:style>
  <w:style w:type="paragraph" w:styleId="EnvelopeReturn">
    <w:name w:val="envelope return"/>
    <w:basedOn w:val="Normal"/>
    <w:rsid w:val="00945FB2"/>
    <w:pPr>
      <w:spacing w:line="360" w:lineRule="auto"/>
      <w:jc w:val="both"/>
    </w:pPr>
    <w:rPr>
      <w:rFonts w:ascii="Arial" w:hAnsi="Arial" w:cs="Arial"/>
      <w:sz w:val="20"/>
      <w:szCs w:val="20"/>
      <w:lang w:val="en-GB"/>
    </w:rPr>
  </w:style>
  <w:style w:type="paragraph" w:styleId="HTMLAddress">
    <w:name w:val="HTML Address"/>
    <w:basedOn w:val="Normal"/>
    <w:link w:val="HTMLAddressChar"/>
    <w:rsid w:val="00945FB2"/>
    <w:pPr>
      <w:spacing w:line="360" w:lineRule="auto"/>
      <w:jc w:val="both"/>
    </w:pPr>
    <w:rPr>
      <w:i/>
      <w:iCs/>
      <w:lang w:val="en-GB"/>
    </w:rPr>
  </w:style>
  <w:style w:type="character" w:customStyle="1" w:styleId="HTMLAddressChar">
    <w:name w:val="HTML Address Char"/>
    <w:basedOn w:val="DefaultParagraphFont"/>
    <w:link w:val="HTMLAddress"/>
    <w:rsid w:val="00945FB2"/>
    <w:rPr>
      <w:rFonts w:ascii="Times New Roman" w:eastAsia="Times New Roman" w:hAnsi="Times New Roman" w:cs="Times New Roman"/>
      <w:i/>
      <w:iCs/>
      <w:sz w:val="24"/>
      <w:szCs w:val="24"/>
    </w:rPr>
  </w:style>
  <w:style w:type="paragraph" w:styleId="HTMLPreformatted">
    <w:name w:val="HTML Preformatted"/>
    <w:basedOn w:val="Normal"/>
    <w:link w:val="HTMLPreformattedChar"/>
    <w:rsid w:val="00945FB2"/>
    <w:pPr>
      <w:spacing w:line="360" w:lineRule="auto"/>
      <w:jc w:val="both"/>
    </w:pPr>
    <w:rPr>
      <w:rFonts w:ascii="Courier New" w:hAnsi="Courier New" w:cs="Courier New"/>
      <w:sz w:val="20"/>
      <w:szCs w:val="20"/>
      <w:lang w:val="en-GB"/>
    </w:rPr>
  </w:style>
  <w:style w:type="character" w:customStyle="1" w:styleId="HTMLPreformattedChar">
    <w:name w:val="HTML Preformatted Char"/>
    <w:basedOn w:val="DefaultParagraphFont"/>
    <w:link w:val="HTMLPreformatted"/>
    <w:rsid w:val="00945FB2"/>
    <w:rPr>
      <w:rFonts w:ascii="Courier New" w:eastAsia="Times New Roman" w:hAnsi="Courier New" w:cs="Courier New"/>
    </w:rPr>
  </w:style>
  <w:style w:type="paragraph" w:styleId="Index1">
    <w:name w:val="index 1"/>
    <w:basedOn w:val="Normal"/>
    <w:next w:val="Normal"/>
    <w:autoRedefine/>
    <w:semiHidden/>
    <w:rsid w:val="00945FB2"/>
    <w:pPr>
      <w:spacing w:line="360" w:lineRule="auto"/>
      <w:ind w:left="240" w:hanging="240"/>
      <w:jc w:val="both"/>
    </w:pPr>
    <w:rPr>
      <w:lang w:val="en-GB"/>
    </w:rPr>
  </w:style>
  <w:style w:type="paragraph" w:styleId="Index2">
    <w:name w:val="index 2"/>
    <w:basedOn w:val="Normal"/>
    <w:next w:val="Normal"/>
    <w:autoRedefine/>
    <w:semiHidden/>
    <w:rsid w:val="00945FB2"/>
    <w:pPr>
      <w:spacing w:line="360" w:lineRule="auto"/>
      <w:ind w:left="480" w:hanging="240"/>
      <w:jc w:val="both"/>
    </w:pPr>
    <w:rPr>
      <w:lang w:val="en-GB"/>
    </w:rPr>
  </w:style>
  <w:style w:type="paragraph" w:styleId="Index3">
    <w:name w:val="index 3"/>
    <w:basedOn w:val="Normal"/>
    <w:next w:val="Normal"/>
    <w:autoRedefine/>
    <w:semiHidden/>
    <w:rsid w:val="00945FB2"/>
    <w:pPr>
      <w:spacing w:line="360" w:lineRule="auto"/>
      <w:ind w:left="720" w:hanging="240"/>
      <w:jc w:val="both"/>
    </w:pPr>
    <w:rPr>
      <w:lang w:val="en-GB"/>
    </w:rPr>
  </w:style>
  <w:style w:type="paragraph" w:styleId="Index4">
    <w:name w:val="index 4"/>
    <w:basedOn w:val="Normal"/>
    <w:next w:val="Normal"/>
    <w:autoRedefine/>
    <w:semiHidden/>
    <w:rsid w:val="00945FB2"/>
    <w:pPr>
      <w:spacing w:line="360" w:lineRule="auto"/>
      <w:ind w:left="960" w:hanging="240"/>
      <w:jc w:val="both"/>
    </w:pPr>
    <w:rPr>
      <w:lang w:val="en-GB"/>
    </w:rPr>
  </w:style>
  <w:style w:type="paragraph" w:styleId="Index5">
    <w:name w:val="index 5"/>
    <w:basedOn w:val="Normal"/>
    <w:next w:val="Normal"/>
    <w:autoRedefine/>
    <w:semiHidden/>
    <w:rsid w:val="00945FB2"/>
    <w:pPr>
      <w:spacing w:line="360" w:lineRule="auto"/>
      <w:ind w:left="1200" w:hanging="240"/>
      <w:jc w:val="both"/>
    </w:pPr>
    <w:rPr>
      <w:lang w:val="en-GB"/>
    </w:rPr>
  </w:style>
  <w:style w:type="paragraph" w:styleId="Index6">
    <w:name w:val="index 6"/>
    <w:basedOn w:val="Normal"/>
    <w:next w:val="Normal"/>
    <w:autoRedefine/>
    <w:semiHidden/>
    <w:rsid w:val="00945FB2"/>
    <w:pPr>
      <w:spacing w:line="360" w:lineRule="auto"/>
      <w:ind w:left="1440" w:hanging="240"/>
      <w:jc w:val="both"/>
    </w:pPr>
    <w:rPr>
      <w:lang w:val="en-GB"/>
    </w:rPr>
  </w:style>
  <w:style w:type="paragraph" w:styleId="Index7">
    <w:name w:val="index 7"/>
    <w:basedOn w:val="Normal"/>
    <w:next w:val="Normal"/>
    <w:autoRedefine/>
    <w:semiHidden/>
    <w:rsid w:val="00945FB2"/>
    <w:pPr>
      <w:spacing w:line="360" w:lineRule="auto"/>
      <w:ind w:left="1680" w:hanging="240"/>
      <w:jc w:val="both"/>
    </w:pPr>
    <w:rPr>
      <w:lang w:val="en-GB"/>
    </w:rPr>
  </w:style>
  <w:style w:type="paragraph" w:styleId="Index8">
    <w:name w:val="index 8"/>
    <w:basedOn w:val="Normal"/>
    <w:next w:val="Normal"/>
    <w:autoRedefine/>
    <w:semiHidden/>
    <w:rsid w:val="00945FB2"/>
    <w:pPr>
      <w:spacing w:line="360" w:lineRule="auto"/>
      <w:ind w:left="1920" w:hanging="240"/>
      <w:jc w:val="both"/>
    </w:pPr>
    <w:rPr>
      <w:lang w:val="en-GB"/>
    </w:rPr>
  </w:style>
  <w:style w:type="paragraph" w:styleId="Index9">
    <w:name w:val="index 9"/>
    <w:basedOn w:val="Normal"/>
    <w:next w:val="Normal"/>
    <w:autoRedefine/>
    <w:semiHidden/>
    <w:rsid w:val="00945FB2"/>
    <w:pPr>
      <w:spacing w:line="360" w:lineRule="auto"/>
      <w:ind w:left="2160" w:hanging="240"/>
      <w:jc w:val="both"/>
    </w:pPr>
    <w:rPr>
      <w:lang w:val="en-GB"/>
    </w:rPr>
  </w:style>
  <w:style w:type="paragraph" w:styleId="IndexHeading">
    <w:name w:val="index heading"/>
    <w:basedOn w:val="Normal"/>
    <w:next w:val="Index1"/>
    <w:semiHidden/>
    <w:rsid w:val="00945FB2"/>
    <w:pPr>
      <w:spacing w:line="360" w:lineRule="auto"/>
      <w:jc w:val="both"/>
    </w:pPr>
    <w:rPr>
      <w:rFonts w:ascii="Arial" w:hAnsi="Arial" w:cs="Arial"/>
      <w:b/>
      <w:bCs/>
      <w:lang w:val="en-GB"/>
    </w:rPr>
  </w:style>
  <w:style w:type="paragraph" w:styleId="List">
    <w:name w:val="List"/>
    <w:basedOn w:val="Normal"/>
    <w:rsid w:val="00945FB2"/>
    <w:pPr>
      <w:spacing w:line="360" w:lineRule="auto"/>
      <w:ind w:left="283" w:hanging="283"/>
      <w:jc w:val="both"/>
    </w:pPr>
    <w:rPr>
      <w:lang w:val="en-GB"/>
    </w:rPr>
  </w:style>
  <w:style w:type="paragraph" w:styleId="List2">
    <w:name w:val="List 2"/>
    <w:basedOn w:val="Normal"/>
    <w:rsid w:val="00945FB2"/>
    <w:pPr>
      <w:spacing w:line="360" w:lineRule="auto"/>
      <w:ind w:left="566" w:hanging="283"/>
      <w:jc w:val="both"/>
    </w:pPr>
    <w:rPr>
      <w:lang w:val="en-GB"/>
    </w:rPr>
  </w:style>
  <w:style w:type="paragraph" w:styleId="List3">
    <w:name w:val="List 3"/>
    <w:basedOn w:val="Normal"/>
    <w:rsid w:val="00945FB2"/>
    <w:pPr>
      <w:spacing w:line="360" w:lineRule="auto"/>
      <w:ind w:left="849" w:hanging="283"/>
      <w:jc w:val="both"/>
    </w:pPr>
    <w:rPr>
      <w:lang w:val="en-GB"/>
    </w:rPr>
  </w:style>
  <w:style w:type="paragraph" w:styleId="List4">
    <w:name w:val="List 4"/>
    <w:basedOn w:val="Normal"/>
    <w:rsid w:val="00945FB2"/>
    <w:pPr>
      <w:spacing w:line="360" w:lineRule="auto"/>
      <w:ind w:left="1132" w:hanging="283"/>
      <w:jc w:val="both"/>
    </w:pPr>
    <w:rPr>
      <w:lang w:val="en-GB"/>
    </w:rPr>
  </w:style>
  <w:style w:type="paragraph" w:styleId="List5">
    <w:name w:val="List 5"/>
    <w:basedOn w:val="Normal"/>
    <w:rsid w:val="00945FB2"/>
    <w:pPr>
      <w:spacing w:line="360" w:lineRule="auto"/>
      <w:ind w:left="1415" w:hanging="283"/>
      <w:jc w:val="both"/>
    </w:pPr>
    <w:rPr>
      <w:lang w:val="en-GB"/>
    </w:rPr>
  </w:style>
  <w:style w:type="paragraph" w:styleId="ListBullet">
    <w:name w:val="List Bullet"/>
    <w:basedOn w:val="Normal"/>
    <w:rsid w:val="00945FB2"/>
    <w:pPr>
      <w:numPr>
        <w:numId w:val="12"/>
      </w:numPr>
      <w:spacing w:line="360" w:lineRule="auto"/>
      <w:jc w:val="both"/>
    </w:pPr>
    <w:rPr>
      <w:lang w:val="en-GB"/>
    </w:rPr>
  </w:style>
  <w:style w:type="paragraph" w:styleId="ListBullet2">
    <w:name w:val="List Bullet 2"/>
    <w:basedOn w:val="Normal"/>
    <w:rsid w:val="00945FB2"/>
    <w:pPr>
      <w:numPr>
        <w:numId w:val="11"/>
      </w:numPr>
      <w:spacing w:line="360" w:lineRule="auto"/>
      <w:jc w:val="both"/>
    </w:pPr>
    <w:rPr>
      <w:lang w:val="en-GB"/>
    </w:rPr>
  </w:style>
  <w:style w:type="paragraph" w:styleId="ListBullet3">
    <w:name w:val="List Bullet 3"/>
    <w:basedOn w:val="Normal"/>
    <w:rsid w:val="00945FB2"/>
    <w:pPr>
      <w:numPr>
        <w:numId w:val="10"/>
      </w:numPr>
      <w:spacing w:line="360" w:lineRule="auto"/>
      <w:jc w:val="both"/>
    </w:pPr>
    <w:rPr>
      <w:lang w:val="en-GB"/>
    </w:rPr>
  </w:style>
  <w:style w:type="paragraph" w:styleId="ListBullet4">
    <w:name w:val="List Bullet 4"/>
    <w:basedOn w:val="Normal"/>
    <w:rsid w:val="00945FB2"/>
    <w:pPr>
      <w:numPr>
        <w:numId w:val="9"/>
      </w:numPr>
      <w:spacing w:line="360" w:lineRule="auto"/>
      <w:jc w:val="both"/>
    </w:pPr>
    <w:rPr>
      <w:lang w:val="en-GB"/>
    </w:rPr>
  </w:style>
  <w:style w:type="paragraph" w:styleId="ListBullet5">
    <w:name w:val="List Bullet 5"/>
    <w:basedOn w:val="Normal"/>
    <w:rsid w:val="00945FB2"/>
    <w:pPr>
      <w:numPr>
        <w:numId w:val="8"/>
      </w:numPr>
      <w:spacing w:line="360" w:lineRule="auto"/>
      <w:jc w:val="both"/>
    </w:pPr>
    <w:rPr>
      <w:lang w:val="en-GB"/>
    </w:rPr>
  </w:style>
  <w:style w:type="paragraph" w:styleId="ListContinue">
    <w:name w:val="List Continue"/>
    <w:basedOn w:val="Normal"/>
    <w:rsid w:val="00945FB2"/>
    <w:pPr>
      <w:spacing w:after="120" w:line="360" w:lineRule="auto"/>
      <w:ind w:left="283"/>
      <w:jc w:val="both"/>
    </w:pPr>
    <w:rPr>
      <w:lang w:val="en-GB"/>
    </w:rPr>
  </w:style>
  <w:style w:type="paragraph" w:styleId="ListContinue2">
    <w:name w:val="List Continue 2"/>
    <w:basedOn w:val="Normal"/>
    <w:rsid w:val="00945FB2"/>
    <w:pPr>
      <w:spacing w:after="120" w:line="360" w:lineRule="auto"/>
      <w:ind w:left="566"/>
      <w:jc w:val="both"/>
    </w:pPr>
    <w:rPr>
      <w:lang w:val="en-GB"/>
    </w:rPr>
  </w:style>
  <w:style w:type="paragraph" w:styleId="ListContinue3">
    <w:name w:val="List Continue 3"/>
    <w:basedOn w:val="Normal"/>
    <w:rsid w:val="00945FB2"/>
    <w:pPr>
      <w:spacing w:after="120" w:line="360" w:lineRule="auto"/>
      <w:ind w:left="849"/>
      <w:jc w:val="both"/>
    </w:pPr>
    <w:rPr>
      <w:lang w:val="en-GB"/>
    </w:rPr>
  </w:style>
  <w:style w:type="paragraph" w:styleId="ListContinue4">
    <w:name w:val="List Continue 4"/>
    <w:basedOn w:val="Normal"/>
    <w:rsid w:val="00945FB2"/>
    <w:pPr>
      <w:spacing w:after="120" w:line="360" w:lineRule="auto"/>
      <w:ind w:left="1132"/>
      <w:jc w:val="both"/>
    </w:pPr>
    <w:rPr>
      <w:lang w:val="en-GB"/>
    </w:rPr>
  </w:style>
  <w:style w:type="paragraph" w:styleId="ListContinue5">
    <w:name w:val="List Continue 5"/>
    <w:basedOn w:val="Normal"/>
    <w:rsid w:val="00945FB2"/>
    <w:pPr>
      <w:spacing w:after="120" w:line="360" w:lineRule="auto"/>
      <w:ind w:left="1415"/>
      <w:jc w:val="both"/>
    </w:pPr>
    <w:rPr>
      <w:lang w:val="en-GB"/>
    </w:rPr>
  </w:style>
  <w:style w:type="paragraph" w:styleId="ListNumber">
    <w:name w:val="List Number"/>
    <w:basedOn w:val="Normal"/>
    <w:rsid w:val="00945FB2"/>
    <w:pPr>
      <w:numPr>
        <w:numId w:val="7"/>
      </w:numPr>
      <w:spacing w:line="360" w:lineRule="auto"/>
      <w:jc w:val="both"/>
    </w:pPr>
    <w:rPr>
      <w:lang w:val="en-GB"/>
    </w:rPr>
  </w:style>
  <w:style w:type="paragraph" w:styleId="ListNumber2">
    <w:name w:val="List Number 2"/>
    <w:basedOn w:val="Normal"/>
    <w:rsid w:val="00945FB2"/>
    <w:pPr>
      <w:numPr>
        <w:numId w:val="6"/>
      </w:numPr>
      <w:spacing w:line="360" w:lineRule="auto"/>
      <w:jc w:val="both"/>
    </w:pPr>
    <w:rPr>
      <w:lang w:val="en-GB"/>
    </w:rPr>
  </w:style>
  <w:style w:type="paragraph" w:styleId="ListNumber3">
    <w:name w:val="List Number 3"/>
    <w:basedOn w:val="Normal"/>
    <w:rsid w:val="00945FB2"/>
    <w:pPr>
      <w:numPr>
        <w:numId w:val="5"/>
      </w:numPr>
      <w:spacing w:line="360" w:lineRule="auto"/>
      <w:jc w:val="both"/>
    </w:pPr>
    <w:rPr>
      <w:lang w:val="en-GB"/>
    </w:rPr>
  </w:style>
  <w:style w:type="paragraph" w:styleId="ListNumber4">
    <w:name w:val="List Number 4"/>
    <w:basedOn w:val="Normal"/>
    <w:rsid w:val="00945FB2"/>
    <w:pPr>
      <w:numPr>
        <w:numId w:val="4"/>
      </w:numPr>
      <w:spacing w:line="360" w:lineRule="auto"/>
      <w:jc w:val="both"/>
    </w:pPr>
    <w:rPr>
      <w:lang w:val="en-GB"/>
    </w:rPr>
  </w:style>
  <w:style w:type="paragraph" w:styleId="ListNumber5">
    <w:name w:val="List Number 5"/>
    <w:basedOn w:val="Normal"/>
    <w:rsid w:val="00945FB2"/>
    <w:pPr>
      <w:numPr>
        <w:numId w:val="3"/>
      </w:numPr>
      <w:spacing w:line="360" w:lineRule="auto"/>
      <w:jc w:val="both"/>
    </w:pPr>
    <w:rPr>
      <w:lang w:val="en-GB"/>
    </w:rPr>
  </w:style>
  <w:style w:type="paragraph" w:styleId="MacroText">
    <w:name w:val="macro"/>
    <w:link w:val="MacroTextChar"/>
    <w:semiHidden/>
    <w:rsid w:val="00945FB2"/>
    <w:pPr>
      <w:tabs>
        <w:tab w:val="left" w:pos="480"/>
        <w:tab w:val="left" w:pos="960"/>
        <w:tab w:val="left" w:pos="1440"/>
        <w:tab w:val="left" w:pos="1920"/>
        <w:tab w:val="left" w:pos="2400"/>
        <w:tab w:val="left" w:pos="2880"/>
        <w:tab w:val="left" w:pos="3360"/>
        <w:tab w:val="left" w:pos="3840"/>
        <w:tab w:val="left" w:pos="4320"/>
      </w:tabs>
      <w:spacing w:line="360" w:lineRule="auto"/>
      <w:jc w:val="both"/>
    </w:pPr>
    <w:rPr>
      <w:rFonts w:ascii="Courier New" w:eastAsia="Times New Roman" w:hAnsi="Courier New" w:cs="Courier New"/>
    </w:rPr>
  </w:style>
  <w:style w:type="character" w:customStyle="1" w:styleId="MacroTextChar">
    <w:name w:val="Macro Text Char"/>
    <w:basedOn w:val="DefaultParagraphFont"/>
    <w:link w:val="MacroText"/>
    <w:semiHidden/>
    <w:rsid w:val="00945FB2"/>
    <w:rPr>
      <w:rFonts w:ascii="Courier New" w:eastAsia="Times New Roman" w:hAnsi="Courier New" w:cs="Courier New"/>
    </w:rPr>
  </w:style>
  <w:style w:type="paragraph" w:styleId="MessageHeader">
    <w:name w:val="Message Header"/>
    <w:basedOn w:val="Normal"/>
    <w:link w:val="MessageHeaderChar"/>
    <w:rsid w:val="00945FB2"/>
    <w:pPr>
      <w:pBdr>
        <w:top w:val="single" w:sz="6" w:space="1" w:color="auto"/>
        <w:left w:val="single" w:sz="6" w:space="1" w:color="auto"/>
        <w:bottom w:val="single" w:sz="6" w:space="1" w:color="auto"/>
        <w:right w:val="single" w:sz="6" w:space="1" w:color="auto"/>
      </w:pBdr>
      <w:shd w:val="pct20" w:color="auto" w:fill="auto"/>
      <w:spacing w:line="360" w:lineRule="auto"/>
      <w:ind w:left="1134" w:hanging="1134"/>
      <w:jc w:val="both"/>
    </w:pPr>
    <w:rPr>
      <w:rFonts w:ascii="Arial" w:hAnsi="Arial" w:cs="Arial"/>
      <w:lang w:val="en-GB"/>
    </w:rPr>
  </w:style>
  <w:style w:type="character" w:customStyle="1" w:styleId="MessageHeaderChar">
    <w:name w:val="Message Header Char"/>
    <w:basedOn w:val="DefaultParagraphFont"/>
    <w:link w:val="MessageHeader"/>
    <w:rsid w:val="00945FB2"/>
    <w:rPr>
      <w:rFonts w:ascii="Arial" w:eastAsia="Times New Roman" w:hAnsi="Arial" w:cs="Arial"/>
      <w:sz w:val="24"/>
      <w:szCs w:val="24"/>
      <w:shd w:val="pct20" w:color="auto" w:fill="auto"/>
    </w:rPr>
  </w:style>
  <w:style w:type="paragraph" w:styleId="NormalWeb">
    <w:name w:val="Normal (Web)"/>
    <w:basedOn w:val="Normal"/>
    <w:rsid w:val="00945FB2"/>
    <w:pPr>
      <w:spacing w:line="360" w:lineRule="auto"/>
      <w:jc w:val="both"/>
    </w:pPr>
    <w:rPr>
      <w:lang w:val="en-GB"/>
    </w:rPr>
  </w:style>
  <w:style w:type="paragraph" w:styleId="NormalIndent">
    <w:name w:val="Normal Indent"/>
    <w:basedOn w:val="Normal"/>
    <w:rsid w:val="00945FB2"/>
    <w:pPr>
      <w:spacing w:line="360" w:lineRule="auto"/>
      <w:ind w:left="720"/>
      <w:jc w:val="both"/>
    </w:pPr>
    <w:rPr>
      <w:lang w:val="en-GB"/>
    </w:rPr>
  </w:style>
  <w:style w:type="paragraph" w:styleId="NoteHeading">
    <w:name w:val="Note Heading"/>
    <w:basedOn w:val="Normal"/>
    <w:next w:val="Normal"/>
    <w:link w:val="NoteHeadingChar"/>
    <w:rsid w:val="00945FB2"/>
    <w:pPr>
      <w:spacing w:line="360" w:lineRule="auto"/>
      <w:jc w:val="both"/>
    </w:pPr>
    <w:rPr>
      <w:lang w:val="en-GB"/>
    </w:rPr>
  </w:style>
  <w:style w:type="character" w:customStyle="1" w:styleId="NoteHeadingChar">
    <w:name w:val="Note Heading Char"/>
    <w:basedOn w:val="DefaultParagraphFont"/>
    <w:link w:val="NoteHeading"/>
    <w:rsid w:val="00945FB2"/>
    <w:rPr>
      <w:rFonts w:ascii="Times New Roman" w:eastAsia="Times New Roman" w:hAnsi="Times New Roman" w:cs="Times New Roman"/>
      <w:sz w:val="24"/>
      <w:szCs w:val="24"/>
    </w:rPr>
  </w:style>
  <w:style w:type="paragraph" w:styleId="PlainText">
    <w:name w:val="Plain Text"/>
    <w:basedOn w:val="Normal"/>
    <w:link w:val="PlainTextChar"/>
    <w:rsid w:val="00945FB2"/>
    <w:pPr>
      <w:spacing w:line="360" w:lineRule="auto"/>
      <w:jc w:val="both"/>
    </w:pPr>
    <w:rPr>
      <w:rFonts w:ascii="Courier New" w:hAnsi="Courier New" w:cs="Courier New"/>
      <w:sz w:val="20"/>
      <w:szCs w:val="20"/>
      <w:lang w:val="en-GB"/>
    </w:rPr>
  </w:style>
  <w:style w:type="character" w:customStyle="1" w:styleId="PlainTextChar">
    <w:name w:val="Plain Text Char"/>
    <w:basedOn w:val="DefaultParagraphFont"/>
    <w:link w:val="PlainText"/>
    <w:rsid w:val="00945FB2"/>
    <w:rPr>
      <w:rFonts w:ascii="Courier New" w:eastAsia="Times New Roman" w:hAnsi="Courier New" w:cs="Courier New"/>
    </w:rPr>
  </w:style>
  <w:style w:type="paragraph" w:styleId="Salutation">
    <w:name w:val="Salutation"/>
    <w:basedOn w:val="Normal"/>
    <w:next w:val="Normal"/>
    <w:link w:val="SalutationChar"/>
    <w:rsid w:val="00945FB2"/>
    <w:pPr>
      <w:spacing w:line="360" w:lineRule="auto"/>
      <w:jc w:val="both"/>
    </w:pPr>
    <w:rPr>
      <w:lang w:val="en-GB"/>
    </w:rPr>
  </w:style>
  <w:style w:type="character" w:customStyle="1" w:styleId="SalutationChar">
    <w:name w:val="Salutation Char"/>
    <w:basedOn w:val="DefaultParagraphFont"/>
    <w:link w:val="Salutation"/>
    <w:rsid w:val="00945FB2"/>
    <w:rPr>
      <w:rFonts w:ascii="Times New Roman" w:eastAsia="Times New Roman" w:hAnsi="Times New Roman" w:cs="Times New Roman"/>
      <w:sz w:val="24"/>
      <w:szCs w:val="24"/>
    </w:rPr>
  </w:style>
  <w:style w:type="paragraph" w:styleId="Signature">
    <w:name w:val="Signature"/>
    <w:basedOn w:val="Normal"/>
    <w:link w:val="SignatureChar"/>
    <w:rsid w:val="00945FB2"/>
    <w:pPr>
      <w:spacing w:line="360" w:lineRule="auto"/>
      <w:ind w:left="4252"/>
      <w:jc w:val="both"/>
    </w:pPr>
    <w:rPr>
      <w:lang w:val="en-GB"/>
    </w:rPr>
  </w:style>
  <w:style w:type="character" w:customStyle="1" w:styleId="SignatureChar">
    <w:name w:val="Signature Char"/>
    <w:basedOn w:val="DefaultParagraphFont"/>
    <w:link w:val="Signature"/>
    <w:rsid w:val="00945FB2"/>
    <w:rPr>
      <w:rFonts w:ascii="Times New Roman" w:eastAsia="Times New Roman" w:hAnsi="Times New Roman" w:cs="Times New Roman"/>
      <w:sz w:val="24"/>
      <w:szCs w:val="24"/>
    </w:rPr>
  </w:style>
  <w:style w:type="paragraph" w:styleId="Subtitle">
    <w:name w:val="Subtitle"/>
    <w:basedOn w:val="Normal"/>
    <w:link w:val="SubtitleChar"/>
    <w:qFormat/>
    <w:rsid w:val="00945FB2"/>
    <w:pPr>
      <w:spacing w:after="60" w:line="360" w:lineRule="auto"/>
      <w:jc w:val="center"/>
      <w:outlineLvl w:val="1"/>
    </w:pPr>
    <w:rPr>
      <w:rFonts w:ascii="Arial" w:hAnsi="Arial" w:cs="Arial"/>
      <w:lang w:val="en-GB"/>
    </w:rPr>
  </w:style>
  <w:style w:type="character" w:customStyle="1" w:styleId="SubtitleChar">
    <w:name w:val="Subtitle Char"/>
    <w:basedOn w:val="DefaultParagraphFont"/>
    <w:link w:val="Subtitle"/>
    <w:rsid w:val="00945FB2"/>
    <w:rPr>
      <w:rFonts w:ascii="Arial" w:eastAsia="Times New Roman" w:hAnsi="Arial" w:cs="Arial"/>
      <w:sz w:val="24"/>
      <w:szCs w:val="24"/>
    </w:rPr>
  </w:style>
  <w:style w:type="paragraph" w:styleId="TableofAuthorities">
    <w:name w:val="table of authorities"/>
    <w:basedOn w:val="Normal"/>
    <w:next w:val="Normal"/>
    <w:semiHidden/>
    <w:rsid w:val="00945FB2"/>
    <w:pPr>
      <w:spacing w:line="360" w:lineRule="auto"/>
      <w:ind w:left="240" w:hanging="240"/>
      <w:jc w:val="both"/>
    </w:pPr>
    <w:rPr>
      <w:lang w:val="en-GB"/>
    </w:rPr>
  </w:style>
  <w:style w:type="paragraph" w:styleId="Title">
    <w:name w:val="Title"/>
    <w:basedOn w:val="Normal"/>
    <w:link w:val="TitleChar"/>
    <w:qFormat/>
    <w:rsid w:val="00945FB2"/>
    <w:pPr>
      <w:spacing w:before="240" w:after="60" w:line="360" w:lineRule="auto"/>
      <w:jc w:val="center"/>
      <w:outlineLvl w:val="0"/>
    </w:pPr>
    <w:rPr>
      <w:rFonts w:ascii="Arial" w:hAnsi="Arial" w:cs="Arial"/>
      <w:b/>
      <w:bCs/>
      <w:kern w:val="28"/>
      <w:sz w:val="32"/>
      <w:szCs w:val="32"/>
      <w:lang w:val="en-GB"/>
    </w:rPr>
  </w:style>
  <w:style w:type="character" w:customStyle="1" w:styleId="TitleChar">
    <w:name w:val="Title Char"/>
    <w:basedOn w:val="DefaultParagraphFont"/>
    <w:link w:val="Title"/>
    <w:rsid w:val="00945FB2"/>
    <w:rPr>
      <w:rFonts w:ascii="Arial" w:eastAsia="Times New Roman" w:hAnsi="Arial" w:cs="Arial"/>
      <w:b/>
      <w:bCs/>
      <w:kern w:val="28"/>
      <w:sz w:val="32"/>
      <w:szCs w:val="32"/>
    </w:rPr>
  </w:style>
  <w:style w:type="paragraph" w:styleId="TOAHeading">
    <w:name w:val="toa heading"/>
    <w:basedOn w:val="Normal"/>
    <w:next w:val="Normal"/>
    <w:semiHidden/>
    <w:rsid w:val="00945FB2"/>
    <w:pPr>
      <w:spacing w:before="120" w:line="360" w:lineRule="auto"/>
      <w:jc w:val="both"/>
    </w:pPr>
    <w:rPr>
      <w:rFonts w:ascii="Arial" w:hAnsi="Arial" w:cs="Arial"/>
      <w:b/>
      <w:bCs/>
      <w:lang w:val="en-GB"/>
    </w:rPr>
  </w:style>
  <w:style w:type="table" w:styleId="TableGrid2">
    <w:name w:val="Table Grid 2"/>
    <w:basedOn w:val="TableNormal"/>
    <w:rsid w:val="00945FB2"/>
    <w:pPr>
      <w:jc w:val="center"/>
    </w:pPr>
    <w:rPr>
      <w:rFonts w:ascii="Times New Roman" w:eastAsia="SimSu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pPr>
        <w:jc w:val="center"/>
      </w:pPr>
      <w:rPr>
        <w:b/>
        <w:bCs/>
      </w:r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Simple1">
    <w:name w:val="Table Simple 1"/>
    <w:basedOn w:val="TableNormal"/>
    <w:rsid w:val="00945FB2"/>
    <w:rPr>
      <w:rFonts w:ascii="Times New Roman" w:eastAsia="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CharChar">
    <w:name w:val="Char Char"/>
    <w:basedOn w:val="DefaultParagraphFont"/>
    <w:rsid w:val="00945FB2"/>
    <w:rPr>
      <w:b/>
      <w:bCs/>
      <w:lang w:val="es-ES" w:eastAsia="es-ES" w:bidi="ar-SA"/>
    </w:rPr>
  </w:style>
  <w:style w:type="paragraph" w:customStyle="1" w:styleId="Heading41">
    <w:name w:val="Heading 41"/>
    <w:basedOn w:val="Normal"/>
    <w:rsid w:val="00945FB2"/>
    <w:pPr>
      <w:spacing w:line="360" w:lineRule="auto"/>
    </w:pPr>
    <w:rPr>
      <w:i/>
      <w:lang w:val="en-GB" w:eastAsia="es-ES"/>
    </w:rPr>
  </w:style>
  <w:style w:type="paragraph" w:customStyle="1" w:styleId="NormalJustified">
    <w:name w:val="Normal + Justified"/>
    <w:aliases w:val="Line spacing:  Double"/>
    <w:basedOn w:val="Normal"/>
    <w:rsid w:val="00945FB2"/>
    <w:pPr>
      <w:spacing w:line="480" w:lineRule="auto"/>
      <w:jc w:val="both"/>
    </w:pPr>
  </w:style>
  <w:style w:type="paragraph" w:styleId="ListParagraph">
    <w:name w:val="List Paragraph"/>
    <w:basedOn w:val="Normal"/>
    <w:uiPriority w:val="34"/>
    <w:qFormat/>
    <w:rsid w:val="005E29B6"/>
    <w:pPr>
      <w:ind w:left="720"/>
      <w:contextualSpacing/>
    </w:pPr>
  </w:style>
  <w:style w:type="paragraph" w:styleId="Revision">
    <w:name w:val="Revision"/>
    <w:hidden/>
    <w:uiPriority w:val="99"/>
    <w:semiHidden/>
    <w:rsid w:val="00945AE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457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tiff"/><Relationship Id="rId14" Type="http://schemas.openxmlformats.org/officeDocument/2006/relationships/image" Target="media/image6.wmf"/></Relationships>
</file>

<file path=word/charts/_rels/chart1.xml.rels><?xml version="1.0" encoding="UTF-8" standalone="yes"?>
<Relationships xmlns="http://schemas.openxmlformats.org/package/2006/relationships"><Relationship Id="rId1" Type="http://schemas.openxmlformats.org/officeDocument/2006/relationships/oleObject" Target="file:///C:\Users\welton\Documents\Research\Papers\Kamlet-Taft%202\Heiko's%20grap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a:noFill/>
            </a:ln>
          </c:spPr>
          <c:xVal>
            <c:numRef>
              <c:f>bmim!$E$2:$E$18</c:f>
              <c:numCache>
                <c:formatCode>General</c:formatCode>
                <c:ptCount val="17"/>
                <c:pt idx="0">
                  <c:v>0.49000000000000032</c:v>
                </c:pt>
                <c:pt idx="1">
                  <c:v>0.60000000000000064</c:v>
                </c:pt>
                <c:pt idx="2">
                  <c:v>0.69000000000000161</c:v>
                </c:pt>
                <c:pt idx="3">
                  <c:v>0.83000000000000063</c:v>
                </c:pt>
                <c:pt idx="4">
                  <c:v>1.1100000000000001</c:v>
                </c:pt>
                <c:pt idx="5">
                  <c:v>1.22</c:v>
                </c:pt>
                <c:pt idx="6">
                  <c:v>0.21000000000000021</c:v>
                </c:pt>
                <c:pt idx="7">
                  <c:v>0.38000000000000106</c:v>
                </c:pt>
                <c:pt idx="8">
                  <c:v>0.21000000000000021</c:v>
                </c:pt>
                <c:pt idx="9">
                  <c:v>0.24000000000000021</c:v>
                </c:pt>
                <c:pt idx="10">
                  <c:v>0.5</c:v>
                </c:pt>
                <c:pt idx="11">
                  <c:v>0.51</c:v>
                </c:pt>
                <c:pt idx="12">
                  <c:v>0.2200000000000002</c:v>
                </c:pt>
                <c:pt idx="13">
                  <c:v>0.25</c:v>
                </c:pt>
                <c:pt idx="14">
                  <c:v>0.47000000000000008</c:v>
                </c:pt>
                <c:pt idx="15">
                  <c:v>1.1499999999999957</c:v>
                </c:pt>
                <c:pt idx="16">
                  <c:v>0.65000000000000224</c:v>
                </c:pt>
              </c:numCache>
            </c:numRef>
          </c:xVal>
          <c:yVal>
            <c:numRef>
              <c:f>bmim!$D$2:$D$18</c:f>
              <c:numCache>
                <c:formatCode>General</c:formatCode>
                <c:ptCount val="17"/>
                <c:pt idx="0">
                  <c:v>0.64000000000000212</c:v>
                </c:pt>
                <c:pt idx="1">
                  <c:v>0.54</c:v>
                </c:pt>
                <c:pt idx="2">
                  <c:v>0.55000000000000004</c:v>
                </c:pt>
                <c:pt idx="3">
                  <c:v>0.49000000000000032</c:v>
                </c:pt>
                <c:pt idx="4">
                  <c:v>0.45</c:v>
                </c:pt>
                <c:pt idx="5">
                  <c:v>0.48000000000000032</c:v>
                </c:pt>
                <c:pt idx="6">
                  <c:v>0.60000000000000064</c:v>
                </c:pt>
                <c:pt idx="7">
                  <c:v>0.62000000000000188</c:v>
                </c:pt>
                <c:pt idx="8">
                  <c:v>0.63000000000000211</c:v>
                </c:pt>
                <c:pt idx="9">
                  <c:v>0.61000000000000065</c:v>
                </c:pt>
                <c:pt idx="10">
                  <c:v>0.62000000000000188</c:v>
                </c:pt>
                <c:pt idx="11">
                  <c:v>0.60000000000000064</c:v>
                </c:pt>
                <c:pt idx="12">
                  <c:v>0.61000000000000065</c:v>
                </c:pt>
                <c:pt idx="13">
                  <c:v>0.62000000000000188</c:v>
                </c:pt>
                <c:pt idx="14">
                  <c:v>0.64000000000000212</c:v>
                </c:pt>
                <c:pt idx="15">
                  <c:v>0.45</c:v>
                </c:pt>
                <c:pt idx="16">
                  <c:v>0.52</c:v>
                </c:pt>
              </c:numCache>
            </c:numRef>
          </c:yVal>
          <c:smooth val="0"/>
        </c:ser>
        <c:dLbls>
          <c:showLegendKey val="0"/>
          <c:showVal val="0"/>
          <c:showCatName val="0"/>
          <c:showSerName val="0"/>
          <c:showPercent val="0"/>
          <c:showBubbleSize val="0"/>
        </c:dLbls>
        <c:axId val="93418624"/>
        <c:axId val="93420544"/>
      </c:scatterChart>
      <c:valAx>
        <c:axId val="93418624"/>
        <c:scaling>
          <c:orientation val="minMax"/>
        </c:scaling>
        <c:delete val="0"/>
        <c:axPos val="b"/>
        <c:title>
          <c:tx>
            <c:rich>
              <a:bodyPr/>
              <a:lstStyle/>
              <a:p>
                <a:pPr>
                  <a:defRPr/>
                </a:pPr>
                <a:r>
                  <a:rPr lang="el-GR" sz="1000" b="1" i="0" u="none" strike="noStrike" baseline="0" smtClean="0"/>
                  <a:t>β</a:t>
                </a:r>
                <a:endParaRPr lang="en-US"/>
              </a:p>
            </c:rich>
          </c:tx>
          <c:overlay val="0"/>
        </c:title>
        <c:numFmt formatCode="General" sourceLinked="1"/>
        <c:majorTickMark val="none"/>
        <c:minorTickMark val="none"/>
        <c:tickLblPos val="nextTo"/>
        <c:txPr>
          <a:bodyPr/>
          <a:lstStyle/>
          <a:p>
            <a:pPr>
              <a:defRPr lang="en-GB"/>
            </a:pPr>
            <a:endParaRPr lang="en-US"/>
          </a:p>
        </c:txPr>
        <c:crossAx val="93420544"/>
        <c:crosses val="autoZero"/>
        <c:crossBetween val="midCat"/>
      </c:valAx>
      <c:valAx>
        <c:axId val="93420544"/>
        <c:scaling>
          <c:orientation val="minMax"/>
          <c:min val="0.4"/>
        </c:scaling>
        <c:delete val="0"/>
        <c:axPos val="l"/>
        <c:majorGridlines/>
        <c:title>
          <c:tx>
            <c:rich>
              <a:bodyPr/>
              <a:lstStyle/>
              <a:p>
                <a:pPr>
                  <a:defRPr/>
                </a:pPr>
                <a:r>
                  <a:rPr lang="el-GR" sz="1000" b="1" i="0" u="none" strike="noStrike" baseline="0" smtClean="0"/>
                  <a:t>α</a:t>
                </a:r>
                <a:endParaRPr lang="en-US"/>
              </a:p>
            </c:rich>
          </c:tx>
          <c:overlay val="0"/>
        </c:title>
        <c:numFmt formatCode="General" sourceLinked="1"/>
        <c:majorTickMark val="none"/>
        <c:minorTickMark val="none"/>
        <c:tickLblPos val="nextTo"/>
        <c:txPr>
          <a:bodyPr/>
          <a:lstStyle/>
          <a:p>
            <a:pPr>
              <a:defRPr lang="en-GB"/>
            </a:pPr>
            <a:endParaRPr lang="en-US"/>
          </a:p>
        </c:txPr>
        <c:crossAx val="93418624"/>
        <c:crosses val="autoZero"/>
        <c:crossBetween val="midCat"/>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16C82-7518-4DB4-BF9C-46CB3724B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F021FD8C</Template>
  <TotalTime>1</TotalTime>
  <Pages>24</Pages>
  <Words>7359</Words>
  <Characters>41947</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Imperial College</Company>
  <LinksUpToDate>false</LinksUpToDate>
  <CharactersWithSpaces>49208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Lorna Crowhurst</dc:creator>
  <cp:lastModifiedBy>Munro, Adam</cp:lastModifiedBy>
  <cp:revision>2</cp:revision>
  <cp:lastPrinted>2011-04-14T15:41:00Z</cp:lastPrinted>
  <dcterms:created xsi:type="dcterms:W3CDTF">2012-08-08T14:54:00Z</dcterms:created>
  <dcterms:modified xsi:type="dcterms:W3CDTF">2012-08-08T14:54:00Z</dcterms:modified>
</cp:coreProperties>
</file>