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5A" w:rsidRDefault="00B70A5A" w:rsidP="00B70A5A">
      <w:pPr>
        <w:pStyle w:val="NormalWeb"/>
      </w:pPr>
      <w:bookmarkStart w:id="0" w:name="_GoBack"/>
      <w:r>
        <w:rPr>
          <w:rFonts w:ascii="AdvOT66af078c.B" w:hAnsi="AdvOT66af078c.B"/>
          <w:sz w:val="18"/>
          <w:szCs w:val="18"/>
        </w:rPr>
        <w:t xml:space="preserve">N- and O-glycosylation of gp120 isolated from HIV </w:t>
      </w:r>
      <w:proofErr w:type="spellStart"/>
      <w:r>
        <w:rPr>
          <w:rFonts w:ascii="AdvOT66af078c.B" w:hAnsi="AdvOT66af078c.B"/>
          <w:sz w:val="18"/>
          <w:szCs w:val="18"/>
        </w:rPr>
        <w:t>virions</w:t>
      </w:r>
      <w:proofErr w:type="spellEnd"/>
      <w:r>
        <w:rPr>
          <w:rFonts w:ascii="AdvOT66af078c.B" w:hAnsi="AdvOT66af078c.B"/>
          <w:sz w:val="18"/>
          <w:szCs w:val="18"/>
        </w:rPr>
        <w:t xml:space="preserve"> </w:t>
      </w:r>
    </w:p>
    <w:bookmarkEnd w:id="0"/>
    <w:p w:rsidR="00B70A5A" w:rsidRDefault="00B70A5A" w:rsidP="00B70A5A">
      <w:pPr>
        <w:pStyle w:val="NormalWeb"/>
        <w:rPr>
          <w:rFonts w:ascii="AdvOT66af078c.B" w:hAnsi="AdvOT66af078c.B"/>
          <w:sz w:val="18"/>
          <w:szCs w:val="18"/>
        </w:rPr>
      </w:pPr>
    </w:p>
    <w:p w:rsidR="00B70A5A" w:rsidRDefault="00B70A5A" w:rsidP="00B70A5A">
      <w:pPr>
        <w:pStyle w:val="NormalWeb"/>
      </w:pPr>
      <w:r>
        <w:rPr>
          <w:rFonts w:ascii="AdvOTbc475f09" w:hAnsi="AdvOTbc475f09"/>
          <w:sz w:val="18"/>
          <w:szCs w:val="18"/>
        </w:rPr>
        <w:t>We have recently reported (</w:t>
      </w:r>
      <w:proofErr w:type="spellStart"/>
      <w:r>
        <w:rPr>
          <w:rFonts w:ascii="AdvOTbc475f09" w:hAnsi="AdvOTbc475f09"/>
          <w:sz w:val="18"/>
          <w:szCs w:val="18"/>
        </w:rPr>
        <w:t>Stansell</w:t>
      </w:r>
      <w:proofErr w:type="spellEnd"/>
      <w:r>
        <w:rPr>
          <w:rFonts w:ascii="AdvOTbc475f09" w:hAnsi="AdvOTbc475f09"/>
          <w:sz w:val="18"/>
          <w:szCs w:val="18"/>
        </w:rPr>
        <w:t xml:space="preserve"> et al </w:t>
      </w:r>
      <w:proofErr w:type="spellStart"/>
      <w:r>
        <w:rPr>
          <w:rFonts w:ascii="AdvOTbc475f09" w:hAnsi="AdvOTbc475f09"/>
          <w:sz w:val="18"/>
          <w:szCs w:val="18"/>
        </w:rPr>
        <w:t>PLoS</w:t>
      </w:r>
      <w:proofErr w:type="spellEnd"/>
      <w:r>
        <w:rPr>
          <w:rFonts w:ascii="AdvOTbc475f09" w:hAnsi="AdvOTbc475f09"/>
          <w:sz w:val="18"/>
          <w:szCs w:val="18"/>
        </w:rPr>
        <w:t xml:space="preserve"> One (2015) 10(4): e0124784) that gp120 on HIV-1 isolated from </w:t>
      </w:r>
      <w:proofErr w:type="spellStart"/>
      <w:r>
        <w:rPr>
          <w:rFonts w:ascii="AdvOTbc475f09" w:hAnsi="AdvOTbc475f09"/>
          <w:sz w:val="18"/>
          <w:szCs w:val="18"/>
        </w:rPr>
        <w:t>virions</w:t>
      </w:r>
      <w:proofErr w:type="spellEnd"/>
      <w:r>
        <w:rPr>
          <w:rFonts w:ascii="AdvOTbc475f09" w:hAnsi="AdvOTbc475f09"/>
          <w:sz w:val="18"/>
          <w:szCs w:val="18"/>
        </w:rPr>
        <w:t xml:space="preserve"> lacks O-linked glycosylation. This </w:t>
      </w:r>
      <w:r>
        <w:rPr>
          <w:rFonts w:ascii="AdvOTbc475f09+fb" w:hAnsi="AdvOTbc475f09+fb"/>
          <w:sz w:val="18"/>
          <w:szCs w:val="18"/>
        </w:rPr>
        <w:t>fi</w:t>
      </w:r>
      <w:r>
        <w:rPr>
          <w:rFonts w:ascii="AdvOTbc475f09" w:hAnsi="AdvOTbc475f09"/>
          <w:sz w:val="18"/>
          <w:szCs w:val="18"/>
        </w:rPr>
        <w:t xml:space="preserve">nding was unexpected because both HIV and SIV gp120s have a conserved threonine near their C-terminus and, when expressed </w:t>
      </w:r>
      <w:proofErr w:type="spellStart"/>
      <w:r>
        <w:rPr>
          <w:rFonts w:ascii="AdvOTbc475f09" w:hAnsi="AdvOTbc475f09"/>
          <w:sz w:val="18"/>
          <w:szCs w:val="18"/>
        </w:rPr>
        <w:t>recombinantly</w:t>
      </w:r>
      <w:proofErr w:type="spellEnd"/>
      <w:r>
        <w:rPr>
          <w:rFonts w:ascii="AdvOTbc475f09" w:hAnsi="AdvOTbc475f09"/>
          <w:sz w:val="18"/>
          <w:szCs w:val="18"/>
        </w:rPr>
        <w:t xml:space="preserve"> as secreted pro- </w:t>
      </w:r>
      <w:proofErr w:type="spellStart"/>
      <w:r>
        <w:rPr>
          <w:rFonts w:ascii="AdvOTbc475f09" w:hAnsi="AdvOTbc475f09"/>
          <w:sz w:val="18"/>
          <w:szCs w:val="18"/>
        </w:rPr>
        <w:t>teins</w:t>
      </w:r>
      <w:proofErr w:type="spellEnd"/>
      <w:r>
        <w:rPr>
          <w:rFonts w:ascii="AdvOTbc475f09" w:hAnsi="AdvOTbc475f09"/>
          <w:sz w:val="18"/>
          <w:szCs w:val="18"/>
        </w:rPr>
        <w:t xml:space="preserve">, this site is almost fully occupied with core 1 and core 2 O-glycans. This talk will report on the highly sensitive </w:t>
      </w:r>
      <w:proofErr w:type="spellStart"/>
      <w:r>
        <w:rPr>
          <w:rFonts w:ascii="AdvOTbc475f09" w:hAnsi="AdvOTbc475f09"/>
          <w:sz w:val="18"/>
          <w:szCs w:val="18"/>
        </w:rPr>
        <w:t>glycopro</w:t>
      </w:r>
      <w:proofErr w:type="spellEnd"/>
      <w:r>
        <w:rPr>
          <w:rFonts w:ascii="AdvOTbc475f09" w:hAnsi="AdvOTbc475f09"/>
          <w:sz w:val="18"/>
          <w:szCs w:val="18"/>
        </w:rPr>
        <w:t xml:space="preserve">- </w:t>
      </w:r>
      <w:proofErr w:type="spellStart"/>
      <w:r>
        <w:rPr>
          <w:rFonts w:ascii="AdvOTbc475f09" w:hAnsi="AdvOTbc475f09"/>
          <w:sz w:val="18"/>
          <w:szCs w:val="18"/>
        </w:rPr>
        <w:t>teomic</w:t>
      </w:r>
      <w:proofErr w:type="spellEnd"/>
      <w:r>
        <w:rPr>
          <w:rFonts w:ascii="AdvOTbc475f09" w:hAnsi="AdvOTbc475f09"/>
          <w:sz w:val="18"/>
          <w:szCs w:val="18"/>
        </w:rPr>
        <w:t xml:space="preserve"> </w:t>
      </w:r>
      <w:proofErr w:type="gramStart"/>
      <w:r>
        <w:rPr>
          <w:rFonts w:ascii="AdvOTbc475f09" w:hAnsi="AdvOTbc475f09"/>
          <w:sz w:val="18"/>
          <w:szCs w:val="18"/>
        </w:rPr>
        <w:t>strategies which</w:t>
      </w:r>
      <w:proofErr w:type="gramEnd"/>
      <w:r>
        <w:rPr>
          <w:rFonts w:ascii="AdvOTbc475f09" w:hAnsi="AdvOTbc475f09"/>
          <w:sz w:val="18"/>
          <w:szCs w:val="18"/>
        </w:rPr>
        <w:t xml:space="preserve"> we have employed to characterize the </w:t>
      </w:r>
      <w:proofErr w:type="spellStart"/>
      <w:r>
        <w:rPr>
          <w:rFonts w:ascii="AdvOTbc475f09" w:hAnsi="AdvOTbc475f09"/>
          <w:sz w:val="18"/>
          <w:szCs w:val="18"/>
        </w:rPr>
        <w:t>gly</w:t>
      </w:r>
      <w:proofErr w:type="spellEnd"/>
      <w:r>
        <w:rPr>
          <w:rFonts w:ascii="AdvOTbc475f09" w:hAnsi="AdvOTbc475f09"/>
          <w:sz w:val="18"/>
          <w:szCs w:val="18"/>
        </w:rPr>
        <w:t xml:space="preserve">- </w:t>
      </w:r>
      <w:proofErr w:type="spellStart"/>
      <w:r>
        <w:rPr>
          <w:rFonts w:ascii="AdvOTbc475f09" w:hAnsi="AdvOTbc475f09"/>
          <w:sz w:val="18"/>
          <w:szCs w:val="18"/>
        </w:rPr>
        <w:t>cosylation</w:t>
      </w:r>
      <w:proofErr w:type="spellEnd"/>
      <w:r>
        <w:rPr>
          <w:rFonts w:ascii="AdvOTbc475f09" w:hAnsi="AdvOTbc475f09"/>
          <w:sz w:val="18"/>
          <w:szCs w:val="18"/>
        </w:rPr>
        <w:t xml:space="preserve"> of </w:t>
      </w:r>
      <w:proofErr w:type="spellStart"/>
      <w:r>
        <w:rPr>
          <w:rFonts w:ascii="AdvOTbc475f09" w:hAnsi="AdvOTbc475f09"/>
          <w:sz w:val="18"/>
          <w:szCs w:val="18"/>
        </w:rPr>
        <w:t>virion</w:t>
      </w:r>
      <w:proofErr w:type="spellEnd"/>
      <w:r>
        <w:rPr>
          <w:rFonts w:ascii="AdvOTbc475f09" w:hAnsi="AdvOTbc475f09"/>
          <w:sz w:val="18"/>
          <w:szCs w:val="18"/>
        </w:rPr>
        <w:t xml:space="preserve">-derived gp120. Mapping of all 24 N-glycosylation sites was achieved by performing multiple </w:t>
      </w:r>
      <w:proofErr w:type="spellStart"/>
      <w:r>
        <w:rPr>
          <w:rFonts w:ascii="AdvOTbc475f09" w:hAnsi="AdvOTbc475f09"/>
          <w:sz w:val="18"/>
          <w:szCs w:val="18"/>
        </w:rPr>
        <w:t>glyco</w:t>
      </w:r>
      <w:proofErr w:type="spellEnd"/>
      <w:r>
        <w:rPr>
          <w:rFonts w:ascii="AdvOTbc475f09" w:hAnsi="AdvOTbc475f09"/>
          <w:sz w:val="18"/>
          <w:szCs w:val="18"/>
        </w:rPr>
        <w:t xml:space="preserve">- </w:t>
      </w:r>
      <w:proofErr w:type="spellStart"/>
      <w:r>
        <w:rPr>
          <w:rFonts w:ascii="AdvOTbc475f09" w:hAnsi="AdvOTbc475f09"/>
          <w:sz w:val="18"/>
          <w:szCs w:val="18"/>
        </w:rPr>
        <w:t>mic</w:t>
      </w:r>
      <w:proofErr w:type="spellEnd"/>
      <w:r>
        <w:rPr>
          <w:rFonts w:ascii="AdvOTbc475f09" w:hAnsi="AdvOTbc475f09"/>
          <w:sz w:val="18"/>
          <w:szCs w:val="18"/>
        </w:rPr>
        <w:t xml:space="preserve"> and glycoproteomic experiments, each employing low micro- </w:t>
      </w:r>
      <w:proofErr w:type="spellStart"/>
      <w:r>
        <w:rPr>
          <w:rFonts w:ascii="AdvOTbc475f09" w:hAnsi="AdvOTbc475f09"/>
          <w:sz w:val="18"/>
          <w:szCs w:val="18"/>
        </w:rPr>
        <w:t>gramme</w:t>
      </w:r>
      <w:proofErr w:type="spellEnd"/>
      <w:r>
        <w:rPr>
          <w:rFonts w:ascii="AdvOTbc475f09" w:hAnsi="AdvOTbc475f09"/>
          <w:sz w:val="18"/>
          <w:szCs w:val="18"/>
        </w:rPr>
        <w:t xml:space="preserve"> quantities of sample. In the glycomic experiments, glycans were released from </w:t>
      </w:r>
      <w:proofErr w:type="spellStart"/>
      <w:r>
        <w:rPr>
          <w:rFonts w:ascii="AdvOTbc475f09" w:hAnsi="AdvOTbc475f09"/>
          <w:sz w:val="18"/>
          <w:szCs w:val="18"/>
        </w:rPr>
        <w:t>tryptic</w:t>
      </w:r>
      <w:proofErr w:type="spellEnd"/>
      <w:r>
        <w:rPr>
          <w:rFonts w:ascii="AdvOTbc475f09" w:hAnsi="AdvOTbc475f09"/>
          <w:sz w:val="18"/>
          <w:szCs w:val="18"/>
        </w:rPr>
        <w:t xml:space="preserve"> digests by </w:t>
      </w:r>
      <w:proofErr w:type="spellStart"/>
      <w:r>
        <w:rPr>
          <w:rFonts w:ascii="AdvOTbc475f09" w:hAnsi="AdvOTbc475f09"/>
          <w:sz w:val="18"/>
          <w:szCs w:val="18"/>
        </w:rPr>
        <w:t>PNGase</w:t>
      </w:r>
      <w:proofErr w:type="spellEnd"/>
      <w:r>
        <w:rPr>
          <w:rFonts w:ascii="AdvOTbc475f09" w:hAnsi="AdvOTbc475f09"/>
          <w:sz w:val="18"/>
          <w:szCs w:val="18"/>
        </w:rPr>
        <w:t xml:space="preserve"> F, </w:t>
      </w:r>
      <w:proofErr w:type="spellStart"/>
      <w:r>
        <w:rPr>
          <w:rFonts w:ascii="AdvOTbc475f09" w:hAnsi="AdvOTbc475f09"/>
          <w:sz w:val="18"/>
          <w:szCs w:val="18"/>
        </w:rPr>
        <w:t>PNGase</w:t>
      </w:r>
      <w:proofErr w:type="spellEnd"/>
      <w:r>
        <w:rPr>
          <w:rFonts w:ascii="AdvOTbc475f09" w:hAnsi="AdvOTbc475f09"/>
          <w:sz w:val="18"/>
          <w:szCs w:val="18"/>
        </w:rPr>
        <w:t xml:space="preserve"> A or </w:t>
      </w:r>
      <w:proofErr w:type="spellStart"/>
      <w:r>
        <w:rPr>
          <w:rFonts w:ascii="AdvOTbc475f09" w:hAnsi="AdvOTbc475f09"/>
          <w:sz w:val="18"/>
          <w:szCs w:val="18"/>
        </w:rPr>
        <w:t>endo</w:t>
      </w:r>
      <w:proofErr w:type="spellEnd"/>
      <w:r>
        <w:rPr>
          <w:rFonts w:ascii="AdvOTbc475f09" w:hAnsi="AdvOTbc475f09"/>
          <w:sz w:val="18"/>
          <w:szCs w:val="18"/>
        </w:rPr>
        <w:t xml:space="preserve"> H and were </w:t>
      </w:r>
      <w:proofErr w:type="spellStart"/>
      <w:r>
        <w:rPr>
          <w:rFonts w:ascii="AdvOTbc475f09" w:hAnsi="AdvOTbc475f09"/>
          <w:sz w:val="18"/>
          <w:szCs w:val="18"/>
        </w:rPr>
        <w:t>permethylated</w:t>
      </w:r>
      <w:proofErr w:type="spellEnd"/>
      <w:r>
        <w:rPr>
          <w:rFonts w:ascii="AdvOTbc475f09" w:hAnsi="AdvOTbc475f09"/>
          <w:sz w:val="18"/>
          <w:szCs w:val="18"/>
        </w:rPr>
        <w:t xml:space="preserve"> prior to MALDI-TOF-TOF analysis. Glycoproteomic experiments exploited both off-line and on-line nano-LC-MS/MS, with MALDI and electrospray </w:t>
      </w:r>
      <w:proofErr w:type="spellStart"/>
      <w:r>
        <w:rPr>
          <w:rFonts w:ascii="AdvOTbc475f09" w:hAnsi="AdvOTbc475f09"/>
          <w:sz w:val="18"/>
          <w:szCs w:val="18"/>
        </w:rPr>
        <w:t>ionisa</w:t>
      </w:r>
      <w:proofErr w:type="spellEnd"/>
      <w:r>
        <w:rPr>
          <w:rFonts w:ascii="AdvOTbc475f09" w:hAnsi="AdvOTbc475f09"/>
          <w:sz w:val="18"/>
          <w:szCs w:val="18"/>
        </w:rPr>
        <w:t xml:space="preserve">- </w:t>
      </w:r>
      <w:proofErr w:type="spellStart"/>
      <w:r>
        <w:rPr>
          <w:rFonts w:ascii="AdvOTbc475f09" w:hAnsi="AdvOTbc475f09"/>
          <w:sz w:val="18"/>
          <w:szCs w:val="18"/>
        </w:rPr>
        <w:t>tion</w:t>
      </w:r>
      <w:proofErr w:type="spellEnd"/>
      <w:r>
        <w:rPr>
          <w:rFonts w:ascii="AdvOTbc475f09" w:hAnsi="AdvOTbc475f09"/>
          <w:sz w:val="18"/>
          <w:szCs w:val="18"/>
        </w:rPr>
        <w:t>, respectively. Samples for glycoproteomics included: (</w:t>
      </w:r>
      <w:proofErr w:type="spellStart"/>
      <w:r>
        <w:rPr>
          <w:rFonts w:ascii="AdvOTbc475f09" w:hAnsi="AdvOTbc475f09"/>
          <w:sz w:val="18"/>
          <w:szCs w:val="18"/>
        </w:rPr>
        <w:t>i</w:t>
      </w:r>
      <w:proofErr w:type="spellEnd"/>
      <w:r>
        <w:rPr>
          <w:rFonts w:ascii="AdvOTbc475f09" w:hAnsi="AdvOTbc475f09"/>
          <w:sz w:val="18"/>
          <w:szCs w:val="18"/>
        </w:rPr>
        <w:t xml:space="preserve">) </w:t>
      </w:r>
      <w:proofErr w:type="spellStart"/>
      <w:r>
        <w:rPr>
          <w:rFonts w:ascii="AdvOTbc475f09" w:hAnsi="AdvOTbc475f09"/>
          <w:sz w:val="18"/>
          <w:szCs w:val="18"/>
        </w:rPr>
        <w:t>tryptic</w:t>
      </w:r>
      <w:proofErr w:type="spellEnd"/>
      <w:r>
        <w:rPr>
          <w:rFonts w:ascii="AdvOTbc475f09" w:hAnsi="AdvOTbc475f09"/>
          <w:sz w:val="18"/>
          <w:szCs w:val="18"/>
        </w:rPr>
        <w:t xml:space="preserve"> digests; (ii) sequential </w:t>
      </w:r>
      <w:proofErr w:type="spellStart"/>
      <w:r>
        <w:rPr>
          <w:rFonts w:ascii="AdvOTbc475f09" w:hAnsi="AdvOTbc475f09"/>
          <w:sz w:val="18"/>
          <w:szCs w:val="18"/>
        </w:rPr>
        <w:t>tryptic</w:t>
      </w:r>
      <w:proofErr w:type="spellEnd"/>
      <w:r>
        <w:rPr>
          <w:rFonts w:ascii="AdvOTbc475f09" w:hAnsi="AdvOTbc475f09"/>
          <w:sz w:val="18"/>
          <w:szCs w:val="18"/>
        </w:rPr>
        <w:t xml:space="preserve"> and </w:t>
      </w:r>
      <w:proofErr w:type="spellStart"/>
      <w:r>
        <w:rPr>
          <w:rFonts w:ascii="AdvOTbc475f09" w:hAnsi="AdvOTbc475f09"/>
          <w:sz w:val="18"/>
          <w:szCs w:val="18"/>
        </w:rPr>
        <w:t>endo</w:t>
      </w:r>
      <w:proofErr w:type="spellEnd"/>
      <w:r>
        <w:rPr>
          <w:rFonts w:ascii="AdvOTbc475f09" w:hAnsi="AdvOTbc475f09"/>
          <w:sz w:val="18"/>
          <w:szCs w:val="18"/>
        </w:rPr>
        <w:t xml:space="preserve"> H digests; (iii) se- </w:t>
      </w:r>
      <w:proofErr w:type="spellStart"/>
      <w:r>
        <w:rPr>
          <w:rFonts w:ascii="AdvOTbc475f09" w:hAnsi="AdvOTbc475f09"/>
          <w:sz w:val="18"/>
          <w:szCs w:val="18"/>
        </w:rPr>
        <w:t>quential</w:t>
      </w:r>
      <w:proofErr w:type="spellEnd"/>
      <w:r>
        <w:rPr>
          <w:rFonts w:ascii="AdvOTbc475f09" w:hAnsi="AdvOTbc475f09"/>
          <w:sz w:val="18"/>
          <w:szCs w:val="18"/>
        </w:rPr>
        <w:t xml:space="preserve"> </w:t>
      </w:r>
      <w:proofErr w:type="spellStart"/>
      <w:r>
        <w:rPr>
          <w:rFonts w:ascii="AdvOTbc475f09" w:hAnsi="AdvOTbc475f09"/>
          <w:sz w:val="18"/>
          <w:szCs w:val="18"/>
        </w:rPr>
        <w:t>tryptic</w:t>
      </w:r>
      <w:proofErr w:type="spellEnd"/>
      <w:r>
        <w:rPr>
          <w:rFonts w:ascii="AdvOTbc475f09" w:hAnsi="AdvOTbc475f09"/>
          <w:sz w:val="18"/>
          <w:szCs w:val="18"/>
        </w:rPr>
        <w:t xml:space="preserve">, </w:t>
      </w:r>
      <w:proofErr w:type="spellStart"/>
      <w:r>
        <w:rPr>
          <w:rFonts w:ascii="AdvOTbc475f09" w:hAnsi="AdvOTbc475f09"/>
          <w:sz w:val="18"/>
          <w:szCs w:val="18"/>
        </w:rPr>
        <w:t>endo</w:t>
      </w:r>
      <w:proofErr w:type="spellEnd"/>
      <w:r>
        <w:rPr>
          <w:rFonts w:ascii="AdvOTbc475f09" w:hAnsi="AdvOTbc475f09"/>
          <w:sz w:val="18"/>
          <w:szCs w:val="18"/>
        </w:rPr>
        <w:t xml:space="preserve"> H and </w:t>
      </w:r>
      <w:proofErr w:type="spellStart"/>
      <w:r>
        <w:rPr>
          <w:rFonts w:ascii="AdvOTbc475f09" w:hAnsi="AdvOTbc475f09"/>
          <w:sz w:val="18"/>
          <w:szCs w:val="18"/>
        </w:rPr>
        <w:t>chymotryptic</w:t>
      </w:r>
      <w:proofErr w:type="spellEnd"/>
      <w:r>
        <w:rPr>
          <w:rFonts w:ascii="AdvOTbc475f09" w:hAnsi="AdvOTbc475f09"/>
          <w:sz w:val="18"/>
          <w:szCs w:val="18"/>
        </w:rPr>
        <w:t xml:space="preserve"> digests; </w:t>
      </w:r>
      <w:proofErr w:type="gramStart"/>
      <w:r>
        <w:rPr>
          <w:rFonts w:ascii="AdvOTbc475f09" w:hAnsi="AdvOTbc475f09"/>
          <w:sz w:val="18"/>
          <w:szCs w:val="18"/>
        </w:rPr>
        <w:t xml:space="preserve">(iv) </w:t>
      </w:r>
      <w:proofErr w:type="spellStart"/>
      <w:r>
        <w:rPr>
          <w:rFonts w:ascii="AdvOTbc475f09" w:hAnsi="AdvOTbc475f09"/>
          <w:sz w:val="18"/>
          <w:szCs w:val="18"/>
        </w:rPr>
        <w:t>tryptic</w:t>
      </w:r>
      <w:proofErr w:type="spellEnd"/>
      <w:proofErr w:type="gramEnd"/>
      <w:r>
        <w:rPr>
          <w:rFonts w:ascii="AdvOTbc475f09" w:hAnsi="AdvOTbc475f09"/>
          <w:sz w:val="18"/>
          <w:szCs w:val="18"/>
        </w:rPr>
        <w:t xml:space="preserve">, </w:t>
      </w:r>
      <w:proofErr w:type="spellStart"/>
      <w:r>
        <w:rPr>
          <w:rFonts w:ascii="AdvOTbc475f09" w:hAnsi="AdvOTbc475f09"/>
          <w:sz w:val="18"/>
          <w:szCs w:val="18"/>
        </w:rPr>
        <w:t>endo</w:t>
      </w:r>
      <w:proofErr w:type="spellEnd"/>
      <w:r>
        <w:rPr>
          <w:rFonts w:ascii="AdvOTbc475f09" w:hAnsi="AdvOTbc475f09"/>
          <w:sz w:val="18"/>
          <w:szCs w:val="18"/>
        </w:rPr>
        <w:t xml:space="preserve"> H and </w:t>
      </w:r>
      <w:proofErr w:type="spellStart"/>
      <w:r>
        <w:rPr>
          <w:rFonts w:ascii="AdvOTbc475f09" w:hAnsi="AdvOTbc475f09"/>
          <w:sz w:val="18"/>
          <w:szCs w:val="18"/>
        </w:rPr>
        <w:t>Glu</w:t>
      </w:r>
      <w:proofErr w:type="spellEnd"/>
      <w:r>
        <w:rPr>
          <w:rFonts w:ascii="AdvOTbc475f09" w:hAnsi="AdvOTbc475f09"/>
          <w:sz w:val="18"/>
          <w:szCs w:val="18"/>
        </w:rPr>
        <w:t xml:space="preserve">-C digests. Data from the N-linked </w:t>
      </w:r>
      <w:proofErr w:type="spellStart"/>
      <w:r>
        <w:rPr>
          <w:rFonts w:ascii="AdvOTbc475f09" w:hAnsi="AdvOTbc475f09"/>
          <w:sz w:val="18"/>
          <w:szCs w:val="18"/>
        </w:rPr>
        <w:t>glycopeptides</w:t>
      </w:r>
      <w:proofErr w:type="spellEnd"/>
      <w:r>
        <w:rPr>
          <w:rFonts w:ascii="AdvOTbc475f09" w:hAnsi="AdvOTbc475f09"/>
          <w:sz w:val="18"/>
          <w:szCs w:val="18"/>
        </w:rPr>
        <w:t xml:space="preserve"> served as sensitivity controls in our search for O-linked </w:t>
      </w:r>
      <w:proofErr w:type="spellStart"/>
      <w:r>
        <w:rPr>
          <w:rFonts w:ascii="AdvOTbc475f09" w:hAnsi="AdvOTbc475f09"/>
          <w:sz w:val="18"/>
          <w:szCs w:val="18"/>
        </w:rPr>
        <w:t>glycosyla</w:t>
      </w:r>
      <w:proofErr w:type="spellEnd"/>
      <w:r>
        <w:rPr>
          <w:rFonts w:ascii="AdvOTbc475f09" w:hAnsi="AdvOTbc475f09"/>
          <w:sz w:val="18"/>
          <w:szCs w:val="18"/>
        </w:rPr>
        <w:t xml:space="preserve">- </w:t>
      </w:r>
      <w:proofErr w:type="spellStart"/>
      <w:r>
        <w:rPr>
          <w:rFonts w:ascii="AdvOTbc475f09" w:hAnsi="AdvOTbc475f09"/>
          <w:sz w:val="18"/>
          <w:szCs w:val="18"/>
        </w:rPr>
        <w:t>tion</w:t>
      </w:r>
      <w:proofErr w:type="spellEnd"/>
      <w:r>
        <w:rPr>
          <w:rFonts w:ascii="AdvOTbc475f09" w:hAnsi="AdvOTbc475f09"/>
          <w:sz w:val="18"/>
          <w:szCs w:val="18"/>
        </w:rPr>
        <w:t xml:space="preserve"> and allowed us to unequivocally determine the absence of O-glycosylation in gp120 on the surface of </w:t>
      </w:r>
      <w:proofErr w:type="spellStart"/>
      <w:r>
        <w:rPr>
          <w:rFonts w:ascii="AdvOTbc475f09" w:hAnsi="AdvOTbc475f09"/>
          <w:sz w:val="18"/>
          <w:szCs w:val="18"/>
        </w:rPr>
        <w:t>virions</w:t>
      </w:r>
      <w:proofErr w:type="spellEnd"/>
      <w:r>
        <w:rPr>
          <w:rFonts w:ascii="AdvOTbc475f09" w:hAnsi="AdvOTbc475f09"/>
          <w:sz w:val="18"/>
          <w:szCs w:val="18"/>
        </w:rPr>
        <w:t xml:space="preserve">. </w:t>
      </w:r>
    </w:p>
    <w:p w:rsidR="00092B9C" w:rsidRDefault="00092B9C"/>
    <w:sectPr w:rsidR="00092B9C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dvOT66af078c.B">
    <w:altName w:val="Times New Roman"/>
    <w:panose1 w:val="00000000000000000000"/>
    <w:charset w:val="00"/>
    <w:family w:val="roman"/>
    <w:notTrueType/>
    <w:pitch w:val="default"/>
  </w:font>
  <w:font w:name="AdvOTbc475f09">
    <w:altName w:val="Times New Roman"/>
    <w:panose1 w:val="00000000000000000000"/>
    <w:charset w:val="00"/>
    <w:family w:val="roman"/>
    <w:notTrueType/>
    <w:pitch w:val="default"/>
  </w:font>
  <w:font w:name="AdvOTbc475f09+fb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5A"/>
    <w:rsid w:val="00092B9C"/>
    <w:rsid w:val="00B70A5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53FA3F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0A5A"/>
    <w:pPr>
      <w:spacing w:before="100" w:beforeAutospacing="1" w:after="100" w:afterAutospacing="1"/>
    </w:pPr>
    <w:rPr>
      <w:rFonts w:ascii="Times" w:hAnsi="Times" w:cs="Times New Roman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0A5A"/>
    <w:pPr>
      <w:spacing w:before="100" w:beforeAutospacing="1" w:after="100" w:afterAutospacing="1"/>
    </w:pPr>
    <w:rPr>
      <w:rFonts w:ascii="Times" w:hAnsi="Times" w:cs="Times New Roman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53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48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8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3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7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12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1272</Characters>
  <Application>Microsoft Macintosh Word</Application>
  <DocSecurity>0</DocSecurity>
  <Lines>10</Lines>
  <Paragraphs>2</Paragraphs>
  <ScaleCrop>false</ScaleCrop>
  <Company>Imperial College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Haslam</dc:creator>
  <cp:keywords/>
  <dc:description/>
  <cp:lastModifiedBy>Stuart Haslam</cp:lastModifiedBy>
  <cp:revision>1</cp:revision>
  <dcterms:created xsi:type="dcterms:W3CDTF">2016-04-07T14:31:00Z</dcterms:created>
  <dcterms:modified xsi:type="dcterms:W3CDTF">2016-04-07T14:32:00Z</dcterms:modified>
</cp:coreProperties>
</file>