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5D9254" w14:textId="5ED857E0" w:rsidR="006804A1" w:rsidRDefault="006804A1" w:rsidP="006804A1">
      <w:pPr>
        <w:autoSpaceDE w:val="0"/>
        <w:autoSpaceDN w:val="0"/>
        <w:adjustRightInd w:val="0"/>
        <w:spacing w:after="0" w:line="240" w:lineRule="auto"/>
        <w:rPr>
          <w:rFonts w:ascii="AdvP0068" w:hAnsi="AdvP0068" w:cs="AdvP0068"/>
          <w:sz w:val="18"/>
          <w:szCs w:val="18"/>
        </w:rPr>
      </w:pPr>
      <w:r>
        <w:rPr>
          <w:rFonts w:ascii="AdvP0068" w:hAnsi="AdvP0068" w:cs="AdvP0068"/>
          <w:sz w:val="18"/>
          <w:szCs w:val="18"/>
        </w:rPr>
        <w:t>The association between non-diabetic</w:t>
      </w:r>
      <w:r>
        <w:rPr>
          <w:rFonts w:ascii="AdvP0068" w:hAnsi="AdvP0068" w:cs="AdvP0068"/>
          <w:sz w:val="18"/>
          <w:szCs w:val="18"/>
        </w:rPr>
        <w:t xml:space="preserve"> </w:t>
      </w:r>
      <w:r>
        <w:rPr>
          <w:rFonts w:ascii="AdvP0068" w:hAnsi="AdvP0068" w:cs="AdvP0068"/>
          <w:sz w:val="18"/>
          <w:szCs w:val="18"/>
        </w:rPr>
        <w:t>hyperglycaemia and incident vascular disease</w:t>
      </w:r>
      <w:r>
        <w:rPr>
          <w:rFonts w:ascii="AdvP0068" w:hAnsi="AdvP0068" w:cs="AdvP0068"/>
          <w:sz w:val="18"/>
          <w:szCs w:val="18"/>
        </w:rPr>
        <w:t xml:space="preserve"> </w:t>
      </w:r>
    </w:p>
    <w:p w14:paraId="4683A9D1" w14:textId="77777777" w:rsidR="006804A1" w:rsidRDefault="006804A1" w:rsidP="006804A1">
      <w:pPr>
        <w:autoSpaceDE w:val="0"/>
        <w:autoSpaceDN w:val="0"/>
        <w:adjustRightInd w:val="0"/>
        <w:spacing w:after="0" w:line="240" w:lineRule="auto"/>
        <w:rPr>
          <w:rFonts w:ascii="AdvP0072" w:hAnsi="AdvP0072" w:cs="AdvP0072"/>
          <w:sz w:val="9"/>
          <w:szCs w:val="9"/>
        </w:rPr>
      </w:pPr>
      <w:r>
        <w:rPr>
          <w:rFonts w:ascii="AdvP0072" w:hAnsi="AdvP0072" w:cs="AdvP0072"/>
          <w:sz w:val="14"/>
          <w:szCs w:val="14"/>
        </w:rPr>
        <w:t>R Palladino</w:t>
      </w:r>
      <w:r>
        <w:rPr>
          <w:rFonts w:ascii="AdvP0072" w:hAnsi="AdvP0072" w:cs="AdvP0072"/>
          <w:sz w:val="9"/>
          <w:szCs w:val="9"/>
        </w:rPr>
        <w:t>1,2</w:t>
      </w:r>
      <w:r>
        <w:rPr>
          <w:rFonts w:ascii="AdvP0072" w:hAnsi="AdvP0072" w:cs="AdvP0072"/>
          <w:sz w:val="14"/>
          <w:szCs w:val="14"/>
        </w:rPr>
        <w:t>, A Majeed</w:t>
      </w:r>
      <w:r>
        <w:rPr>
          <w:rFonts w:ascii="AdvP0072" w:hAnsi="AdvP0072" w:cs="AdvP0072"/>
          <w:sz w:val="9"/>
          <w:szCs w:val="9"/>
        </w:rPr>
        <w:t>3</w:t>
      </w:r>
      <w:r>
        <w:rPr>
          <w:rFonts w:ascii="AdvP0072" w:hAnsi="AdvP0072" w:cs="AdvP0072"/>
          <w:sz w:val="14"/>
          <w:szCs w:val="14"/>
        </w:rPr>
        <w:t>, C Millett</w:t>
      </w:r>
      <w:r>
        <w:rPr>
          <w:rFonts w:ascii="AdvP0072" w:hAnsi="AdvP0072" w:cs="AdvP0072"/>
          <w:sz w:val="9"/>
          <w:szCs w:val="9"/>
        </w:rPr>
        <w:t>1</w:t>
      </w:r>
      <w:r>
        <w:rPr>
          <w:rFonts w:ascii="AdvP0072" w:hAnsi="AdvP0072" w:cs="AdvP0072"/>
          <w:sz w:val="14"/>
          <w:szCs w:val="14"/>
        </w:rPr>
        <w:t>, E Vamos</w:t>
      </w:r>
      <w:r>
        <w:rPr>
          <w:rFonts w:ascii="AdvP0072" w:hAnsi="AdvP0072" w:cs="AdvP0072"/>
          <w:sz w:val="9"/>
          <w:szCs w:val="9"/>
        </w:rPr>
        <w:t>1</w:t>
      </w:r>
    </w:p>
    <w:p w14:paraId="44169FD3" w14:textId="77777777" w:rsidR="006804A1" w:rsidRDefault="006804A1" w:rsidP="006804A1">
      <w:pPr>
        <w:autoSpaceDE w:val="0"/>
        <w:autoSpaceDN w:val="0"/>
        <w:adjustRightInd w:val="0"/>
        <w:spacing w:after="0" w:line="240" w:lineRule="auto"/>
        <w:rPr>
          <w:rFonts w:ascii="AdvP3DBDA0" w:hAnsi="AdvP3DBDA0" w:cs="AdvP3DBDA0"/>
          <w:sz w:val="14"/>
          <w:szCs w:val="14"/>
        </w:rPr>
      </w:pPr>
      <w:r>
        <w:rPr>
          <w:rFonts w:ascii="AdvP3DBDA0" w:hAnsi="AdvP3DBDA0" w:cs="AdvP3DBDA0"/>
          <w:sz w:val="9"/>
          <w:szCs w:val="9"/>
        </w:rPr>
        <w:t>1</w:t>
      </w:r>
      <w:r>
        <w:rPr>
          <w:rFonts w:ascii="AdvP3DBDA0" w:hAnsi="AdvP3DBDA0" w:cs="AdvP3DBDA0"/>
          <w:sz w:val="14"/>
          <w:szCs w:val="14"/>
        </w:rPr>
        <w:t>Public Health Policy Evaluation Unit, Imperial College, London, UK</w:t>
      </w:r>
    </w:p>
    <w:p w14:paraId="32FE46E2" w14:textId="77777777" w:rsidR="006804A1" w:rsidRDefault="006804A1" w:rsidP="006804A1">
      <w:pPr>
        <w:autoSpaceDE w:val="0"/>
        <w:autoSpaceDN w:val="0"/>
        <w:adjustRightInd w:val="0"/>
        <w:spacing w:after="0" w:line="240" w:lineRule="auto"/>
        <w:rPr>
          <w:rFonts w:ascii="AdvP3DBDA0" w:hAnsi="AdvP3DBDA0" w:cs="AdvP3DBDA0"/>
          <w:sz w:val="14"/>
          <w:szCs w:val="14"/>
        </w:rPr>
      </w:pPr>
      <w:r>
        <w:rPr>
          <w:rFonts w:ascii="AdvP3DBDA0" w:hAnsi="AdvP3DBDA0" w:cs="AdvP3DBDA0"/>
          <w:sz w:val="9"/>
          <w:szCs w:val="9"/>
        </w:rPr>
        <w:t>2</w:t>
      </w:r>
      <w:r>
        <w:rPr>
          <w:rFonts w:ascii="AdvP3DBDA0" w:hAnsi="AdvP3DBDA0" w:cs="AdvP3DBDA0"/>
          <w:sz w:val="14"/>
          <w:szCs w:val="14"/>
        </w:rPr>
        <w:t>Department of Public Health, University, Naples, Italy</w:t>
      </w:r>
    </w:p>
    <w:p w14:paraId="5FF20EC9" w14:textId="77777777" w:rsidR="006804A1" w:rsidRDefault="006804A1" w:rsidP="006804A1">
      <w:pPr>
        <w:autoSpaceDE w:val="0"/>
        <w:autoSpaceDN w:val="0"/>
        <w:adjustRightInd w:val="0"/>
        <w:spacing w:after="0" w:line="240" w:lineRule="auto"/>
        <w:rPr>
          <w:rFonts w:ascii="AdvP3DBDA0" w:hAnsi="AdvP3DBDA0" w:cs="AdvP3DBDA0"/>
          <w:sz w:val="14"/>
          <w:szCs w:val="14"/>
        </w:rPr>
      </w:pPr>
      <w:r>
        <w:rPr>
          <w:rFonts w:ascii="AdvP3DBDA0" w:hAnsi="AdvP3DBDA0" w:cs="AdvP3DBDA0"/>
          <w:sz w:val="9"/>
          <w:szCs w:val="9"/>
        </w:rPr>
        <w:t>3</w:t>
      </w:r>
      <w:r>
        <w:rPr>
          <w:rFonts w:ascii="AdvP3DBDA0" w:hAnsi="AdvP3DBDA0" w:cs="AdvP3DBDA0"/>
          <w:sz w:val="14"/>
          <w:szCs w:val="14"/>
        </w:rPr>
        <w:t>Department of Primary Care and Public Health, Imperial College, London,</w:t>
      </w:r>
    </w:p>
    <w:p w14:paraId="642E282F" w14:textId="77777777" w:rsidR="006804A1" w:rsidRDefault="006804A1" w:rsidP="006804A1">
      <w:pPr>
        <w:autoSpaceDE w:val="0"/>
        <w:autoSpaceDN w:val="0"/>
        <w:adjustRightInd w:val="0"/>
        <w:spacing w:after="0" w:line="240" w:lineRule="auto"/>
        <w:rPr>
          <w:rFonts w:ascii="AdvP3DBDA0" w:hAnsi="AdvP3DBDA0" w:cs="AdvP3DBDA0"/>
          <w:sz w:val="14"/>
          <w:szCs w:val="14"/>
        </w:rPr>
      </w:pPr>
      <w:r>
        <w:rPr>
          <w:rFonts w:ascii="AdvP3DBDA0" w:hAnsi="AdvP3DBDA0" w:cs="AdvP3DBDA0"/>
          <w:sz w:val="14"/>
          <w:szCs w:val="14"/>
        </w:rPr>
        <w:t>UK</w:t>
      </w:r>
    </w:p>
    <w:p w14:paraId="59C873E1" w14:textId="77777777" w:rsidR="006804A1" w:rsidRDefault="006804A1" w:rsidP="006804A1">
      <w:pPr>
        <w:autoSpaceDE w:val="0"/>
        <w:autoSpaceDN w:val="0"/>
        <w:adjustRightInd w:val="0"/>
        <w:spacing w:after="0" w:line="240" w:lineRule="auto"/>
        <w:rPr>
          <w:rFonts w:ascii="AdvP3DBDA0" w:hAnsi="AdvP3DBDA0" w:cs="AdvP3DBDA0"/>
          <w:sz w:val="14"/>
          <w:szCs w:val="14"/>
        </w:rPr>
      </w:pPr>
      <w:r>
        <w:rPr>
          <w:rFonts w:ascii="AdvP3DBDA0" w:hAnsi="AdvP3DBDA0" w:cs="AdvP3DBDA0"/>
          <w:sz w:val="14"/>
          <w:szCs w:val="14"/>
        </w:rPr>
        <w:t>Contact: palladino.raffaele@gmail.com</w:t>
      </w:r>
    </w:p>
    <w:p w14:paraId="7A1272A6" w14:textId="77777777" w:rsidR="006804A1" w:rsidRDefault="006804A1" w:rsidP="006804A1">
      <w:pPr>
        <w:autoSpaceDE w:val="0"/>
        <w:autoSpaceDN w:val="0"/>
        <w:adjustRightInd w:val="0"/>
        <w:spacing w:after="0" w:line="240" w:lineRule="auto"/>
        <w:rPr>
          <w:rFonts w:ascii="AdvP3E5CE8" w:hAnsi="AdvP3E5CE8" w:cs="AdvP3E5CE8"/>
          <w:sz w:val="18"/>
          <w:szCs w:val="18"/>
        </w:rPr>
      </w:pPr>
      <w:r>
        <w:rPr>
          <w:rFonts w:ascii="AdvP3E5CE8" w:hAnsi="AdvP3E5CE8" w:cs="AdvP3E5CE8"/>
          <w:sz w:val="18"/>
          <w:szCs w:val="18"/>
        </w:rPr>
        <w:t>Background:</w:t>
      </w:r>
    </w:p>
    <w:p w14:paraId="51F3B30F" w14:textId="4434D220" w:rsidR="006804A1" w:rsidRDefault="006804A1" w:rsidP="006804A1">
      <w:pPr>
        <w:autoSpaceDE w:val="0"/>
        <w:autoSpaceDN w:val="0"/>
        <w:adjustRightInd w:val="0"/>
        <w:spacing w:after="0" w:line="240" w:lineRule="auto"/>
        <w:rPr>
          <w:rFonts w:ascii="AdvP3E76B0" w:hAnsi="AdvP3E76B0" w:cs="AdvP3E76B0"/>
          <w:sz w:val="18"/>
          <w:szCs w:val="18"/>
        </w:rPr>
      </w:pPr>
      <w:r>
        <w:rPr>
          <w:rFonts w:ascii="AdvP3E76B0" w:hAnsi="AdvP3E76B0" w:cs="AdvP3E76B0"/>
          <w:sz w:val="18"/>
          <w:szCs w:val="18"/>
        </w:rPr>
        <w:t>It is unknown whether the associated risk of vascular disease</w:t>
      </w:r>
      <w:r>
        <w:rPr>
          <w:rFonts w:ascii="AdvP3E76B0" w:hAnsi="AdvP3E76B0" w:cs="AdvP3E76B0"/>
          <w:sz w:val="18"/>
          <w:szCs w:val="18"/>
        </w:rPr>
        <w:t xml:space="preserve"> </w:t>
      </w:r>
      <w:r>
        <w:rPr>
          <w:rFonts w:ascii="AdvP3E76B0" w:hAnsi="AdvP3E76B0" w:cs="AdvP3E76B0"/>
          <w:sz w:val="18"/>
          <w:szCs w:val="18"/>
        </w:rPr>
        <w:t>for individuals with non-diabetic hyperglycaemia (NDH)</w:t>
      </w:r>
      <w:r>
        <w:rPr>
          <w:rFonts w:ascii="AdvP3E76B0" w:hAnsi="AdvP3E76B0" w:cs="AdvP3E76B0"/>
          <w:sz w:val="18"/>
          <w:szCs w:val="18"/>
        </w:rPr>
        <w:t xml:space="preserve"> </w:t>
      </w:r>
      <w:r>
        <w:rPr>
          <w:rFonts w:ascii="AdvP3E76B0" w:hAnsi="AdvP3E76B0" w:cs="AdvP3E76B0"/>
          <w:sz w:val="18"/>
          <w:szCs w:val="18"/>
        </w:rPr>
        <w:t>persists following the Type 2 diabetes (T2D) diagnosis. We</w:t>
      </w:r>
      <w:r>
        <w:rPr>
          <w:rFonts w:ascii="AdvP3E76B0" w:hAnsi="AdvP3E76B0" w:cs="AdvP3E76B0"/>
          <w:sz w:val="18"/>
          <w:szCs w:val="18"/>
        </w:rPr>
        <w:t xml:space="preserve"> </w:t>
      </w:r>
      <w:r>
        <w:rPr>
          <w:rFonts w:ascii="AdvP3E76B0" w:hAnsi="AdvP3E76B0" w:cs="AdvP3E76B0"/>
          <w:sz w:val="18"/>
          <w:szCs w:val="18"/>
        </w:rPr>
        <w:t>assessed whether NDH detection before the T2D diagnosis is</w:t>
      </w:r>
      <w:r>
        <w:rPr>
          <w:rFonts w:ascii="AdvP3E76B0" w:hAnsi="AdvP3E76B0" w:cs="AdvP3E76B0"/>
          <w:sz w:val="18"/>
          <w:szCs w:val="18"/>
        </w:rPr>
        <w:t xml:space="preserve"> </w:t>
      </w:r>
      <w:r>
        <w:rPr>
          <w:rFonts w:ascii="AdvP3E76B0" w:hAnsi="AdvP3E76B0" w:cs="AdvP3E76B0"/>
          <w:sz w:val="18"/>
          <w:szCs w:val="18"/>
        </w:rPr>
        <w:t>associated with different risk of incident vascular disease</w:t>
      </w:r>
      <w:r>
        <w:rPr>
          <w:rFonts w:ascii="AdvP3E76B0" w:hAnsi="AdvP3E76B0" w:cs="AdvP3E76B0"/>
          <w:sz w:val="18"/>
          <w:szCs w:val="18"/>
        </w:rPr>
        <w:t xml:space="preserve"> </w:t>
      </w:r>
      <w:r>
        <w:rPr>
          <w:rFonts w:ascii="AdvP3E76B0" w:hAnsi="AdvP3E76B0" w:cs="AdvP3E76B0"/>
          <w:sz w:val="18"/>
          <w:szCs w:val="18"/>
        </w:rPr>
        <w:t>following the T2D diagnosis.</w:t>
      </w:r>
    </w:p>
    <w:p w14:paraId="4C069D31" w14:textId="77777777" w:rsidR="006804A1" w:rsidRDefault="006804A1" w:rsidP="006804A1">
      <w:pPr>
        <w:autoSpaceDE w:val="0"/>
        <w:autoSpaceDN w:val="0"/>
        <w:adjustRightInd w:val="0"/>
        <w:spacing w:after="0" w:line="240" w:lineRule="auto"/>
        <w:rPr>
          <w:rFonts w:ascii="AdvP3E5CE8" w:hAnsi="AdvP3E5CE8" w:cs="AdvP3E5CE8"/>
          <w:sz w:val="18"/>
          <w:szCs w:val="18"/>
        </w:rPr>
      </w:pPr>
    </w:p>
    <w:p w14:paraId="0D291E7E" w14:textId="396E0019" w:rsidR="006804A1" w:rsidRDefault="006804A1" w:rsidP="006804A1">
      <w:pPr>
        <w:autoSpaceDE w:val="0"/>
        <w:autoSpaceDN w:val="0"/>
        <w:adjustRightInd w:val="0"/>
        <w:spacing w:after="0" w:line="240" w:lineRule="auto"/>
        <w:rPr>
          <w:rFonts w:ascii="AdvP3E5CE8" w:hAnsi="AdvP3E5CE8" w:cs="AdvP3E5CE8"/>
          <w:sz w:val="18"/>
          <w:szCs w:val="18"/>
        </w:rPr>
      </w:pPr>
      <w:r>
        <w:rPr>
          <w:rFonts w:ascii="AdvP3E5CE8" w:hAnsi="AdvP3E5CE8" w:cs="AdvP3E5CE8"/>
          <w:sz w:val="18"/>
          <w:szCs w:val="18"/>
        </w:rPr>
        <w:t>Methods:</w:t>
      </w:r>
    </w:p>
    <w:p w14:paraId="3A919B9A" w14:textId="27AA6DF1" w:rsidR="006804A1" w:rsidRDefault="006804A1" w:rsidP="006804A1">
      <w:pPr>
        <w:autoSpaceDE w:val="0"/>
        <w:autoSpaceDN w:val="0"/>
        <w:adjustRightInd w:val="0"/>
        <w:spacing w:after="0" w:line="240" w:lineRule="auto"/>
        <w:rPr>
          <w:rFonts w:ascii="AdvP3E76B0" w:hAnsi="AdvP3E76B0" w:cs="AdvP3E76B0"/>
          <w:sz w:val="18"/>
          <w:szCs w:val="18"/>
        </w:rPr>
      </w:pPr>
      <w:r>
        <w:rPr>
          <w:rFonts w:ascii="AdvP3E76B0" w:hAnsi="AdvP3E76B0" w:cs="AdvP3E76B0"/>
          <w:sz w:val="18"/>
          <w:szCs w:val="18"/>
        </w:rPr>
        <w:t>Population-based retrospective cohort study including 159,736</w:t>
      </w:r>
      <w:r>
        <w:rPr>
          <w:rFonts w:ascii="AdvP3E76B0" w:hAnsi="AdvP3E76B0" w:cs="AdvP3E76B0"/>
          <w:sz w:val="18"/>
          <w:szCs w:val="18"/>
        </w:rPr>
        <w:t xml:space="preserve"> </w:t>
      </w:r>
      <w:r>
        <w:rPr>
          <w:rFonts w:ascii="AdvP3E76B0" w:hAnsi="AdvP3E76B0" w:cs="AdvP3E76B0"/>
          <w:sz w:val="18"/>
          <w:szCs w:val="18"/>
        </w:rPr>
        <w:t>individuals with newly diagnosed T2D from the CPRD</w:t>
      </w:r>
    </w:p>
    <w:p w14:paraId="39869D8E" w14:textId="5D5E0875" w:rsidR="006804A1" w:rsidRDefault="006804A1" w:rsidP="006804A1">
      <w:pPr>
        <w:autoSpaceDE w:val="0"/>
        <w:autoSpaceDN w:val="0"/>
        <w:adjustRightInd w:val="0"/>
        <w:spacing w:after="0" w:line="240" w:lineRule="auto"/>
        <w:rPr>
          <w:rFonts w:ascii="AdvP3E76B0" w:hAnsi="AdvP3E76B0" w:cs="AdvP3E76B0"/>
          <w:sz w:val="18"/>
          <w:szCs w:val="18"/>
        </w:rPr>
      </w:pPr>
      <w:r>
        <w:rPr>
          <w:rFonts w:ascii="AdvP3E76B0" w:hAnsi="AdvP3E76B0" w:cs="AdvP3E76B0"/>
          <w:sz w:val="18"/>
          <w:szCs w:val="18"/>
        </w:rPr>
        <w:t>database in England between 2004 and 2017. Outcomes:</w:t>
      </w:r>
      <w:r>
        <w:rPr>
          <w:rFonts w:ascii="AdvP3E76B0" w:hAnsi="AdvP3E76B0" w:cs="AdvP3E76B0"/>
          <w:sz w:val="18"/>
          <w:szCs w:val="18"/>
        </w:rPr>
        <w:t xml:space="preserve"> </w:t>
      </w:r>
      <w:r>
        <w:rPr>
          <w:rFonts w:ascii="AdvP3E76B0" w:hAnsi="AdvP3E76B0" w:cs="AdvP3E76B0"/>
          <w:sz w:val="18"/>
          <w:szCs w:val="18"/>
        </w:rPr>
        <w:t>incident retinopathy, nephropathy, and composite macrovascular</w:t>
      </w:r>
      <w:r>
        <w:rPr>
          <w:rFonts w:ascii="AdvP3E76B0" w:hAnsi="AdvP3E76B0" w:cs="AdvP3E76B0"/>
          <w:sz w:val="18"/>
          <w:szCs w:val="18"/>
        </w:rPr>
        <w:t xml:space="preserve"> </w:t>
      </w:r>
      <w:r>
        <w:rPr>
          <w:rFonts w:ascii="AdvP3E76B0" w:hAnsi="AdvP3E76B0" w:cs="AdvP3E76B0"/>
          <w:sz w:val="18"/>
          <w:szCs w:val="18"/>
        </w:rPr>
        <w:t>disease. We employed time-partitioned Cox regression</w:t>
      </w:r>
      <w:r>
        <w:rPr>
          <w:rFonts w:ascii="AdvP3E76B0" w:hAnsi="AdvP3E76B0" w:cs="AdvP3E76B0"/>
          <w:sz w:val="18"/>
          <w:szCs w:val="18"/>
        </w:rPr>
        <w:t xml:space="preserve"> </w:t>
      </w:r>
      <w:r>
        <w:rPr>
          <w:rFonts w:ascii="AdvP3E76B0" w:hAnsi="AdvP3E76B0" w:cs="AdvP3E76B0"/>
          <w:sz w:val="18"/>
          <w:szCs w:val="18"/>
        </w:rPr>
        <w:t>models partitioning the 10-year follow-up period into 4 equal</w:t>
      </w:r>
      <w:r>
        <w:rPr>
          <w:rFonts w:ascii="AdvP3E76B0" w:hAnsi="AdvP3E76B0" w:cs="AdvP3E76B0"/>
          <w:sz w:val="18"/>
          <w:szCs w:val="18"/>
        </w:rPr>
        <w:t xml:space="preserve"> </w:t>
      </w:r>
      <w:r>
        <w:rPr>
          <w:rFonts w:ascii="AdvP3E76B0" w:hAnsi="AdvP3E76B0" w:cs="AdvP3E76B0"/>
          <w:sz w:val="18"/>
          <w:szCs w:val="18"/>
        </w:rPr>
        <w:t>time segments to model differences in rates between groups</w:t>
      </w:r>
      <w:r>
        <w:rPr>
          <w:rFonts w:ascii="AdvP3E76B0" w:hAnsi="AdvP3E76B0" w:cs="AdvP3E76B0"/>
          <w:sz w:val="18"/>
          <w:szCs w:val="18"/>
        </w:rPr>
        <w:t xml:space="preserve"> </w:t>
      </w:r>
      <w:r>
        <w:rPr>
          <w:rFonts w:ascii="AdvP3E76B0" w:hAnsi="AdvP3E76B0" w:cs="AdvP3E76B0"/>
          <w:sz w:val="18"/>
          <w:szCs w:val="18"/>
        </w:rPr>
        <w:t>with different glycaemic status in the 3 years before diagnosis</w:t>
      </w:r>
      <w:r>
        <w:rPr>
          <w:rFonts w:ascii="AdvP3E76B0" w:hAnsi="AdvP3E76B0" w:cs="AdvP3E76B0"/>
          <w:sz w:val="18"/>
          <w:szCs w:val="18"/>
        </w:rPr>
        <w:t xml:space="preserve"> </w:t>
      </w:r>
      <w:r>
        <w:rPr>
          <w:rFonts w:ascii="AdvP3E76B0" w:hAnsi="AdvP3E76B0" w:cs="AdvP3E76B0"/>
          <w:sz w:val="18"/>
          <w:szCs w:val="18"/>
        </w:rPr>
        <w:t>of T2D.</w:t>
      </w:r>
    </w:p>
    <w:p w14:paraId="7B77640A" w14:textId="77777777" w:rsidR="006804A1" w:rsidRDefault="006804A1" w:rsidP="006804A1">
      <w:pPr>
        <w:autoSpaceDE w:val="0"/>
        <w:autoSpaceDN w:val="0"/>
        <w:adjustRightInd w:val="0"/>
        <w:spacing w:after="0" w:line="240" w:lineRule="auto"/>
        <w:rPr>
          <w:rFonts w:ascii="AdvP3E76B0" w:hAnsi="AdvP3E76B0" w:cs="AdvP3E76B0"/>
          <w:sz w:val="18"/>
          <w:szCs w:val="18"/>
        </w:rPr>
      </w:pPr>
    </w:p>
    <w:p w14:paraId="7C571BF6" w14:textId="77777777" w:rsidR="006804A1" w:rsidRDefault="006804A1" w:rsidP="006804A1">
      <w:pPr>
        <w:autoSpaceDE w:val="0"/>
        <w:autoSpaceDN w:val="0"/>
        <w:adjustRightInd w:val="0"/>
        <w:spacing w:after="0" w:line="240" w:lineRule="auto"/>
        <w:rPr>
          <w:rFonts w:ascii="AdvP3E5CE8" w:hAnsi="AdvP3E5CE8" w:cs="AdvP3E5CE8"/>
          <w:sz w:val="18"/>
          <w:szCs w:val="18"/>
        </w:rPr>
      </w:pPr>
      <w:r>
        <w:rPr>
          <w:rFonts w:ascii="AdvP3E5CE8" w:hAnsi="AdvP3E5CE8" w:cs="AdvP3E5CE8"/>
          <w:sz w:val="18"/>
          <w:szCs w:val="18"/>
        </w:rPr>
        <w:t>Results:</w:t>
      </w:r>
    </w:p>
    <w:p w14:paraId="456E9652" w14:textId="54D9887B" w:rsidR="006804A1" w:rsidRDefault="006804A1" w:rsidP="006804A1">
      <w:pPr>
        <w:autoSpaceDE w:val="0"/>
        <w:autoSpaceDN w:val="0"/>
        <w:adjustRightInd w:val="0"/>
        <w:spacing w:after="0" w:line="240" w:lineRule="auto"/>
        <w:rPr>
          <w:rFonts w:ascii="AdvP3E76B0" w:hAnsi="AdvP3E76B0" w:cs="AdvP3E76B0"/>
          <w:sz w:val="18"/>
          <w:szCs w:val="18"/>
        </w:rPr>
      </w:pPr>
      <w:r>
        <w:rPr>
          <w:rFonts w:ascii="AdvP3E76B0" w:hAnsi="AdvP3E76B0" w:cs="AdvP3E76B0"/>
          <w:sz w:val="18"/>
          <w:szCs w:val="18"/>
        </w:rPr>
        <w:t>Following T2D diagnosis those with prior NDH had 86%,</w:t>
      </w:r>
      <w:r>
        <w:rPr>
          <w:rFonts w:ascii="AdvP3E76B0" w:hAnsi="AdvP3E76B0" w:cs="AdvP3E76B0"/>
          <w:sz w:val="18"/>
          <w:szCs w:val="18"/>
        </w:rPr>
        <w:t xml:space="preserve"> </w:t>
      </w:r>
      <w:r>
        <w:rPr>
          <w:rFonts w:ascii="AdvP3E76B0" w:hAnsi="AdvP3E76B0" w:cs="AdvP3E76B0"/>
          <w:sz w:val="18"/>
          <w:szCs w:val="18"/>
        </w:rPr>
        <w:t>58%, and 42% increased rates of retinopathy in the 30 months,</w:t>
      </w:r>
      <w:r>
        <w:rPr>
          <w:rFonts w:ascii="AdvP3E76B0" w:hAnsi="AdvP3E76B0" w:cs="AdvP3E76B0"/>
          <w:sz w:val="18"/>
          <w:szCs w:val="18"/>
        </w:rPr>
        <w:t xml:space="preserve"> </w:t>
      </w:r>
      <w:r>
        <w:rPr>
          <w:rFonts w:ascii="AdvP3E76B0" w:hAnsi="AdvP3E76B0" w:cs="AdvP3E76B0"/>
          <w:sz w:val="18"/>
          <w:szCs w:val="18"/>
        </w:rPr>
        <w:t>between 31 and 60 months, and 61 and 90 months,</w:t>
      </w:r>
      <w:r>
        <w:rPr>
          <w:rFonts w:ascii="AdvP3E76B0" w:hAnsi="AdvP3E76B0" w:cs="AdvP3E76B0"/>
          <w:sz w:val="18"/>
          <w:szCs w:val="18"/>
        </w:rPr>
        <w:t xml:space="preserve"> </w:t>
      </w:r>
      <w:r>
        <w:rPr>
          <w:rFonts w:ascii="AdvP3E76B0" w:hAnsi="AdvP3E76B0" w:cs="AdvP3E76B0"/>
          <w:sz w:val="18"/>
          <w:szCs w:val="18"/>
        </w:rPr>
        <w:t>respectively(0-30 months: HR 1.86,95%CI 1.69-2.04;31-60</w:t>
      </w:r>
      <w:r>
        <w:rPr>
          <w:rFonts w:ascii="AdvP3E76B0" w:hAnsi="AdvP3E76B0" w:cs="AdvP3E76B0"/>
          <w:sz w:val="18"/>
          <w:szCs w:val="18"/>
        </w:rPr>
        <w:t xml:space="preserve"> </w:t>
      </w:r>
      <w:r>
        <w:rPr>
          <w:rFonts w:ascii="AdvP3E76B0" w:hAnsi="AdvP3E76B0" w:cs="AdvP3E76B0"/>
          <w:sz w:val="18"/>
          <w:szCs w:val="18"/>
        </w:rPr>
        <w:t>months: HR 1.58,95%CI 1.37-1.84;61-90 months:</w:t>
      </w:r>
      <w:r w:rsidR="006E7150">
        <w:rPr>
          <w:rFonts w:ascii="AdvP3E76B0" w:hAnsi="AdvP3E76B0" w:cs="AdvP3E76B0"/>
          <w:sz w:val="18"/>
          <w:szCs w:val="18"/>
        </w:rPr>
        <w:t xml:space="preserve"> </w:t>
      </w:r>
      <w:r>
        <w:rPr>
          <w:rFonts w:ascii="AdvP3E76B0" w:hAnsi="AdvP3E76B0" w:cs="AdvP3E76B0"/>
          <w:sz w:val="18"/>
          <w:szCs w:val="18"/>
        </w:rPr>
        <w:t>HR</w:t>
      </w:r>
      <w:r>
        <w:rPr>
          <w:rFonts w:ascii="AdvP3E76B0" w:hAnsi="AdvP3E76B0" w:cs="AdvP3E76B0"/>
          <w:sz w:val="18"/>
          <w:szCs w:val="18"/>
        </w:rPr>
        <w:t xml:space="preserve"> </w:t>
      </w:r>
      <w:r>
        <w:rPr>
          <w:rFonts w:ascii="AdvP3E76B0" w:hAnsi="AdvP3E76B0" w:cs="AdvP3E76B0"/>
          <w:sz w:val="18"/>
          <w:szCs w:val="18"/>
        </w:rPr>
        <w:t>1.42,95%CI 1.10-1.83), as compared with those with prior</w:t>
      </w:r>
    </w:p>
    <w:p w14:paraId="3B7B924E" w14:textId="49261805" w:rsidR="006804A1" w:rsidRDefault="006804A1" w:rsidP="006804A1">
      <w:pPr>
        <w:autoSpaceDE w:val="0"/>
        <w:autoSpaceDN w:val="0"/>
        <w:adjustRightInd w:val="0"/>
        <w:spacing w:after="0" w:line="240" w:lineRule="auto"/>
        <w:rPr>
          <w:rFonts w:ascii="AdvP3E76B0" w:hAnsi="AdvP3E76B0" w:cs="AdvP3E76B0"/>
          <w:sz w:val="18"/>
          <w:szCs w:val="18"/>
        </w:rPr>
      </w:pPr>
      <w:r>
        <w:rPr>
          <w:rFonts w:ascii="AdvP3E76B0" w:hAnsi="AdvP3E76B0" w:cs="AdvP3E76B0"/>
          <w:sz w:val="18"/>
          <w:szCs w:val="18"/>
        </w:rPr>
        <w:t>normoglycaemia. They also had 16% and 25% increased rates</w:t>
      </w:r>
      <w:r>
        <w:rPr>
          <w:rFonts w:ascii="AdvP3E76B0" w:hAnsi="AdvP3E76B0" w:cs="AdvP3E76B0"/>
          <w:sz w:val="18"/>
          <w:szCs w:val="18"/>
        </w:rPr>
        <w:t xml:space="preserve"> </w:t>
      </w:r>
      <w:r>
        <w:rPr>
          <w:rFonts w:ascii="AdvP3E76B0" w:hAnsi="AdvP3E76B0" w:cs="AdvP3E76B0"/>
          <w:sz w:val="18"/>
          <w:szCs w:val="18"/>
        </w:rPr>
        <w:t>of nephropathy in the period 0-30 months and 31-60 months,</w:t>
      </w:r>
      <w:r>
        <w:rPr>
          <w:rFonts w:ascii="AdvP3E76B0" w:hAnsi="AdvP3E76B0" w:cs="AdvP3E76B0"/>
          <w:sz w:val="18"/>
          <w:szCs w:val="18"/>
        </w:rPr>
        <w:t xml:space="preserve"> </w:t>
      </w:r>
      <w:r>
        <w:rPr>
          <w:rFonts w:ascii="AdvP3E76B0" w:hAnsi="AdvP3E76B0" w:cs="AdvP3E76B0"/>
          <w:sz w:val="18"/>
          <w:szCs w:val="18"/>
        </w:rPr>
        <w:t>respectively (0-30 months: HR 1.16,95%CI 1.07-1.26;31-60</w:t>
      </w:r>
      <w:r>
        <w:rPr>
          <w:rFonts w:ascii="AdvP3E76B0" w:hAnsi="AdvP3E76B0" w:cs="AdvP3E76B0"/>
          <w:sz w:val="18"/>
          <w:szCs w:val="18"/>
        </w:rPr>
        <w:t xml:space="preserve"> </w:t>
      </w:r>
      <w:r>
        <w:rPr>
          <w:rFonts w:ascii="AdvP3E76B0" w:hAnsi="AdvP3E76B0" w:cs="AdvP3E76B0"/>
          <w:sz w:val="18"/>
          <w:szCs w:val="18"/>
        </w:rPr>
        <w:t>months: HR 1.25,95%CI 1.09-1.42). Individuals with prior</w:t>
      </w:r>
      <w:r>
        <w:rPr>
          <w:rFonts w:ascii="AdvP3E76B0" w:hAnsi="AdvP3E76B0" w:cs="AdvP3E76B0"/>
          <w:sz w:val="18"/>
          <w:szCs w:val="18"/>
        </w:rPr>
        <w:t xml:space="preserve"> </w:t>
      </w:r>
      <w:r>
        <w:rPr>
          <w:rFonts w:ascii="AdvP3E76B0" w:hAnsi="AdvP3E76B0" w:cs="AdvP3E76B0"/>
          <w:sz w:val="18"/>
          <w:szCs w:val="18"/>
        </w:rPr>
        <w:t>NDH had 19% reduced rate of macrovascular disease in the</w:t>
      </w:r>
      <w:r>
        <w:rPr>
          <w:rFonts w:ascii="AdvP3E76B0" w:hAnsi="AdvP3E76B0" w:cs="AdvP3E76B0"/>
          <w:sz w:val="18"/>
          <w:szCs w:val="18"/>
        </w:rPr>
        <w:t xml:space="preserve"> </w:t>
      </w:r>
      <w:r>
        <w:rPr>
          <w:rFonts w:ascii="AdvP3E76B0" w:hAnsi="AdvP3E76B0" w:cs="AdvP3E76B0"/>
          <w:sz w:val="18"/>
          <w:szCs w:val="18"/>
        </w:rPr>
        <w:t>first 30 months of the study period (HR 0.81,95%CI 0.71-0.93), as compared with individuals with glycaemic values</w:t>
      </w:r>
      <w:r>
        <w:rPr>
          <w:rFonts w:ascii="AdvP3E76B0" w:hAnsi="AdvP3E76B0" w:cs="AdvP3E76B0"/>
          <w:sz w:val="18"/>
          <w:szCs w:val="18"/>
        </w:rPr>
        <w:t xml:space="preserve"> </w:t>
      </w:r>
      <w:r>
        <w:rPr>
          <w:rFonts w:ascii="AdvP3E76B0" w:hAnsi="AdvP3E76B0" w:cs="AdvP3E76B0"/>
          <w:sz w:val="18"/>
          <w:szCs w:val="18"/>
        </w:rPr>
        <w:t>within the normal range.</w:t>
      </w:r>
    </w:p>
    <w:p w14:paraId="557445D1" w14:textId="77777777" w:rsidR="006804A1" w:rsidRDefault="006804A1" w:rsidP="006804A1">
      <w:pPr>
        <w:autoSpaceDE w:val="0"/>
        <w:autoSpaceDN w:val="0"/>
        <w:adjustRightInd w:val="0"/>
        <w:spacing w:after="0" w:line="240" w:lineRule="auto"/>
        <w:rPr>
          <w:rFonts w:ascii="AdvP3E76B0" w:hAnsi="AdvP3E76B0" w:cs="AdvP3E76B0"/>
          <w:sz w:val="18"/>
          <w:szCs w:val="18"/>
        </w:rPr>
      </w:pPr>
    </w:p>
    <w:p w14:paraId="0EA87EE6" w14:textId="77777777" w:rsidR="006804A1" w:rsidRDefault="006804A1" w:rsidP="006804A1">
      <w:pPr>
        <w:autoSpaceDE w:val="0"/>
        <w:autoSpaceDN w:val="0"/>
        <w:adjustRightInd w:val="0"/>
        <w:spacing w:after="0" w:line="240" w:lineRule="auto"/>
        <w:rPr>
          <w:rFonts w:ascii="AdvP3E5CE8" w:hAnsi="AdvP3E5CE8" w:cs="AdvP3E5CE8"/>
          <w:sz w:val="18"/>
          <w:szCs w:val="18"/>
        </w:rPr>
      </w:pPr>
      <w:r>
        <w:rPr>
          <w:rFonts w:ascii="AdvP3E5CE8" w:hAnsi="AdvP3E5CE8" w:cs="AdvP3E5CE8"/>
          <w:sz w:val="18"/>
          <w:szCs w:val="18"/>
        </w:rPr>
        <w:t>Conclusions:</w:t>
      </w:r>
    </w:p>
    <w:p w14:paraId="660BA441" w14:textId="7354570D" w:rsidR="006804A1" w:rsidRDefault="006804A1" w:rsidP="006804A1">
      <w:pPr>
        <w:autoSpaceDE w:val="0"/>
        <w:autoSpaceDN w:val="0"/>
        <w:adjustRightInd w:val="0"/>
        <w:spacing w:after="0" w:line="240" w:lineRule="auto"/>
        <w:rPr>
          <w:rFonts w:ascii="AdvP3E76B0" w:hAnsi="AdvP3E76B0" w:cs="AdvP3E76B0"/>
          <w:sz w:val="18"/>
          <w:szCs w:val="18"/>
        </w:rPr>
      </w:pPr>
      <w:r>
        <w:rPr>
          <w:rFonts w:ascii="AdvP3E76B0" w:hAnsi="AdvP3E76B0" w:cs="AdvP3E76B0"/>
          <w:sz w:val="18"/>
          <w:szCs w:val="18"/>
        </w:rPr>
        <w:t>Individuals detected with NDH had increased rates of</w:t>
      </w:r>
      <w:r>
        <w:rPr>
          <w:rFonts w:ascii="AdvP3E76B0" w:hAnsi="AdvP3E76B0" w:cs="AdvP3E76B0"/>
          <w:sz w:val="18"/>
          <w:szCs w:val="18"/>
        </w:rPr>
        <w:t xml:space="preserve"> </w:t>
      </w:r>
      <w:r>
        <w:rPr>
          <w:rFonts w:ascii="AdvP3E76B0" w:hAnsi="AdvP3E76B0" w:cs="AdvP3E76B0"/>
          <w:sz w:val="18"/>
          <w:szCs w:val="18"/>
        </w:rPr>
        <w:t>microvascular disease up to 7.5 years following the diagnosis</w:t>
      </w:r>
    </w:p>
    <w:p w14:paraId="65475583" w14:textId="62E0A4B3" w:rsidR="006804A1" w:rsidRDefault="006804A1" w:rsidP="006804A1">
      <w:pPr>
        <w:autoSpaceDE w:val="0"/>
        <w:autoSpaceDN w:val="0"/>
        <w:adjustRightInd w:val="0"/>
        <w:spacing w:after="0" w:line="240" w:lineRule="auto"/>
        <w:rPr>
          <w:rFonts w:ascii="AdvP3E76B0" w:hAnsi="AdvP3E76B0" w:cs="AdvP3E76B0"/>
          <w:sz w:val="18"/>
          <w:szCs w:val="18"/>
        </w:rPr>
      </w:pPr>
      <w:r>
        <w:rPr>
          <w:rFonts w:ascii="AdvP3E76B0" w:hAnsi="AdvP3E76B0" w:cs="AdvP3E76B0"/>
          <w:sz w:val="18"/>
          <w:szCs w:val="18"/>
        </w:rPr>
        <w:t>of T2D. Timely testing and identification of NDH and specific</w:t>
      </w:r>
      <w:r>
        <w:rPr>
          <w:rFonts w:ascii="AdvP3E76B0" w:hAnsi="AdvP3E76B0" w:cs="AdvP3E76B0"/>
          <w:sz w:val="18"/>
          <w:szCs w:val="18"/>
        </w:rPr>
        <w:t xml:space="preserve"> </w:t>
      </w:r>
      <w:r>
        <w:rPr>
          <w:rFonts w:ascii="AdvP3E76B0" w:hAnsi="AdvP3E76B0" w:cs="AdvP3E76B0"/>
          <w:sz w:val="18"/>
          <w:szCs w:val="18"/>
        </w:rPr>
        <w:t>clustering of NDH with other risk factors for T2D might</w:t>
      </w:r>
    </w:p>
    <w:p w14:paraId="28884DEA" w14:textId="106BB9C4" w:rsidR="00441A2F" w:rsidRDefault="006804A1" w:rsidP="006804A1">
      <w:pPr>
        <w:autoSpaceDE w:val="0"/>
        <w:autoSpaceDN w:val="0"/>
        <w:adjustRightInd w:val="0"/>
        <w:spacing w:after="0" w:line="240" w:lineRule="auto"/>
      </w:pPr>
      <w:r>
        <w:rPr>
          <w:rFonts w:ascii="AdvP3E76B0" w:hAnsi="AdvP3E76B0" w:cs="AdvP3E76B0"/>
          <w:sz w:val="18"/>
          <w:szCs w:val="18"/>
        </w:rPr>
        <w:t>prompt earlier risk factor assessment and tailored vascular risk</w:t>
      </w:r>
      <w:r>
        <w:rPr>
          <w:rFonts w:ascii="AdvP3E76B0" w:hAnsi="AdvP3E76B0" w:cs="AdvP3E76B0"/>
          <w:sz w:val="18"/>
          <w:szCs w:val="18"/>
        </w:rPr>
        <w:t xml:space="preserve"> </w:t>
      </w:r>
      <w:r>
        <w:rPr>
          <w:rFonts w:ascii="AdvP3E76B0" w:hAnsi="AdvP3E76B0" w:cs="AdvP3E76B0"/>
          <w:sz w:val="18"/>
          <w:szCs w:val="18"/>
        </w:rPr>
        <w:t>reduction strategies during the NDH phase to reduce the</w:t>
      </w:r>
      <w:r>
        <w:rPr>
          <w:rFonts w:ascii="AdvP3E76B0" w:hAnsi="AdvP3E76B0" w:cs="AdvP3E76B0"/>
          <w:sz w:val="18"/>
          <w:szCs w:val="18"/>
        </w:rPr>
        <w:t xml:space="preserve"> </w:t>
      </w:r>
      <w:r>
        <w:rPr>
          <w:rFonts w:ascii="AdvP3E76B0" w:hAnsi="AdvP3E76B0" w:cs="AdvP3E76B0"/>
          <w:sz w:val="18"/>
          <w:szCs w:val="18"/>
        </w:rPr>
        <w:t>burden of vascular disease following the diagnosis of T2D</w:t>
      </w:r>
    </w:p>
    <w:sectPr w:rsidR="00441A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P0068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vP007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vP3DBDA0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P3E5CE8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P3E76B0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4A1"/>
    <w:rsid w:val="00284317"/>
    <w:rsid w:val="006804A1"/>
    <w:rsid w:val="006E7150"/>
    <w:rsid w:val="00EB7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3AF71"/>
  <w15:chartTrackingRefBased/>
  <w15:docId w15:val="{3DDD4898-3584-4191-B0C3-787A04D7E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355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Majeed, Azeem</dc:creator>
  <cp:keywords/>
  <dc:description/>
  <cp:lastModifiedBy>Majeed, Azeem</cp:lastModifiedBy>
  <cp:revision>2</cp:revision>
  <dcterms:created xsi:type="dcterms:W3CDTF">2021-11-23T11:29:00Z</dcterms:created>
  <dcterms:modified xsi:type="dcterms:W3CDTF">2021-11-23T11:32:00Z</dcterms:modified>
</cp:coreProperties>
</file>