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4F91" w:rsidRPr="000437A0" w:rsidRDefault="00B64F91" w:rsidP="00B64F91">
      <w:pPr>
        <w:shd w:val="clear" w:color="auto" w:fill="FFFFFF"/>
        <w:spacing w:after="0" w:line="240" w:lineRule="auto"/>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Editorial</w:t>
      </w:r>
    </w:p>
    <w:p w:rsidR="00B64F91" w:rsidRPr="000437A0" w:rsidRDefault="00B64F91" w:rsidP="00B64F91">
      <w:pPr>
        <w:shd w:val="clear" w:color="auto" w:fill="FFFFFF"/>
        <w:spacing w:after="120" w:line="240" w:lineRule="auto"/>
        <w:rPr>
          <w:rFonts w:ascii="Arial" w:eastAsia="Times New Roman" w:hAnsi="Arial" w:cs="Arial"/>
          <w:b/>
          <w:bCs/>
          <w:color w:val="222222"/>
          <w:sz w:val="24"/>
          <w:szCs w:val="24"/>
          <w:lang w:eastAsia="en-GB"/>
        </w:rPr>
      </w:pPr>
      <w:r w:rsidRPr="000437A0">
        <w:rPr>
          <w:rFonts w:ascii="Arial" w:eastAsia="Times New Roman" w:hAnsi="Arial" w:cs="Arial"/>
          <w:b/>
          <w:bCs/>
          <w:color w:val="222222"/>
          <w:sz w:val="24"/>
          <w:szCs w:val="24"/>
          <w:lang w:eastAsia="en-GB"/>
        </w:rPr>
        <w:t>Is cardiovascular magnetic resonance measurement of diffuse fibrosis ready for clinical use in the systemic RV?</w:t>
      </w:r>
    </w:p>
    <w:p w:rsidR="00B64F91" w:rsidRPr="000437A0" w:rsidRDefault="00B64F91" w:rsidP="00B64F91">
      <w:pPr>
        <w:shd w:val="clear" w:color="auto" w:fill="FFFFFF"/>
        <w:spacing w:after="120" w:line="240" w:lineRule="auto"/>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Sarah Ghonim</w:t>
      </w:r>
    </w:p>
    <w:p w:rsidR="00B64F91" w:rsidRPr="000437A0" w:rsidRDefault="00B64F91" w:rsidP="00B64F91">
      <w:pPr>
        <w:shd w:val="clear" w:color="auto" w:fill="FFFFFF"/>
        <w:spacing w:after="120" w:line="240" w:lineRule="auto"/>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Peter D. Gatehouse</w:t>
      </w:r>
    </w:p>
    <w:p w:rsidR="00B64F91" w:rsidRPr="000437A0" w:rsidRDefault="00B64F91" w:rsidP="00B64F91">
      <w:pPr>
        <w:shd w:val="clear" w:color="auto" w:fill="FFFFFF"/>
        <w:spacing w:after="120" w:line="240" w:lineRule="auto"/>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 xml:space="preserve">Michael A. </w:t>
      </w:r>
      <w:proofErr w:type="spellStart"/>
      <w:r w:rsidRPr="000437A0">
        <w:rPr>
          <w:rFonts w:ascii="Arial" w:eastAsia="Times New Roman" w:hAnsi="Arial" w:cs="Arial"/>
          <w:color w:val="222222"/>
          <w:sz w:val="24"/>
          <w:szCs w:val="24"/>
          <w:lang w:eastAsia="en-GB"/>
        </w:rPr>
        <w:t>Gatzoulis</w:t>
      </w:r>
      <w:proofErr w:type="spellEnd"/>
    </w:p>
    <w:p w:rsidR="00B64F91" w:rsidRPr="000437A0" w:rsidRDefault="00B64F91" w:rsidP="00B64F91">
      <w:pPr>
        <w:shd w:val="clear" w:color="auto" w:fill="FFFFFF"/>
        <w:spacing w:after="0" w:line="240" w:lineRule="auto"/>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Sonya V. Babu-Narayan</w:t>
      </w:r>
    </w:p>
    <w:p w:rsidR="00B64F91" w:rsidRPr="000437A0" w:rsidRDefault="00B64F91" w:rsidP="00B64F91">
      <w:pPr>
        <w:shd w:val="clear" w:color="auto" w:fill="FFFFFF"/>
        <w:spacing w:after="120" w:line="240" w:lineRule="auto"/>
        <w:rPr>
          <w:rFonts w:ascii="Arial" w:eastAsia="Times New Roman" w:hAnsi="Arial" w:cs="Arial"/>
          <w:color w:val="222222"/>
          <w:sz w:val="24"/>
          <w:szCs w:val="24"/>
          <w:lang w:eastAsia="en-GB"/>
        </w:rPr>
      </w:pPr>
      <w:bookmarkStart w:id="0" w:name="OPT_ID_27"/>
      <w:r w:rsidRPr="000437A0">
        <w:rPr>
          <w:rFonts w:ascii="Arial" w:eastAsia="Times New Roman" w:hAnsi="Arial" w:cs="Arial"/>
          <w:color w:val="222222"/>
          <w:sz w:val="24"/>
          <w:szCs w:val="24"/>
          <w:lang w:eastAsia="en-GB"/>
        </w:rPr>
        <w:t>s.babu-narayan@rbht.nhs.uk</w:t>
      </w:r>
      <w:bookmarkEnd w:id="0"/>
    </w:p>
    <w:p w:rsidR="00B64F91" w:rsidRPr="000437A0" w:rsidRDefault="00B64F91" w:rsidP="00B64F91">
      <w:pPr>
        <w:shd w:val="clear" w:color="auto" w:fill="FFFFFF"/>
        <w:spacing w:after="120" w:line="240" w:lineRule="auto"/>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Royal Brompton and Harefield NHS Foundation Trust, National Heart and Lung Institute, Imperial College London, United Kingdom of Great Britain and Northern Ireland</w:t>
      </w:r>
    </w:p>
    <w:p w:rsidR="00B64F91" w:rsidRPr="000437A0" w:rsidRDefault="00B64F91" w:rsidP="00B64F91">
      <w:pPr>
        <w:shd w:val="clear" w:color="auto" w:fill="FFFFFF"/>
        <w:spacing w:after="120" w:line="240" w:lineRule="auto"/>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vertAlign w:val="superscript"/>
          <w:lang w:eastAsia="en-GB"/>
        </w:rPr>
        <w:t>⁎</w:t>
      </w:r>
      <w:r w:rsidRPr="000437A0">
        <w:rPr>
          <w:rFonts w:ascii="Arial" w:eastAsia="Times New Roman" w:hAnsi="Arial" w:cs="Arial"/>
          <w:color w:val="222222"/>
          <w:sz w:val="24"/>
          <w:szCs w:val="24"/>
          <w:lang w:eastAsia="en-GB"/>
        </w:rPr>
        <w:t>Corresponding author at: Department of Adult Congenital Heart Disease, National Heart &amp; Lung Institute, Imperial College London, Royal Brompton Hospital, Sydney Street, London SW3 6NP, United Kingdom of Great Britain and Northern Ireland.</w:t>
      </w:r>
    </w:p>
    <w:p w:rsidR="003474CE" w:rsidRDefault="003474CE" w:rsidP="00B64F91">
      <w:pPr>
        <w:shd w:val="clear" w:color="auto" w:fill="FFFFFF"/>
        <w:spacing w:after="120" w:line="240" w:lineRule="auto"/>
        <w:ind w:firstLine="750"/>
        <w:jc w:val="both"/>
        <w:rPr>
          <w:rFonts w:ascii="Arial" w:eastAsia="Times New Roman" w:hAnsi="Arial" w:cs="Arial"/>
          <w:color w:val="222222"/>
          <w:sz w:val="24"/>
          <w:szCs w:val="24"/>
          <w:lang w:eastAsia="en-GB"/>
        </w:rPr>
      </w:pPr>
    </w:p>
    <w:p w:rsidR="003474CE" w:rsidRDefault="003474CE" w:rsidP="00B64F91">
      <w:pPr>
        <w:shd w:val="clear" w:color="auto" w:fill="FFFFFF"/>
        <w:spacing w:after="120" w:line="240" w:lineRule="auto"/>
        <w:ind w:firstLine="750"/>
        <w:jc w:val="both"/>
        <w:rPr>
          <w:rFonts w:ascii="Arial" w:eastAsia="Times New Roman" w:hAnsi="Arial" w:cs="Arial"/>
          <w:color w:val="222222"/>
          <w:sz w:val="24"/>
          <w:szCs w:val="24"/>
          <w:lang w:eastAsia="en-GB"/>
        </w:rPr>
      </w:pPr>
    </w:p>
    <w:p w:rsidR="003474CE" w:rsidRDefault="003474CE">
      <w:pPr>
        <w:rPr>
          <w:rFonts w:ascii="Arial" w:eastAsia="Times New Roman" w:hAnsi="Arial" w:cs="Arial"/>
          <w:color w:val="222222"/>
          <w:sz w:val="24"/>
          <w:szCs w:val="24"/>
          <w:lang w:eastAsia="en-GB"/>
        </w:rPr>
      </w:pPr>
      <w:r>
        <w:rPr>
          <w:rFonts w:ascii="Arial" w:eastAsia="Times New Roman" w:hAnsi="Arial" w:cs="Arial"/>
          <w:color w:val="222222"/>
          <w:sz w:val="24"/>
          <w:szCs w:val="24"/>
          <w:lang w:eastAsia="en-GB"/>
        </w:rPr>
        <w:br w:type="page"/>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lastRenderedPageBreak/>
        <w:t>The position of the morphological right ventricle (RV) in patients with transposition of the great arteries (TGA) post atrial switch operation (D-TGA) and congenitally corrected TGA (CCTGA/</w:t>
      </w:r>
      <w:r w:rsidRPr="003474CE">
        <w:rPr>
          <w:rFonts w:ascii="Arial" w:eastAsia="Times New Roman" w:hAnsi="Arial" w:cs="Arial"/>
          <w:color w:val="222222"/>
          <w:sz w:val="24"/>
          <w:szCs w:val="24"/>
          <w:lang w:eastAsia="en-GB"/>
        </w:rPr>
        <w:t> </w:t>
      </w:r>
      <w:r w:rsidRPr="000437A0">
        <w:rPr>
          <w:rFonts w:ascii="Arial" w:eastAsia="Times New Roman" w:hAnsi="Arial" w:cs="Arial"/>
          <w:color w:val="222222"/>
          <w:sz w:val="24"/>
          <w:szCs w:val="24"/>
          <w:lang w:eastAsia="en-GB"/>
        </w:rPr>
        <w:t>L-TGA) makes it vulnerable to failure due to being challenged with long-term support of the systemic circulation [</w:t>
      </w:r>
      <w:bookmarkStart w:id="1" w:name="OPT_ID_53"/>
      <w:r w:rsidRPr="000437A0">
        <w:rPr>
          <w:rFonts w:ascii="Arial" w:eastAsia="Times New Roman" w:hAnsi="Arial" w:cs="Arial"/>
          <w:color w:val="222222"/>
          <w:sz w:val="24"/>
          <w:szCs w:val="24"/>
          <w:lang w:eastAsia="en-GB"/>
        </w:rPr>
        <w:t>1–2</w:t>
      </w:r>
      <w:bookmarkEnd w:id="1"/>
      <w:r w:rsidRPr="000437A0">
        <w:rPr>
          <w:rFonts w:ascii="Arial" w:eastAsia="Times New Roman" w:hAnsi="Arial" w:cs="Arial"/>
          <w:color w:val="222222"/>
          <w:sz w:val="24"/>
          <w:szCs w:val="24"/>
          <w:lang w:eastAsia="en-GB"/>
        </w:rPr>
        <w:t>]. This predisposes to heart failure, arrhythmia and sudden cardiac death [</w:t>
      </w:r>
      <w:bookmarkStart w:id="2" w:name="OPT_ID_54"/>
      <w:r w:rsidRPr="000437A0">
        <w:rPr>
          <w:rFonts w:ascii="Arial" w:eastAsia="Times New Roman" w:hAnsi="Arial" w:cs="Arial"/>
          <w:color w:val="222222"/>
          <w:sz w:val="24"/>
          <w:szCs w:val="24"/>
          <w:lang w:eastAsia="en-GB"/>
        </w:rPr>
        <w:t>1</w:t>
      </w:r>
      <w:bookmarkEnd w:id="2"/>
      <w:r w:rsidRPr="000437A0">
        <w:rPr>
          <w:rFonts w:ascii="Arial" w:eastAsia="Times New Roman" w:hAnsi="Arial" w:cs="Arial"/>
          <w:color w:val="222222"/>
          <w:sz w:val="24"/>
          <w:szCs w:val="24"/>
          <w:lang w:eastAsia="en-GB"/>
        </w:rPr>
        <w:t>, </w:t>
      </w:r>
      <w:bookmarkStart w:id="3" w:name="OPT_ID_55"/>
      <w:r w:rsidRPr="000437A0">
        <w:rPr>
          <w:rFonts w:ascii="Arial" w:eastAsia="Times New Roman" w:hAnsi="Arial" w:cs="Arial"/>
          <w:color w:val="222222"/>
          <w:sz w:val="24"/>
          <w:szCs w:val="24"/>
          <w:lang w:eastAsia="en-GB"/>
        </w:rPr>
        <w:t>2</w:t>
      </w:r>
      <w:bookmarkEnd w:id="3"/>
      <w:r w:rsidRPr="000437A0">
        <w:rPr>
          <w:rFonts w:ascii="Arial" w:eastAsia="Times New Roman" w:hAnsi="Arial" w:cs="Arial"/>
          <w:color w:val="222222"/>
          <w:sz w:val="24"/>
          <w:szCs w:val="24"/>
          <w:lang w:eastAsia="en-GB"/>
        </w:rPr>
        <w:t>]. Atrial arrhythmia may be the first manifestation of worsening RV dysfunction [</w:t>
      </w:r>
      <w:bookmarkStart w:id="4" w:name="OPT_ID_56"/>
      <w:r w:rsidRPr="000437A0">
        <w:rPr>
          <w:rFonts w:ascii="Arial" w:eastAsia="Times New Roman" w:hAnsi="Arial" w:cs="Arial"/>
          <w:color w:val="222222"/>
          <w:sz w:val="24"/>
          <w:szCs w:val="24"/>
          <w:lang w:eastAsia="en-GB"/>
        </w:rPr>
        <w:t>2</w:t>
      </w:r>
      <w:bookmarkEnd w:id="4"/>
      <w:r w:rsidRPr="000437A0">
        <w:rPr>
          <w:rFonts w:ascii="Arial" w:eastAsia="Times New Roman" w:hAnsi="Arial" w:cs="Arial"/>
          <w:color w:val="222222"/>
          <w:sz w:val="24"/>
          <w:szCs w:val="24"/>
          <w:lang w:eastAsia="en-GB"/>
        </w:rPr>
        <w:t>], and is associated with subsequent increased risk of ventricular arrhythmia and sudden cardiac death [</w:t>
      </w:r>
      <w:bookmarkStart w:id="5" w:name="OPT_ID_57"/>
      <w:r w:rsidRPr="000437A0">
        <w:rPr>
          <w:rFonts w:ascii="Arial" w:eastAsia="Times New Roman" w:hAnsi="Arial" w:cs="Arial"/>
          <w:color w:val="222222"/>
          <w:sz w:val="24"/>
          <w:szCs w:val="24"/>
          <w:lang w:eastAsia="en-GB"/>
        </w:rPr>
        <w:t>1</w:t>
      </w:r>
      <w:bookmarkEnd w:id="5"/>
      <w:r w:rsidRPr="000437A0">
        <w:rPr>
          <w:rFonts w:ascii="Arial" w:eastAsia="Times New Roman" w:hAnsi="Arial" w:cs="Arial"/>
          <w:color w:val="222222"/>
          <w:sz w:val="24"/>
          <w:szCs w:val="24"/>
          <w:lang w:eastAsia="en-GB"/>
        </w:rPr>
        <w:t>, </w:t>
      </w:r>
      <w:bookmarkStart w:id="6" w:name="OPT_ID_58"/>
      <w:r w:rsidRPr="000437A0">
        <w:rPr>
          <w:rFonts w:ascii="Arial" w:eastAsia="Times New Roman" w:hAnsi="Arial" w:cs="Arial"/>
          <w:color w:val="222222"/>
          <w:sz w:val="24"/>
          <w:szCs w:val="24"/>
          <w:lang w:eastAsia="en-GB"/>
        </w:rPr>
        <w:t>2</w:t>
      </w:r>
      <w:bookmarkEnd w:id="6"/>
      <w:r w:rsidRPr="000437A0">
        <w:rPr>
          <w:rFonts w:ascii="Arial" w:eastAsia="Times New Roman" w:hAnsi="Arial" w:cs="Arial"/>
          <w:color w:val="222222"/>
          <w:sz w:val="24"/>
          <w:szCs w:val="24"/>
          <w:lang w:eastAsia="en-GB"/>
        </w:rPr>
        <w:t>].</w:t>
      </w:r>
      <w:r w:rsidR="003474CE" w:rsidRPr="003474C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Identifying pathological changes in myocardial composition with a sensitive, robust and non-invasive measure to demonstrate subclinical ventricular dysfunction is a novel goal.</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Focal myocardial fibrosis detected by late gadolinium enhanced (LGE) cardiovascular Magnetic Resonance (CMR) has been reported in patients with systemic RV and independently predicts adverse outcomes [</w:t>
      </w:r>
      <w:bookmarkStart w:id="7" w:name="OPT_ID_62"/>
      <w:r w:rsidRPr="000437A0">
        <w:rPr>
          <w:rFonts w:ascii="Arial" w:eastAsia="Times New Roman" w:hAnsi="Arial" w:cs="Arial"/>
          <w:color w:val="222222"/>
          <w:sz w:val="24"/>
          <w:szCs w:val="24"/>
          <w:lang w:eastAsia="en-GB"/>
        </w:rPr>
        <w:t>1</w:t>
      </w:r>
      <w:bookmarkEnd w:id="7"/>
      <w:r w:rsidRPr="000437A0">
        <w:rPr>
          <w:rFonts w:ascii="Arial" w:eastAsia="Times New Roman" w:hAnsi="Arial" w:cs="Arial"/>
          <w:color w:val="222222"/>
          <w:sz w:val="24"/>
          <w:szCs w:val="24"/>
          <w:lang w:eastAsia="en-GB"/>
        </w:rPr>
        <w:t>]. Diffuse interstitial fibrosis occurs in response to abnormal myocardial loading conditions but unlike focal fibrosis remains undetected by LGE. Current developments of T1-mapping techniques</w:t>
      </w:r>
      <w:r w:rsidRPr="000437A0">
        <w:rPr>
          <w:rFonts w:ascii="Arial" w:eastAsia="Times New Roman" w:hAnsi="Arial" w:cs="Arial"/>
          <w:b/>
          <w:bCs/>
          <w:color w:val="222222"/>
          <w:sz w:val="24"/>
          <w:szCs w:val="24"/>
          <w:lang w:eastAsia="en-GB"/>
        </w:rPr>
        <w:t>,</w:t>
      </w:r>
      <w:r w:rsidRPr="000437A0">
        <w:rPr>
          <w:rFonts w:ascii="Arial" w:eastAsia="Times New Roman" w:hAnsi="Arial" w:cs="Arial"/>
          <w:color w:val="222222"/>
          <w:sz w:val="24"/>
          <w:szCs w:val="24"/>
          <w:lang w:eastAsia="en-GB"/>
        </w:rPr>
        <w:t> based on the initial formulation of fast T1 measurement in 1968 by Look and Locker [</w:t>
      </w:r>
      <w:bookmarkStart w:id="8" w:name="OPT_ID_64"/>
      <w:r w:rsidRPr="000437A0">
        <w:rPr>
          <w:rFonts w:ascii="Arial" w:eastAsia="Times New Roman" w:hAnsi="Arial" w:cs="Arial"/>
          <w:color w:val="222222"/>
          <w:sz w:val="24"/>
          <w:szCs w:val="24"/>
          <w:lang w:eastAsia="en-GB"/>
        </w:rPr>
        <w:t>3</w:t>
      </w:r>
      <w:bookmarkEnd w:id="8"/>
      <w:r w:rsidRPr="000437A0">
        <w:rPr>
          <w:rFonts w:ascii="Arial" w:eastAsia="Times New Roman" w:hAnsi="Arial" w:cs="Arial"/>
          <w:color w:val="222222"/>
          <w:sz w:val="24"/>
          <w:szCs w:val="24"/>
          <w:lang w:eastAsia="en-GB"/>
        </w:rPr>
        <w:t>], have enabled the detection of diffuse fibrosis by measuring native myocardial T1, post contrast myocardial T1 and calculating extra-cellular volume (ECV) [</w:t>
      </w:r>
      <w:bookmarkStart w:id="9" w:name="OPT_ID_65"/>
      <w:r w:rsidRPr="000437A0">
        <w:rPr>
          <w:rFonts w:ascii="Arial" w:eastAsia="Times New Roman" w:hAnsi="Arial" w:cs="Arial"/>
          <w:color w:val="222222"/>
          <w:sz w:val="24"/>
          <w:szCs w:val="24"/>
          <w:lang w:eastAsia="en-GB"/>
        </w:rPr>
        <w:t>4</w:t>
      </w:r>
      <w:bookmarkEnd w:id="9"/>
      <w:r w:rsidRPr="000437A0">
        <w:rPr>
          <w:rFonts w:ascii="Arial" w:eastAsia="Times New Roman" w:hAnsi="Arial" w:cs="Arial"/>
          <w:color w:val="222222"/>
          <w:sz w:val="24"/>
          <w:szCs w:val="24"/>
          <w:lang w:eastAsia="en-GB"/>
        </w:rPr>
        <w:t>]. CMR-derived LVECV correlates closely with LV collagen fraction at histology [</w:t>
      </w:r>
      <w:bookmarkStart w:id="10" w:name="OPT_ID_66"/>
      <w:r w:rsidRPr="000437A0">
        <w:rPr>
          <w:rFonts w:ascii="Arial" w:eastAsia="Times New Roman" w:hAnsi="Arial" w:cs="Arial"/>
          <w:color w:val="222222"/>
          <w:sz w:val="24"/>
          <w:szCs w:val="24"/>
          <w:lang w:eastAsia="en-GB"/>
        </w:rPr>
        <w:t>5</w:t>
      </w:r>
      <w:bookmarkEnd w:id="10"/>
      <w:r w:rsidRPr="000437A0">
        <w:rPr>
          <w:rFonts w:ascii="Arial" w:eastAsia="Times New Roman" w:hAnsi="Arial" w:cs="Arial"/>
          <w:color w:val="222222"/>
          <w:sz w:val="24"/>
          <w:szCs w:val="24"/>
          <w:lang w:eastAsia="en-GB"/>
        </w:rPr>
        <w:t>].</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strike/>
          <w:color w:val="FF0000"/>
          <w:sz w:val="24"/>
          <w:szCs w:val="24"/>
          <w:shd w:val="clear" w:color="auto" w:fill="D3D3D3"/>
          <w:lang w:eastAsia="en-GB"/>
        </w:rPr>
        <w:t> </w:t>
      </w:r>
      <w:r w:rsidRPr="000437A0">
        <w:rPr>
          <w:rFonts w:ascii="Arial" w:eastAsia="Times New Roman" w:hAnsi="Arial" w:cs="Arial"/>
          <w:color w:val="222222"/>
          <w:sz w:val="24"/>
          <w:szCs w:val="24"/>
          <w:lang w:eastAsia="en-GB"/>
        </w:rPr>
        <w:t>In this issue of </w:t>
      </w:r>
      <w:r w:rsidRPr="000437A0">
        <w:rPr>
          <w:rFonts w:ascii="Arial" w:eastAsia="Times New Roman" w:hAnsi="Arial" w:cs="Arial"/>
          <w:i/>
          <w:iCs/>
          <w:color w:val="222222"/>
          <w:sz w:val="24"/>
          <w:szCs w:val="24"/>
          <w:lang w:eastAsia="en-GB"/>
        </w:rPr>
        <w:t>International Journal of Cardiology</w:t>
      </w:r>
      <w:r w:rsidRPr="000437A0">
        <w:rPr>
          <w:rFonts w:ascii="Arial" w:eastAsia="Times New Roman" w:hAnsi="Arial" w:cs="Arial"/>
          <w:color w:val="222222"/>
          <w:sz w:val="24"/>
          <w:szCs w:val="24"/>
          <w:lang w:eastAsia="en-GB"/>
        </w:rPr>
        <w:t xml:space="preserve">, </w:t>
      </w:r>
      <w:proofErr w:type="spellStart"/>
      <w:r w:rsidRPr="000437A0">
        <w:rPr>
          <w:rFonts w:ascii="Arial" w:eastAsia="Times New Roman" w:hAnsi="Arial" w:cs="Arial"/>
          <w:color w:val="222222"/>
          <w:sz w:val="24"/>
          <w:szCs w:val="24"/>
          <w:lang w:eastAsia="en-GB"/>
        </w:rPr>
        <w:t>Broberg</w:t>
      </w:r>
      <w:proofErr w:type="spellEnd"/>
      <w:r w:rsidRPr="000437A0">
        <w:rPr>
          <w:rFonts w:ascii="Arial" w:eastAsia="Times New Roman" w:hAnsi="Arial" w:cs="Arial"/>
          <w:color w:val="222222"/>
          <w:sz w:val="24"/>
          <w:szCs w:val="24"/>
          <w:lang w:eastAsia="en-GB"/>
        </w:rPr>
        <w:t xml:space="preserve"> and colleagues prospectively measured CMR-RVECV in 53 adult patients (mean age 34 years), compared it to systemic CMR-LVECV in 20 normal controls and tested for a prognostic role. Unlike their previous cross-sectional study [</w:t>
      </w:r>
      <w:bookmarkStart w:id="11" w:name="OPT_ID_71"/>
      <w:r w:rsidRPr="000437A0">
        <w:rPr>
          <w:rFonts w:ascii="Arial" w:eastAsia="Times New Roman" w:hAnsi="Arial" w:cs="Arial"/>
          <w:color w:val="222222"/>
          <w:sz w:val="24"/>
          <w:szCs w:val="24"/>
          <w:lang w:eastAsia="en-GB"/>
        </w:rPr>
        <w:t>6</w:t>
      </w:r>
      <w:bookmarkEnd w:id="11"/>
      <w:r w:rsidRPr="000437A0">
        <w:rPr>
          <w:rFonts w:ascii="Arial" w:eastAsia="Times New Roman" w:hAnsi="Arial" w:cs="Arial"/>
          <w:color w:val="222222"/>
          <w:sz w:val="24"/>
          <w:szCs w:val="24"/>
          <w:lang w:eastAsia="en-GB"/>
        </w:rPr>
        <w:t>] (n-11 systemic RV) increased systemic ECV did not relate to reduced ejection fraction. Of note, there are multiple inherent differences between the systemic RV and the systemic LV including differences in RV fibromuscular architecture, unique geometry and mechanics, coronary perfusion mismatch, the presence of a tricuspid valve and conduction pathway anomalies [</w:t>
      </w:r>
      <w:bookmarkStart w:id="12" w:name="OPT_ID_72"/>
      <w:r w:rsidRPr="000437A0">
        <w:rPr>
          <w:rFonts w:ascii="Arial" w:eastAsia="Times New Roman" w:hAnsi="Arial" w:cs="Arial"/>
          <w:color w:val="222222"/>
          <w:sz w:val="24"/>
          <w:szCs w:val="24"/>
          <w:lang w:eastAsia="en-GB"/>
        </w:rPr>
        <w:t>7</w:t>
      </w:r>
      <w:bookmarkEnd w:id="12"/>
      <w:r w:rsidRPr="000437A0">
        <w:rPr>
          <w:rFonts w:ascii="Arial" w:eastAsia="Times New Roman" w:hAnsi="Arial" w:cs="Arial"/>
          <w:color w:val="222222"/>
          <w:sz w:val="24"/>
          <w:szCs w:val="24"/>
          <w:lang w:eastAsia="en-GB"/>
        </w:rPr>
        <w:t>]. The limitation of using a normal LV for comparison with systemic RV is acknowledged by the authors; CMR-RVECV is also not well validated nor is it easy to define what would be expected or normal</w:t>
      </w:r>
      <w:r w:rsidR="000437A0" w:rsidRPr="000437A0">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Ten patients with CCTGA were included in the cohort; only one had an elevated systemic RVECV. CCTGA patients are a heterogeneous population with variable phenotypes (for example could be associated with cyanosis with an associated ventricular septal defect) with consequently highly variable outcomes.</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Elevated ECV was found in 28% of systemic RV patients. As typical with diffuse fibrosis studies, higher ECV was found in female patients. High CMR-RVECV was a univariate predictor of the 14 major cardiovascular events (new-onset arrhythmia, arrhythmia requiring device, heart failure hospital admission, listing for transplant and sudden cardiac death) but was not independent of age and B-type natriuretic peptide for predicting outcomes.</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Contrary to what one might expect, higher systemic RVECV was associated with better 6-min walk test (6MWT) performance. Although diastolic function was not assessed the question is raised as to whether patients with diffuse fibrosis have a functional advantage in the early stages due to possible restrictive ventricular physiology, a speculation previously raised by data for the left heart in repaired tetralogy of Fallot patients [</w:t>
      </w:r>
      <w:bookmarkStart w:id="13" w:name="OPT_ID_79"/>
      <w:r w:rsidRPr="000437A0">
        <w:rPr>
          <w:rFonts w:ascii="Arial" w:eastAsia="Times New Roman" w:hAnsi="Arial" w:cs="Arial"/>
          <w:color w:val="222222"/>
          <w:sz w:val="24"/>
          <w:szCs w:val="24"/>
          <w:lang w:eastAsia="en-GB"/>
        </w:rPr>
        <w:t>8</w:t>
      </w:r>
      <w:bookmarkEnd w:id="13"/>
      <w:r w:rsidRPr="000437A0">
        <w:rPr>
          <w:rFonts w:ascii="Arial" w:eastAsia="Times New Roman" w:hAnsi="Arial" w:cs="Arial"/>
          <w:color w:val="222222"/>
          <w:sz w:val="24"/>
          <w:szCs w:val="24"/>
          <w:lang w:eastAsia="en-GB"/>
        </w:rPr>
        <w:t>].</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lastRenderedPageBreak/>
        <w:t>Measuring diffuse RV fibrosis is probably beyond the resolution of current clinically standard CMR approaches [</w:t>
      </w:r>
      <w:bookmarkStart w:id="14" w:name="OPT_ID_81"/>
      <w:r w:rsidRPr="000437A0">
        <w:rPr>
          <w:rFonts w:ascii="Arial" w:eastAsia="Times New Roman" w:hAnsi="Arial" w:cs="Arial"/>
          <w:color w:val="222222"/>
          <w:sz w:val="24"/>
          <w:szCs w:val="24"/>
          <w:lang w:eastAsia="en-GB"/>
        </w:rPr>
        <w:t>9</w:t>
      </w:r>
      <w:bookmarkEnd w:id="14"/>
      <w:r w:rsidRPr="000437A0">
        <w:rPr>
          <w:rFonts w:ascii="Arial" w:eastAsia="Times New Roman" w:hAnsi="Arial" w:cs="Arial"/>
          <w:color w:val="222222"/>
          <w:sz w:val="24"/>
          <w:szCs w:val="24"/>
          <w:lang w:eastAsia="en-GB"/>
        </w:rPr>
        <w:t>].</w:t>
      </w:r>
      <w:r w:rsidRPr="000437A0">
        <w:rPr>
          <w:rFonts w:ascii="Arial" w:eastAsia="Times New Roman" w:hAnsi="Arial" w:cs="Arial"/>
          <w:strike/>
          <w:color w:val="FF0000"/>
          <w:sz w:val="24"/>
          <w:szCs w:val="24"/>
          <w:shd w:val="clear" w:color="auto" w:fill="D3D3D3"/>
          <w:lang w:eastAsia="en-GB"/>
        </w:rPr>
        <w:t> </w:t>
      </w:r>
      <w:r w:rsidRPr="000437A0">
        <w:rPr>
          <w:rFonts w:ascii="Arial" w:eastAsia="Times New Roman" w:hAnsi="Arial" w:cs="Arial"/>
          <w:color w:val="008000"/>
          <w:sz w:val="24"/>
          <w:szCs w:val="24"/>
          <w:u w:val="single"/>
          <w:shd w:val="clear" w:color="auto" w:fill="D3D3D3"/>
          <w:lang w:eastAsia="en-GB"/>
        </w:rPr>
        <w:t> </w:t>
      </w:r>
      <w:r w:rsidRPr="000437A0">
        <w:rPr>
          <w:rFonts w:ascii="Arial" w:eastAsia="Times New Roman" w:hAnsi="Arial" w:cs="Arial"/>
          <w:color w:val="222222"/>
          <w:sz w:val="24"/>
          <w:szCs w:val="24"/>
          <w:lang w:eastAsia="en-GB"/>
        </w:rPr>
        <w:t xml:space="preserve">Initial application in the thicker compact myocardium of an RV that has adapted to systemic pressure and is closer to the imaging coil is conceptually more robust than in the subpulmonary RV (normal heart). However, the </w:t>
      </w:r>
      <w:proofErr w:type="gramStart"/>
      <w:r w:rsidRPr="000437A0">
        <w:rPr>
          <w:rFonts w:ascii="Arial" w:eastAsia="Times New Roman" w:hAnsi="Arial" w:cs="Arial"/>
          <w:color w:val="222222"/>
          <w:sz w:val="24"/>
          <w:szCs w:val="24"/>
          <w:lang w:eastAsia="en-GB"/>
        </w:rPr>
        <w:t>close proximity</w:t>
      </w:r>
      <w:proofErr w:type="gramEnd"/>
      <w:r w:rsidRPr="000437A0">
        <w:rPr>
          <w:rFonts w:ascii="Arial" w:eastAsia="Times New Roman" w:hAnsi="Arial" w:cs="Arial"/>
          <w:color w:val="222222"/>
          <w:sz w:val="24"/>
          <w:szCs w:val="24"/>
          <w:lang w:eastAsia="en-GB"/>
        </w:rPr>
        <w:t xml:space="preserve"> of sternal wires, pericardial fat, blood pool and trabeculation in the hypertrophied systemic RV remain barriers to accurate and precise T1 mapping measurements. Several T1-mapping techniques have been tested but it remains unclear which is optimal. </w:t>
      </w:r>
      <w:proofErr w:type="spellStart"/>
      <w:r w:rsidRPr="000437A0">
        <w:rPr>
          <w:rFonts w:ascii="Arial" w:eastAsia="Times New Roman" w:hAnsi="Arial" w:cs="Arial"/>
          <w:color w:val="222222"/>
          <w:sz w:val="24"/>
          <w:szCs w:val="24"/>
          <w:lang w:eastAsia="en-GB"/>
        </w:rPr>
        <w:t>Broberg</w:t>
      </w:r>
      <w:proofErr w:type="spellEnd"/>
      <w:r w:rsidRPr="000437A0">
        <w:rPr>
          <w:rFonts w:ascii="Arial" w:eastAsia="Times New Roman" w:hAnsi="Arial" w:cs="Arial"/>
          <w:color w:val="222222"/>
          <w:sz w:val="24"/>
          <w:szCs w:val="24"/>
          <w:lang w:eastAsia="en-GB"/>
        </w:rPr>
        <w:t xml:space="preserve"> and colleagues used a Look-Locker cine sequence prescribed perpendicular to the RV septum limited to one mid short-axis slice. Diffuse fibrosis was found histologically in the systemic RV [</w:t>
      </w:r>
      <w:bookmarkStart w:id="15" w:name="OPT_ID_84"/>
      <w:r w:rsidRPr="000437A0">
        <w:rPr>
          <w:rFonts w:ascii="Arial" w:eastAsia="Times New Roman" w:hAnsi="Arial" w:cs="Arial"/>
          <w:color w:val="222222"/>
          <w:sz w:val="24"/>
          <w:szCs w:val="24"/>
          <w:lang w:eastAsia="en-GB"/>
        </w:rPr>
        <w:t>1</w:t>
      </w:r>
      <w:bookmarkEnd w:id="15"/>
      <w:r w:rsidRPr="000437A0">
        <w:rPr>
          <w:rFonts w:ascii="Arial" w:eastAsia="Times New Roman" w:hAnsi="Arial" w:cs="Arial"/>
          <w:color w:val="222222"/>
          <w:sz w:val="24"/>
          <w:szCs w:val="24"/>
          <w:lang w:eastAsia="en-GB"/>
        </w:rPr>
        <w:t>]</w:t>
      </w:r>
      <w:r w:rsidR="000437A0" w:rsidRPr="000437A0">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though whether it is uniform has not been systematically studied. T1 was measured in the systemic RV in each phase throughout the cardiac cycle at multiple time points post contrast administration and haematocrit was sampled on the same day. In our opinion, this method is least predisposed to suffering inaccuracies from contaminating signal of surrounding structures (partial volume effects), although the analysis required is likely</w:t>
      </w:r>
      <w:r w:rsidR="000437A0" w:rsidRPr="000437A0">
        <w:rPr>
          <w:rFonts w:ascii="Arial" w:eastAsia="Times New Roman" w:hAnsi="Arial" w:cs="Arial"/>
          <w:color w:val="222222"/>
          <w:sz w:val="24"/>
          <w:szCs w:val="24"/>
          <w:lang w:eastAsia="en-GB"/>
        </w:rPr>
        <w:t xml:space="preserve"> </w:t>
      </w:r>
      <w:proofErr w:type="spellStart"/>
      <w:r w:rsidR="000437A0" w:rsidRPr="000437A0">
        <w:rPr>
          <w:rFonts w:ascii="Arial" w:eastAsia="Times New Roman" w:hAnsi="Arial" w:cs="Arial"/>
          <w:color w:val="222222"/>
          <w:sz w:val="24"/>
          <w:szCs w:val="24"/>
          <w:lang w:eastAsia="en-GB"/>
        </w:rPr>
        <w:t>too</w:t>
      </w:r>
      <w:proofErr w:type="spellEnd"/>
      <w:r w:rsidR="000437A0" w:rsidRPr="000437A0">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labour intensive and time consuming for routine clinical use.</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proofErr w:type="spellStart"/>
      <w:r w:rsidRPr="000437A0">
        <w:rPr>
          <w:rFonts w:ascii="Arial" w:eastAsia="Times New Roman" w:hAnsi="Arial" w:cs="Arial"/>
          <w:color w:val="222222"/>
          <w:sz w:val="24"/>
          <w:szCs w:val="24"/>
          <w:lang w:eastAsia="en-GB"/>
        </w:rPr>
        <w:t>Shehu</w:t>
      </w:r>
      <w:proofErr w:type="spellEnd"/>
      <w:r w:rsidRPr="000437A0">
        <w:rPr>
          <w:rFonts w:ascii="Arial" w:eastAsia="Times New Roman" w:hAnsi="Arial" w:cs="Arial"/>
          <w:color w:val="222222"/>
          <w:sz w:val="24"/>
          <w:szCs w:val="24"/>
          <w:lang w:eastAsia="en-GB"/>
        </w:rPr>
        <w:t xml:space="preserve"> and colleagues recently reported that sub-pulmonary LVECV is higher than systemic RVECV and suggested therefore that the former was more concerning [</w:t>
      </w:r>
      <w:bookmarkStart w:id="16" w:name="OPT_ID_90"/>
      <w:r w:rsidRPr="000437A0">
        <w:rPr>
          <w:rFonts w:ascii="Arial" w:eastAsia="Times New Roman" w:hAnsi="Arial" w:cs="Arial"/>
          <w:color w:val="222222"/>
          <w:sz w:val="24"/>
          <w:szCs w:val="24"/>
          <w:lang w:eastAsia="en-GB"/>
        </w:rPr>
        <w:t>10</w:t>
      </w:r>
      <w:bookmarkEnd w:id="16"/>
      <w:r w:rsidRPr="000437A0">
        <w:rPr>
          <w:rFonts w:ascii="Arial" w:eastAsia="Times New Roman" w:hAnsi="Arial" w:cs="Arial"/>
          <w:color w:val="222222"/>
          <w:sz w:val="24"/>
          <w:szCs w:val="24"/>
          <w:lang w:eastAsia="en-GB"/>
        </w:rPr>
        <w:t>]. We note that previous histological investigation did not find subpulmonary LV fibrosis in end-stage systemic RV heart failure [</w:t>
      </w:r>
      <w:bookmarkStart w:id="17" w:name="OPT_ID_91"/>
      <w:r w:rsidRPr="000437A0">
        <w:rPr>
          <w:rFonts w:ascii="Arial" w:eastAsia="Times New Roman" w:hAnsi="Arial" w:cs="Arial"/>
          <w:color w:val="222222"/>
          <w:sz w:val="24"/>
          <w:szCs w:val="24"/>
          <w:lang w:eastAsia="en-GB"/>
        </w:rPr>
        <w:t>1</w:t>
      </w:r>
      <w:bookmarkEnd w:id="17"/>
      <w:r w:rsidRPr="000437A0">
        <w:rPr>
          <w:rFonts w:ascii="Arial" w:eastAsia="Times New Roman" w:hAnsi="Arial" w:cs="Arial"/>
          <w:color w:val="222222"/>
          <w:sz w:val="24"/>
          <w:szCs w:val="24"/>
          <w:lang w:eastAsia="en-GB"/>
        </w:rPr>
        <w:t xml:space="preserve">]. It can be expected that it is even more challenging to accurately measure diffuse fibrosis in the thin-walled sub-pulmonary LV than in the thick-walled systemic RV given the LV is more susceptible to CMR partial volume effects when in this position. </w:t>
      </w:r>
      <w:proofErr w:type="spellStart"/>
      <w:r w:rsidRPr="000437A0">
        <w:rPr>
          <w:rFonts w:ascii="Arial" w:eastAsia="Times New Roman" w:hAnsi="Arial" w:cs="Arial"/>
          <w:color w:val="222222"/>
          <w:sz w:val="24"/>
          <w:szCs w:val="24"/>
          <w:lang w:eastAsia="en-GB"/>
        </w:rPr>
        <w:t>Broberg</w:t>
      </w:r>
      <w:proofErr w:type="spellEnd"/>
      <w:r w:rsidRPr="000437A0">
        <w:rPr>
          <w:rFonts w:ascii="Arial" w:eastAsia="Times New Roman" w:hAnsi="Arial" w:cs="Arial"/>
          <w:color w:val="222222"/>
          <w:sz w:val="24"/>
          <w:szCs w:val="24"/>
          <w:lang w:eastAsia="en-GB"/>
        </w:rPr>
        <w:t xml:space="preserve"> and colleagues did not measure sub-pulmonary LVECV acknowledging these limitations. CMR-ECV measurement is an indirect measure of extracellular matrix volume which may be secondary to extracellular matrix expansion due to collagen deposition but can also reflect loss of volume of cardiac myocytes or apoptosis. Future correlation of T1 mapping findings with histology is merited </w:t>
      </w:r>
      <w:proofErr w:type="gramStart"/>
      <w:r w:rsidRPr="000437A0">
        <w:rPr>
          <w:rFonts w:ascii="Arial" w:eastAsia="Times New Roman" w:hAnsi="Arial" w:cs="Arial"/>
          <w:color w:val="222222"/>
          <w:sz w:val="24"/>
          <w:szCs w:val="24"/>
          <w:lang w:eastAsia="en-GB"/>
        </w:rPr>
        <w:t>in order to</w:t>
      </w:r>
      <w:proofErr w:type="gramEnd"/>
      <w:r w:rsidRPr="000437A0">
        <w:rPr>
          <w:rFonts w:ascii="Arial" w:eastAsia="Times New Roman" w:hAnsi="Arial" w:cs="Arial"/>
          <w:color w:val="222222"/>
          <w:sz w:val="24"/>
          <w:szCs w:val="24"/>
          <w:lang w:eastAsia="en-GB"/>
        </w:rPr>
        <w:t xml:space="preserve"> improve our understanding of the adverse remodelling process.</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Questions remain as to how to use CMR markers of diffuse and focal fibrosis to predict adverse outcomes and what their independent and combined clinical value above other cheaper and more easily obtained clinical tests is. Incorporating both newer three–dimensional, whole-heart LGE and higher-resolution T1 mapping sequences that are bespoke to the thin-walled RV may enable comprehensive quantification of both focal and diffuse RV fibrosis burden.</w:t>
      </w:r>
    </w:p>
    <w:p w:rsidR="00B64F91" w:rsidRPr="000437A0" w:rsidRDefault="00B64F91" w:rsidP="00B64F91">
      <w:pPr>
        <w:shd w:val="clear" w:color="auto" w:fill="FFFFFF"/>
        <w:spacing w:after="120" w:line="240" w:lineRule="auto"/>
        <w:ind w:firstLine="750"/>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To date, this study is the largest prospective study in patients with systemic RV and implicates a pathological link between microscopic systemic RV diffuse fibrosis and adverse clinical outcomes.</w:t>
      </w:r>
      <w:r w:rsidR="003474CE" w:rsidRPr="003474C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CMR-ECV has shown promise as a non-invasive imaging biomarker to detect early disease but more work will be needed to validate any potential roles in monitoring for disease progression</w:t>
      </w:r>
      <w:r w:rsidR="000437A0" w:rsidRPr="000437A0">
        <w:rPr>
          <w:rFonts w:ascii="Arial" w:eastAsia="Times New Roman" w:hAnsi="Arial" w:cs="Arial"/>
          <w:color w:val="222222"/>
          <w:sz w:val="24"/>
          <w:szCs w:val="24"/>
          <w:lang w:eastAsia="en-GB"/>
        </w:rPr>
        <w:t xml:space="preserve"> and timing</w:t>
      </w:r>
      <w:r w:rsidRPr="000437A0">
        <w:rPr>
          <w:rFonts w:ascii="Arial" w:eastAsia="Times New Roman" w:hAnsi="Arial" w:cs="Arial"/>
          <w:color w:val="222222"/>
          <w:sz w:val="24"/>
          <w:szCs w:val="24"/>
          <w:lang w:eastAsia="en-GB"/>
        </w:rPr>
        <w:t xml:space="preserve"> of interventions or to find out whether it is fit for purpose as a secondary endpoint in drug trials. This study makes</w:t>
      </w:r>
      <w:r w:rsidR="000437A0" w:rsidRPr="000437A0">
        <w:rPr>
          <w:rFonts w:ascii="Arial" w:eastAsia="Times New Roman" w:hAnsi="Arial" w:cs="Arial"/>
          <w:color w:val="222222"/>
          <w:sz w:val="24"/>
          <w:szCs w:val="24"/>
          <w:lang w:eastAsia="en-GB"/>
        </w:rPr>
        <w:t xml:space="preserve"> a significant</w:t>
      </w:r>
      <w:r w:rsidRPr="000437A0">
        <w:rPr>
          <w:rFonts w:ascii="Arial" w:eastAsia="Times New Roman" w:hAnsi="Arial" w:cs="Arial"/>
          <w:color w:val="222222"/>
          <w:sz w:val="24"/>
          <w:szCs w:val="24"/>
          <w:lang w:eastAsia="en-GB"/>
        </w:rPr>
        <w:t xml:space="preserve"> contribution towards achieving these goals.</w:t>
      </w:r>
    </w:p>
    <w:p w:rsidR="00B64F91" w:rsidRPr="000437A0" w:rsidRDefault="00B64F91" w:rsidP="00B64F91">
      <w:pPr>
        <w:shd w:val="clear" w:color="auto" w:fill="FFFFFF"/>
        <w:spacing w:line="240" w:lineRule="auto"/>
        <w:rPr>
          <w:rFonts w:ascii="Arial" w:eastAsia="Times New Roman" w:hAnsi="Arial" w:cs="Arial"/>
          <w:b/>
          <w:bCs/>
          <w:color w:val="222222"/>
          <w:sz w:val="24"/>
          <w:szCs w:val="24"/>
          <w:lang w:eastAsia="en-GB"/>
        </w:rPr>
      </w:pPr>
      <w:r w:rsidRPr="000437A0">
        <w:rPr>
          <w:rFonts w:ascii="Arial" w:eastAsia="Times New Roman" w:hAnsi="Arial" w:cs="Arial"/>
          <w:b/>
          <w:bCs/>
          <w:color w:val="222222"/>
          <w:sz w:val="24"/>
          <w:szCs w:val="24"/>
          <w:lang w:eastAsia="en-GB"/>
        </w:rPr>
        <w:t>Conflict of interest</w:t>
      </w:r>
    </w:p>
    <w:p w:rsidR="00B64F91" w:rsidRPr="000437A0" w:rsidRDefault="00B64F91" w:rsidP="000A4BCF">
      <w:pPr>
        <w:shd w:val="clear" w:color="auto" w:fill="FFFFFF"/>
        <w:spacing w:after="120" w:line="240" w:lineRule="auto"/>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The authors report no relationships that could be construed as a conflict of interest.</w:t>
      </w:r>
    </w:p>
    <w:p w:rsidR="00B64F91" w:rsidRPr="000A4BCF" w:rsidRDefault="00B64F91" w:rsidP="000A4BCF">
      <w:pPr>
        <w:shd w:val="clear" w:color="auto" w:fill="FFFFFF"/>
        <w:spacing w:line="240" w:lineRule="auto"/>
        <w:rPr>
          <w:rFonts w:ascii="Arial" w:eastAsia="Times New Roman" w:hAnsi="Arial" w:cs="Arial"/>
          <w:b/>
          <w:bCs/>
          <w:color w:val="222222"/>
          <w:sz w:val="24"/>
          <w:szCs w:val="24"/>
          <w:lang w:eastAsia="en-GB"/>
        </w:rPr>
      </w:pPr>
      <w:r w:rsidRPr="000A4BCF">
        <w:rPr>
          <w:rFonts w:ascii="Arial" w:eastAsia="Times New Roman" w:hAnsi="Arial" w:cs="Arial"/>
          <w:b/>
          <w:bCs/>
          <w:color w:val="222222"/>
          <w:sz w:val="24"/>
          <w:szCs w:val="24"/>
          <w:lang w:eastAsia="en-GB"/>
        </w:rPr>
        <w:t>Acknowledgments</w:t>
      </w:r>
    </w:p>
    <w:p w:rsidR="00B64F91" w:rsidRPr="000437A0" w:rsidRDefault="00B64F91" w:rsidP="000A4BCF">
      <w:pPr>
        <w:shd w:val="clear" w:color="auto" w:fill="FFFFFF"/>
        <w:spacing w:line="240" w:lineRule="auto"/>
        <w:jc w:val="both"/>
        <w:rPr>
          <w:rFonts w:ascii="Arial" w:eastAsia="Times New Roman" w:hAnsi="Arial" w:cs="Arial"/>
          <w:color w:val="222222"/>
          <w:sz w:val="24"/>
          <w:szCs w:val="24"/>
          <w:lang w:eastAsia="en-GB"/>
        </w:rPr>
      </w:pPr>
      <w:r w:rsidRPr="000437A0">
        <w:rPr>
          <w:rFonts w:ascii="Arial" w:eastAsia="Times New Roman" w:hAnsi="Arial" w:cs="Arial"/>
          <w:color w:val="222222"/>
          <w:sz w:val="24"/>
          <w:szCs w:val="24"/>
          <w:lang w:eastAsia="en-GB"/>
        </w:rPr>
        <w:t>SVB-N is supported by the British Heart Foundation (FS/11/38/28864).</w:t>
      </w:r>
    </w:p>
    <w:p w:rsidR="00B64F91" w:rsidRPr="000437A0" w:rsidRDefault="00B64F91" w:rsidP="00B64F91">
      <w:pPr>
        <w:shd w:val="clear" w:color="auto" w:fill="FFFFFF"/>
        <w:spacing w:after="0" w:line="240" w:lineRule="auto"/>
        <w:rPr>
          <w:rFonts w:ascii="Arial" w:eastAsia="Times New Roman" w:hAnsi="Arial" w:cs="Arial"/>
          <w:color w:val="222222"/>
          <w:sz w:val="24"/>
          <w:szCs w:val="24"/>
          <w:lang w:eastAsia="en-GB"/>
        </w:rPr>
      </w:pPr>
      <w:bookmarkStart w:id="18" w:name="_GoBack"/>
      <w:bookmarkEnd w:id="18"/>
      <w:r w:rsidRPr="000437A0">
        <w:rPr>
          <w:rFonts w:ascii="Arial" w:eastAsia="Times New Roman" w:hAnsi="Arial" w:cs="Arial"/>
          <w:b/>
          <w:bCs/>
          <w:color w:val="222222"/>
          <w:sz w:val="24"/>
          <w:szCs w:val="24"/>
          <w:lang w:eastAsia="en-GB"/>
        </w:rPr>
        <w:lastRenderedPageBreak/>
        <w:t>References</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[1]</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Rydman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M.A.</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Gatzoulis</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S.Y.</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Ho</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Ernst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Swan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Li</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Wong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Sheppard</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K.P.</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McCarthy</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Roughton</w:t>
      </w:r>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P.J.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Kilner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Systemic right ventricular fibrosis detected by cardiovascular magnetic resonance is associated with clinical outcome, mainly new-onset atrial arrhythmia, in Patients After Atrial Redirection Surgery for Transposition of the Great Arteries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i/>
          <w:iCs/>
          <w:color w:val="222222"/>
          <w:sz w:val="24"/>
          <w:szCs w:val="24"/>
          <w:lang w:eastAsia="en-GB"/>
        </w:rPr>
        <w:t>Circ. Cardiovasc. Imaging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b/>
          <w:bCs/>
          <w:color w:val="222222"/>
          <w:sz w:val="24"/>
          <w:szCs w:val="24"/>
          <w:lang w:eastAsia="en-GB"/>
        </w:rPr>
        <w:t>8</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5</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2015</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e002628</w:t>
      </w:r>
      <w:r w:rsidRPr="000437A0">
        <w:rPr>
          <w:rFonts w:ascii="Arial" w:eastAsia="Times New Roman" w:hAnsi="Arial" w:cs="Arial"/>
          <w:color w:val="000000"/>
          <w:sz w:val="24"/>
          <w:szCs w:val="24"/>
          <w:lang w:eastAsia="en-GB"/>
        </w:rPr>
        <w:t>.</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[2]</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M.A.</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Gatzoulis</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Walters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McLaughlin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Merchant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G.D.</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Webb</w:t>
      </w:r>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P.</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Liu</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Late arrhythmia in adults with the Mustard procedure for transposition of great arteries: a surrogate marker for right ventricular</w:t>
      </w:r>
      <w:r w:rsidR="000437A0">
        <w:rPr>
          <w:rFonts w:ascii="Arial" w:eastAsia="Times New Roman" w:hAnsi="Arial" w:cs="Arial"/>
          <w:color w:val="222222"/>
          <w:sz w:val="24"/>
          <w:szCs w:val="24"/>
          <w:lang w:eastAsia="en-GB"/>
        </w:rPr>
        <w:t xml:space="preserve"> dysfunction?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i/>
          <w:iCs/>
          <w:color w:val="222222"/>
          <w:sz w:val="24"/>
          <w:szCs w:val="24"/>
          <w:lang w:eastAsia="en-GB"/>
        </w:rPr>
        <w:t>Heart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b/>
          <w:bCs/>
          <w:color w:val="222222"/>
          <w:sz w:val="24"/>
          <w:szCs w:val="24"/>
          <w:lang w:eastAsia="en-GB"/>
        </w:rPr>
        <w:t>84</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4</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2000</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409</w:t>
      </w:r>
      <w:r w:rsidRPr="000437A0">
        <w:rPr>
          <w:rFonts w:ascii="Arial" w:eastAsia="Times New Roman" w:hAnsi="Arial" w:cs="Arial"/>
          <w:color w:val="000000"/>
          <w:sz w:val="24"/>
          <w:szCs w:val="24"/>
          <w:lang w:eastAsia="en-GB"/>
        </w:rPr>
        <w:t>–</w:t>
      </w:r>
      <w:r w:rsidRPr="000437A0">
        <w:rPr>
          <w:rFonts w:ascii="Arial" w:eastAsia="Times New Roman" w:hAnsi="Arial" w:cs="Arial"/>
          <w:color w:val="222222"/>
          <w:sz w:val="24"/>
          <w:szCs w:val="24"/>
          <w:lang w:eastAsia="en-GB"/>
        </w:rPr>
        <w:t>415</w:t>
      </w:r>
      <w:r w:rsidRPr="000437A0">
        <w:rPr>
          <w:rFonts w:ascii="Arial" w:eastAsia="Times New Roman" w:hAnsi="Arial" w:cs="Arial"/>
          <w:color w:val="000000"/>
          <w:sz w:val="24"/>
          <w:szCs w:val="24"/>
          <w:lang w:eastAsia="en-GB"/>
        </w:rPr>
        <w:t>.</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[3]</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D.C.</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Look</w:t>
      </w:r>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D.R.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Locker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Nuclear spin-lattice relaxation measurements by tone-burst modulation</w:t>
      </w:r>
      <w:r w:rsidRPr="000437A0">
        <w:rPr>
          <w:rFonts w:ascii="Arial" w:eastAsia="Times New Roman" w:hAnsi="Arial" w:cs="Arial"/>
          <w:color w:val="000000"/>
          <w:sz w:val="24"/>
          <w:szCs w:val="24"/>
          <w:lang w:eastAsia="en-GB"/>
        </w:rPr>
        <w:t>,</w:t>
      </w:r>
      <w:r w:rsidR="000437A0">
        <w:rPr>
          <w:rFonts w:ascii="Arial" w:eastAsia="Times New Roman" w:hAnsi="Arial" w:cs="Arial"/>
          <w:color w:val="000000"/>
          <w:sz w:val="24"/>
          <w:szCs w:val="24"/>
          <w:lang w:eastAsia="en-GB"/>
        </w:rPr>
        <w:t xml:space="preserve"> </w:t>
      </w:r>
      <w:r w:rsidR="000437A0" w:rsidRPr="000A4BCF">
        <w:rPr>
          <w:rFonts w:ascii="Arial" w:eastAsia="Times New Roman" w:hAnsi="Arial" w:cs="Arial"/>
          <w:i/>
          <w:color w:val="000000"/>
          <w:sz w:val="24"/>
          <w:szCs w:val="24"/>
          <w:lang w:eastAsia="en-GB"/>
        </w:rPr>
        <w:t>Phys. Rev, Lett.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b/>
          <w:bCs/>
          <w:color w:val="222222"/>
          <w:sz w:val="24"/>
          <w:szCs w:val="24"/>
          <w:lang w:eastAsia="en-GB"/>
        </w:rPr>
        <w:t>20</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18</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1968</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987</w:t>
      </w:r>
      <w:r w:rsidRPr="000437A0">
        <w:rPr>
          <w:rFonts w:ascii="Arial" w:eastAsia="Times New Roman" w:hAnsi="Arial" w:cs="Arial"/>
          <w:color w:val="000000"/>
          <w:sz w:val="24"/>
          <w:szCs w:val="24"/>
          <w:lang w:eastAsia="en-GB"/>
        </w:rPr>
        <w:t>.</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[4]</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Ghonim</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I.</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Voges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P.D.</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Gatehouse</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Keegan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M.A.</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Gatzoulis</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Kilner</w:t>
      </w:r>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S.V.</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Babu-Narayan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Myocardial architecture, mechanics, and fibrosis in congenital heart disease,</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i/>
          <w:iCs/>
          <w:color w:val="222222"/>
          <w:sz w:val="24"/>
          <w:szCs w:val="24"/>
          <w:lang w:eastAsia="en-GB"/>
        </w:rPr>
        <w:t>Front. Cardiovasc. Med.</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b/>
          <w:bCs/>
          <w:color w:val="222222"/>
          <w:sz w:val="24"/>
          <w:szCs w:val="24"/>
          <w:lang w:eastAsia="en-GB"/>
        </w:rPr>
        <w:t>4</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2017</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30</w:t>
      </w:r>
      <w:r w:rsidRPr="000437A0">
        <w:rPr>
          <w:rFonts w:ascii="Arial" w:eastAsia="Times New Roman" w:hAnsi="Arial" w:cs="Arial"/>
          <w:color w:val="000000"/>
          <w:sz w:val="24"/>
          <w:szCs w:val="24"/>
          <w:lang w:eastAsia="en-GB"/>
        </w:rPr>
        <w:t>.</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[5]</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C.A.</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Miller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Naish</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Bishop</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Coutts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Clark</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Zhao</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Ray</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N.</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Yonan</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Williams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A.S.</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Flett</w:t>
      </w:r>
      <w:proofErr w:type="spellEnd"/>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J.C.</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Moon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Comprehensive validation of cardiovascular magnetic resonance techniques for the assessment of myocardial extracellular volume</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i/>
          <w:iCs/>
          <w:color w:val="222222"/>
          <w:sz w:val="24"/>
          <w:szCs w:val="24"/>
          <w:lang w:eastAsia="en-GB"/>
        </w:rPr>
        <w:t>Circ. Cardiovasc. Imaging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2013</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t>
      </w:r>
      <w:proofErr w:type="gramStart"/>
      <w:r w:rsidRPr="000437A0">
        <w:rPr>
          <w:rFonts w:ascii="Arial" w:eastAsia="Times New Roman" w:hAnsi="Arial" w:cs="Arial"/>
          <w:color w:val="222222"/>
          <w:sz w:val="24"/>
          <w:szCs w:val="24"/>
          <w:lang w:eastAsia="en-GB"/>
        </w:rPr>
        <w:t>pp.CIRCIMAGING</w:t>
      </w:r>
      <w:proofErr w:type="gramEnd"/>
      <w:r w:rsidRPr="000437A0">
        <w:rPr>
          <w:rFonts w:ascii="Arial" w:eastAsia="Times New Roman" w:hAnsi="Arial" w:cs="Arial"/>
          <w:color w:val="222222"/>
          <w:sz w:val="24"/>
          <w:szCs w:val="24"/>
          <w:lang w:eastAsia="en-GB"/>
        </w:rPr>
        <w:t>-112)</w:t>
      </w:r>
      <w:r w:rsidRPr="000437A0">
        <w:rPr>
          <w:rFonts w:ascii="Arial" w:eastAsia="Times New Roman" w:hAnsi="Arial" w:cs="Arial"/>
          <w:color w:val="000000"/>
          <w:sz w:val="24"/>
          <w:szCs w:val="24"/>
          <w:lang w:eastAsia="en-GB"/>
        </w:rPr>
        <w:t>.</w:t>
      </w:r>
    </w:p>
    <w:p w:rsidR="00B64F91" w:rsidRPr="000437A0" w:rsidRDefault="00B64F91" w:rsidP="0003303E">
      <w:pPr>
        <w:shd w:val="clear" w:color="auto" w:fill="FFFFFF"/>
        <w:spacing w:after="120" w:line="240" w:lineRule="auto"/>
        <w:ind w:hanging="600"/>
        <w:rPr>
          <w:rFonts w:ascii="Arial" w:eastAsia="Times New Roman" w:hAnsi="Arial" w:cs="Arial"/>
          <w:color w:val="000000"/>
          <w:sz w:val="24"/>
          <w:szCs w:val="24"/>
          <w:lang w:eastAsia="en-GB"/>
        </w:rPr>
      </w:pPr>
      <w:r w:rsidRPr="000437A0">
        <w:rPr>
          <w:rFonts w:ascii="Arial" w:eastAsia="Times New Roman" w:hAnsi="Arial" w:cs="Arial"/>
          <w:b/>
          <w:bCs/>
          <w:color w:val="222222"/>
          <w:sz w:val="24"/>
          <w:szCs w:val="24"/>
          <w:lang w:eastAsia="en-GB"/>
        </w:rPr>
        <w:t>[6]</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C.S.</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Broberg</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S.S.</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Chugh</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Conklin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D.J.</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Sahn</w:t>
      </w:r>
      <w:proofErr w:type="spellEnd"/>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M.</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Jerosch</w:t>
      </w:r>
      <w:proofErr w:type="spellEnd"/>
      <w:r w:rsidRPr="000437A0">
        <w:rPr>
          <w:rFonts w:ascii="Arial" w:eastAsia="Times New Roman" w:hAnsi="Arial" w:cs="Arial"/>
          <w:color w:val="222222"/>
          <w:sz w:val="24"/>
          <w:szCs w:val="24"/>
          <w:lang w:eastAsia="en-GB"/>
        </w:rPr>
        <w:t>-Herold</w:t>
      </w:r>
      <w:r w:rsidRPr="000437A0">
        <w:rPr>
          <w:rFonts w:ascii="Arial" w:eastAsia="Times New Roman" w:hAnsi="Arial" w:cs="Arial"/>
          <w:color w:val="000000"/>
          <w:sz w:val="24"/>
          <w:szCs w:val="24"/>
          <w:lang w:eastAsia="en-GB"/>
        </w:rPr>
        <w:t xml:space="preserve">, </w:t>
      </w:r>
      <w:r w:rsidR="0003303E">
        <w:rPr>
          <w:rFonts w:ascii="Arial" w:eastAsia="Times New Roman" w:hAnsi="Arial" w:cs="Arial"/>
          <w:color w:val="222222"/>
          <w:sz w:val="24"/>
          <w:szCs w:val="24"/>
          <w:lang w:eastAsia="en-GB"/>
        </w:rPr>
        <w:t xml:space="preserve">Quantification of </w:t>
      </w:r>
      <w:r w:rsidRPr="0003303E">
        <w:rPr>
          <w:rFonts w:ascii="Arial" w:eastAsia="Times New Roman" w:hAnsi="Arial" w:cs="Arial"/>
          <w:color w:val="222222"/>
          <w:sz w:val="24"/>
          <w:szCs w:val="24"/>
          <w:lang w:eastAsia="en-GB"/>
        </w:rPr>
        <w:t>diffuse myocardial f</w:t>
      </w:r>
      <w:r w:rsidR="000437A0" w:rsidRPr="0003303E">
        <w:rPr>
          <w:rFonts w:ascii="Arial" w:eastAsia="Times New Roman" w:hAnsi="Arial" w:cs="Arial"/>
          <w:color w:val="222222"/>
          <w:sz w:val="24"/>
          <w:szCs w:val="24"/>
          <w:lang w:eastAsia="en-GB"/>
        </w:rPr>
        <w:t>ibrosi</w:t>
      </w:r>
      <w:r w:rsidRPr="0003303E">
        <w:rPr>
          <w:rFonts w:ascii="Arial" w:eastAsia="Times New Roman" w:hAnsi="Arial" w:cs="Arial"/>
          <w:color w:val="222222"/>
          <w:sz w:val="24"/>
          <w:szCs w:val="24"/>
          <w:lang w:eastAsia="en-GB"/>
        </w:rPr>
        <w:t xml:space="preserve">and its association with myocardial dysfunction in congenital heart Disease </w:t>
      </w:r>
      <w:r w:rsidRPr="000A4BCF">
        <w:rPr>
          <w:rFonts w:ascii="Arial" w:eastAsia="Times New Roman" w:hAnsi="Arial" w:cs="Arial"/>
          <w:i/>
          <w:color w:val="222222"/>
          <w:sz w:val="24"/>
          <w:szCs w:val="24"/>
          <w:lang w:eastAsia="en-GB"/>
        </w:rPr>
        <w:t xml:space="preserve">Circ. Cardiovasc. Imaging </w:t>
      </w:r>
      <w:r w:rsidRPr="0003303E">
        <w:rPr>
          <w:rFonts w:ascii="Arial" w:eastAsia="Times New Roman" w:hAnsi="Arial" w:cs="Arial"/>
          <w:color w:val="222222"/>
          <w:sz w:val="24"/>
          <w:szCs w:val="24"/>
          <w:lang w:eastAsia="en-GB"/>
        </w:rPr>
        <w:t>3 (6), 2010, 727–734.</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[7]</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Brida</w:t>
      </w:r>
      <w:proofErr w:type="spellEnd"/>
      <w:r w:rsidRPr="0003303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G.P.</w:t>
      </w:r>
      <w:r w:rsidRPr="0003303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Diller</w:t>
      </w:r>
      <w:r w:rsidRPr="0003303E">
        <w:rPr>
          <w:rFonts w:ascii="Arial" w:eastAsia="Times New Roman" w:hAnsi="Arial" w:cs="Arial"/>
          <w:color w:val="222222"/>
          <w:sz w:val="24"/>
          <w:szCs w:val="24"/>
          <w:lang w:eastAsia="en-GB"/>
        </w:rPr>
        <w:t xml:space="preserve"> and </w:t>
      </w:r>
      <w:r w:rsidRPr="000437A0">
        <w:rPr>
          <w:rFonts w:ascii="Arial" w:eastAsia="Times New Roman" w:hAnsi="Arial" w:cs="Arial"/>
          <w:color w:val="222222"/>
          <w:sz w:val="24"/>
          <w:szCs w:val="24"/>
          <w:lang w:eastAsia="en-GB"/>
        </w:rPr>
        <w:t>M.A.</w:t>
      </w:r>
      <w:r w:rsidRPr="0003303E">
        <w:rPr>
          <w:rFonts w:ascii="Arial" w:eastAsia="Times New Roman" w:hAnsi="Arial" w:cs="Arial"/>
          <w:color w:val="222222"/>
          <w:sz w:val="24"/>
          <w:szCs w:val="24"/>
          <w:lang w:eastAsia="en-GB"/>
        </w:rPr>
        <w:t xml:space="preserve"> </w:t>
      </w:r>
      <w:proofErr w:type="spellStart"/>
      <w:r w:rsidRPr="000437A0">
        <w:rPr>
          <w:rFonts w:ascii="Arial" w:eastAsia="Times New Roman" w:hAnsi="Arial" w:cs="Arial"/>
          <w:color w:val="222222"/>
          <w:sz w:val="24"/>
          <w:szCs w:val="24"/>
          <w:lang w:eastAsia="en-GB"/>
        </w:rPr>
        <w:t>Gatzoulis</w:t>
      </w:r>
      <w:proofErr w:type="spellEnd"/>
      <w:r w:rsidRPr="0003303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Systemic </w:t>
      </w:r>
      <w:r w:rsidRPr="0003303E">
        <w:rPr>
          <w:rFonts w:ascii="Arial" w:eastAsia="Times New Roman" w:hAnsi="Arial" w:cs="Arial"/>
          <w:color w:val="222222"/>
          <w:sz w:val="24"/>
          <w:szCs w:val="24"/>
          <w:lang w:eastAsia="en-GB"/>
        </w:rPr>
        <w:t>r</w:t>
      </w:r>
      <w:r w:rsidRPr="000437A0">
        <w:rPr>
          <w:rFonts w:ascii="Arial" w:eastAsia="Times New Roman" w:hAnsi="Arial" w:cs="Arial"/>
          <w:color w:val="222222"/>
          <w:sz w:val="24"/>
          <w:szCs w:val="24"/>
          <w:lang w:eastAsia="en-GB"/>
        </w:rPr>
        <w:t>ight </w:t>
      </w:r>
      <w:r w:rsidRPr="0003303E">
        <w:rPr>
          <w:rFonts w:ascii="Arial" w:eastAsia="Times New Roman" w:hAnsi="Arial" w:cs="Arial"/>
          <w:color w:val="222222"/>
          <w:sz w:val="24"/>
          <w:szCs w:val="24"/>
          <w:lang w:eastAsia="en-GB"/>
        </w:rPr>
        <w:t>v</w:t>
      </w:r>
      <w:r w:rsidRPr="000437A0">
        <w:rPr>
          <w:rFonts w:ascii="Arial" w:eastAsia="Times New Roman" w:hAnsi="Arial" w:cs="Arial"/>
          <w:color w:val="222222"/>
          <w:sz w:val="24"/>
          <w:szCs w:val="24"/>
          <w:lang w:eastAsia="en-GB"/>
        </w:rPr>
        <w:t>entricle in </w:t>
      </w:r>
      <w:r w:rsidRPr="0003303E">
        <w:rPr>
          <w:rFonts w:ascii="Arial" w:eastAsia="Times New Roman" w:hAnsi="Arial" w:cs="Arial"/>
          <w:color w:val="222222"/>
          <w:sz w:val="24"/>
          <w:szCs w:val="24"/>
          <w:lang w:eastAsia="en-GB"/>
        </w:rPr>
        <w:t>a</w:t>
      </w:r>
      <w:r w:rsidRPr="000437A0">
        <w:rPr>
          <w:rFonts w:ascii="Arial" w:eastAsia="Times New Roman" w:hAnsi="Arial" w:cs="Arial"/>
          <w:color w:val="222222"/>
          <w:sz w:val="24"/>
          <w:szCs w:val="24"/>
          <w:lang w:eastAsia="en-GB"/>
        </w:rPr>
        <w:t>dults </w:t>
      </w:r>
      <w:r w:rsidRPr="0003303E">
        <w:rPr>
          <w:rFonts w:ascii="Arial" w:eastAsia="Times New Roman" w:hAnsi="Arial" w:cs="Arial"/>
          <w:color w:val="222222"/>
          <w:sz w:val="24"/>
          <w:szCs w:val="24"/>
          <w:lang w:eastAsia="en-GB"/>
        </w:rPr>
        <w:t>w</w:t>
      </w:r>
      <w:r w:rsidRPr="000437A0">
        <w:rPr>
          <w:rFonts w:ascii="Arial" w:eastAsia="Times New Roman" w:hAnsi="Arial" w:cs="Arial"/>
          <w:color w:val="222222"/>
          <w:sz w:val="24"/>
          <w:szCs w:val="24"/>
          <w:lang w:eastAsia="en-GB"/>
        </w:rPr>
        <w:t>ith </w:t>
      </w:r>
      <w:r w:rsidRPr="0003303E">
        <w:rPr>
          <w:rFonts w:ascii="Arial" w:eastAsia="Times New Roman" w:hAnsi="Arial" w:cs="Arial"/>
          <w:color w:val="222222"/>
          <w:sz w:val="24"/>
          <w:szCs w:val="24"/>
          <w:lang w:eastAsia="en-GB"/>
        </w:rPr>
        <w:t>c</w:t>
      </w:r>
      <w:r w:rsidRPr="000437A0">
        <w:rPr>
          <w:rFonts w:ascii="Arial" w:eastAsia="Times New Roman" w:hAnsi="Arial" w:cs="Arial"/>
          <w:color w:val="222222"/>
          <w:sz w:val="24"/>
          <w:szCs w:val="24"/>
          <w:lang w:eastAsia="en-GB"/>
        </w:rPr>
        <w:t>ongenital </w:t>
      </w:r>
      <w:r w:rsidRPr="0003303E">
        <w:rPr>
          <w:rFonts w:ascii="Arial" w:eastAsia="Times New Roman" w:hAnsi="Arial" w:cs="Arial"/>
          <w:color w:val="222222"/>
          <w:sz w:val="24"/>
          <w:szCs w:val="24"/>
          <w:lang w:eastAsia="en-GB"/>
        </w:rPr>
        <w:t>h</w:t>
      </w:r>
      <w:r w:rsidRPr="000437A0">
        <w:rPr>
          <w:rFonts w:ascii="Arial" w:eastAsia="Times New Roman" w:hAnsi="Arial" w:cs="Arial"/>
          <w:color w:val="222222"/>
          <w:sz w:val="24"/>
          <w:szCs w:val="24"/>
          <w:lang w:eastAsia="en-GB"/>
        </w:rPr>
        <w:t>eart </w:t>
      </w:r>
      <w:proofErr w:type="spellStart"/>
      <w:r w:rsidRPr="0003303E">
        <w:rPr>
          <w:rFonts w:ascii="Arial" w:eastAsia="Times New Roman" w:hAnsi="Arial" w:cs="Arial"/>
          <w:color w:val="222222"/>
          <w:sz w:val="24"/>
          <w:szCs w:val="24"/>
          <w:lang w:eastAsia="en-GB"/>
        </w:rPr>
        <w:t>Dd</w:t>
      </w:r>
      <w:r w:rsidRPr="000437A0">
        <w:rPr>
          <w:rFonts w:ascii="Arial" w:eastAsia="Times New Roman" w:hAnsi="Arial" w:cs="Arial"/>
          <w:color w:val="222222"/>
          <w:sz w:val="24"/>
          <w:szCs w:val="24"/>
          <w:lang w:eastAsia="en-GB"/>
        </w:rPr>
        <w:t>isease</w:t>
      </w:r>
      <w:proofErr w:type="spellEnd"/>
      <w:r w:rsidRPr="000437A0">
        <w:rPr>
          <w:rFonts w:ascii="Arial" w:eastAsia="Times New Roman" w:hAnsi="Arial" w:cs="Arial"/>
          <w:color w:val="222222"/>
          <w:sz w:val="24"/>
          <w:szCs w:val="24"/>
          <w:lang w:eastAsia="en-GB"/>
        </w:rPr>
        <w:t>: </w:t>
      </w:r>
      <w:r w:rsidRPr="0003303E">
        <w:rPr>
          <w:rFonts w:ascii="Arial" w:eastAsia="Times New Roman" w:hAnsi="Arial" w:cs="Arial"/>
          <w:color w:val="222222"/>
          <w:sz w:val="24"/>
          <w:szCs w:val="24"/>
          <w:lang w:eastAsia="en-GB"/>
        </w:rPr>
        <w:t>a</w:t>
      </w:r>
      <w:r w:rsidRPr="000437A0">
        <w:rPr>
          <w:rFonts w:ascii="Arial" w:eastAsia="Times New Roman" w:hAnsi="Arial" w:cs="Arial"/>
          <w:color w:val="222222"/>
          <w:sz w:val="24"/>
          <w:szCs w:val="24"/>
          <w:lang w:eastAsia="en-GB"/>
        </w:rPr>
        <w:t>natomic and </w:t>
      </w:r>
      <w:r w:rsidRPr="0003303E">
        <w:rPr>
          <w:rFonts w:ascii="Arial" w:eastAsia="Times New Roman" w:hAnsi="Arial" w:cs="Arial"/>
          <w:color w:val="222222"/>
          <w:sz w:val="24"/>
          <w:szCs w:val="24"/>
          <w:lang w:eastAsia="en-GB"/>
        </w:rPr>
        <w:t>p</w:t>
      </w:r>
      <w:r w:rsidRPr="000437A0">
        <w:rPr>
          <w:rFonts w:ascii="Arial" w:eastAsia="Times New Roman" w:hAnsi="Arial" w:cs="Arial"/>
          <w:color w:val="222222"/>
          <w:sz w:val="24"/>
          <w:szCs w:val="24"/>
          <w:lang w:eastAsia="en-GB"/>
        </w:rPr>
        <w:t>henotypic Spectrum and </w:t>
      </w:r>
      <w:r w:rsidRPr="0003303E">
        <w:rPr>
          <w:rFonts w:ascii="Arial" w:eastAsia="Times New Roman" w:hAnsi="Arial" w:cs="Arial"/>
          <w:color w:val="222222"/>
          <w:sz w:val="24"/>
          <w:szCs w:val="24"/>
          <w:lang w:eastAsia="en-GB"/>
        </w:rPr>
        <w:t>c</w:t>
      </w:r>
      <w:r w:rsidRPr="000437A0">
        <w:rPr>
          <w:rFonts w:ascii="Arial" w:eastAsia="Times New Roman" w:hAnsi="Arial" w:cs="Arial"/>
          <w:color w:val="222222"/>
          <w:sz w:val="24"/>
          <w:szCs w:val="24"/>
          <w:lang w:eastAsia="en-GB"/>
        </w:rPr>
        <w:t>urrent </w:t>
      </w:r>
      <w:r w:rsidRPr="0003303E">
        <w:rPr>
          <w:rFonts w:ascii="Arial" w:eastAsia="Times New Roman" w:hAnsi="Arial" w:cs="Arial"/>
          <w:color w:val="222222"/>
          <w:sz w:val="24"/>
          <w:szCs w:val="24"/>
          <w:lang w:eastAsia="en-GB"/>
        </w:rPr>
        <w:t>a</w:t>
      </w:r>
      <w:r w:rsidRPr="000437A0">
        <w:rPr>
          <w:rFonts w:ascii="Arial" w:eastAsia="Times New Roman" w:hAnsi="Arial" w:cs="Arial"/>
          <w:color w:val="222222"/>
          <w:sz w:val="24"/>
          <w:szCs w:val="24"/>
          <w:lang w:eastAsia="en-GB"/>
        </w:rPr>
        <w:t>pproach to </w:t>
      </w:r>
      <w:r w:rsidRPr="0003303E">
        <w:rPr>
          <w:rFonts w:ascii="Arial" w:eastAsia="Times New Roman" w:hAnsi="Arial" w:cs="Arial"/>
          <w:color w:val="222222"/>
          <w:sz w:val="24"/>
          <w:szCs w:val="24"/>
          <w:lang w:eastAsia="en-GB"/>
        </w:rPr>
        <w:t>m</w:t>
      </w:r>
      <w:r w:rsidRPr="000437A0">
        <w:rPr>
          <w:rFonts w:ascii="Arial" w:eastAsia="Times New Roman" w:hAnsi="Arial" w:cs="Arial"/>
          <w:color w:val="222222"/>
          <w:sz w:val="24"/>
          <w:szCs w:val="24"/>
          <w:lang w:eastAsia="en-GB"/>
        </w:rPr>
        <w:t>anagement</w:t>
      </w:r>
      <w:r w:rsidRPr="0003303E">
        <w:rPr>
          <w:rFonts w:ascii="Arial" w:eastAsia="Times New Roman" w:hAnsi="Arial" w:cs="Arial"/>
          <w:color w:val="222222"/>
          <w:sz w:val="24"/>
          <w:szCs w:val="24"/>
          <w:lang w:eastAsia="en-GB"/>
        </w:rPr>
        <w:t xml:space="preserve">, </w:t>
      </w:r>
      <w:r w:rsidRPr="000A4BCF">
        <w:rPr>
          <w:rFonts w:ascii="Arial" w:eastAsia="Times New Roman" w:hAnsi="Arial" w:cs="Arial"/>
          <w:i/>
          <w:color w:val="222222"/>
          <w:sz w:val="24"/>
          <w:szCs w:val="24"/>
          <w:lang w:eastAsia="en-GB"/>
        </w:rPr>
        <w:t xml:space="preserve">Circulation </w:t>
      </w:r>
      <w:r w:rsidRPr="0003303E">
        <w:rPr>
          <w:rFonts w:ascii="Arial" w:eastAsia="Times New Roman" w:hAnsi="Arial" w:cs="Arial"/>
          <w:color w:val="222222"/>
          <w:sz w:val="24"/>
          <w:szCs w:val="24"/>
          <w:lang w:eastAsia="en-GB"/>
        </w:rPr>
        <w:t>137 (</w:t>
      </w:r>
      <w:r w:rsidRPr="000437A0">
        <w:rPr>
          <w:rFonts w:ascii="Arial" w:eastAsia="Times New Roman" w:hAnsi="Arial" w:cs="Arial"/>
          <w:color w:val="222222"/>
          <w:sz w:val="24"/>
          <w:szCs w:val="24"/>
          <w:lang w:eastAsia="en-GB"/>
        </w:rPr>
        <w:t>5</w:t>
      </w:r>
      <w:r w:rsidRPr="0003303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2018</w:t>
      </w:r>
      <w:r w:rsidRPr="0003303E">
        <w:rPr>
          <w:rFonts w:ascii="Arial" w:eastAsia="Times New Roman" w:hAnsi="Arial" w:cs="Arial"/>
          <w:color w:val="222222"/>
          <w:sz w:val="24"/>
          <w:szCs w:val="24"/>
          <w:lang w:eastAsia="en-GB"/>
        </w:rPr>
        <w:t xml:space="preserve">, </w:t>
      </w:r>
      <w:r w:rsidRPr="000437A0">
        <w:rPr>
          <w:rFonts w:ascii="Arial" w:eastAsia="Times New Roman" w:hAnsi="Arial" w:cs="Arial"/>
          <w:color w:val="222222"/>
          <w:sz w:val="24"/>
          <w:szCs w:val="24"/>
          <w:lang w:eastAsia="en-GB"/>
        </w:rPr>
        <w:t>508</w:t>
      </w:r>
      <w:r w:rsidRPr="0003303E">
        <w:rPr>
          <w:rFonts w:ascii="Arial" w:eastAsia="Times New Roman" w:hAnsi="Arial" w:cs="Arial"/>
          <w:color w:val="222222"/>
          <w:sz w:val="24"/>
          <w:szCs w:val="24"/>
          <w:lang w:eastAsia="en-GB"/>
        </w:rPr>
        <w:t>–</w:t>
      </w:r>
      <w:r w:rsidRPr="000437A0">
        <w:rPr>
          <w:rFonts w:ascii="Arial" w:eastAsia="Times New Roman" w:hAnsi="Arial" w:cs="Arial"/>
          <w:color w:val="222222"/>
          <w:sz w:val="24"/>
          <w:szCs w:val="24"/>
          <w:lang w:eastAsia="en-GB"/>
        </w:rPr>
        <w:t>518</w:t>
      </w:r>
      <w:r w:rsidRPr="0003303E">
        <w:rPr>
          <w:rFonts w:ascii="Arial" w:eastAsia="Times New Roman" w:hAnsi="Arial" w:cs="Arial"/>
          <w:color w:val="222222"/>
          <w:sz w:val="24"/>
          <w:szCs w:val="24"/>
          <w:lang w:eastAsia="en-GB"/>
        </w:rPr>
        <w:t>.</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[8]</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C.S.</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Broberg</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Huang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I.</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Hogberg</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Mc</w:t>
      </w:r>
      <w:r w:rsidRPr="000A4BCF">
        <w:rPr>
          <w:rFonts w:ascii="Arial" w:eastAsia="Times New Roman" w:hAnsi="Arial" w:cs="Arial"/>
          <w:color w:val="222222"/>
          <w:sz w:val="24"/>
          <w:szCs w:val="24"/>
          <w:lang w:eastAsia="en-GB"/>
        </w:rPr>
        <w:t>L</w:t>
      </w:r>
      <w:r w:rsidRPr="000437A0">
        <w:rPr>
          <w:rFonts w:ascii="Arial" w:eastAsia="Times New Roman" w:hAnsi="Arial" w:cs="Arial"/>
          <w:color w:val="222222"/>
          <w:sz w:val="24"/>
          <w:szCs w:val="24"/>
          <w:lang w:eastAsia="en-GB"/>
        </w:rPr>
        <w:t>arry</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Woods</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Burchill</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G.A.</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Pantely</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D.J.</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Sahn</w:t>
      </w:r>
      <w:proofErr w:type="spellEnd"/>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M.</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Jerosch</w:t>
      </w:r>
      <w:proofErr w:type="spellEnd"/>
      <w:r w:rsidRPr="000437A0">
        <w:rPr>
          <w:rFonts w:ascii="Arial" w:eastAsia="Times New Roman" w:hAnsi="Arial" w:cs="Arial"/>
          <w:color w:val="222222"/>
          <w:sz w:val="24"/>
          <w:szCs w:val="24"/>
          <w:lang w:eastAsia="en-GB"/>
        </w:rPr>
        <w:t>-Herold</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Diffuse LV myocardial fibrosis and its clinical associations in adults with repaired tetralogy of Fallot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i/>
          <w:iCs/>
          <w:color w:val="222222"/>
          <w:sz w:val="24"/>
          <w:szCs w:val="24"/>
          <w:lang w:eastAsia="en-GB"/>
        </w:rPr>
        <w:t>JACC Cardiovasc. Imaging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2015</w:t>
      </w:r>
      <w:r w:rsidRPr="000437A0">
        <w:rPr>
          <w:rFonts w:ascii="Arial" w:eastAsia="Times New Roman" w:hAnsi="Arial" w:cs="Arial"/>
          <w:color w:val="000000"/>
          <w:sz w:val="24"/>
          <w:szCs w:val="24"/>
          <w:lang w:eastAsia="en-GB"/>
        </w:rPr>
        <w:t>.</w:t>
      </w:r>
    </w:p>
    <w:p w:rsidR="00B64F91" w:rsidRPr="000437A0" w:rsidRDefault="00B64F91" w:rsidP="00B64F91">
      <w:pPr>
        <w:shd w:val="clear" w:color="auto" w:fill="FFFFFF"/>
        <w:spacing w:after="120"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[9]</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D.R.</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Messroghli</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J.C.</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Moon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V.M.</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Ferreira</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L.</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Grosse-</w:t>
      </w:r>
      <w:proofErr w:type="spellStart"/>
      <w:r w:rsidRPr="000437A0">
        <w:rPr>
          <w:rFonts w:ascii="Arial" w:eastAsia="Times New Roman" w:hAnsi="Arial" w:cs="Arial"/>
          <w:color w:val="222222"/>
          <w:sz w:val="24"/>
          <w:szCs w:val="24"/>
          <w:lang w:eastAsia="en-GB"/>
        </w:rPr>
        <w:t>Wortmann</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He</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Kellman</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J.</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Mascherbauer</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R.</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Nezafat</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M.</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Salerno</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E.B.</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Schelbert</w:t>
      </w:r>
      <w:proofErr w:type="spellEnd"/>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A.J.</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Taylor</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Clinical recommendations for cardiovascular magnetic resonance mapping of T1, T2, T2* and extracellular volume: a consensus statement by the Society for Cardiovascular Magnetic Resonance (SCMR) endorsed by the European Association for Cardiovascular Imaging (EACVI)</w:t>
      </w:r>
      <w:r w:rsidRPr="000A4BCF">
        <w:rPr>
          <w:rFonts w:ascii="Arial" w:eastAsia="Times New Roman" w:hAnsi="Arial" w:cs="Arial"/>
          <w:color w:val="222222"/>
          <w:sz w:val="24"/>
          <w:szCs w:val="24"/>
          <w:lang w:eastAsia="en-GB"/>
        </w:rPr>
        <w:t xml:space="preserve">, </w:t>
      </w:r>
      <w:r w:rsidRPr="000A4BCF">
        <w:rPr>
          <w:rFonts w:ascii="Arial" w:eastAsia="Times New Roman" w:hAnsi="Arial" w:cs="Arial"/>
          <w:i/>
          <w:color w:val="222222"/>
          <w:sz w:val="24"/>
          <w:szCs w:val="24"/>
          <w:lang w:eastAsia="en-GB"/>
        </w:rPr>
        <w:t xml:space="preserve">J. Cardiovasc. Magn. </w:t>
      </w:r>
      <w:proofErr w:type="spellStart"/>
      <w:r w:rsidRPr="000A4BCF">
        <w:rPr>
          <w:rFonts w:ascii="Arial" w:eastAsia="Times New Roman" w:hAnsi="Arial" w:cs="Arial"/>
          <w:i/>
          <w:color w:val="222222"/>
          <w:sz w:val="24"/>
          <w:szCs w:val="24"/>
          <w:lang w:eastAsia="en-GB"/>
        </w:rPr>
        <w:t>Reson</w:t>
      </w:r>
      <w:proofErr w:type="spellEnd"/>
      <w:r w:rsidRPr="000A4BCF">
        <w:rPr>
          <w:rFonts w:ascii="Arial" w:eastAsia="Times New Roman" w:hAnsi="Arial" w:cs="Arial"/>
          <w:i/>
          <w:color w:val="222222"/>
          <w:sz w:val="24"/>
          <w:szCs w:val="24"/>
          <w:lang w:eastAsia="en-GB"/>
        </w:rPr>
        <w:t>.</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b/>
          <w:bCs/>
          <w:color w:val="222222"/>
          <w:sz w:val="24"/>
          <w:szCs w:val="24"/>
          <w:lang w:eastAsia="en-GB"/>
        </w:rPr>
        <w:t>19</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1</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2017</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75</w:t>
      </w:r>
      <w:r w:rsidRPr="000437A0">
        <w:rPr>
          <w:rFonts w:ascii="Arial" w:eastAsia="Times New Roman" w:hAnsi="Arial" w:cs="Arial"/>
          <w:color w:val="000000"/>
          <w:sz w:val="24"/>
          <w:szCs w:val="24"/>
          <w:lang w:eastAsia="en-GB"/>
        </w:rPr>
        <w:t>.</w:t>
      </w:r>
    </w:p>
    <w:p w:rsidR="00B64F91" w:rsidRPr="000437A0" w:rsidRDefault="00B64F91" w:rsidP="00B64F91">
      <w:pPr>
        <w:shd w:val="clear" w:color="auto" w:fill="FFFFFF"/>
        <w:spacing w:line="240" w:lineRule="auto"/>
        <w:ind w:hanging="600"/>
        <w:rPr>
          <w:rFonts w:ascii="Arial" w:eastAsia="Times New Roman" w:hAnsi="Arial" w:cs="Arial"/>
          <w:color w:val="222222"/>
          <w:sz w:val="24"/>
          <w:szCs w:val="24"/>
          <w:lang w:eastAsia="en-GB"/>
        </w:rPr>
      </w:pPr>
      <w:r w:rsidRPr="000437A0">
        <w:rPr>
          <w:rFonts w:ascii="Arial" w:eastAsia="Times New Roman" w:hAnsi="Arial" w:cs="Arial"/>
          <w:b/>
          <w:bCs/>
          <w:color w:val="222222"/>
          <w:sz w:val="24"/>
          <w:szCs w:val="24"/>
          <w:lang w:eastAsia="en-GB"/>
        </w:rPr>
        <w:t>[10]</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N.</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Shehu</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C.</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Meierhofer</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Messroghli</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N.</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Mkrtchyan</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w:t>
      </w:r>
      <w:r w:rsidRPr="000437A0">
        <w:rPr>
          <w:rFonts w:ascii="Arial" w:eastAsia="Times New Roman" w:hAnsi="Arial" w:cs="Arial"/>
          <w:color w:val="000000"/>
          <w:sz w:val="24"/>
          <w:szCs w:val="24"/>
          <w:lang w:eastAsia="en-GB"/>
        </w:rPr>
        <w:t xml:space="preserve"> </w:t>
      </w:r>
      <w:proofErr w:type="spellStart"/>
      <w:r w:rsidRPr="000437A0">
        <w:rPr>
          <w:rFonts w:ascii="Arial" w:eastAsia="Times New Roman" w:hAnsi="Arial" w:cs="Arial"/>
          <w:color w:val="222222"/>
          <w:sz w:val="24"/>
          <w:szCs w:val="24"/>
          <w:lang w:eastAsia="en-GB"/>
        </w:rPr>
        <w:t>Martinoff</w:t>
      </w:r>
      <w:proofErr w:type="spellEnd"/>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P.</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Ewert</w:t>
      </w:r>
      <w:r w:rsidRPr="000437A0">
        <w:rPr>
          <w:rFonts w:ascii="Arial" w:eastAsia="Times New Roman" w:hAnsi="Arial" w:cs="Arial"/>
          <w:color w:val="000000"/>
          <w:sz w:val="24"/>
          <w:szCs w:val="24"/>
          <w:lang w:eastAsia="en-GB"/>
        </w:rPr>
        <w:t xml:space="preserve"> and </w:t>
      </w:r>
      <w:r w:rsidRPr="000437A0">
        <w:rPr>
          <w:rFonts w:ascii="Arial" w:eastAsia="Times New Roman" w:hAnsi="Arial" w:cs="Arial"/>
          <w:color w:val="222222"/>
          <w:sz w:val="24"/>
          <w:szCs w:val="24"/>
          <w:lang w:eastAsia="en-GB"/>
        </w:rPr>
        <w:t>H.</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Stern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Diffuse fibrosis is common in the left, but not in the right ventricle in patients with transposition of the great arteries late after atrial switch operation</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i/>
          <w:iCs/>
          <w:color w:val="222222"/>
          <w:sz w:val="24"/>
          <w:szCs w:val="24"/>
          <w:lang w:eastAsia="en-GB"/>
        </w:rPr>
        <w:t>Int. J. Card. Imaging</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2018</w:t>
      </w:r>
      <w:r w:rsidRPr="000437A0">
        <w:rPr>
          <w:rFonts w:ascii="Arial" w:eastAsia="Times New Roman" w:hAnsi="Arial" w:cs="Arial"/>
          <w:color w:val="000000"/>
          <w:sz w:val="24"/>
          <w:szCs w:val="24"/>
          <w:lang w:eastAsia="en-GB"/>
        </w:rPr>
        <w:t xml:space="preserve">, </w:t>
      </w:r>
      <w:r w:rsidRPr="000437A0">
        <w:rPr>
          <w:rFonts w:ascii="Arial" w:eastAsia="Times New Roman" w:hAnsi="Arial" w:cs="Arial"/>
          <w:color w:val="222222"/>
          <w:sz w:val="24"/>
          <w:szCs w:val="24"/>
          <w:lang w:eastAsia="en-GB"/>
        </w:rPr>
        <w:t>1</w:t>
      </w:r>
      <w:r w:rsidRPr="000437A0">
        <w:rPr>
          <w:rFonts w:ascii="Arial" w:eastAsia="Times New Roman" w:hAnsi="Arial" w:cs="Arial"/>
          <w:color w:val="000000"/>
          <w:sz w:val="24"/>
          <w:szCs w:val="24"/>
          <w:lang w:eastAsia="en-GB"/>
        </w:rPr>
        <w:t>–</w:t>
      </w:r>
      <w:r w:rsidRPr="000437A0">
        <w:rPr>
          <w:rFonts w:ascii="Arial" w:eastAsia="Times New Roman" w:hAnsi="Arial" w:cs="Arial"/>
          <w:color w:val="222222"/>
          <w:sz w:val="24"/>
          <w:szCs w:val="24"/>
          <w:lang w:eastAsia="en-GB"/>
        </w:rPr>
        <w:t>8</w:t>
      </w:r>
      <w:r w:rsidRPr="000437A0">
        <w:rPr>
          <w:rFonts w:ascii="Arial" w:eastAsia="Times New Roman" w:hAnsi="Arial" w:cs="Arial"/>
          <w:color w:val="000000"/>
          <w:sz w:val="24"/>
          <w:szCs w:val="24"/>
          <w:lang w:eastAsia="en-GB"/>
        </w:rPr>
        <w:t>.</w:t>
      </w:r>
    </w:p>
    <w:p w:rsidR="002817AA" w:rsidRPr="000437A0" w:rsidRDefault="002817AA">
      <w:pPr>
        <w:rPr>
          <w:rFonts w:ascii="Arial" w:hAnsi="Arial" w:cs="Arial"/>
          <w:sz w:val="24"/>
          <w:szCs w:val="24"/>
        </w:rPr>
      </w:pPr>
    </w:p>
    <w:sectPr w:rsidR="002817AA" w:rsidRPr="000437A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91"/>
    <w:rsid w:val="0003303E"/>
    <w:rsid w:val="000437A0"/>
    <w:rsid w:val="000A4BCF"/>
    <w:rsid w:val="002817AA"/>
    <w:rsid w:val="003474CE"/>
    <w:rsid w:val="00B64F91"/>
    <w:rsid w:val="00F21B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1601F"/>
  <w15:chartTrackingRefBased/>
  <w15:docId w15:val="{E3AC13E2-4D42-454B-BC57-8CA4D5A46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etextfn">
    <w:name w:val="ce_textfn"/>
    <w:basedOn w:val="DefaultParagraphFont"/>
    <w:rsid w:val="00B64F91"/>
  </w:style>
  <w:style w:type="character" w:customStyle="1" w:styleId="cegiven-name">
    <w:name w:val="ce_given-name"/>
    <w:basedOn w:val="DefaultParagraphFont"/>
    <w:rsid w:val="00B64F91"/>
  </w:style>
  <w:style w:type="character" w:customStyle="1" w:styleId="x">
    <w:name w:val="x"/>
    <w:basedOn w:val="DefaultParagraphFont"/>
    <w:rsid w:val="00B64F91"/>
  </w:style>
  <w:style w:type="character" w:customStyle="1" w:styleId="cesurname">
    <w:name w:val="ce_surname"/>
    <w:basedOn w:val="DefaultParagraphFont"/>
    <w:rsid w:val="00B64F91"/>
  </w:style>
  <w:style w:type="character" w:customStyle="1" w:styleId="cite">
    <w:name w:val="cite"/>
    <w:basedOn w:val="DefaultParagraphFont"/>
    <w:rsid w:val="00B64F91"/>
  </w:style>
  <w:style w:type="character" w:customStyle="1" w:styleId="unicode-char">
    <w:name w:val="unicode-char"/>
    <w:basedOn w:val="DefaultParagraphFont"/>
    <w:rsid w:val="00B64F91"/>
  </w:style>
  <w:style w:type="character" w:customStyle="1" w:styleId="celabel">
    <w:name w:val="ce_label"/>
    <w:basedOn w:val="DefaultParagraphFont"/>
    <w:rsid w:val="00B64F91"/>
  </w:style>
  <w:style w:type="character" w:customStyle="1" w:styleId="cetext">
    <w:name w:val="ce_text"/>
    <w:basedOn w:val="DefaultParagraphFont"/>
    <w:rsid w:val="00B64F91"/>
  </w:style>
  <w:style w:type="character" w:customStyle="1" w:styleId="cpedel">
    <w:name w:val="cpedel"/>
    <w:basedOn w:val="DefaultParagraphFont"/>
    <w:rsid w:val="00B64F91"/>
  </w:style>
  <w:style w:type="character" w:customStyle="1" w:styleId="cpeins">
    <w:name w:val="cpeins"/>
    <w:basedOn w:val="DefaultParagraphFont"/>
    <w:rsid w:val="00B64F91"/>
  </w:style>
  <w:style w:type="character" w:customStyle="1" w:styleId="cebold">
    <w:name w:val="ce_bold"/>
    <w:basedOn w:val="DefaultParagraphFont"/>
    <w:rsid w:val="00B64F91"/>
  </w:style>
  <w:style w:type="character" w:customStyle="1" w:styleId="ceitalic">
    <w:name w:val="ce_italic"/>
    <w:basedOn w:val="DefaultParagraphFont"/>
    <w:rsid w:val="00B64F91"/>
  </w:style>
  <w:style w:type="character" w:customStyle="1" w:styleId="cehsp">
    <w:name w:val="ce_hsp"/>
    <w:basedOn w:val="DefaultParagraphFont"/>
    <w:rsid w:val="00B64F91"/>
  </w:style>
  <w:style w:type="character" w:customStyle="1" w:styleId="cesection-title">
    <w:name w:val="ce_section-title"/>
    <w:basedOn w:val="DefaultParagraphFont"/>
    <w:rsid w:val="00B64F91"/>
  </w:style>
  <w:style w:type="character" w:customStyle="1" w:styleId="cegrant-sponsor">
    <w:name w:val="ce_grant-sponsor"/>
    <w:basedOn w:val="DefaultParagraphFont"/>
    <w:rsid w:val="00B64F91"/>
  </w:style>
  <w:style w:type="character" w:customStyle="1" w:styleId="cegrant-number">
    <w:name w:val="ce_grant-number"/>
    <w:basedOn w:val="DefaultParagraphFont"/>
    <w:rsid w:val="00B64F91"/>
  </w:style>
  <w:style w:type="character" w:customStyle="1" w:styleId="sbmaintitle">
    <w:name w:val="sb_maintitle"/>
    <w:basedOn w:val="DefaultParagraphFont"/>
    <w:rsid w:val="00B64F91"/>
  </w:style>
  <w:style w:type="character" w:customStyle="1" w:styleId="sbcomment">
    <w:name w:val="sb_comment"/>
    <w:basedOn w:val="DefaultParagraphFont"/>
    <w:rsid w:val="00B64F91"/>
  </w:style>
  <w:style w:type="character" w:customStyle="1" w:styleId="sbvolume-nr">
    <w:name w:val="sb_volume-nr"/>
    <w:basedOn w:val="DefaultParagraphFont"/>
    <w:rsid w:val="00B64F91"/>
  </w:style>
  <w:style w:type="character" w:customStyle="1" w:styleId="sbissue-nr">
    <w:name w:val="sb_issue-nr"/>
    <w:basedOn w:val="DefaultParagraphFont"/>
    <w:rsid w:val="00B64F91"/>
  </w:style>
  <w:style w:type="character" w:customStyle="1" w:styleId="sbdate">
    <w:name w:val="sb_date"/>
    <w:basedOn w:val="DefaultParagraphFont"/>
    <w:rsid w:val="00B64F91"/>
  </w:style>
  <w:style w:type="character" w:customStyle="1" w:styleId="sbarticle-number">
    <w:name w:val="sb_article-number"/>
    <w:basedOn w:val="DefaultParagraphFont"/>
    <w:rsid w:val="00B64F91"/>
  </w:style>
  <w:style w:type="character" w:customStyle="1" w:styleId="sbfirst-page">
    <w:name w:val="sb_first-page"/>
    <w:basedOn w:val="DefaultParagraphFont"/>
    <w:rsid w:val="00B64F91"/>
  </w:style>
  <w:style w:type="character" w:customStyle="1" w:styleId="sblast-page">
    <w:name w:val="sb_last-page"/>
    <w:basedOn w:val="DefaultParagraphFont"/>
    <w:rsid w:val="00B64F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14852224">
      <w:bodyDiv w:val="1"/>
      <w:marLeft w:val="0"/>
      <w:marRight w:val="0"/>
      <w:marTop w:val="0"/>
      <w:marBottom w:val="0"/>
      <w:divBdr>
        <w:top w:val="none" w:sz="0" w:space="0" w:color="auto"/>
        <w:left w:val="none" w:sz="0" w:space="0" w:color="auto"/>
        <w:bottom w:val="none" w:sz="0" w:space="0" w:color="auto"/>
        <w:right w:val="none" w:sz="0" w:space="0" w:color="auto"/>
      </w:divBdr>
      <w:divsChild>
        <w:div w:id="1796212637">
          <w:marLeft w:val="0"/>
          <w:marRight w:val="0"/>
          <w:marTop w:val="0"/>
          <w:marBottom w:val="0"/>
          <w:divBdr>
            <w:top w:val="none" w:sz="0" w:space="0" w:color="auto"/>
            <w:left w:val="none" w:sz="0" w:space="0" w:color="auto"/>
            <w:bottom w:val="none" w:sz="0" w:space="0" w:color="auto"/>
            <w:right w:val="none" w:sz="0" w:space="0" w:color="auto"/>
          </w:divBdr>
          <w:divsChild>
            <w:div w:id="1709522352">
              <w:marLeft w:val="0"/>
              <w:marRight w:val="0"/>
              <w:marTop w:val="0"/>
              <w:marBottom w:val="0"/>
              <w:divBdr>
                <w:top w:val="none" w:sz="0" w:space="0" w:color="auto"/>
                <w:left w:val="none" w:sz="0" w:space="0" w:color="auto"/>
                <w:bottom w:val="none" w:sz="0" w:space="0" w:color="auto"/>
                <w:right w:val="none" w:sz="0" w:space="0" w:color="auto"/>
              </w:divBdr>
            </w:div>
            <w:div w:id="646200912">
              <w:marLeft w:val="0"/>
              <w:marRight w:val="0"/>
              <w:marTop w:val="120"/>
              <w:marBottom w:val="120"/>
              <w:divBdr>
                <w:top w:val="none" w:sz="0" w:space="0" w:color="auto"/>
                <w:left w:val="none" w:sz="0" w:space="0" w:color="auto"/>
                <w:bottom w:val="none" w:sz="0" w:space="0" w:color="auto"/>
                <w:right w:val="none" w:sz="0" w:space="0" w:color="auto"/>
              </w:divBdr>
            </w:div>
            <w:div w:id="1546522347">
              <w:marLeft w:val="0"/>
              <w:marRight w:val="0"/>
              <w:marTop w:val="0"/>
              <w:marBottom w:val="0"/>
              <w:divBdr>
                <w:top w:val="none" w:sz="0" w:space="0" w:color="auto"/>
                <w:left w:val="none" w:sz="0" w:space="0" w:color="auto"/>
                <w:bottom w:val="none" w:sz="0" w:space="0" w:color="auto"/>
                <w:right w:val="none" w:sz="0" w:space="0" w:color="auto"/>
              </w:divBdr>
              <w:divsChild>
                <w:div w:id="453795354">
                  <w:marLeft w:val="0"/>
                  <w:marRight w:val="0"/>
                  <w:marTop w:val="120"/>
                  <w:marBottom w:val="120"/>
                  <w:divBdr>
                    <w:top w:val="none" w:sz="0" w:space="0" w:color="auto"/>
                    <w:left w:val="none" w:sz="0" w:space="0" w:color="auto"/>
                    <w:bottom w:val="none" w:sz="0" w:space="0" w:color="auto"/>
                    <w:right w:val="none" w:sz="0" w:space="0" w:color="auto"/>
                  </w:divBdr>
                </w:div>
                <w:div w:id="715591023">
                  <w:marLeft w:val="0"/>
                  <w:marRight w:val="0"/>
                  <w:marTop w:val="120"/>
                  <w:marBottom w:val="120"/>
                  <w:divBdr>
                    <w:top w:val="none" w:sz="0" w:space="0" w:color="auto"/>
                    <w:left w:val="none" w:sz="0" w:space="0" w:color="auto"/>
                    <w:bottom w:val="none" w:sz="0" w:space="0" w:color="auto"/>
                    <w:right w:val="none" w:sz="0" w:space="0" w:color="auto"/>
                  </w:divBdr>
                </w:div>
                <w:div w:id="1601178815">
                  <w:marLeft w:val="0"/>
                  <w:marRight w:val="0"/>
                  <w:marTop w:val="120"/>
                  <w:marBottom w:val="120"/>
                  <w:divBdr>
                    <w:top w:val="none" w:sz="0" w:space="0" w:color="auto"/>
                    <w:left w:val="none" w:sz="0" w:space="0" w:color="auto"/>
                    <w:bottom w:val="none" w:sz="0" w:space="0" w:color="auto"/>
                    <w:right w:val="none" w:sz="0" w:space="0" w:color="auto"/>
                  </w:divBdr>
                </w:div>
                <w:div w:id="586579302">
                  <w:marLeft w:val="0"/>
                  <w:marRight w:val="0"/>
                  <w:marTop w:val="120"/>
                  <w:marBottom w:val="120"/>
                  <w:divBdr>
                    <w:top w:val="none" w:sz="0" w:space="0" w:color="auto"/>
                    <w:left w:val="none" w:sz="0" w:space="0" w:color="auto"/>
                    <w:bottom w:val="none" w:sz="0" w:space="0" w:color="auto"/>
                    <w:right w:val="none" w:sz="0" w:space="0" w:color="auto"/>
                  </w:divBdr>
                  <w:divsChild>
                    <w:div w:id="262080410">
                      <w:marLeft w:val="0"/>
                      <w:marRight w:val="0"/>
                      <w:marTop w:val="0"/>
                      <w:marBottom w:val="0"/>
                      <w:divBdr>
                        <w:top w:val="none" w:sz="0" w:space="0" w:color="auto"/>
                        <w:left w:val="none" w:sz="0" w:space="0" w:color="auto"/>
                        <w:bottom w:val="none" w:sz="0" w:space="0" w:color="auto"/>
                        <w:right w:val="none" w:sz="0" w:space="0" w:color="auto"/>
                      </w:divBdr>
                    </w:div>
                  </w:divsChild>
                </w:div>
                <w:div w:id="1453480871">
                  <w:marLeft w:val="0"/>
                  <w:marRight w:val="0"/>
                  <w:marTop w:val="120"/>
                  <w:marBottom w:val="120"/>
                  <w:divBdr>
                    <w:top w:val="none" w:sz="0" w:space="0" w:color="auto"/>
                    <w:left w:val="none" w:sz="0" w:space="0" w:color="auto"/>
                    <w:bottom w:val="none" w:sz="0" w:space="0" w:color="auto"/>
                    <w:right w:val="none" w:sz="0" w:space="0" w:color="auto"/>
                  </w:divBdr>
                </w:div>
                <w:div w:id="1041056094">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232737839">
          <w:marLeft w:val="0"/>
          <w:marRight w:val="0"/>
          <w:marTop w:val="0"/>
          <w:marBottom w:val="0"/>
          <w:divBdr>
            <w:top w:val="none" w:sz="0" w:space="0" w:color="auto"/>
            <w:left w:val="none" w:sz="0" w:space="0" w:color="auto"/>
            <w:bottom w:val="none" w:sz="0" w:space="0" w:color="auto"/>
            <w:right w:val="none" w:sz="0" w:space="0" w:color="auto"/>
          </w:divBdr>
          <w:divsChild>
            <w:div w:id="226573883">
              <w:marLeft w:val="0"/>
              <w:marRight w:val="0"/>
              <w:marTop w:val="120"/>
              <w:marBottom w:val="120"/>
              <w:divBdr>
                <w:top w:val="none" w:sz="0" w:space="0" w:color="auto"/>
                <w:left w:val="none" w:sz="0" w:space="0" w:color="auto"/>
                <w:bottom w:val="none" w:sz="0" w:space="0" w:color="auto"/>
                <w:right w:val="none" w:sz="0" w:space="0" w:color="auto"/>
              </w:divBdr>
            </w:div>
            <w:div w:id="2070222581">
              <w:marLeft w:val="0"/>
              <w:marRight w:val="0"/>
              <w:marTop w:val="120"/>
              <w:marBottom w:val="120"/>
              <w:divBdr>
                <w:top w:val="none" w:sz="0" w:space="0" w:color="auto"/>
                <w:left w:val="none" w:sz="0" w:space="0" w:color="auto"/>
                <w:bottom w:val="none" w:sz="0" w:space="0" w:color="auto"/>
                <w:right w:val="none" w:sz="0" w:space="0" w:color="auto"/>
              </w:divBdr>
            </w:div>
            <w:div w:id="922880624">
              <w:marLeft w:val="0"/>
              <w:marRight w:val="0"/>
              <w:marTop w:val="120"/>
              <w:marBottom w:val="120"/>
              <w:divBdr>
                <w:top w:val="none" w:sz="0" w:space="0" w:color="auto"/>
                <w:left w:val="none" w:sz="0" w:space="0" w:color="auto"/>
                <w:bottom w:val="none" w:sz="0" w:space="0" w:color="auto"/>
                <w:right w:val="none" w:sz="0" w:space="0" w:color="auto"/>
              </w:divBdr>
            </w:div>
            <w:div w:id="38671173">
              <w:marLeft w:val="0"/>
              <w:marRight w:val="0"/>
              <w:marTop w:val="120"/>
              <w:marBottom w:val="120"/>
              <w:divBdr>
                <w:top w:val="none" w:sz="0" w:space="0" w:color="auto"/>
                <w:left w:val="none" w:sz="0" w:space="0" w:color="auto"/>
                <w:bottom w:val="none" w:sz="0" w:space="0" w:color="auto"/>
                <w:right w:val="none" w:sz="0" w:space="0" w:color="auto"/>
              </w:divBdr>
            </w:div>
            <w:div w:id="1423139793">
              <w:marLeft w:val="0"/>
              <w:marRight w:val="0"/>
              <w:marTop w:val="120"/>
              <w:marBottom w:val="120"/>
              <w:divBdr>
                <w:top w:val="none" w:sz="0" w:space="0" w:color="auto"/>
                <w:left w:val="none" w:sz="0" w:space="0" w:color="auto"/>
                <w:bottom w:val="none" w:sz="0" w:space="0" w:color="auto"/>
                <w:right w:val="none" w:sz="0" w:space="0" w:color="auto"/>
              </w:divBdr>
            </w:div>
            <w:div w:id="1906911717">
              <w:marLeft w:val="0"/>
              <w:marRight w:val="0"/>
              <w:marTop w:val="120"/>
              <w:marBottom w:val="120"/>
              <w:divBdr>
                <w:top w:val="none" w:sz="0" w:space="0" w:color="auto"/>
                <w:left w:val="none" w:sz="0" w:space="0" w:color="auto"/>
                <w:bottom w:val="none" w:sz="0" w:space="0" w:color="auto"/>
                <w:right w:val="none" w:sz="0" w:space="0" w:color="auto"/>
              </w:divBdr>
            </w:div>
            <w:div w:id="1193417591">
              <w:marLeft w:val="0"/>
              <w:marRight w:val="0"/>
              <w:marTop w:val="120"/>
              <w:marBottom w:val="120"/>
              <w:divBdr>
                <w:top w:val="none" w:sz="0" w:space="0" w:color="auto"/>
                <w:left w:val="none" w:sz="0" w:space="0" w:color="auto"/>
                <w:bottom w:val="none" w:sz="0" w:space="0" w:color="auto"/>
                <w:right w:val="none" w:sz="0" w:space="0" w:color="auto"/>
              </w:divBdr>
            </w:div>
            <w:div w:id="1178236015">
              <w:marLeft w:val="0"/>
              <w:marRight w:val="0"/>
              <w:marTop w:val="120"/>
              <w:marBottom w:val="120"/>
              <w:divBdr>
                <w:top w:val="none" w:sz="0" w:space="0" w:color="auto"/>
                <w:left w:val="none" w:sz="0" w:space="0" w:color="auto"/>
                <w:bottom w:val="none" w:sz="0" w:space="0" w:color="auto"/>
                <w:right w:val="none" w:sz="0" w:space="0" w:color="auto"/>
              </w:divBdr>
            </w:div>
            <w:div w:id="1581912132">
              <w:marLeft w:val="0"/>
              <w:marRight w:val="0"/>
              <w:marTop w:val="120"/>
              <w:marBottom w:val="120"/>
              <w:divBdr>
                <w:top w:val="none" w:sz="0" w:space="0" w:color="auto"/>
                <w:left w:val="none" w:sz="0" w:space="0" w:color="auto"/>
                <w:bottom w:val="none" w:sz="0" w:space="0" w:color="auto"/>
                <w:right w:val="none" w:sz="0" w:space="0" w:color="auto"/>
              </w:divBdr>
            </w:div>
            <w:div w:id="503209444">
              <w:marLeft w:val="0"/>
              <w:marRight w:val="0"/>
              <w:marTop w:val="0"/>
              <w:marBottom w:val="0"/>
              <w:divBdr>
                <w:top w:val="none" w:sz="0" w:space="0" w:color="auto"/>
                <w:left w:val="none" w:sz="0" w:space="0" w:color="auto"/>
                <w:bottom w:val="none" w:sz="0" w:space="0" w:color="auto"/>
                <w:right w:val="none" w:sz="0" w:space="0" w:color="auto"/>
              </w:divBdr>
              <w:divsChild>
                <w:div w:id="539633248">
                  <w:marLeft w:val="0"/>
                  <w:marRight w:val="0"/>
                  <w:marTop w:val="150"/>
                  <w:marBottom w:val="420"/>
                  <w:divBdr>
                    <w:top w:val="none" w:sz="0" w:space="0" w:color="auto"/>
                    <w:left w:val="none" w:sz="0" w:space="0" w:color="auto"/>
                    <w:bottom w:val="none" w:sz="0" w:space="0" w:color="auto"/>
                    <w:right w:val="none" w:sz="0" w:space="0" w:color="auto"/>
                  </w:divBdr>
                </w:div>
                <w:div w:id="1368026227">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552182559">
          <w:marLeft w:val="0"/>
          <w:marRight w:val="0"/>
          <w:marTop w:val="0"/>
          <w:marBottom w:val="420"/>
          <w:divBdr>
            <w:top w:val="none" w:sz="0" w:space="0" w:color="auto"/>
            <w:left w:val="none" w:sz="0" w:space="0" w:color="auto"/>
            <w:bottom w:val="none" w:sz="0" w:space="0" w:color="auto"/>
            <w:right w:val="none" w:sz="0" w:space="0" w:color="auto"/>
          </w:divBdr>
          <w:divsChild>
            <w:div w:id="1079981863">
              <w:marLeft w:val="0"/>
              <w:marRight w:val="0"/>
              <w:marTop w:val="120"/>
              <w:marBottom w:val="120"/>
              <w:divBdr>
                <w:top w:val="none" w:sz="0" w:space="0" w:color="auto"/>
                <w:left w:val="none" w:sz="0" w:space="0" w:color="auto"/>
                <w:bottom w:val="none" w:sz="0" w:space="0" w:color="auto"/>
                <w:right w:val="none" w:sz="0" w:space="0" w:color="auto"/>
              </w:divBdr>
            </w:div>
          </w:divsChild>
        </w:div>
        <w:div w:id="405230244">
          <w:marLeft w:val="0"/>
          <w:marRight w:val="0"/>
          <w:marTop w:val="0"/>
          <w:marBottom w:val="360"/>
          <w:divBdr>
            <w:top w:val="none" w:sz="0" w:space="0" w:color="auto"/>
            <w:left w:val="none" w:sz="0" w:space="0" w:color="auto"/>
            <w:bottom w:val="none" w:sz="0" w:space="0" w:color="auto"/>
            <w:right w:val="none" w:sz="0" w:space="0" w:color="auto"/>
          </w:divBdr>
          <w:divsChild>
            <w:div w:id="257641461">
              <w:marLeft w:val="0"/>
              <w:marRight w:val="0"/>
              <w:marTop w:val="0"/>
              <w:marBottom w:val="0"/>
              <w:divBdr>
                <w:top w:val="none" w:sz="0" w:space="0" w:color="auto"/>
                <w:left w:val="none" w:sz="0" w:space="0" w:color="auto"/>
                <w:bottom w:val="none" w:sz="0" w:space="0" w:color="auto"/>
                <w:right w:val="none" w:sz="0" w:space="0" w:color="auto"/>
              </w:divBdr>
              <w:divsChild>
                <w:div w:id="1880359061">
                  <w:marLeft w:val="600"/>
                  <w:marRight w:val="0"/>
                  <w:marTop w:val="120"/>
                  <w:marBottom w:val="120"/>
                  <w:divBdr>
                    <w:top w:val="none" w:sz="0" w:space="0" w:color="auto"/>
                    <w:left w:val="none" w:sz="0" w:space="0" w:color="auto"/>
                    <w:bottom w:val="none" w:sz="0" w:space="0" w:color="auto"/>
                    <w:right w:val="none" w:sz="0" w:space="0" w:color="auto"/>
                  </w:divBdr>
                </w:div>
                <w:div w:id="1830320648">
                  <w:marLeft w:val="600"/>
                  <w:marRight w:val="0"/>
                  <w:marTop w:val="120"/>
                  <w:marBottom w:val="120"/>
                  <w:divBdr>
                    <w:top w:val="none" w:sz="0" w:space="0" w:color="auto"/>
                    <w:left w:val="none" w:sz="0" w:space="0" w:color="auto"/>
                    <w:bottom w:val="none" w:sz="0" w:space="0" w:color="auto"/>
                    <w:right w:val="none" w:sz="0" w:space="0" w:color="auto"/>
                  </w:divBdr>
                </w:div>
                <w:div w:id="1023870219">
                  <w:marLeft w:val="600"/>
                  <w:marRight w:val="0"/>
                  <w:marTop w:val="120"/>
                  <w:marBottom w:val="120"/>
                  <w:divBdr>
                    <w:top w:val="none" w:sz="0" w:space="0" w:color="auto"/>
                    <w:left w:val="none" w:sz="0" w:space="0" w:color="auto"/>
                    <w:bottom w:val="none" w:sz="0" w:space="0" w:color="auto"/>
                    <w:right w:val="none" w:sz="0" w:space="0" w:color="auto"/>
                  </w:divBdr>
                </w:div>
                <w:div w:id="2061705254">
                  <w:marLeft w:val="600"/>
                  <w:marRight w:val="0"/>
                  <w:marTop w:val="120"/>
                  <w:marBottom w:val="120"/>
                  <w:divBdr>
                    <w:top w:val="none" w:sz="0" w:space="0" w:color="auto"/>
                    <w:left w:val="none" w:sz="0" w:space="0" w:color="auto"/>
                    <w:bottom w:val="none" w:sz="0" w:space="0" w:color="auto"/>
                    <w:right w:val="none" w:sz="0" w:space="0" w:color="auto"/>
                  </w:divBdr>
                </w:div>
                <w:div w:id="1868718940">
                  <w:marLeft w:val="600"/>
                  <w:marRight w:val="0"/>
                  <w:marTop w:val="120"/>
                  <w:marBottom w:val="120"/>
                  <w:divBdr>
                    <w:top w:val="none" w:sz="0" w:space="0" w:color="auto"/>
                    <w:left w:val="none" w:sz="0" w:space="0" w:color="auto"/>
                    <w:bottom w:val="none" w:sz="0" w:space="0" w:color="auto"/>
                    <w:right w:val="none" w:sz="0" w:space="0" w:color="auto"/>
                  </w:divBdr>
                </w:div>
                <w:div w:id="1861316809">
                  <w:marLeft w:val="600"/>
                  <w:marRight w:val="0"/>
                  <w:marTop w:val="120"/>
                  <w:marBottom w:val="120"/>
                  <w:divBdr>
                    <w:top w:val="none" w:sz="0" w:space="0" w:color="auto"/>
                    <w:left w:val="none" w:sz="0" w:space="0" w:color="auto"/>
                    <w:bottom w:val="none" w:sz="0" w:space="0" w:color="auto"/>
                    <w:right w:val="none" w:sz="0" w:space="0" w:color="auto"/>
                  </w:divBdr>
                </w:div>
                <w:div w:id="130488693">
                  <w:marLeft w:val="600"/>
                  <w:marRight w:val="0"/>
                  <w:marTop w:val="120"/>
                  <w:marBottom w:val="120"/>
                  <w:divBdr>
                    <w:top w:val="none" w:sz="0" w:space="0" w:color="auto"/>
                    <w:left w:val="none" w:sz="0" w:space="0" w:color="auto"/>
                    <w:bottom w:val="none" w:sz="0" w:space="0" w:color="auto"/>
                    <w:right w:val="none" w:sz="0" w:space="0" w:color="auto"/>
                  </w:divBdr>
                </w:div>
                <w:div w:id="903104102">
                  <w:marLeft w:val="600"/>
                  <w:marRight w:val="0"/>
                  <w:marTop w:val="120"/>
                  <w:marBottom w:val="120"/>
                  <w:divBdr>
                    <w:top w:val="none" w:sz="0" w:space="0" w:color="auto"/>
                    <w:left w:val="none" w:sz="0" w:space="0" w:color="auto"/>
                    <w:bottom w:val="none" w:sz="0" w:space="0" w:color="auto"/>
                    <w:right w:val="none" w:sz="0" w:space="0" w:color="auto"/>
                  </w:divBdr>
                </w:div>
                <w:div w:id="1250695454">
                  <w:marLeft w:val="600"/>
                  <w:marRight w:val="0"/>
                  <w:marTop w:val="120"/>
                  <w:marBottom w:val="120"/>
                  <w:divBdr>
                    <w:top w:val="none" w:sz="0" w:space="0" w:color="auto"/>
                    <w:left w:val="none" w:sz="0" w:space="0" w:color="auto"/>
                    <w:bottom w:val="none" w:sz="0" w:space="0" w:color="auto"/>
                    <w:right w:val="none" w:sz="0" w:space="0" w:color="auto"/>
                  </w:divBdr>
                </w:div>
                <w:div w:id="655577111">
                  <w:marLeft w:val="60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1568</Words>
  <Characters>8942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Babu-Narayan Sonya</dc:creator>
  <cp:keywords/>
  <dc:description/>
  <cp:lastModifiedBy>Babu-Narayan Sonya</cp:lastModifiedBy>
  <cp:revision>3</cp:revision>
  <dcterms:created xsi:type="dcterms:W3CDTF">2018-07-16T15:28:00Z</dcterms:created>
  <dcterms:modified xsi:type="dcterms:W3CDTF">2018-07-16T15:29:00Z</dcterms:modified>
</cp:coreProperties>
</file>