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75D" w:rsidRPr="00937FA5" w:rsidRDefault="00B1075D" w:rsidP="00123003">
      <w:pPr>
        <w:spacing w:line="480" w:lineRule="auto"/>
        <w:jc w:val="both"/>
        <w:rPr>
          <w:b/>
          <w:sz w:val="24"/>
          <w:szCs w:val="24"/>
          <w:lang w:val="en-US"/>
        </w:rPr>
      </w:pPr>
      <w:r w:rsidRPr="00937FA5">
        <w:rPr>
          <w:b/>
          <w:sz w:val="24"/>
          <w:szCs w:val="24"/>
          <w:lang w:val="en-US"/>
        </w:rPr>
        <w:t>A prospective cohort analysis of gut microbial co-metabolism in Alaska Native and Rural African people at high and low risk for colorectal cancer</w:t>
      </w:r>
    </w:p>
    <w:p w:rsidR="00DA3D4B" w:rsidRPr="00937FA5" w:rsidRDefault="00DA3D4B" w:rsidP="00123003">
      <w:pPr>
        <w:spacing w:line="480" w:lineRule="auto"/>
        <w:jc w:val="both"/>
        <w:rPr>
          <w:b/>
          <w:sz w:val="24"/>
          <w:szCs w:val="24"/>
          <w:lang w:val="en-US"/>
        </w:rPr>
      </w:pPr>
      <w:proofErr w:type="spellStart"/>
      <w:r w:rsidRPr="00937FA5">
        <w:rPr>
          <w:rFonts w:cs="Arial"/>
          <w:sz w:val="24"/>
          <w:szCs w:val="24"/>
          <w:lang w:val="en-US"/>
        </w:rPr>
        <w:t>Soeren</w:t>
      </w:r>
      <w:proofErr w:type="spellEnd"/>
      <w:r w:rsidRPr="00937FA5">
        <w:rPr>
          <w:rFonts w:cs="Arial"/>
          <w:sz w:val="24"/>
          <w:szCs w:val="24"/>
          <w:lang w:val="en-US"/>
        </w:rPr>
        <w:t xml:space="preserve"> Ocvirk</w:t>
      </w:r>
      <w:r w:rsidRPr="00937FA5">
        <w:rPr>
          <w:rFonts w:cs="Arial"/>
          <w:sz w:val="24"/>
          <w:szCs w:val="24"/>
          <w:vertAlign w:val="superscript"/>
          <w:lang w:val="en-US"/>
        </w:rPr>
        <w:t>1,2</w:t>
      </w:r>
      <w:r w:rsidRPr="00937FA5">
        <w:rPr>
          <w:rFonts w:cs="Arial"/>
          <w:sz w:val="24"/>
          <w:szCs w:val="24"/>
          <w:lang w:val="en-US"/>
        </w:rPr>
        <w:t>, Annette S Wilson</w:t>
      </w:r>
      <w:r w:rsidRPr="00937FA5">
        <w:rPr>
          <w:rFonts w:cs="Arial"/>
          <w:sz w:val="24"/>
          <w:szCs w:val="24"/>
          <w:vertAlign w:val="superscript"/>
          <w:lang w:val="en-US"/>
        </w:rPr>
        <w:t>1</w:t>
      </w:r>
      <w:r w:rsidR="0009371A" w:rsidRPr="00937FA5">
        <w:rPr>
          <w:rFonts w:cs="Arial"/>
          <w:sz w:val="24"/>
          <w:szCs w:val="24"/>
          <w:lang w:val="en-US"/>
        </w:rPr>
        <w:t xml:space="preserve">, </w:t>
      </w:r>
      <w:proofErr w:type="spellStart"/>
      <w:r w:rsidR="0009371A" w:rsidRPr="00937FA5">
        <w:rPr>
          <w:rFonts w:cs="Arial"/>
          <w:sz w:val="24"/>
          <w:szCs w:val="24"/>
          <w:lang w:val="en-US"/>
        </w:rPr>
        <w:t>Joram</w:t>
      </w:r>
      <w:proofErr w:type="spellEnd"/>
      <w:r w:rsidR="0009371A" w:rsidRPr="00937FA5">
        <w:rPr>
          <w:rFonts w:cs="Arial"/>
          <w:sz w:val="24"/>
          <w:szCs w:val="24"/>
          <w:lang w:val="en-US"/>
        </w:rPr>
        <w:t xml:space="preserve"> M Posma</w:t>
      </w:r>
      <w:r w:rsidRPr="00937FA5">
        <w:rPr>
          <w:rFonts w:cs="Arial"/>
          <w:sz w:val="24"/>
          <w:szCs w:val="24"/>
          <w:vertAlign w:val="superscript"/>
          <w:lang w:val="en-US"/>
        </w:rPr>
        <w:t>3</w:t>
      </w:r>
      <w:r w:rsidRPr="00937FA5">
        <w:rPr>
          <w:rFonts w:cs="Arial"/>
          <w:sz w:val="24"/>
          <w:szCs w:val="24"/>
          <w:lang w:val="en-US"/>
        </w:rPr>
        <w:t xml:space="preserve">, </w:t>
      </w:r>
      <w:proofErr w:type="spellStart"/>
      <w:r w:rsidRPr="00937FA5">
        <w:rPr>
          <w:rFonts w:cs="Arial"/>
          <w:sz w:val="24"/>
          <w:szCs w:val="24"/>
          <w:lang w:val="en-US"/>
        </w:rPr>
        <w:t>Jia</w:t>
      </w:r>
      <w:proofErr w:type="spellEnd"/>
      <w:r w:rsidRPr="00937FA5">
        <w:rPr>
          <w:rFonts w:cs="Arial"/>
          <w:sz w:val="24"/>
          <w:szCs w:val="24"/>
          <w:lang w:val="en-US"/>
        </w:rPr>
        <w:t xml:space="preserve"> V Li</w:t>
      </w:r>
      <w:r w:rsidR="00FE0397">
        <w:rPr>
          <w:rFonts w:cs="Arial"/>
          <w:sz w:val="24"/>
          <w:szCs w:val="24"/>
          <w:vertAlign w:val="superscript"/>
          <w:lang w:val="en-US"/>
        </w:rPr>
        <w:t>4</w:t>
      </w:r>
      <w:r w:rsidRPr="00937FA5">
        <w:rPr>
          <w:rFonts w:cs="Arial"/>
          <w:sz w:val="24"/>
          <w:szCs w:val="24"/>
          <w:vertAlign w:val="superscript"/>
          <w:lang w:val="en-US"/>
        </w:rPr>
        <w:t>,</w:t>
      </w:r>
      <w:r w:rsidR="00FE0397">
        <w:rPr>
          <w:rFonts w:cs="Arial"/>
          <w:sz w:val="24"/>
          <w:szCs w:val="24"/>
          <w:vertAlign w:val="superscript"/>
          <w:lang w:val="en-US"/>
        </w:rPr>
        <w:t>5</w:t>
      </w:r>
      <w:r w:rsidRPr="00937FA5">
        <w:rPr>
          <w:rFonts w:cs="Arial"/>
          <w:sz w:val="24"/>
          <w:szCs w:val="24"/>
          <w:lang w:val="en-US"/>
        </w:rPr>
        <w:t>, Kath</w:t>
      </w:r>
      <w:r w:rsidR="009F0A79" w:rsidRPr="00937FA5">
        <w:rPr>
          <w:rFonts w:cs="Arial"/>
          <w:sz w:val="24"/>
          <w:szCs w:val="24"/>
          <w:lang w:val="en-US"/>
        </w:rPr>
        <w:t>r</w:t>
      </w:r>
      <w:r w:rsidRPr="00937FA5">
        <w:rPr>
          <w:rFonts w:cs="Arial"/>
          <w:sz w:val="24"/>
          <w:szCs w:val="24"/>
          <w:lang w:val="en-US"/>
        </w:rPr>
        <w:t>y</w:t>
      </w:r>
      <w:r w:rsidR="009F0A79" w:rsidRPr="00937FA5">
        <w:rPr>
          <w:rFonts w:cs="Arial"/>
          <w:sz w:val="24"/>
          <w:szCs w:val="24"/>
          <w:lang w:val="en-US"/>
        </w:rPr>
        <w:t>n</w:t>
      </w:r>
      <w:r w:rsidRPr="00937FA5">
        <w:rPr>
          <w:rFonts w:cs="Arial"/>
          <w:sz w:val="24"/>
          <w:szCs w:val="24"/>
          <w:lang w:val="en-US"/>
        </w:rPr>
        <w:t xml:space="preserve"> </w:t>
      </w:r>
      <w:r w:rsidR="009F0A79" w:rsidRPr="00937FA5">
        <w:rPr>
          <w:rFonts w:cs="Arial"/>
          <w:sz w:val="24"/>
          <w:szCs w:val="24"/>
          <w:lang w:val="en-US"/>
        </w:rPr>
        <w:t xml:space="preserve">R </w:t>
      </w:r>
      <w:r w:rsidRPr="00937FA5">
        <w:rPr>
          <w:rFonts w:cs="Arial"/>
          <w:sz w:val="24"/>
          <w:szCs w:val="24"/>
          <w:lang w:val="en-US"/>
        </w:rPr>
        <w:t>Koller</w:t>
      </w:r>
      <w:r w:rsidR="00FE0397">
        <w:rPr>
          <w:rFonts w:cs="Arial"/>
          <w:sz w:val="24"/>
          <w:szCs w:val="24"/>
          <w:vertAlign w:val="superscript"/>
          <w:lang w:val="en-US"/>
        </w:rPr>
        <w:t>6</w:t>
      </w:r>
      <w:r w:rsidRPr="00937FA5">
        <w:rPr>
          <w:rFonts w:cs="Arial"/>
          <w:sz w:val="24"/>
          <w:szCs w:val="24"/>
          <w:lang w:val="en-US"/>
        </w:rPr>
        <w:t>, Gretchen</w:t>
      </w:r>
      <w:r w:rsidR="009F0A79" w:rsidRPr="00937FA5">
        <w:rPr>
          <w:rFonts w:cs="Arial"/>
          <w:sz w:val="24"/>
          <w:szCs w:val="24"/>
          <w:lang w:val="en-US"/>
        </w:rPr>
        <w:t xml:space="preserve"> M</w:t>
      </w:r>
      <w:r w:rsidRPr="00937FA5">
        <w:rPr>
          <w:rFonts w:cs="Arial"/>
          <w:sz w:val="24"/>
          <w:szCs w:val="24"/>
          <w:lang w:val="en-US"/>
        </w:rPr>
        <w:t xml:space="preserve"> Day</w:t>
      </w:r>
      <w:r w:rsidR="00FE0397">
        <w:rPr>
          <w:rFonts w:cs="Arial"/>
          <w:sz w:val="24"/>
          <w:szCs w:val="24"/>
          <w:vertAlign w:val="superscript"/>
          <w:lang w:val="en-US"/>
        </w:rPr>
        <w:t>6</w:t>
      </w:r>
      <w:r w:rsidRPr="00937FA5">
        <w:rPr>
          <w:rFonts w:cs="Arial"/>
          <w:sz w:val="24"/>
          <w:szCs w:val="24"/>
          <w:lang w:val="en-US"/>
        </w:rPr>
        <w:t xml:space="preserve">, Christie </w:t>
      </w:r>
      <w:r w:rsidR="009F0A79" w:rsidRPr="00937FA5">
        <w:rPr>
          <w:rFonts w:cs="Arial"/>
          <w:sz w:val="24"/>
          <w:szCs w:val="24"/>
          <w:lang w:val="en-US"/>
        </w:rPr>
        <w:t xml:space="preserve">A </w:t>
      </w:r>
      <w:r w:rsidRPr="00937FA5">
        <w:rPr>
          <w:rFonts w:cs="Arial"/>
          <w:sz w:val="24"/>
          <w:szCs w:val="24"/>
          <w:lang w:val="en-US"/>
        </w:rPr>
        <w:t>Flanagan</w:t>
      </w:r>
      <w:r w:rsidR="00FE0397">
        <w:rPr>
          <w:rFonts w:cs="Arial"/>
          <w:sz w:val="24"/>
          <w:szCs w:val="24"/>
          <w:vertAlign w:val="superscript"/>
          <w:lang w:val="en-US"/>
        </w:rPr>
        <w:t>6</w:t>
      </w:r>
      <w:r w:rsidRPr="00937FA5">
        <w:rPr>
          <w:rFonts w:cs="Arial"/>
          <w:sz w:val="24"/>
          <w:szCs w:val="24"/>
          <w:lang w:val="en-US"/>
        </w:rPr>
        <w:t xml:space="preserve">, </w:t>
      </w:r>
      <w:r w:rsidR="009F0A79" w:rsidRPr="00937FA5">
        <w:rPr>
          <w:rFonts w:cs="Arial"/>
          <w:sz w:val="24"/>
          <w:szCs w:val="24"/>
          <w:lang w:val="en-US"/>
        </w:rPr>
        <w:t xml:space="preserve">J </w:t>
      </w:r>
      <w:proofErr w:type="spellStart"/>
      <w:r w:rsidRPr="00937FA5">
        <w:rPr>
          <w:rFonts w:cs="Arial"/>
          <w:sz w:val="24"/>
          <w:szCs w:val="24"/>
          <w:lang w:val="en-US"/>
        </w:rPr>
        <w:t>Evon</w:t>
      </w:r>
      <w:proofErr w:type="spellEnd"/>
      <w:r w:rsidRPr="00937FA5">
        <w:rPr>
          <w:rFonts w:cs="Arial"/>
          <w:sz w:val="24"/>
          <w:szCs w:val="24"/>
          <w:lang w:val="en-US"/>
        </w:rPr>
        <w:t xml:space="preserve"> Otto</w:t>
      </w:r>
      <w:r w:rsidR="00FE0397">
        <w:rPr>
          <w:rFonts w:cs="Arial"/>
          <w:sz w:val="24"/>
          <w:szCs w:val="24"/>
          <w:vertAlign w:val="superscript"/>
          <w:lang w:val="en-US"/>
        </w:rPr>
        <w:t>6</w:t>
      </w:r>
      <w:r w:rsidRPr="00937FA5">
        <w:rPr>
          <w:rFonts w:cs="Arial"/>
          <w:sz w:val="24"/>
          <w:szCs w:val="24"/>
          <w:lang w:val="en-US"/>
        </w:rPr>
        <w:t xml:space="preserve">, Pam </w:t>
      </w:r>
      <w:r w:rsidR="009F0A79" w:rsidRPr="00937FA5">
        <w:rPr>
          <w:rFonts w:cs="Arial"/>
          <w:sz w:val="24"/>
          <w:szCs w:val="24"/>
          <w:lang w:val="en-US"/>
        </w:rPr>
        <w:t xml:space="preserve">E </w:t>
      </w:r>
      <w:r w:rsidRPr="00937FA5">
        <w:rPr>
          <w:rFonts w:cs="Arial"/>
          <w:sz w:val="24"/>
          <w:szCs w:val="24"/>
          <w:lang w:val="en-US"/>
        </w:rPr>
        <w:t>Sacco</w:t>
      </w:r>
      <w:r w:rsidR="00FE0397">
        <w:rPr>
          <w:rFonts w:cs="Arial"/>
          <w:sz w:val="24"/>
          <w:szCs w:val="24"/>
          <w:vertAlign w:val="superscript"/>
          <w:lang w:val="en-US"/>
        </w:rPr>
        <w:t>6</w:t>
      </w:r>
      <w:r w:rsidRPr="00937FA5">
        <w:rPr>
          <w:rFonts w:cs="Arial"/>
          <w:sz w:val="24"/>
          <w:szCs w:val="24"/>
          <w:lang w:val="en-US"/>
        </w:rPr>
        <w:t xml:space="preserve">, Frank </w:t>
      </w:r>
      <w:r w:rsidR="009F0A79" w:rsidRPr="00937FA5">
        <w:rPr>
          <w:rFonts w:cs="Arial"/>
          <w:sz w:val="24"/>
          <w:szCs w:val="24"/>
          <w:lang w:val="en-US"/>
        </w:rPr>
        <w:t xml:space="preserve">D </w:t>
      </w:r>
      <w:r w:rsidRPr="00937FA5">
        <w:rPr>
          <w:rFonts w:cs="Arial"/>
          <w:sz w:val="24"/>
          <w:szCs w:val="24"/>
          <w:lang w:val="en-US"/>
        </w:rPr>
        <w:t>Sacco</w:t>
      </w:r>
      <w:r w:rsidR="00FE0397">
        <w:rPr>
          <w:rFonts w:cs="Arial"/>
          <w:sz w:val="24"/>
          <w:szCs w:val="24"/>
          <w:vertAlign w:val="superscript"/>
          <w:lang w:val="en-US"/>
        </w:rPr>
        <w:t>6</w:t>
      </w:r>
      <w:r w:rsidRPr="00937FA5">
        <w:rPr>
          <w:rFonts w:cs="Arial"/>
          <w:sz w:val="24"/>
          <w:szCs w:val="24"/>
          <w:lang w:val="en-US"/>
        </w:rPr>
        <w:t xml:space="preserve">, Flora </w:t>
      </w:r>
      <w:r w:rsidR="009F0A79" w:rsidRPr="00937FA5">
        <w:rPr>
          <w:rFonts w:cs="Arial"/>
          <w:sz w:val="24"/>
          <w:szCs w:val="24"/>
          <w:lang w:val="en-US"/>
        </w:rPr>
        <w:t xml:space="preserve">R </w:t>
      </w:r>
      <w:r w:rsidRPr="00937FA5">
        <w:rPr>
          <w:rFonts w:cs="Arial"/>
          <w:sz w:val="24"/>
          <w:szCs w:val="24"/>
          <w:lang w:val="en-US"/>
        </w:rPr>
        <w:t>Sapp</w:t>
      </w:r>
      <w:r w:rsidR="00FE0397">
        <w:rPr>
          <w:rFonts w:cs="Arial"/>
          <w:sz w:val="24"/>
          <w:szCs w:val="24"/>
          <w:vertAlign w:val="superscript"/>
          <w:lang w:val="en-US"/>
        </w:rPr>
        <w:t>6</w:t>
      </w:r>
      <w:r w:rsidRPr="00937FA5">
        <w:rPr>
          <w:rFonts w:cs="Arial"/>
          <w:sz w:val="24"/>
          <w:szCs w:val="24"/>
          <w:lang w:val="en-US"/>
        </w:rPr>
        <w:t xml:space="preserve">, Amy </w:t>
      </w:r>
      <w:r w:rsidR="009F0A79" w:rsidRPr="00937FA5">
        <w:rPr>
          <w:rFonts w:cs="Arial"/>
          <w:sz w:val="24"/>
          <w:szCs w:val="24"/>
          <w:lang w:val="en-US"/>
        </w:rPr>
        <w:t xml:space="preserve">S </w:t>
      </w:r>
      <w:r w:rsidRPr="00937FA5">
        <w:rPr>
          <w:rFonts w:cs="Arial"/>
          <w:sz w:val="24"/>
          <w:szCs w:val="24"/>
          <w:lang w:val="en-US"/>
        </w:rPr>
        <w:t>Wilson</w:t>
      </w:r>
      <w:r w:rsidR="00FE0397">
        <w:rPr>
          <w:rFonts w:cs="Arial"/>
          <w:sz w:val="24"/>
          <w:szCs w:val="24"/>
          <w:vertAlign w:val="superscript"/>
          <w:lang w:val="en-US"/>
        </w:rPr>
        <w:t>6</w:t>
      </w:r>
      <w:r w:rsidRPr="00937FA5">
        <w:rPr>
          <w:rFonts w:cs="Arial"/>
          <w:sz w:val="24"/>
          <w:szCs w:val="24"/>
          <w:lang w:val="en-US"/>
        </w:rPr>
        <w:t>, Keith Newton</w:t>
      </w:r>
      <w:r w:rsidR="00FE0397">
        <w:rPr>
          <w:rFonts w:cs="Arial"/>
          <w:sz w:val="24"/>
          <w:szCs w:val="24"/>
          <w:vertAlign w:val="superscript"/>
          <w:lang w:val="en-US"/>
        </w:rPr>
        <w:t>7</w:t>
      </w:r>
      <w:r w:rsidRPr="00937FA5">
        <w:rPr>
          <w:rFonts w:cs="Arial"/>
          <w:sz w:val="24"/>
          <w:szCs w:val="24"/>
          <w:lang w:val="en-US"/>
        </w:rPr>
        <w:t>, Faye Brouard</w:t>
      </w:r>
      <w:r w:rsidR="00FE0397">
        <w:rPr>
          <w:rFonts w:cs="Arial"/>
          <w:sz w:val="24"/>
          <w:szCs w:val="24"/>
          <w:vertAlign w:val="superscript"/>
          <w:lang w:val="en-US"/>
        </w:rPr>
        <w:t>8</w:t>
      </w:r>
      <w:r w:rsidRPr="00937FA5">
        <w:rPr>
          <w:rFonts w:cs="Arial"/>
          <w:sz w:val="24"/>
          <w:szCs w:val="24"/>
          <w:lang w:val="en-US"/>
        </w:rPr>
        <w:t xml:space="preserve">, James </w:t>
      </w:r>
      <w:r w:rsidR="00EF31BB" w:rsidRPr="00937FA5">
        <w:rPr>
          <w:rFonts w:cs="Arial"/>
          <w:sz w:val="24"/>
          <w:szCs w:val="24"/>
          <w:lang w:val="en-US"/>
        </w:rPr>
        <w:t xml:space="preserve">P </w:t>
      </w:r>
      <w:r w:rsidRPr="00937FA5">
        <w:rPr>
          <w:rFonts w:cs="Arial"/>
          <w:sz w:val="24"/>
          <w:szCs w:val="24"/>
          <w:lang w:val="en-US"/>
        </w:rPr>
        <w:t>DeLany</w:t>
      </w:r>
      <w:r w:rsidR="00FE0397">
        <w:rPr>
          <w:rFonts w:cs="Arial"/>
          <w:sz w:val="24"/>
          <w:szCs w:val="24"/>
          <w:vertAlign w:val="superscript"/>
          <w:lang w:val="en-US"/>
        </w:rPr>
        <w:t>9</w:t>
      </w:r>
      <w:r w:rsidR="00A87DB7" w:rsidRPr="00937FA5">
        <w:rPr>
          <w:rFonts w:cs="Arial"/>
          <w:sz w:val="24"/>
          <w:szCs w:val="24"/>
          <w:vertAlign w:val="superscript"/>
          <w:lang w:val="en-US"/>
        </w:rPr>
        <w:t>,</w:t>
      </w:r>
      <w:r w:rsidR="00FE0397">
        <w:rPr>
          <w:rFonts w:cs="Arial"/>
          <w:sz w:val="24"/>
          <w:szCs w:val="24"/>
          <w:vertAlign w:val="superscript"/>
          <w:lang w:val="en-US"/>
        </w:rPr>
        <w:t>10</w:t>
      </w:r>
      <w:r w:rsidRPr="00937FA5">
        <w:rPr>
          <w:rFonts w:cs="Arial"/>
          <w:sz w:val="24"/>
          <w:szCs w:val="24"/>
          <w:lang w:val="en-US"/>
        </w:rPr>
        <w:t>, Marissa Beh</w:t>
      </w:r>
      <w:r w:rsidR="0071062D" w:rsidRPr="00937FA5">
        <w:rPr>
          <w:rFonts w:cs="Arial"/>
          <w:sz w:val="24"/>
          <w:szCs w:val="24"/>
          <w:lang w:val="en-US"/>
        </w:rPr>
        <w:t>n</w:t>
      </w:r>
      <w:r w:rsidRPr="00937FA5">
        <w:rPr>
          <w:rFonts w:cs="Arial"/>
          <w:sz w:val="24"/>
          <w:szCs w:val="24"/>
          <w:lang w:val="en-US"/>
        </w:rPr>
        <w:t>ning</w:t>
      </w:r>
      <w:r w:rsidRPr="00937FA5">
        <w:rPr>
          <w:rFonts w:cs="Arial"/>
          <w:sz w:val="24"/>
          <w:szCs w:val="24"/>
          <w:vertAlign w:val="superscript"/>
          <w:lang w:val="en-US"/>
        </w:rPr>
        <w:t>1</w:t>
      </w:r>
      <w:r w:rsidRPr="00937FA5">
        <w:rPr>
          <w:rFonts w:cs="Arial"/>
          <w:sz w:val="24"/>
          <w:szCs w:val="24"/>
          <w:lang w:val="en-US"/>
        </w:rPr>
        <w:t xml:space="preserve">, </w:t>
      </w:r>
      <w:proofErr w:type="spellStart"/>
      <w:r w:rsidRPr="00937FA5">
        <w:rPr>
          <w:rFonts w:cs="Arial"/>
          <w:sz w:val="24"/>
          <w:szCs w:val="24"/>
          <w:lang w:val="en-US"/>
        </w:rPr>
        <w:t>Corynn</w:t>
      </w:r>
      <w:proofErr w:type="spellEnd"/>
      <w:r w:rsidRPr="00937FA5">
        <w:rPr>
          <w:rFonts w:cs="Arial"/>
          <w:sz w:val="24"/>
          <w:szCs w:val="24"/>
          <w:lang w:val="en-US"/>
        </w:rPr>
        <w:t xml:space="preserve"> N Appolonia</w:t>
      </w:r>
      <w:r w:rsidRPr="00937FA5">
        <w:rPr>
          <w:rFonts w:cs="Arial"/>
          <w:sz w:val="24"/>
          <w:szCs w:val="24"/>
          <w:vertAlign w:val="superscript"/>
          <w:lang w:val="en-US"/>
        </w:rPr>
        <w:t>1</w:t>
      </w:r>
      <w:r w:rsidRPr="00937FA5">
        <w:rPr>
          <w:rFonts w:cs="Arial"/>
          <w:sz w:val="24"/>
          <w:szCs w:val="24"/>
          <w:lang w:val="en-US"/>
        </w:rPr>
        <w:t xml:space="preserve">, </w:t>
      </w:r>
      <w:proofErr w:type="spellStart"/>
      <w:r w:rsidRPr="00937FA5">
        <w:rPr>
          <w:rFonts w:cs="Arial"/>
          <w:sz w:val="24"/>
          <w:szCs w:val="24"/>
          <w:lang w:val="en-US"/>
        </w:rPr>
        <w:t>Devavrata</w:t>
      </w:r>
      <w:proofErr w:type="spellEnd"/>
      <w:r w:rsidRPr="00937FA5">
        <w:rPr>
          <w:rFonts w:cs="Arial"/>
          <w:sz w:val="24"/>
          <w:szCs w:val="24"/>
          <w:lang w:val="en-US"/>
        </w:rPr>
        <w:t xml:space="preserve"> Soni</w:t>
      </w:r>
      <w:r w:rsidRPr="00937FA5">
        <w:rPr>
          <w:rFonts w:cs="Arial"/>
          <w:sz w:val="24"/>
          <w:szCs w:val="24"/>
          <w:vertAlign w:val="superscript"/>
          <w:lang w:val="en-US"/>
        </w:rPr>
        <w:t>1</w:t>
      </w:r>
      <w:r w:rsidRPr="00937FA5">
        <w:rPr>
          <w:rFonts w:cs="Arial"/>
          <w:sz w:val="24"/>
          <w:szCs w:val="24"/>
          <w:lang w:val="en-US"/>
        </w:rPr>
        <w:t>, Faheem Bhatti</w:t>
      </w:r>
      <w:r w:rsidRPr="00937FA5">
        <w:rPr>
          <w:rFonts w:cs="Arial"/>
          <w:sz w:val="24"/>
          <w:szCs w:val="24"/>
          <w:vertAlign w:val="superscript"/>
          <w:lang w:val="en-US"/>
        </w:rPr>
        <w:t>1</w:t>
      </w:r>
      <w:r w:rsidRPr="00937FA5">
        <w:rPr>
          <w:rFonts w:cs="Arial"/>
          <w:sz w:val="24"/>
          <w:szCs w:val="24"/>
          <w:lang w:val="en-US"/>
        </w:rPr>
        <w:t>, Barbara Methé</w:t>
      </w:r>
      <w:r w:rsidR="00A87DB7" w:rsidRPr="00937FA5">
        <w:rPr>
          <w:rFonts w:cs="Arial"/>
          <w:sz w:val="24"/>
          <w:szCs w:val="24"/>
          <w:vertAlign w:val="superscript"/>
          <w:lang w:val="en-US"/>
        </w:rPr>
        <w:t>1</w:t>
      </w:r>
      <w:r w:rsidR="00FE0397">
        <w:rPr>
          <w:rFonts w:cs="Arial"/>
          <w:sz w:val="24"/>
          <w:szCs w:val="24"/>
          <w:vertAlign w:val="superscript"/>
          <w:lang w:val="en-US"/>
        </w:rPr>
        <w:t>1</w:t>
      </w:r>
      <w:r w:rsidRPr="00937FA5">
        <w:rPr>
          <w:rFonts w:cs="Arial"/>
          <w:sz w:val="24"/>
          <w:szCs w:val="24"/>
          <w:lang w:val="en-US"/>
        </w:rPr>
        <w:t>, Adam Fitch</w:t>
      </w:r>
      <w:r w:rsidR="00A87DB7" w:rsidRPr="00937FA5">
        <w:rPr>
          <w:rFonts w:cs="Arial"/>
          <w:sz w:val="24"/>
          <w:szCs w:val="24"/>
          <w:vertAlign w:val="superscript"/>
          <w:lang w:val="en-US"/>
        </w:rPr>
        <w:t>1</w:t>
      </w:r>
      <w:r w:rsidR="00FE0397">
        <w:rPr>
          <w:rFonts w:cs="Arial"/>
          <w:sz w:val="24"/>
          <w:szCs w:val="24"/>
          <w:vertAlign w:val="superscript"/>
          <w:lang w:val="en-US"/>
        </w:rPr>
        <w:t>1</w:t>
      </w:r>
      <w:r w:rsidRPr="00937FA5">
        <w:rPr>
          <w:rFonts w:cs="Arial"/>
          <w:sz w:val="24"/>
          <w:szCs w:val="24"/>
          <w:lang w:val="en-US"/>
        </w:rPr>
        <w:t>, Alison Morris</w:t>
      </w:r>
      <w:r w:rsidR="00A87DB7" w:rsidRPr="00937FA5">
        <w:rPr>
          <w:rFonts w:cs="Arial"/>
          <w:sz w:val="24"/>
          <w:szCs w:val="24"/>
          <w:vertAlign w:val="superscript"/>
          <w:lang w:val="en-US"/>
        </w:rPr>
        <w:t>1</w:t>
      </w:r>
      <w:r w:rsidR="00FE0397">
        <w:rPr>
          <w:rFonts w:cs="Arial"/>
          <w:sz w:val="24"/>
          <w:szCs w:val="24"/>
          <w:vertAlign w:val="superscript"/>
          <w:lang w:val="en-US"/>
        </w:rPr>
        <w:t>1</w:t>
      </w:r>
      <w:r w:rsidRPr="00937FA5">
        <w:rPr>
          <w:rFonts w:cs="Arial"/>
          <w:sz w:val="24"/>
          <w:szCs w:val="24"/>
          <w:lang w:val="en-US"/>
        </w:rPr>
        <w:t>, H Rex Gaskins</w:t>
      </w:r>
      <w:r w:rsidR="00A87DB7" w:rsidRPr="00937FA5">
        <w:rPr>
          <w:rFonts w:cs="Arial"/>
          <w:sz w:val="24"/>
          <w:szCs w:val="24"/>
          <w:vertAlign w:val="superscript"/>
          <w:lang w:val="en-US"/>
        </w:rPr>
        <w:t>1</w:t>
      </w:r>
      <w:r w:rsidR="00FE0397">
        <w:rPr>
          <w:rFonts w:cs="Arial"/>
          <w:sz w:val="24"/>
          <w:szCs w:val="24"/>
          <w:vertAlign w:val="superscript"/>
          <w:lang w:val="en-US"/>
        </w:rPr>
        <w:t>2</w:t>
      </w:r>
      <w:r w:rsidRPr="00937FA5">
        <w:rPr>
          <w:rFonts w:cs="Arial"/>
          <w:sz w:val="24"/>
          <w:szCs w:val="24"/>
          <w:lang w:val="en-US"/>
        </w:rPr>
        <w:t>, James Kinross</w:t>
      </w:r>
      <w:r w:rsidR="00FE0397">
        <w:rPr>
          <w:rFonts w:cs="Arial"/>
          <w:sz w:val="24"/>
          <w:szCs w:val="24"/>
          <w:vertAlign w:val="superscript"/>
          <w:lang w:val="en-US"/>
        </w:rPr>
        <w:t>4</w:t>
      </w:r>
      <w:r w:rsidRPr="00937FA5">
        <w:rPr>
          <w:rFonts w:cs="Arial"/>
          <w:sz w:val="24"/>
          <w:szCs w:val="24"/>
          <w:lang w:val="en-US"/>
        </w:rPr>
        <w:t>, Jeremy K Nicholson</w:t>
      </w:r>
      <w:r w:rsidR="00FE0397">
        <w:rPr>
          <w:rFonts w:cs="Arial"/>
          <w:sz w:val="24"/>
          <w:szCs w:val="24"/>
          <w:vertAlign w:val="superscript"/>
          <w:lang w:val="en-US"/>
        </w:rPr>
        <w:t>4</w:t>
      </w:r>
      <w:r w:rsidRPr="00937FA5">
        <w:rPr>
          <w:rFonts w:cs="Arial"/>
          <w:sz w:val="24"/>
          <w:szCs w:val="24"/>
          <w:vertAlign w:val="superscript"/>
          <w:lang w:val="en-US"/>
        </w:rPr>
        <w:t>,</w:t>
      </w:r>
      <w:r w:rsidR="00FE0397">
        <w:rPr>
          <w:rFonts w:cs="Arial"/>
          <w:sz w:val="24"/>
          <w:szCs w:val="24"/>
          <w:vertAlign w:val="superscript"/>
          <w:lang w:val="en-US"/>
        </w:rPr>
        <w:t>5</w:t>
      </w:r>
      <w:r w:rsidRPr="00937FA5">
        <w:rPr>
          <w:rFonts w:cs="Arial"/>
          <w:sz w:val="24"/>
          <w:szCs w:val="24"/>
          <w:lang w:val="en-US"/>
        </w:rPr>
        <w:t>, Timothy</w:t>
      </w:r>
      <w:r w:rsidR="009F0A79" w:rsidRPr="00937FA5">
        <w:rPr>
          <w:rFonts w:cs="Arial"/>
          <w:sz w:val="24"/>
          <w:szCs w:val="24"/>
          <w:lang w:val="en-US"/>
        </w:rPr>
        <w:t xml:space="preserve"> K</w:t>
      </w:r>
      <w:r w:rsidRPr="00937FA5">
        <w:rPr>
          <w:rFonts w:cs="Arial"/>
          <w:sz w:val="24"/>
          <w:szCs w:val="24"/>
          <w:lang w:val="en-US"/>
        </w:rPr>
        <w:t xml:space="preserve"> Thomas</w:t>
      </w:r>
      <w:r w:rsidR="00FE0397">
        <w:rPr>
          <w:rFonts w:cs="Arial"/>
          <w:sz w:val="24"/>
          <w:szCs w:val="24"/>
          <w:vertAlign w:val="superscript"/>
          <w:lang w:val="en-US"/>
        </w:rPr>
        <w:t>6</w:t>
      </w:r>
      <w:r w:rsidRPr="00937FA5">
        <w:rPr>
          <w:rFonts w:cs="Arial"/>
          <w:sz w:val="24"/>
          <w:szCs w:val="24"/>
          <w:lang w:val="en-US"/>
        </w:rPr>
        <w:t>, Stephen JD O’Keefe</w:t>
      </w:r>
      <w:r w:rsidRPr="00937FA5">
        <w:rPr>
          <w:rFonts w:cs="Arial"/>
          <w:sz w:val="24"/>
          <w:szCs w:val="24"/>
          <w:vertAlign w:val="superscript"/>
          <w:lang w:val="en-US"/>
        </w:rPr>
        <w:t>1</w:t>
      </w:r>
      <w:r w:rsidRPr="00937FA5">
        <w:rPr>
          <w:rFonts w:cs="Arial"/>
          <w:sz w:val="24"/>
          <w:szCs w:val="24"/>
          <w:lang w:val="en-US"/>
        </w:rPr>
        <w:t>*</w:t>
      </w:r>
    </w:p>
    <w:p w:rsidR="00E85428" w:rsidRPr="00937FA5" w:rsidRDefault="00E85428" w:rsidP="00335814">
      <w:pPr>
        <w:pStyle w:val="KeinLeerraum"/>
        <w:spacing w:line="480" w:lineRule="auto"/>
        <w:jc w:val="both"/>
        <w:rPr>
          <w:sz w:val="24"/>
          <w:szCs w:val="24"/>
          <w:lang w:val="en-US"/>
        </w:rPr>
      </w:pPr>
      <w:r w:rsidRPr="00937FA5">
        <w:rPr>
          <w:sz w:val="24"/>
          <w:szCs w:val="24"/>
          <w:vertAlign w:val="superscript"/>
          <w:lang w:val="en-US"/>
        </w:rPr>
        <w:t>1</w:t>
      </w:r>
      <w:r w:rsidRPr="00937FA5">
        <w:rPr>
          <w:sz w:val="24"/>
          <w:szCs w:val="24"/>
          <w:lang w:val="en-US"/>
        </w:rPr>
        <w:t xml:space="preserve">Division of Gastroenterology, Hepatology and Nutrition, </w:t>
      </w:r>
      <w:r w:rsidR="006211CF" w:rsidRPr="00937FA5">
        <w:rPr>
          <w:sz w:val="24"/>
          <w:szCs w:val="24"/>
          <w:lang w:val="en-US"/>
        </w:rPr>
        <w:t xml:space="preserve">Department of Medicine, </w:t>
      </w:r>
      <w:r w:rsidRPr="00937FA5">
        <w:rPr>
          <w:sz w:val="24"/>
          <w:szCs w:val="24"/>
          <w:lang w:val="en-US"/>
        </w:rPr>
        <w:t xml:space="preserve">University of Pittsburgh, </w:t>
      </w:r>
      <w:r w:rsidR="009E1B47" w:rsidRPr="00937FA5">
        <w:rPr>
          <w:sz w:val="24"/>
          <w:szCs w:val="24"/>
          <w:lang w:val="en-US"/>
        </w:rPr>
        <w:t>Pittsburgh, PA</w:t>
      </w:r>
      <w:r w:rsidRPr="00937FA5">
        <w:rPr>
          <w:sz w:val="24"/>
          <w:szCs w:val="24"/>
          <w:lang w:val="en-US"/>
        </w:rPr>
        <w:t xml:space="preserve">, </w:t>
      </w:r>
      <w:r w:rsidR="00CD66CC" w:rsidRPr="00937FA5">
        <w:rPr>
          <w:sz w:val="24"/>
          <w:szCs w:val="24"/>
          <w:lang w:val="en-US"/>
        </w:rPr>
        <w:t>USA</w:t>
      </w:r>
    </w:p>
    <w:p w:rsidR="00362438" w:rsidRPr="00937FA5" w:rsidRDefault="006211CF" w:rsidP="00335814">
      <w:pPr>
        <w:pStyle w:val="KeinLeerraum"/>
        <w:spacing w:line="480" w:lineRule="auto"/>
        <w:jc w:val="both"/>
        <w:rPr>
          <w:sz w:val="24"/>
          <w:szCs w:val="24"/>
          <w:lang w:val="en-US"/>
        </w:rPr>
      </w:pPr>
      <w:r w:rsidRPr="00937FA5">
        <w:rPr>
          <w:sz w:val="24"/>
          <w:szCs w:val="24"/>
          <w:vertAlign w:val="superscript"/>
          <w:lang w:val="en-US"/>
        </w:rPr>
        <w:t>2</w:t>
      </w:r>
      <w:r w:rsidR="00362438" w:rsidRPr="00937FA5">
        <w:rPr>
          <w:sz w:val="24"/>
          <w:szCs w:val="24"/>
          <w:lang w:val="en-US"/>
        </w:rPr>
        <w:t>Department of Gastrointestinal Microbiology, German Institute of Human Nutrition</w:t>
      </w:r>
      <w:r w:rsidRPr="00937FA5">
        <w:rPr>
          <w:sz w:val="24"/>
          <w:szCs w:val="24"/>
          <w:lang w:val="en-US"/>
        </w:rPr>
        <w:t xml:space="preserve"> Potsdam-</w:t>
      </w:r>
      <w:proofErr w:type="spellStart"/>
      <w:r w:rsidRPr="00937FA5">
        <w:rPr>
          <w:sz w:val="24"/>
          <w:szCs w:val="24"/>
          <w:lang w:val="en-US"/>
        </w:rPr>
        <w:t>Rehbruecke</w:t>
      </w:r>
      <w:proofErr w:type="spellEnd"/>
      <w:r w:rsidRPr="00937FA5">
        <w:rPr>
          <w:sz w:val="24"/>
          <w:szCs w:val="24"/>
          <w:lang w:val="en-US"/>
        </w:rPr>
        <w:t xml:space="preserve">, </w:t>
      </w:r>
      <w:proofErr w:type="spellStart"/>
      <w:r w:rsidRPr="00937FA5">
        <w:rPr>
          <w:sz w:val="24"/>
          <w:szCs w:val="24"/>
          <w:lang w:val="en-US"/>
        </w:rPr>
        <w:t>Nuthetal</w:t>
      </w:r>
      <w:proofErr w:type="spellEnd"/>
      <w:r w:rsidR="0082240E" w:rsidRPr="00937FA5">
        <w:rPr>
          <w:sz w:val="24"/>
          <w:szCs w:val="24"/>
          <w:lang w:val="en-US"/>
        </w:rPr>
        <w:t>, Germany</w:t>
      </w:r>
    </w:p>
    <w:p w:rsidR="00FE0397" w:rsidRPr="00FE0397" w:rsidRDefault="006211CF" w:rsidP="00335814">
      <w:pPr>
        <w:pStyle w:val="KeinLeerraum"/>
        <w:spacing w:line="480" w:lineRule="auto"/>
        <w:jc w:val="both"/>
        <w:rPr>
          <w:sz w:val="24"/>
          <w:szCs w:val="24"/>
          <w:lang w:val="en-US"/>
        </w:rPr>
      </w:pPr>
      <w:r w:rsidRPr="00FE0397">
        <w:rPr>
          <w:sz w:val="24"/>
          <w:szCs w:val="24"/>
          <w:vertAlign w:val="superscript"/>
          <w:lang w:val="en-US"/>
        </w:rPr>
        <w:t>3</w:t>
      </w:r>
      <w:r w:rsidR="00FE0397" w:rsidRPr="00FE0397">
        <w:rPr>
          <w:sz w:val="24"/>
          <w:szCs w:val="24"/>
          <w:lang w:val="en-US"/>
        </w:rPr>
        <w:t>Section of Bioinformatics, Division of Systems Medicine, Department of Metabolism, Digestion and Reproduction, Imperial College, London, UK</w:t>
      </w:r>
    </w:p>
    <w:p w:rsidR="00CA7C83" w:rsidRPr="00937FA5" w:rsidRDefault="00FE0397" w:rsidP="00335814">
      <w:pPr>
        <w:pStyle w:val="KeinLeerraum"/>
        <w:spacing w:line="480" w:lineRule="auto"/>
        <w:jc w:val="both"/>
        <w:rPr>
          <w:rFonts w:cs="Arial"/>
          <w:sz w:val="24"/>
          <w:szCs w:val="24"/>
          <w:lang w:val="en-US"/>
        </w:rPr>
      </w:pPr>
      <w:r w:rsidRPr="00937FA5">
        <w:rPr>
          <w:rFonts w:cs="Arial"/>
          <w:sz w:val="24"/>
          <w:szCs w:val="24"/>
          <w:vertAlign w:val="superscript"/>
          <w:lang w:val="en-US"/>
        </w:rPr>
        <w:t>4</w:t>
      </w:r>
      <w:r w:rsidR="00E85428" w:rsidRPr="00937FA5">
        <w:rPr>
          <w:rFonts w:cs="Arial"/>
          <w:sz w:val="24"/>
          <w:szCs w:val="24"/>
          <w:lang w:val="en-US"/>
        </w:rPr>
        <w:t>Department of Surgery and Cancer</w:t>
      </w:r>
      <w:r w:rsidR="00CA7C83" w:rsidRPr="00937FA5">
        <w:rPr>
          <w:rFonts w:cs="Arial"/>
          <w:sz w:val="24"/>
          <w:szCs w:val="24"/>
          <w:lang w:val="en-US"/>
        </w:rPr>
        <w:t>, Faculty of Medicine</w:t>
      </w:r>
      <w:r w:rsidR="00E85428" w:rsidRPr="00937FA5">
        <w:rPr>
          <w:rFonts w:cs="Arial"/>
          <w:sz w:val="24"/>
          <w:szCs w:val="24"/>
          <w:lang w:val="en-US"/>
        </w:rPr>
        <w:t>, Imperial College, London, UK</w:t>
      </w:r>
    </w:p>
    <w:p w:rsidR="00CA7C83" w:rsidRPr="00937FA5" w:rsidRDefault="00FE0397" w:rsidP="00335814">
      <w:pPr>
        <w:pStyle w:val="KeinLeerraum"/>
        <w:spacing w:line="480" w:lineRule="auto"/>
        <w:jc w:val="both"/>
        <w:rPr>
          <w:rFonts w:cs="Arial"/>
          <w:sz w:val="24"/>
          <w:szCs w:val="24"/>
          <w:lang w:val="en-US"/>
        </w:rPr>
      </w:pPr>
      <w:r w:rsidRPr="00937FA5">
        <w:rPr>
          <w:sz w:val="24"/>
          <w:szCs w:val="24"/>
          <w:vertAlign w:val="superscript"/>
          <w:lang w:val="en-US"/>
        </w:rPr>
        <w:t>5</w:t>
      </w:r>
      <w:r w:rsidR="00CA7C83" w:rsidRPr="00937FA5">
        <w:rPr>
          <w:rFonts w:cs="Arial"/>
          <w:sz w:val="24"/>
          <w:szCs w:val="24"/>
          <w:lang w:val="en-US"/>
        </w:rPr>
        <w:t>Centre for Digestive and Gut Health, Institution of Global Health Innovation, Imperial College, London, UK</w:t>
      </w:r>
    </w:p>
    <w:p w:rsidR="00E85428" w:rsidRPr="00937FA5" w:rsidRDefault="00FE0397" w:rsidP="00335814">
      <w:pPr>
        <w:pStyle w:val="KeinLeerraum"/>
        <w:spacing w:line="480" w:lineRule="auto"/>
        <w:jc w:val="both"/>
        <w:rPr>
          <w:sz w:val="24"/>
          <w:szCs w:val="24"/>
          <w:lang w:val="en-US"/>
        </w:rPr>
      </w:pPr>
      <w:r w:rsidRPr="00937FA5">
        <w:rPr>
          <w:rFonts w:cs="Arial"/>
          <w:sz w:val="24"/>
          <w:szCs w:val="24"/>
          <w:vertAlign w:val="superscript"/>
          <w:lang w:val="en-US"/>
        </w:rPr>
        <w:t>6</w:t>
      </w:r>
      <w:r w:rsidR="00A87DB7" w:rsidRPr="00937FA5">
        <w:rPr>
          <w:sz w:val="24"/>
          <w:szCs w:val="24"/>
          <w:lang w:val="en-US"/>
        </w:rPr>
        <w:t xml:space="preserve">Clinical &amp; Research Services, Community Health Services, </w:t>
      </w:r>
      <w:r w:rsidR="00E85428" w:rsidRPr="00937FA5">
        <w:rPr>
          <w:rFonts w:cs="Arial"/>
          <w:sz w:val="24"/>
          <w:szCs w:val="24"/>
          <w:lang w:val="en-US"/>
        </w:rPr>
        <w:t xml:space="preserve">Alaska Native Tribal Health Consortium, </w:t>
      </w:r>
      <w:r w:rsidR="009E1B47" w:rsidRPr="00937FA5">
        <w:rPr>
          <w:sz w:val="24"/>
          <w:szCs w:val="24"/>
          <w:lang w:val="en-US"/>
        </w:rPr>
        <w:t>Anchorage, AK</w:t>
      </w:r>
      <w:r w:rsidR="00E85428" w:rsidRPr="00937FA5">
        <w:rPr>
          <w:rFonts w:cs="Arial"/>
          <w:sz w:val="24"/>
          <w:szCs w:val="24"/>
          <w:lang w:val="en-US"/>
        </w:rPr>
        <w:t xml:space="preserve">, </w:t>
      </w:r>
      <w:r w:rsidR="00CD66CC" w:rsidRPr="00937FA5">
        <w:rPr>
          <w:sz w:val="24"/>
          <w:szCs w:val="24"/>
          <w:lang w:val="en-US"/>
        </w:rPr>
        <w:t>USA</w:t>
      </w:r>
    </w:p>
    <w:p w:rsidR="00467E16" w:rsidRPr="00937FA5" w:rsidRDefault="00FE0397" w:rsidP="00335814">
      <w:pPr>
        <w:pStyle w:val="KeinLeerraum"/>
        <w:spacing w:line="480" w:lineRule="auto"/>
        <w:jc w:val="both"/>
        <w:rPr>
          <w:rFonts w:cs="Arial"/>
          <w:sz w:val="24"/>
          <w:szCs w:val="24"/>
          <w:lang w:val="en-US"/>
        </w:rPr>
      </w:pPr>
      <w:r w:rsidRPr="00937FA5">
        <w:rPr>
          <w:rFonts w:cs="Arial"/>
          <w:sz w:val="24"/>
          <w:szCs w:val="24"/>
          <w:vertAlign w:val="superscript"/>
          <w:lang w:val="en-US"/>
        </w:rPr>
        <w:t>7</w:t>
      </w:r>
      <w:r w:rsidR="00467E16" w:rsidRPr="00937FA5">
        <w:rPr>
          <w:rFonts w:cs="Arial"/>
          <w:sz w:val="24"/>
          <w:szCs w:val="24"/>
          <w:lang w:val="en-US"/>
        </w:rPr>
        <w:t>Division of Gastroenterology, University of KwaZulu-Natal,</w:t>
      </w:r>
      <w:r w:rsidR="002C464E" w:rsidRPr="00937FA5">
        <w:rPr>
          <w:rFonts w:cs="Arial"/>
          <w:sz w:val="24"/>
          <w:szCs w:val="24"/>
          <w:lang w:val="en-US"/>
        </w:rPr>
        <w:t xml:space="preserve"> Durban,</w:t>
      </w:r>
      <w:r w:rsidR="00467E16" w:rsidRPr="00937FA5">
        <w:rPr>
          <w:rFonts w:cs="Arial"/>
          <w:sz w:val="24"/>
          <w:szCs w:val="24"/>
          <w:lang w:val="en-US"/>
        </w:rPr>
        <w:t xml:space="preserve"> South Africa</w:t>
      </w:r>
    </w:p>
    <w:p w:rsidR="00467E16" w:rsidRPr="00937FA5" w:rsidRDefault="00FE0397" w:rsidP="00123003">
      <w:pPr>
        <w:pStyle w:val="KeinLeerraum"/>
        <w:spacing w:line="480" w:lineRule="auto"/>
        <w:jc w:val="both"/>
        <w:rPr>
          <w:rFonts w:cs="Arial"/>
          <w:sz w:val="24"/>
          <w:szCs w:val="24"/>
          <w:lang w:val="en-US"/>
        </w:rPr>
      </w:pPr>
      <w:r w:rsidRPr="00937FA5">
        <w:rPr>
          <w:rFonts w:cs="Arial"/>
          <w:sz w:val="24"/>
          <w:szCs w:val="24"/>
          <w:vertAlign w:val="superscript"/>
          <w:lang w:val="en-US"/>
        </w:rPr>
        <w:t>8</w:t>
      </w:r>
      <w:r w:rsidR="005B738F" w:rsidRPr="00937FA5">
        <w:rPr>
          <w:rFonts w:cs="Arial"/>
          <w:sz w:val="24"/>
          <w:szCs w:val="24"/>
          <w:lang w:val="en-US"/>
        </w:rPr>
        <w:t>Mangu</w:t>
      </w:r>
      <w:r w:rsidR="00467E16" w:rsidRPr="00937FA5">
        <w:rPr>
          <w:rFonts w:cs="Arial"/>
          <w:sz w:val="24"/>
          <w:szCs w:val="24"/>
          <w:lang w:val="en-US"/>
        </w:rPr>
        <w:t xml:space="preserve">zi Hospital, </w:t>
      </w:r>
      <w:proofErr w:type="spellStart"/>
      <w:r w:rsidR="005B738F" w:rsidRPr="00937FA5">
        <w:rPr>
          <w:rFonts w:cs="Arial"/>
          <w:sz w:val="24"/>
          <w:szCs w:val="24"/>
          <w:lang w:val="en-US"/>
        </w:rPr>
        <w:t>Manguzi</w:t>
      </w:r>
      <w:proofErr w:type="spellEnd"/>
      <w:r w:rsidR="005B738F" w:rsidRPr="00937FA5">
        <w:rPr>
          <w:rFonts w:cs="Arial"/>
          <w:sz w:val="24"/>
          <w:szCs w:val="24"/>
          <w:lang w:val="en-US"/>
        </w:rPr>
        <w:t xml:space="preserve">, </w:t>
      </w:r>
      <w:r w:rsidR="00467E16" w:rsidRPr="00937FA5">
        <w:rPr>
          <w:rFonts w:cs="Arial"/>
          <w:sz w:val="24"/>
          <w:szCs w:val="24"/>
          <w:lang w:val="en-US"/>
        </w:rPr>
        <w:t>KwaZulu-Natal</w:t>
      </w:r>
      <w:r w:rsidR="005B738F" w:rsidRPr="00937FA5">
        <w:rPr>
          <w:rFonts w:cs="Arial"/>
          <w:sz w:val="24"/>
          <w:szCs w:val="24"/>
          <w:lang w:val="en-US"/>
        </w:rPr>
        <w:t>, South Africa</w:t>
      </w:r>
    </w:p>
    <w:p w:rsidR="00E85428" w:rsidRPr="00937FA5" w:rsidRDefault="00FE0397" w:rsidP="00123003">
      <w:pPr>
        <w:pStyle w:val="KeinLeerraum"/>
        <w:spacing w:line="480" w:lineRule="auto"/>
        <w:jc w:val="both"/>
        <w:rPr>
          <w:sz w:val="24"/>
          <w:szCs w:val="24"/>
          <w:lang w:val="en-US"/>
        </w:rPr>
      </w:pPr>
      <w:r w:rsidRPr="00937FA5">
        <w:rPr>
          <w:sz w:val="24"/>
          <w:szCs w:val="24"/>
          <w:vertAlign w:val="superscript"/>
          <w:lang w:val="en-US"/>
        </w:rPr>
        <w:t>9</w:t>
      </w:r>
      <w:r w:rsidR="00E85428" w:rsidRPr="00937FA5">
        <w:rPr>
          <w:rFonts w:cs="Arial"/>
          <w:sz w:val="24"/>
          <w:szCs w:val="24"/>
          <w:lang w:val="en-US"/>
        </w:rPr>
        <w:t xml:space="preserve">Division of Endocrinology, </w:t>
      </w:r>
      <w:r w:rsidR="002C1963" w:rsidRPr="00937FA5">
        <w:rPr>
          <w:sz w:val="24"/>
          <w:szCs w:val="24"/>
          <w:lang w:val="en-US"/>
        </w:rPr>
        <w:t xml:space="preserve">Department of Medicine, </w:t>
      </w:r>
      <w:r w:rsidR="00E85428" w:rsidRPr="00937FA5">
        <w:rPr>
          <w:rFonts w:cs="Arial"/>
          <w:sz w:val="24"/>
          <w:szCs w:val="24"/>
          <w:lang w:val="en-US"/>
        </w:rPr>
        <w:t xml:space="preserve">University of Pittsburgh, Pittsburgh, </w:t>
      </w:r>
      <w:r w:rsidR="00CD66CC" w:rsidRPr="00937FA5">
        <w:rPr>
          <w:rFonts w:cs="Arial"/>
          <w:sz w:val="24"/>
          <w:szCs w:val="24"/>
          <w:lang w:val="en-US"/>
        </w:rPr>
        <w:t>PA</w:t>
      </w:r>
      <w:r w:rsidR="00E85428" w:rsidRPr="00937FA5">
        <w:rPr>
          <w:rFonts w:cs="Arial"/>
          <w:sz w:val="24"/>
          <w:szCs w:val="24"/>
          <w:lang w:val="en-US"/>
        </w:rPr>
        <w:t xml:space="preserve">, </w:t>
      </w:r>
      <w:r w:rsidR="00CD66CC" w:rsidRPr="00937FA5">
        <w:rPr>
          <w:sz w:val="24"/>
          <w:szCs w:val="24"/>
          <w:lang w:val="en-US"/>
        </w:rPr>
        <w:t>USA</w:t>
      </w:r>
    </w:p>
    <w:p w:rsidR="00A87DB7" w:rsidRPr="00937FA5" w:rsidRDefault="00FE0397" w:rsidP="00123003">
      <w:pPr>
        <w:pStyle w:val="KeinLeerraum"/>
        <w:spacing w:line="480" w:lineRule="auto"/>
        <w:jc w:val="both"/>
        <w:rPr>
          <w:sz w:val="24"/>
          <w:szCs w:val="24"/>
          <w:lang w:val="en-US"/>
        </w:rPr>
      </w:pPr>
      <w:r w:rsidRPr="00937FA5">
        <w:rPr>
          <w:sz w:val="24"/>
          <w:szCs w:val="24"/>
          <w:vertAlign w:val="superscript"/>
          <w:lang w:val="en-US"/>
        </w:rPr>
        <w:lastRenderedPageBreak/>
        <w:t>10</w:t>
      </w:r>
      <w:r w:rsidR="00A87DB7" w:rsidRPr="00937FA5">
        <w:rPr>
          <w:sz w:val="24"/>
          <w:szCs w:val="24"/>
          <w:lang w:val="en-US"/>
        </w:rPr>
        <w:t>Translational Research Institute for Metabolism and Diabetes, Advent Health, Orlando, FL, USA</w:t>
      </w:r>
    </w:p>
    <w:p w:rsidR="00E85428" w:rsidRPr="00937FA5" w:rsidRDefault="00FE0397" w:rsidP="00123003">
      <w:pPr>
        <w:pStyle w:val="KeinLeerraum"/>
        <w:spacing w:line="480" w:lineRule="auto"/>
        <w:jc w:val="both"/>
        <w:rPr>
          <w:sz w:val="24"/>
          <w:szCs w:val="24"/>
          <w:lang w:val="en-US"/>
        </w:rPr>
      </w:pPr>
      <w:r w:rsidRPr="00937FA5">
        <w:rPr>
          <w:sz w:val="24"/>
          <w:szCs w:val="24"/>
          <w:vertAlign w:val="superscript"/>
          <w:lang w:val="en-US"/>
        </w:rPr>
        <w:t>11</w:t>
      </w:r>
      <w:r w:rsidR="00E85428" w:rsidRPr="00937FA5">
        <w:rPr>
          <w:sz w:val="24"/>
          <w:szCs w:val="24"/>
          <w:lang w:val="en-US"/>
        </w:rPr>
        <w:t xml:space="preserve">Center for Medicine and the Microbiome, </w:t>
      </w:r>
      <w:r w:rsidR="00277DAD" w:rsidRPr="00937FA5">
        <w:rPr>
          <w:sz w:val="24"/>
          <w:szCs w:val="24"/>
          <w:lang w:val="en-US"/>
        </w:rPr>
        <w:t xml:space="preserve">Department of Medicine, </w:t>
      </w:r>
      <w:r w:rsidR="00CD66CC" w:rsidRPr="00937FA5">
        <w:rPr>
          <w:sz w:val="24"/>
          <w:szCs w:val="24"/>
          <w:lang w:val="en-US"/>
        </w:rPr>
        <w:t xml:space="preserve">University of Pittsburgh, </w:t>
      </w:r>
      <w:r w:rsidR="00E85428" w:rsidRPr="00937FA5">
        <w:rPr>
          <w:sz w:val="24"/>
          <w:szCs w:val="24"/>
          <w:lang w:val="en-US"/>
        </w:rPr>
        <w:t xml:space="preserve">Pittsburgh, PA, </w:t>
      </w:r>
      <w:r w:rsidR="00CD66CC" w:rsidRPr="00937FA5">
        <w:rPr>
          <w:sz w:val="24"/>
          <w:szCs w:val="24"/>
          <w:lang w:val="en-US"/>
        </w:rPr>
        <w:t>USA</w:t>
      </w:r>
    </w:p>
    <w:p w:rsidR="00467E16" w:rsidRPr="00937FA5" w:rsidRDefault="00FE0397" w:rsidP="00123003">
      <w:pPr>
        <w:spacing w:line="480" w:lineRule="auto"/>
        <w:jc w:val="both"/>
        <w:rPr>
          <w:sz w:val="24"/>
          <w:szCs w:val="24"/>
          <w:lang w:val="en-US"/>
        </w:rPr>
      </w:pPr>
      <w:r>
        <w:rPr>
          <w:sz w:val="24"/>
          <w:szCs w:val="24"/>
          <w:vertAlign w:val="superscript"/>
          <w:lang w:val="en-US"/>
        </w:rPr>
        <w:t>12</w:t>
      </w:r>
      <w:r w:rsidR="00467E16" w:rsidRPr="00937FA5">
        <w:rPr>
          <w:sz w:val="24"/>
          <w:szCs w:val="24"/>
          <w:lang w:val="en-US"/>
        </w:rPr>
        <w:t xml:space="preserve">Division of Nutritional Sciences, University of Illinois at Urbana-Champaign, Urbana, Illinois, </w:t>
      </w:r>
      <w:r w:rsidR="00CD66CC" w:rsidRPr="00937FA5">
        <w:rPr>
          <w:sz w:val="24"/>
          <w:szCs w:val="24"/>
          <w:lang w:val="en-US"/>
        </w:rPr>
        <w:t>USA</w:t>
      </w:r>
    </w:p>
    <w:p w:rsidR="00C56992" w:rsidRPr="00937FA5" w:rsidRDefault="00E85428" w:rsidP="00123003">
      <w:pPr>
        <w:spacing w:line="480" w:lineRule="auto"/>
        <w:jc w:val="both"/>
        <w:rPr>
          <w:rStyle w:val="contentline-90"/>
          <w:sz w:val="24"/>
          <w:szCs w:val="24"/>
          <w:lang w:val="en-US"/>
        </w:rPr>
      </w:pPr>
      <w:r w:rsidRPr="00937FA5">
        <w:rPr>
          <w:sz w:val="24"/>
          <w:szCs w:val="24"/>
          <w:lang w:val="en-US"/>
        </w:rPr>
        <w:t>*Corresponding author</w:t>
      </w:r>
      <w:r w:rsidR="00C56992" w:rsidRPr="00937FA5">
        <w:rPr>
          <w:sz w:val="24"/>
          <w:szCs w:val="24"/>
          <w:lang w:val="en-US"/>
        </w:rPr>
        <w:t xml:space="preserve">: Dr. </w:t>
      </w:r>
      <w:r w:rsidR="00C56992" w:rsidRPr="00937FA5">
        <w:rPr>
          <w:rFonts w:cs="Arial"/>
          <w:sz w:val="24"/>
          <w:szCs w:val="24"/>
          <w:lang w:val="en-US"/>
        </w:rPr>
        <w:t xml:space="preserve">Stephen JD O’Keefe, </w:t>
      </w:r>
      <w:r w:rsidR="00C56992" w:rsidRPr="00937FA5">
        <w:rPr>
          <w:sz w:val="24"/>
          <w:szCs w:val="24"/>
          <w:lang w:val="en-US"/>
        </w:rPr>
        <w:t xml:space="preserve">Division of Gastroenterology, Hepatology and Nutrition, Department of Medicine, University of Pittsburgh, W1112 Biomedical Science Tower, 200 Lothrop Street, Pittsburgh, PA 15213, USA; </w:t>
      </w:r>
      <w:r w:rsidR="00D84738" w:rsidRPr="00937FA5">
        <w:rPr>
          <w:rStyle w:val="contentline-90"/>
          <w:sz w:val="24"/>
          <w:szCs w:val="24"/>
          <w:lang w:val="en-US"/>
        </w:rPr>
        <w:t>sjokeefe@pitt.edu</w:t>
      </w:r>
    </w:p>
    <w:p w:rsidR="00D84738" w:rsidRPr="00700871" w:rsidRDefault="00937FA5" w:rsidP="00123003">
      <w:pPr>
        <w:spacing w:line="480" w:lineRule="auto"/>
        <w:jc w:val="both"/>
        <w:rPr>
          <w:sz w:val="24"/>
          <w:szCs w:val="24"/>
          <w:lang w:val="en-US"/>
        </w:rPr>
      </w:pPr>
      <w:r>
        <w:rPr>
          <w:b/>
          <w:bCs/>
          <w:sz w:val="24"/>
          <w:szCs w:val="24"/>
          <w:lang w:val="en-US"/>
        </w:rPr>
        <w:t>Sources of</w:t>
      </w:r>
      <w:r w:rsidR="00D84738" w:rsidRPr="00937FA5">
        <w:rPr>
          <w:b/>
          <w:bCs/>
          <w:sz w:val="24"/>
          <w:szCs w:val="24"/>
          <w:lang w:val="en-US"/>
        </w:rPr>
        <w:t xml:space="preserve"> support: </w:t>
      </w:r>
      <w:r w:rsidR="006A7E83" w:rsidRPr="00937FA5">
        <w:rPr>
          <w:sz w:val="24"/>
          <w:szCs w:val="24"/>
          <w:lang w:val="en-US"/>
        </w:rPr>
        <w:t>This study</w:t>
      </w:r>
      <w:r w:rsidR="00D84738" w:rsidRPr="00937FA5">
        <w:rPr>
          <w:sz w:val="24"/>
          <w:szCs w:val="24"/>
          <w:lang w:val="en-US"/>
        </w:rPr>
        <w:t xml:space="preserve"> was </w:t>
      </w:r>
      <w:r w:rsidR="006A7E83" w:rsidRPr="00937FA5">
        <w:rPr>
          <w:sz w:val="24"/>
          <w:szCs w:val="24"/>
          <w:lang w:val="en-US"/>
        </w:rPr>
        <w:t xml:space="preserve">supported by grants R01 CA135379 and R01 CA204403 from the National Institutes of Health. This work was </w:t>
      </w:r>
      <w:r w:rsidR="00D84738" w:rsidRPr="00937FA5">
        <w:rPr>
          <w:sz w:val="24"/>
          <w:szCs w:val="24"/>
          <w:lang w:val="en-US"/>
        </w:rPr>
        <w:t>performed with infrastructure support provided by the NIHR Imperial Biomedical Research Centre. SOC is supported by a Mildred-</w:t>
      </w:r>
      <w:proofErr w:type="spellStart"/>
      <w:r w:rsidR="00D84738" w:rsidRPr="00937FA5">
        <w:rPr>
          <w:sz w:val="24"/>
          <w:szCs w:val="24"/>
          <w:lang w:val="en-US"/>
        </w:rPr>
        <w:t>Scheel</w:t>
      </w:r>
      <w:proofErr w:type="spellEnd"/>
      <w:r w:rsidR="00D84738" w:rsidRPr="00937FA5">
        <w:rPr>
          <w:sz w:val="24"/>
          <w:szCs w:val="24"/>
          <w:lang w:val="en-US"/>
        </w:rPr>
        <w:t xml:space="preserve">-Scholarship by German Cancer Aid (Deutsche </w:t>
      </w:r>
      <w:proofErr w:type="spellStart"/>
      <w:r w:rsidR="00D84738" w:rsidRPr="00937FA5">
        <w:rPr>
          <w:sz w:val="24"/>
          <w:szCs w:val="24"/>
          <w:lang w:val="en-US"/>
        </w:rPr>
        <w:t>Krebshilfe</w:t>
      </w:r>
      <w:proofErr w:type="spellEnd"/>
      <w:r w:rsidR="00D84738" w:rsidRPr="00937FA5">
        <w:rPr>
          <w:sz w:val="24"/>
          <w:szCs w:val="24"/>
          <w:lang w:val="en-US"/>
        </w:rPr>
        <w:t xml:space="preserve">, </w:t>
      </w:r>
      <w:r w:rsidR="00D84738" w:rsidRPr="00937FA5">
        <w:rPr>
          <w:rFonts w:cs="Arial"/>
          <w:sz w:val="24"/>
          <w:szCs w:val="24"/>
          <w:lang w:val="en-US"/>
        </w:rPr>
        <w:t>70112121</w:t>
      </w:r>
      <w:r w:rsidR="00D84738" w:rsidRPr="00937FA5">
        <w:rPr>
          <w:sz w:val="24"/>
          <w:szCs w:val="24"/>
          <w:lang w:val="en-US"/>
        </w:rPr>
        <w:t>)</w:t>
      </w:r>
      <w:r w:rsidR="00B455FD" w:rsidRPr="00937FA5">
        <w:rPr>
          <w:sz w:val="24"/>
          <w:szCs w:val="24"/>
          <w:lang w:val="en-US"/>
        </w:rPr>
        <w:t xml:space="preserve"> and German</w:t>
      </w:r>
      <w:r w:rsidR="006F2D4C" w:rsidRPr="00937FA5">
        <w:rPr>
          <w:sz w:val="24"/>
          <w:szCs w:val="24"/>
          <w:lang w:val="en-US"/>
        </w:rPr>
        <w:t xml:space="preserve"> Research Foundation (Deutsche </w:t>
      </w:r>
      <w:proofErr w:type="spellStart"/>
      <w:r w:rsidR="006F2D4C" w:rsidRPr="00937FA5">
        <w:rPr>
          <w:sz w:val="24"/>
          <w:szCs w:val="24"/>
          <w:lang w:val="en-US"/>
        </w:rPr>
        <w:t>Forschungsgemeinschaft</w:t>
      </w:r>
      <w:proofErr w:type="spellEnd"/>
      <w:r w:rsidR="006F2D4C" w:rsidRPr="00937FA5">
        <w:rPr>
          <w:sz w:val="24"/>
          <w:szCs w:val="24"/>
          <w:lang w:val="en-US"/>
        </w:rPr>
        <w:t xml:space="preserve">, </w:t>
      </w:r>
      <w:r w:rsidR="006F2D4C" w:rsidRPr="00937FA5">
        <w:rPr>
          <w:rStyle w:val="value"/>
          <w:sz w:val="24"/>
          <w:szCs w:val="24"/>
          <w:lang w:val="en-US"/>
        </w:rPr>
        <w:t>338582098)</w:t>
      </w:r>
      <w:r w:rsidR="00D84738" w:rsidRPr="00937FA5">
        <w:rPr>
          <w:sz w:val="24"/>
          <w:szCs w:val="24"/>
          <w:lang w:val="en-US"/>
        </w:rPr>
        <w:t xml:space="preserve">. JMP is supported by a Rutherford Fund Fellowship at Health Data Research UK (MR/S004033/1). JVL is supported by a Medical Research Council New Investigator Grant (MR/L009803/1) and European </w:t>
      </w:r>
      <w:r w:rsidR="00D84738" w:rsidRPr="00700871">
        <w:rPr>
          <w:sz w:val="24"/>
          <w:szCs w:val="24"/>
          <w:lang w:val="en-US"/>
        </w:rPr>
        <w:t>Research Council Starting Grant (715662). SJO is supported by the National Institutes of Health (R01 CA204403).</w:t>
      </w:r>
    </w:p>
    <w:p w:rsidR="00700871" w:rsidRDefault="00700871" w:rsidP="00123003">
      <w:pPr>
        <w:spacing w:line="480" w:lineRule="auto"/>
        <w:jc w:val="both"/>
        <w:rPr>
          <w:rFonts w:cs="Arial"/>
          <w:sz w:val="24"/>
          <w:szCs w:val="24"/>
          <w:lang w:val="en-US"/>
        </w:rPr>
      </w:pPr>
      <w:r w:rsidRPr="00700871">
        <w:rPr>
          <w:rFonts w:cs="Arial"/>
          <w:sz w:val="24"/>
          <w:szCs w:val="24"/>
          <w:lang w:val="en-US"/>
        </w:rPr>
        <w:t xml:space="preserve">Data described in the manuscript, code book, and analytic code will be made </w:t>
      </w:r>
      <w:r>
        <w:rPr>
          <w:rFonts w:cs="Arial"/>
          <w:sz w:val="24"/>
          <w:szCs w:val="24"/>
          <w:lang w:val="en-US"/>
        </w:rPr>
        <w:t>available upon request pending (</w:t>
      </w:r>
      <w:r w:rsidRPr="00700871">
        <w:rPr>
          <w:rFonts w:cs="Arial"/>
          <w:sz w:val="24"/>
          <w:szCs w:val="24"/>
          <w:lang w:val="en-US"/>
        </w:rPr>
        <w:t>e.g., applicat</w:t>
      </w:r>
      <w:r>
        <w:rPr>
          <w:rFonts w:cs="Arial"/>
          <w:sz w:val="24"/>
          <w:szCs w:val="24"/>
          <w:lang w:val="en-US"/>
        </w:rPr>
        <w:t>ion and approval)</w:t>
      </w:r>
      <w:r w:rsidRPr="00700871">
        <w:rPr>
          <w:rFonts w:cs="Arial"/>
          <w:sz w:val="24"/>
          <w:szCs w:val="24"/>
          <w:lang w:val="en-US"/>
        </w:rPr>
        <w:t>.</w:t>
      </w:r>
    </w:p>
    <w:p w:rsidR="00937FA5" w:rsidRPr="00430DDF" w:rsidRDefault="00937FA5" w:rsidP="00123003">
      <w:pPr>
        <w:spacing w:line="480" w:lineRule="auto"/>
        <w:jc w:val="both"/>
        <w:rPr>
          <w:rFonts w:eastAsia="Times New Roman" w:cstheme="minorHAnsi"/>
          <w:bCs/>
          <w:color w:val="000000"/>
          <w:sz w:val="24"/>
          <w:szCs w:val="24"/>
          <w:lang w:val="en-US"/>
        </w:rPr>
      </w:pPr>
      <w:r w:rsidRPr="005440B4">
        <w:rPr>
          <w:rFonts w:eastAsia="Times New Roman" w:cstheme="minorHAnsi"/>
          <w:b/>
          <w:bCs/>
          <w:color w:val="000000"/>
          <w:sz w:val="24"/>
          <w:szCs w:val="24"/>
          <w:lang w:val="en-US"/>
        </w:rPr>
        <w:t>Short running head:</w:t>
      </w:r>
      <w:r w:rsidR="003A53C6" w:rsidRPr="005440B4">
        <w:rPr>
          <w:rFonts w:eastAsia="Times New Roman" w:cstheme="minorHAnsi"/>
          <w:b/>
          <w:bCs/>
          <w:color w:val="000000"/>
          <w:sz w:val="24"/>
          <w:szCs w:val="24"/>
          <w:lang w:val="en-US"/>
        </w:rPr>
        <w:t xml:space="preserve"> </w:t>
      </w:r>
      <w:r w:rsidR="003A53C6" w:rsidRPr="005440B4">
        <w:rPr>
          <w:rFonts w:eastAsia="Times New Roman" w:cstheme="minorHAnsi"/>
          <w:bCs/>
          <w:color w:val="000000"/>
          <w:sz w:val="24"/>
          <w:szCs w:val="24"/>
          <w:lang w:val="en-US"/>
        </w:rPr>
        <w:t>Colon cancer risk in Alaska Native people</w:t>
      </w:r>
    </w:p>
    <w:p w:rsidR="007F30CD" w:rsidRPr="00164E6C" w:rsidRDefault="00937FA5" w:rsidP="00123003">
      <w:pPr>
        <w:pStyle w:val="KeinLeerraum"/>
        <w:spacing w:line="480" w:lineRule="auto"/>
        <w:jc w:val="both"/>
        <w:rPr>
          <w:rFonts w:eastAsia="Times New Roman" w:cs="Times New Roman"/>
          <w:sz w:val="24"/>
          <w:szCs w:val="24"/>
          <w:lang w:val="en-US" w:eastAsia="de-DE"/>
        </w:rPr>
      </w:pPr>
      <w:r>
        <w:rPr>
          <w:b/>
          <w:sz w:val="24"/>
          <w:szCs w:val="24"/>
          <w:lang w:val="en-US" w:eastAsia="de-DE"/>
        </w:rPr>
        <w:lastRenderedPageBreak/>
        <w:t xml:space="preserve">Abbreviations: </w:t>
      </w:r>
      <w:r w:rsidRPr="00937FA5">
        <w:rPr>
          <w:rFonts w:eastAsia="Times New Roman" w:cs="Times New Roman"/>
          <w:sz w:val="24"/>
          <w:szCs w:val="24"/>
          <w:lang w:val="en-US" w:eastAsia="de-DE"/>
        </w:rPr>
        <w:t xml:space="preserve">AN=Alaska Native; </w:t>
      </w:r>
      <w:r w:rsidR="008E0C2B" w:rsidRPr="00937FA5">
        <w:rPr>
          <w:rFonts w:eastAsia="Times New Roman" w:cs="Times New Roman"/>
          <w:sz w:val="24"/>
          <w:szCs w:val="24"/>
          <w:lang w:val="en-US" w:eastAsia="de-DE"/>
        </w:rPr>
        <w:t>CRC=colorectal cancer; DCA=deoxycholic acid; OTU=operational taxonomic units</w:t>
      </w:r>
      <w:r w:rsidR="008E0C2B">
        <w:rPr>
          <w:rFonts w:eastAsia="Times New Roman" w:cs="Times New Roman"/>
          <w:sz w:val="24"/>
          <w:szCs w:val="24"/>
          <w:lang w:val="en-US" w:eastAsia="de-DE"/>
        </w:rPr>
        <w:t>;</w:t>
      </w:r>
      <w:r w:rsidR="008E0C2B" w:rsidRPr="00937FA5">
        <w:rPr>
          <w:rFonts w:eastAsia="Times New Roman" w:cs="Times New Roman"/>
          <w:sz w:val="24"/>
          <w:szCs w:val="24"/>
          <w:lang w:val="en-US" w:eastAsia="de-DE"/>
        </w:rPr>
        <w:t xml:space="preserve"> </w:t>
      </w:r>
      <w:r w:rsidRPr="00937FA5">
        <w:rPr>
          <w:rFonts w:eastAsia="Times New Roman" w:cs="Times New Roman"/>
          <w:sz w:val="24"/>
          <w:szCs w:val="24"/>
          <w:lang w:val="en-US" w:eastAsia="de-DE"/>
        </w:rPr>
        <w:t>RA=Rural African; SCFA=short-chain fatty acids</w:t>
      </w:r>
      <w:r>
        <w:rPr>
          <w:rFonts w:eastAsia="Times New Roman" w:cs="Times New Roman"/>
          <w:sz w:val="24"/>
          <w:szCs w:val="24"/>
          <w:lang w:val="en-US" w:eastAsia="de-DE"/>
        </w:rPr>
        <w:t>.</w:t>
      </w:r>
    </w:p>
    <w:p w:rsidR="008E1D57" w:rsidRPr="00937FA5" w:rsidRDefault="008E1D57" w:rsidP="00123003">
      <w:pPr>
        <w:pStyle w:val="KeinLeerraum"/>
        <w:spacing w:line="480" w:lineRule="auto"/>
        <w:jc w:val="both"/>
        <w:rPr>
          <w:sz w:val="24"/>
          <w:szCs w:val="24"/>
          <w:lang w:val="en-US"/>
        </w:rPr>
      </w:pPr>
      <w:r w:rsidRPr="00937FA5">
        <w:rPr>
          <w:b/>
          <w:sz w:val="24"/>
          <w:szCs w:val="24"/>
          <w:lang w:val="en-US"/>
        </w:rPr>
        <w:br w:type="page"/>
      </w:r>
    </w:p>
    <w:p w:rsidR="00937FA5" w:rsidRPr="00123003" w:rsidRDefault="00DA3D4B" w:rsidP="00123003">
      <w:pPr>
        <w:pStyle w:val="KeinLeerraum"/>
        <w:spacing w:line="480" w:lineRule="auto"/>
        <w:jc w:val="both"/>
        <w:rPr>
          <w:b/>
          <w:sz w:val="24"/>
          <w:szCs w:val="24"/>
          <w:lang w:val="en-US"/>
        </w:rPr>
      </w:pPr>
      <w:r w:rsidRPr="00123003">
        <w:rPr>
          <w:b/>
          <w:sz w:val="24"/>
          <w:szCs w:val="24"/>
          <w:lang w:val="en-US"/>
        </w:rPr>
        <w:lastRenderedPageBreak/>
        <w:t>ABSTRACT</w:t>
      </w:r>
    </w:p>
    <w:p w:rsidR="00937FA5" w:rsidRPr="00123003" w:rsidRDefault="00937FA5" w:rsidP="00123003">
      <w:pPr>
        <w:pStyle w:val="KeinLeerraum"/>
        <w:spacing w:line="480" w:lineRule="auto"/>
        <w:jc w:val="both"/>
        <w:rPr>
          <w:b/>
          <w:sz w:val="24"/>
          <w:szCs w:val="24"/>
          <w:lang w:val="en-US"/>
        </w:rPr>
      </w:pPr>
      <w:r w:rsidRPr="00123003">
        <w:rPr>
          <w:b/>
          <w:sz w:val="24"/>
          <w:szCs w:val="24"/>
          <w:lang w:val="en-US"/>
        </w:rPr>
        <w:t>Background:</w:t>
      </w:r>
      <w:r w:rsidRPr="00123003">
        <w:rPr>
          <w:sz w:val="24"/>
          <w:szCs w:val="24"/>
          <w:lang w:val="en-US"/>
        </w:rPr>
        <w:t xml:space="preserve"> Alaska Native (AN) people have the world’s highest recorded incidence of sporadic colorectal cancer (CRC) (~</w:t>
      </w:r>
      <w:r w:rsidR="00B83CB4">
        <w:rPr>
          <w:sz w:val="24"/>
          <w:szCs w:val="24"/>
          <w:lang w:val="en-US"/>
        </w:rPr>
        <w:t>9</w:t>
      </w:r>
      <w:r w:rsidRPr="00123003">
        <w:rPr>
          <w:sz w:val="24"/>
          <w:szCs w:val="24"/>
          <w:lang w:val="en-US"/>
        </w:rPr>
        <w:t>1:100,000), whereas rural African (RA) people have the lowest risk (&lt;5:100,000). Previous data supported the hypothesis that diet affected CRC risk through its effects on the colonic microbiota to produce tumorsuppressive or -promoting metabolites.</w:t>
      </w:r>
    </w:p>
    <w:p w:rsidR="00CB6434" w:rsidRPr="00123003" w:rsidRDefault="003E2C9A" w:rsidP="00123003">
      <w:pPr>
        <w:pStyle w:val="KeinLeerraum"/>
        <w:spacing w:line="480" w:lineRule="auto"/>
        <w:jc w:val="both"/>
        <w:rPr>
          <w:b/>
          <w:sz w:val="24"/>
          <w:szCs w:val="24"/>
          <w:lang w:val="en-US"/>
        </w:rPr>
      </w:pPr>
      <w:r w:rsidRPr="00123003">
        <w:rPr>
          <w:b/>
          <w:sz w:val="24"/>
          <w:szCs w:val="24"/>
          <w:lang w:val="en-US"/>
        </w:rPr>
        <w:t>Objective</w:t>
      </w:r>
      <w:r w:rsidR="00F26A0B" w:rsidRPr="00123003">
        <w:rPr>
          <w:b/>
          <w:sz w:val="24"/>
          <w:szCs w:val="24"/>
          <w:lang w:val="en-US"/>
        </w:rPr>
        <w:t xml:space="preserve">s: </w:t>
      </w:r>
      <w:r w:rsidR="00BA1A47" w:rsidRPr="00123003">
        <w:rPr>
          <w:sz w:val="24"/>
          <w:szCs w:val="24"/>
          <w:lang w:val="en-US"/>
        </w:rPr>
        <w:t>Here, w</w:t>
      </w:r>
      <w:r w:rsidR="007A1F94" w:rsidRPr="00123003">
        <w:rPr>
          <w:sz w:val="24"/>
          <w:szCs w:val="24"/>
          <w:lang w:val="en-US"/>
        </w:rPr>
        <w:t>e investigate</w:t>
      </w:r>
      <w:r w:rsidR="00BA1A47" w:rsidRPr="00123003">
        <w:rPr>
          <w:sz w:val="24"/>
          <w:szCs w:val="24"/>
          <w:lang w:val="en-US"/>
        </w:rPr>
        <w:t xml:space="preserve"> whether </w:t>
      </w:r>
      <w:r w:rsidR="00377047">
        <w:rPr>
          <w:sz w:val="24"/>
          <w:szCs w:val="24"/>
          <w:lang w:val="en-US"/>
        </w:rPr>
        <w:t>differences</w:t>
      </w:r>
      <w:r w:rsidR="00377047" w:rsidRPr="00123003">
        <w:rPr>
          <w:sz w:val="24"/>
          <w:szCs w:val="24"/>
          <w:lang w:val="en-US"/>
        </w:rPr>
        <w:t xml:space="preserve"> </w:t>
      </w:r>
      <w:r w:rsidR="00B74775" w:rsidRPr="00123003">
        <w:rPr>
          <w:sz w:val="24"/>
          <w:szCs w:val="24"/>
          <w:lang w:val="en-US"/>
        </w:rPr>
        <w:t>in these metabolites</w:t>
      </w:r>
      <w:r w:rsidR="00B74775" w:rsidRPr="00123003" w:rsidDel="00B74775">
        <w:rPr>
          <w:sz w:val="24"/>
          <w:szCs w:val="24"/>
          <w:lang w:val="en-US"/>
        </w:rPr>
        <w:t xml:space="preserve"> </w:t>
      </w:r>
      <w:r w:rsidR="00B74775" w:rsidRPr="00123003">
        <w:rPr>
          <w:sz w:val="24"/>
          <w:szCs w:val="24"/>
          <w:lang w:val="en-US"/>
        </w:rPr>
        <w:t xml:space="preserve">may contribute to the high </w:t>
      </w:r>
      <w:r w:rsidR="00BA1A47" w:rsidRPr="00123003">
        <w:rPr>
          <w:sz w:val="24"/>
          <w:szCs w:val="24"/>
          <w:lang w:val="en-US"/>
        </w:rPr>
        <w:t xml:space="preserve">risk of CRC in </w:t>
      </w:r>
      <w:proofErr w:type="gramStart"/>
      <w:r w:rsidR="00BA1A47" w:rsidRPr="00123003">
        <w:rPr>
          <w:sz w:val="24"/>
          <w:szCs w:val="24"/>
          <w:lang w:val="en-US"/>
        </w:rPr>
        <w:t>AN</w:t>
      </w:r>
      <w:proofErr w:type="gramEnd"/>
      <w:r w:rsidR="00BA1A47" w:rsidRPr="00123003">
        <w:rPr>
          <w:sz w:val="24"/>
          <w:szCs w:val="24"/>
          <w:lang w:val="en-US"/>
        </w:rPr>
        <w:t xml:space="preserve"> people</w:t>
      </w:r>
      <w:r w:rsidR="0034460C" w:rsidRPr="00123003">
        <w:rPr>
          <w:sz w:val="24"/>
          <w:szCs w:val="24"/>
          <w:lang w:val="en-US"/>
        </w:rPr>
        <w:t>.</w:t>
      </w:r>
    </w:p>
    <w:p w:rsidR="00997C11" w:rsidRPr="00123003" w:rsidRDefault="003E2C9A" w:rsidP="00123003">
      <w:pPr>
        <w:pStyle w:val="KeinLeerraum"/>
        <w:spacing w:line="480" w:lineRule="auto"/>
        <w:jc w:val="both"/>
        <w:rPr>
          <w:sz w:val="24"/>
          <w:szCs w:val="24"/>
          <w:lang w:val="en-US"/>
        </w:rPr>
      </w:pPr>
      <w:r w:rsidRPr="00123003">
        <w:rPr>
          <w:b/>
          <w:sz w:val="24"/>
          <w:szCs w:val="24"/>
          <w:lang w:val="en-US"/>
        </w:rPr>
        <w:t>Design</w:t>
      </w:r>
      <w:r w:rsidR="00F26A0B" w:rsidRPr="00123003">
        <w:rPr>
          <w:b/>
          <w:sz w:val="24"/>
          <w:szCs w:val="24"/>
          <w:lang w:val="en-US"/>
        </w:rPr>
        <w:t xml:space="preserve">: </w:t>
      </w:r>
      <w:r w:rsidR="0053441E" w:rsidRPr="00123003">
        <w:rPr>
          <w:sz w:val="24"/>
          <w:szCs w:val="24"/>
          <w:lang w:val="en-US"/>
        </w:rPr>
        <w:t>A cross-sectional</w:t>
      </w:r>
      <w:r w:rsidR="00DE487A" w:rsidRPr="00123003">
        <w:rPr>
          <w:sz w:val="24"/>
          <w:szCs w:val="24"/>
          <w:lang w:val="en-US"/>
        </w:rPr>
        <w:t>,</w:t>
      </w:r>
      <w:r w:rsidR="0053441E" w:rsidRPr="00123003">
        <w:rPr>
          <w:sz w:val="24"/>
          <w:szCs w:val="24"/>
          <w:lang w:val="en-US"/>
        </w:rPr>
        <w:t xml:space="preserve"> observational study assessed d</w:t>
      </w:r>
      <w:r w:rsidR="00FD5B9D" w:rsidRPr="00123003">
        <w:rPr>
          <w:sz w:val="24"/>
          <w:szCs w:val="24"/>
          <w:lang w:val="en-US"/>
        </w:rPr>
        <w:t xml:space="preserve">ietary intake </w:t>
      </w:r>
      <w:r w:rsidR="00997C11" w:rsidRPr="00123003">
        <w:rPr>
          <w:sz w:val="24"/>
          <w:szCs w:val="24"/>
          <w:lang w:val="en-US"/>
        </w:rPr>
        <w:t xml:space="preserve">from 32 </w:t>
      </w:r>
      <w:proofErr w:type="gramStart"/>
      <w:r w:rsidR="00997C11" w:rsidRPr="00123003">
        <w:rPr>
          <w:sz w:val="24"/>
          <w:szCs w:val="24"/>
          <w:lang w:val="en-US"/>
        </w:rPr>
        <w:t>AN and</w:t>
      </w:r>
      <w:proofErr w:type="gramEnd"/>
      <w:r w:rsidR="00997C11" w:rsidRPr="00123003">
        <w:rPr>
          <w:sz w:val="24"/>
          <w:szCs w:val="24"/>
          <w:lang w:val="en-US"/>
        </w:rPr>
        <w:t xml:space="preserve"> 21 RA </w:t>
      </w:r>
      <w:r w:rsidR="0053441E" w:rsidRPr="00123003">
        <w:rPr>
          <w:sz w:val="24"/>
          <w:szCs w:val="24"/>
          <w:lang w:val="en-US"/>
        </w:rPr>
        <w:t xml:space="preserve">healthy </w:t>
      </w:r>
      <w:r w:rsidR="0071062D" w:rsidRPr="00123003">
        <w:rPr>
          <w:sz w:val="24"/>
          <w:szCs w:val="24"/>
          <w:lang w:val="en-US"/>
        </w:rPr>
        <w:t xml:space="preserve">middle-aged </w:t>
      </w:r>
      <w:r w:rsidR="00997C11" w:rsidRPr="00123003">
        <w:rPr>
          <w:sz w:val="24"/>
          <w:szCs w:val="24"/>
          <w:lang w:val="en-US"/>
        </w:rPr>
        <w:t>volunteers</w:t>
      </w:r>
      <w:r w:rsidR="006A7E83" w:rsidRPr="00123003">
        <w:rPr>
          <w:sz w:val="24"/>
          <w:szCs w:val="24"/>
          <w:lang w:val="en-US"/>
        </w:rPr>
        <w:t xml:space="preserve"> prior to screening colonoscopy</w:t>
      </w:r>
      <w:r w:rsidR="00997C11" w:rsidRPr="00123003">
        <w:rPr>
          <w:sz w:val="24"/>
          <w:szCs w:val="24"/>
          <w:lang w:val="en-US"/>
        </w:rPr>
        <w:t xml:space="preserve">. </w:t>
      </w:r>
      <w:r w:rsidR="009A3289" w:rsidRPr="00123003">
        <w:rPr>
          <w:sz w:val="24"/>
          <w:szCs w:val="24"/>
          <w:lang w:val="en-US"/>
        </w:rPr>
        <w:t>Analysis of f</w:t>
      </w:r>
      <w:r w:rsidR="00A11D40" w:rsidRPr="00123003">
        <w:rPr>
          <w:sz w:val="24"/>
          <w:szCs w:val="24"/>
          <w:lang w:val="en-US"/>
        </w:rPr>
        <w:t>ecal microbiota</w:t>
      </w:r>
      <w:r w:rsidR="00F57813" w:rsidRPr="00123003">
        <w:rPr>
          <w:sz w:val="24"/>
          <w:szCs w:val="24"/>
          <w:lang w:val="en-US"/>
        </w:rPr>
        <w:t xml:space="preserve"> </w:t>
      </w:r>
      <w:r w:rsidR="00A11D40" w:rsidRPr="00123003">
        <w:rPr>
          <w:sz w:val="24"/>
          <w:szCs w:val="24"/>
          <w:lang w:val="en-US"/>
        </w:rPr>
        <w:t>composition</w:t>
      </w:r>
      <w:r w:rsidR="0002785D" w:rsidRPr="00123003">
        <w:rPr>
          <w:sz w:val="24"/>
          <w:szCs w:val="24"/>
          <w:lang w:val="en-US"/>
        </w:rPr>
        <w:t xml:space="preserve"> by </w:t>
      </w:r>
      <w:r w:rsidR="00F57813" w:rsidRPr="00123003">
        <w:rPr>
          <w:sz w:val="24"/>
          <w:szCs w:val="24"/>
          <w:lang w:val="en-US"/>
        </w:rPr>
        <w:t xml:space="preserve">16S </w:t>
      </w:r>
      <w:proofErr w:type="spellStart"/>
      <w:r w:rsidR="00F57813" w:rsidRPr="00123003">
        <w:rPr>
          <w:sz w:val="24"/>
          <w:szCs w:val="24"/>
          <w:lang w:val="en-US"/>
        </w:rPr>
        <w:t>rRNA</w:t>
      </w:r>
      <w:proofErr w:type="spellEnd"/>
      <w:r w:rsidR="00F57813" w:rsidRPr="00123003">
        <w:rPr>
          <w:sz w:val="24"/>
          <w:szCs w:val="24"/>
          <w:lang w:val="en-US"/>
        </w:rPr>
        <w:t xml:space="preserve"> gene sequencing</w:t>
      </w:r>
      <w:r w:rsidR="009A3289" w:rsidRPr="00123003">
        <w:rPr>
          <w:sz w:val="24"/>
          <w:szCs w:val="24"/>
          <w:lang w:val="en-US"/>
        </w:rPr>
        <w:t xml:space="preserve"> and</w:t>
      </w:r>
      <w:r w:rsidR="00F57813" w:rsidRPr="00123003">
        <w:rPr>
          <w:sz w:val="24"/>
          <w:szCs w:val="24"/>
          <w:lang w:val="en-US"/>
        </w:rPr>
        <w:t xml:space="preserve"> </w:t>
      </w:r>
      <w:r w:rsidR="009A3289" w:rsidRPr="00123003">
        <w:rPr>
          <w:sz w:val="24"/>
          <w:szCs w:val="24"/>
          <w:lang w:val="en-US"/>
        </w:rPr>
        <w:t>f</w:t>
      </w:r>
      <w:r w:rsidR="00FB0741" w:rsidRPr="00123003">
        <w:rPr>
          <w:sz w:val="24"/>
          <w:szCs w:val="24"/>
          <w:lang w:val="en-US"/>
        </w:rPr>
        <w:t xml:space="preserve">ecal/urinary </w:t>
      </w:r>
      <w:r w:rsidR="00A11D40" w:rsidRPr="00123003">
        <w:rPr>
          <w:sz w:val="24"/>
          <w:szCs w:val="24"/>
          <w:lang w:val="en-US"/>
        </w:rPr>
        <w:t xml:space="preserve">metabolites </w:t>
      </w:r>
      <w:r w:rsidR="009A3289" w:rsidRPr="00123003">
        <w:rPr>
          <w:sz w:val="24"/>
          <w:szCs w:val="24"/>
          <w:lang w:val="en-US"/>
        </w:rPr>
        <w:t>by</w:t>
      </w:r>
      <w:r w:rsidR="0002785D" w:rsidRPr="00123003">
        <w:rPr>
          <w:sz w:val="24"/>
          <w:szCs w:val="24"/>
          <w:lang w:val="en-US"/>
        </w:rPr>
        <w:t xml:space="preserve"> </w:t>
      </w:r>
      <w:r w:rsidR="00FD5B9D" w:rsidRPr="00123003">
        <w:rPr>
          <w:sz w:val="24"/>
          <w:szCs w:val="24"/>
          <w:vertAlign w:val="superscript"/>
          <w:lang w:val="en-US"/>
        </w:rPr>
        <w:t>1</w:t>
      </w:r>
      <w:r w:rsidR="0067648B" w:rsidRPr="00123003">
        <w:rPr>
          <w:sz w:val="24"/>
          <w:szCs w:val="24"/>
          <w:lang w:val="en-US"/>
        </w:rPr>
        <w:t>H-</w:t>
      </w:r>
      <w:r w:rsidR="00FD5B9D" w:rsidRPr="00123003">
        <w:rPr>
          <w:sz w:val="24"/>
          <w:szCs w:val="24"/>
          <w:lang w:val="en-US"/>
        </w:rPr>
        <w:t>NMR</w:t>
      </w:r>
      <w:r w:rsidR="0002785D" w:rsidRPr="00123003">
        <w:rPr>
          <w:sz w:val="24"/>
          <w:szCs w:val="24"/>
          <w:lang w:val="en-US"/>
        </w:rPr>
        <w:t xml:space="preserve"> spectroscopy</w:t>
      </w:r>
      <w:r w:rsidR="00A11D40" w:rsidRPr="00123003">
        <w:rPr>
          <w:sz w:val="24"/>
          <w:szCs w:val="24"/>
          <w:lang w:val="en-US"/>
        </w:rPr>
        <w:t xml:space="preserve"> was complemented with targeted </w:t>
      </w:r>
      <w:r w:rsidR="0002785D" w:rsidRPr="00123003">
        <w:rPr>
          <w:sz w:val="24"/>
          <w:szCs w:val="24"/>
          <w:lang w:val="en-US"/>
        </w:rPr>
        <w:t>quantification</w:t>
      </w:r>
      <w:r w:rsidR="00A11D40" w:rsidRPr="00123003">
        <w:rPr>
          <w:sz w:val="24"/>
          <w:szCs w:val="24"/>
          <w:lang w:val="en-US"/>
        </w:rPr>
        <w:t xml:space="preserve"> </w:t>
      </w:r>
      <w:r w:rsidR="0002785D" w:rsidRPr="00123003">
        <w:rPr>
          <w:sz w:val="24"/>
          <w:szCs w:val="24"/>
          <w:lang w:val="en-US"/>
        </w:rPr>
        <w:t>o</w:t>
      </w:r>
      <w:r w:rsidR="00B95917" w:rsidRPr="00123003">
        <w:rPr>
          <w:sz w:val="24"/>
          <w:szCs w:val="24"/>
          <w:lang w:val="en-US"/>
        </w:rPr>
        <w:t xml:space="preserve">f </w:t>
      </w:r>
      <w:r w:rsidR="00F72C23" w:rsidRPr="00123003">
        <w:rPr>
          <w:sz w:val="24"/>
          <w:szCs w:val="24"/>
          <w:lang w:val="en-US"/>
        </w:rPr>
        <w:t xml:space="preserve">fecal </w:t>
      </w:r>
      <w:r w:rsidR="00B95917" w:rsidRPr="00123003">
        <w:rPr>
          <w:sz w:val="24"/>
          <w:szCs w:val="24"/>
          <w:lang w:val="en-US"/>
        </w:rPr>
        <w:t>short-chain fatty acids</w:t>
      </w:r>
      <w:r w:rsidR="00CD2B56" w:rsidRPr="00123003">
        <w:rPr>
          <w:sz w:val="24"/>
          <w:szCs w:val="24"/>
          <w:lang w:val="en-US"/>
        </w:rPr>
        <w:t xml:space="preserve">, </w:t>
      </w:r>
      <w:r w:rsidR="0002785D" w:rsidRPr="00123003">
        <w:rPr>
          <w:sz w:val="24"/>
          <w:szCs w:val="24"/>
          <w:lang w:val="en-US"/>
        </w:rPr>
        <w:t>bile acids</w:t>
      </w:r>
      <w:r w:rsidR="006D1B03" w:rsidRPr="00123003">
        <w:rPr>
          <w:sz w:val="24"/>
          <w:szCs w:val="24"/>
          <w:lang w:val="en-US"/>
        </w:rPr>
        <w:t xml:space="preserve"> and </w:t>
      </w:r>
      <w:r w:rsidR="001740C3" w:rsidRPr="00123003">
        <w:rPr>
          <w:sz w:val="24"/>
          <w:szCs w:val="24"/>
          <w:lang w:val="en-US"/>
        </w:rPr>
        <w:t>functional microbial genes</w:t>
      </w:r>
      <w:r w:rsidR="00DC25D9" w:rsidRPr="00123003">
        <w:rPr>
          <w:sz w:val="24"/>
          <w:szCs w:val="24"/>
          <w:lang w:val="en-US"/>
        </w:rPr>
        <w:t>.</w:t>
      </w:r>
    </w:p>
    <w:p w:rsidR="003761D8" w:rsidRPr="00123003" w:rsidRDefault="003E2C9A" w:rsidP="00123003">
      <w:pPr>
        <w:pStyle w:val="KeinLeerraum"/>
        <w:spacing w:line="480" w:lineRule="auto"/>
        <w:jc w:val="both"/>
        <w:rPr>
          <w:sz w:val="24"/>
          <w:szCs w:val="24"/>
          <w:lang w:val="en-US"/>
        </w:rPr>
      </w:pPr>
      <w:r w:rsidRPr="00123003">
        <w:rPr>
          <w:b/>
          <w:sz w:val="24"/>
          <w:szCs w:val="24"/>
          <w:lang w:val="en-US"/>
        </w:rPr>
        <w:t>Results</w:t>
      </w:r>
      <w:r w:rsidR="00F26A0B" w:rsidRPr="00123003">
        <w:rPr>
          <w:sz w:val="24"/>
          <w:szCs w:val="24"/>
          <w:lang w:val="en-US"/>
        </w:rPr>
        <w:t xml:space="preserve">: </w:t>
      </w:r>
      <w:r w:rsidR="006A7E83" w:rsidRPr="00123003">
        <w:rPr>
          <w:sz w:val="24"/>
          <w:szCs w:val="24"/>
          <w:lang w:val="en-US"/>
        </w:rPr>
        <w:t>Adenomatous polyps were detected in 16 of 32 AN, but not found in RA participants.</w:t>
      </w:r>
      <w:r w:rsidR="00F345E8" w:rsidRPr="00123003">
        <w:rPr>
          <w:sz w:val="24"/>
          <w:szCs w:val="24"/>
          <w:lang w:val="en-US"/>
        </w:rPr>
        <w:t xml:space="preserve"> </w:t>
      </w:r>
      <w:r w:rsidR="006A7E83" w:rsidRPr="00123003">
        <w:rPr>
          <w:sz w:val="24"/>
          <w:szCs w:val="24"/>
          <w:lang w:val="en-US"/>
        </w:rPr>
        <w:t xml:space="preserve">The </w:t>
      </w:r>
      <w:proofErr w:type="gramStart"/>
      <w:r w:rsidR="006A7E83" w:rsidRPr="00123003">
        <w:rPr>
          <w:sz w:val="24"/>
          <w:szCs w:val="24"/>
          <w:lang w:val="en-US"/>
        </w:rPr>
        <w:t>AN</w:t>
      </w:r>
      <w:proofErr w:type="gramEnd"/>
      <w:r w:rsidR="004153C8" w:rsidRPr="00123003">
        <w:rPr>
          <w:sz w:val="24"/>
          <w:szCs w:val="24"/>
          <w:lang w:val="en-US"/>
        </w:rPr>
        <w:t xml:space="preserve"> diet </w:t>
      </w:r>
      <w:r w:rsidR="0071062D" w:rsidRPr="00123003">
        <w:rPr>
          <w:sz w:val="24"/>
          <w:szCs w:val="24"/>
          <w:lang w:val="en-US"/>
        </w:rPr>
        <w:t>contained higher proportions of</w:t>
      </w:r>
      <w:r w:rsidR="00503244" w:rsidRPr="00123003">
        <w:rPr>
          <w:sz w:val="24"/>
          <w:szCs w:val="24"/>
          <w:lang w:val="en-US"/>
        </w:rPr>
        <w:t xml:space="preserve"> </w:t>
      </w:r>
      <w:r w:rsidR="00B95917" w:rsidRPr="00123003">
        <w:rPr>
          <w:sz w:val="24"/>
          <w:szCs w:val="24"/>
          <w:lang w:val="en-US"/>
        </w:rPr>
        <w:t xml:space="preserve">fat and </w:t>
      </w:r>
      <w:r w:rsidR="0071062D" w:rsidRPr="00123003">
        <w:rPr>
          <w:sz w:val="24"/>
          <w:szCs w:val="24"/>
          <w:lang w:val="en-US"/>
        </w:rPr>
        <w:t>animal protein and less</w:t>
      </w:r>
      <w:r w:rsidR="00503244" w:rsidRPr="00123003">
        <w:rPr>
          <w:sz w:val="24"/>
          <w:szCs w:val="24"/>
          <w:lang w:val="en-US"/>
        </w:rPr>
        <w:t xml:space="preserve"> fiber.</w:t>
      </w:r>
      <w:r w:rsidR="00F57813" w:rsidRPr="00123003">
        <w:rPr>
          <w:sz w:val="24"/>
          <w:szCs w:val="24"/>
          <w:lang w:val="en-US"/>
        </w:rPr>
        <w:t xml:space="preserve"> </w:t>
      </w:r>
      <w:r w:rsidR="00445269" w:rsidRPr="00123003">
        <w:rPr>
          <w:sz w:val="24"/>
          <w:szCs w:val="24"/>
          <w:lang w:val="en-US"/>
        </w:rPr>
        <w:t>AN fecal</w:t>
      </w:r>
      <w:r w:rsidR="0053441E" w:rsidRPr="00123003">
        <w:rPr>
          <w:sz w:val="24"/>
          <w:szCs w:val="24"/>
          <w:lang w:val="en-US"/>
        </w:rPr>
        <w:t xml:space="preserve"> m</w:t>
      </w:r>
      <w:r w:rsidR="00445269" w:rsidRPr="00123003">
        <w:rPr>
          <w:sz w:val="24"/>
          <w:szCs w:val="24"/>
          <w:lang w:val="en-US"/>
        </w:rPr>
        <w:t>icrobiota</w:t>
      </w:r>
      <w:r w:rsidR="00503244" w:rsidRPr="00123003">
        <w:rPr>
          <w:sz w:val="24"/>
          <w:szCs w:val="24"/>
          <w:lang w:val="en-US"/>
        </w:rPr>
        <w:t xml:space="preserve"> </w:t>
      </w:r>
      <w:r w:rsidR="00445269" w:rsidRPr="00123003">
        <w:rPr>
          <w:sz w:val="24"/>
          <w:szCs w:val="24"/>
          <w:lang w:val="en-US"/>
        </w:rPr>
        <w:t>showed a</w:t>
      </w:r>
      <w:r w:rsidR="00503244" w:rsidRPr="00123003">
        <w:rPr>
          <w:sz w:val="24"/>
          <w:szCs w:val="24"/>
          <w:lang w:val="en-US"/>
        </w:rPr>
        <w:t xml:space="preserve"> </w:t>
      </w:r>
      <w:r w:rsidR="006A7E83" w:rsidRPr="00123003">
        <w:rPr>
          <w:sz w:val="24"/>
          <w:szCs w:val="24"/>
          <w:lang w:val="en-US"/>
        </w:rPr>
        <w:t xml:space="preserve">compositional predominance </w:t>
      </w:r>
      <w:r w:rsidR="0053441E" w:rsidRPr="00123003">
        <w:rPr>
          <w:sz w:val="24"/>
          <w:szCs w:val="24"/>
          <w:lang w:val="en-US"/>
        </w:rPr>
        <w:t>of</w:t>
      </w:r>
      <w:r w:rsidR="00503244" w:rsidRPr="00123003">
        <w:rPr>
          <w:sz w:val="24"/>
          <w:szCs w:val="24"/>
          <w:lang w:val="en-US"/>
        </w:rPr>
        <w:t xml:space="preserve"> </w:t>
      </w:r>
      <w:proofErr w:type="spellStart"/>
      <w:r w:rsidR="00F57813" w:rsidRPr="00123003">
        <w:rPr>
          <w:i/>
          <w:sz w:val="24"/>
          <w:szCs w:val="24"/>
          <w:lang w:val="en-US"/>
        </w:rPr>
        <w:t>Blautia</w:t>
      </w:r>
      <w:proofErr w:type="spellEnd"/>
      <w:r w:rsidR="003D5069" w:rsidRPr="00123003">
        <w:rPr>
          <w:sz w:val="24"/>
          <w:szCs w:val="24"/>
          <w:lang w:val="en-US"/>
        </w:rPr>
        <w:t xml:space="preserve"> </w:t>
      </w:r>
      <w:r w:rsidR="009A631D" w:rsidRPr="00123003">
        <w:rPr>
          <w:sz w:val="24"/>
          <w:szCs w:val="24"/>
          <w:lang w:val="en-US"/>
        </w:rPr>
        <w:t xml:space="preserve">and </w:t>
      </w:r>
      <w:proofErr w:type="spellStart"/>
      <w:r w:rsidR="006E5B13" w:rsidRPr="00123003">
        <w:rPr>
          <w:i/>
          <w:sz w:val="24"/>
          <w:szCs w:val="24"/>
          <w:lang w:val="en-US"/>
        </w:rPr>
        <w:t>Lachnoclostridium</w:t>
      </w:r>
      <w:proofErr w:type="spellEnd"/>
      <w:r w:rsidR="000C0BD3" w:rsidRPr="00123003">
        <w:rPr>
          <w:sz w:val="24"/>
          <w:szCs w:val="24"/>
          <w:lang w:val="en-US"/>
        </w:rPr>
        <w:t xml:space="preserve"> and</w:t>
      </w:r>
      <w:r w:rsidR="006E5B13" w:rsidRPr="00123003">
        <w:rPr>
          <w:sz w:val="24"/>
          <w:szCs w:val="24"/>
          <w:lang w:val="en-US"/>
        </w:rPr>
        <w:t xml:space="preserve"> </w:t>
      </w:r>
      <w:r w:rsidR="00377047">
        <w:rPr>
          <w:sz w:val="24"/>
          <w:szCs w:val="24"/>
          <w:lang w:val="en-US"/>
        </w:rPr>
        <w:t>higher</w:t>
      </w:r>
      <w:r w:rsidR="00377047" w:rsidRPr="00123003">
        <w:rPr>
          <w:sz w:val="24"/>
          <w:szCs w:val="24"/>
          <w:lang w:val="en-US"/>
        </w:rPr>
        <w:t xml:space="preserve"> </w:t>
      </w:r>
      <w:r w:rsidR="006A7E83" w:rsidRPr="00123003">
        <w:rPr>
          <w:sz w:val="24"/>
          <w:szCs w:val="24"/>
          <w:lang w:val="en-US"/>
        </w:rPr>
        <w:t>microbial</w:t>
      </w:r>
      <w:r w:rsidR="006A7E83" w:rsidRPr="00123003">
        <w:rPr>
          <w:rFonts w:eastAsia="Times New Roman" w:cs="Times New Roman"/>
          <w:sz w:val="24"/>
          <w:szCs w:val="24"/>
          <w:lang w:val="en-US" w:eastAsia="de-DE"/>
        </w:rPr>
        <w:t xml:space="preserve"> </w:t>
      </w:r>
      <w:r w:rsidR="006A7E83" w:rsidRPr="00123003">
        <w:rPr>
          <w:sz w:val="24"/>
          <w:szCs w:val="24"/>
          <w:lang w:val="en-US"/>
        </w:rPr>
        <w:t>capacity for bile acid conversion</w:t>
      </w:r>
      <w:r w:rsidR="000C0BD3" w:rsidRPr="00123003">
        <w:rPr>
          <w:sz w:val="24"/>
          <w:szCs w:val="24"/>
          <w:lang w:val="en-US"/>
        </w:rPr>
        <w:t xml:space="preserve">, </w:t>
      </w:r>
      <w:r w:rsidR="006E5B13" w:rsidRPr="00123003">
        <w:rPr>
          <w:sz w:val="24"/>
          <w:szCs w:val="24"/>
          <w:lang w:val="en-US"/>
        </w:rPr>
        <w:t xml:space="preserve">low </w:t>
      </w:r>
      <w:r w:rsidR="006A7E83" w:rsidRPr="00123003">
        <w:rPr>
          <w:sz w:val="24"/>
          <w:szCs w:val="24"/>
          <w:lang w:val="en-US"/>
        </w:rPr>
        <w:t>abundance</w:t>
      </w:r>
      <w:r w:rsidR="009A631D" w:rsidRPr="00123003">
        <w:rPr>
          <w:sz w:val="24"/>
          <w:szCs w:val="24"/>
          <w:lang w:val="en-US"/>
        </w:rPr>
        <w:t xml:space="preserve"> </w:t>
      </w:r>
      <w:r w:rsidR="00503244" w:rsidRPr="00123003">
        <w:rPr>
          <w:sz w:val="24"/>
          <w:szCs w:val="24"/>
          <w:lang w:val="en-US"/>
        </w:rPr>
        <w:t xml:space="preserve">of </w:t>
      </w:r>
      <w:r w:rsidR="00D82325" w:rsidRPr="00123003">
        <w:rPr>
          <w:sz w:val="24"/>
          <w:szCs w:val="24"/>
          <w:lang w:val="en-US"/>
        </w:rPr>
        <w:t xml:space="preserve">some </w:t>
      </w:r>
      <w:r w:rsidR="006E5B13" w:rsidRPr="00123003">
        <w:rPr>
          <w:sz w:val="24"/>
          <w:szCs w:val="24"/>
          <w:lang w:val="en-US"/>
        </w:rPr>
        <w:t>species involved in saccharolytic fermentation (e.g.,</w:t>
      </w:r>
      <w:r w:rsidR="006E5B13" w:rsidRPr="00123003">
        <w:rPr>
          <w:i/>
          <w:sz w:val="24"/>
          <w:szCs w:val="24"/>
          <w:lang w:val="en-US"/>
        </w:rPr>
        <w:t xml:space="preserve"> </w:t>
      </w:r>
      <w:proofErr w:type="spellStart"/>
      <w:r w:rsidR="00A12A20" w:rsidRPr="00123003">
        <w:rPr>
          <w:i/>
          <w:sz w:val="24"/>
          <w:szCs w:val="24"/>
          <w:lang w:val="en-US"/>
        </w:rPr>
        <w:t>Prevotella</w:t>
      </w:r>
      <w:r w:rsidR="00F2168A" w:rsidRPr="00123003">
        <w:rPr>
          <w:i/>
          <w:sz w:val="24"/>
          <w:szCs w:val="24"/>
          <w:lang w:val="en-US"/>
        </w:rPr>
        <w:t>ceae</w:t>
      </w:r>
      <w:proofErr w:type="spellEnd"/>
      <w:r w:rsidR="006E5B13" w:rsidRPr="00123003">
        <w:rPr>
          <w:sz w:val="24"/>
          <w:szCs w:val="24"/>
          <w:lang w:val="en-US"/>
        </w:rPr>
        <w:t xml:space="preserve">, </w:t>
      </w:r>
      <w:proofErr w:type="spellStart"/>
      <w:r w:rsidR="00A12A20" w:rsidRPr="00123003">
        <w:rPr>
          <w:i/>
          <w:sz w:val="24"/>
          <w:szCs w:val="24"/>
          <w:lang w:val="en-US"/>
        </w:rPr>
        <w:t>Ruminococcaceae</w:t>
      </w:r>
      <w:proofErr w:type="spellEnd"/>
      <w:r w:rsidR="006E5B13" w:rsidRPr="00123003">
        <w:rPr>
          <w:sz w:val="24"/>
          <w:szCs w:val="24"/>
          <w:lang w:val="en-US"/>
        </w:rPr>
        <w:t>)</w:t>
      </w:r>
      <w:r w:rsidR="006A7E83" w:rsidRPr="00123003">
        <w:rPr>
          <w:sz w:val="24"/>
          <w:szCs w:val="24"/>
          <w:lang w:val="en-US"/>
        </w:rPr>
        <w:t xml:space="preserve">, but </w:t>
      </w:r>
      <w:r w:rsidR="000C0BD3" w:rsidRPr="00123003">
        <w:rPr>
          <w:sz w:val="24"/>
          <w:szCs w:val="24"/>
          <w:lang w:val="en-US"/>
        </w:rPr>
        <w:t xml:space="preserve">no significant </w:t>
      </w:r>
      <w:r w:rsidR="00211EDD">
        <w:rPr>
          <w:sz w:val="24"/>
          <w:szCs w:val="24"/>
          <w:lang w:val="en-US"/>
        </w:rPr>
        <w:t>lack of</w:t>
      </w:r>
      <w:r w:rsidR="000C0BD3" w:rsidRPr="00123003">
        <w:rPr>
          <w:sz w:val="24"/>
          <w:szCs w:val="24"/>
          <w:lang w:val="en-US"/>
        </w:rPr>
        <w:t xml:space="preserve"> butyrogenic bacteria</w:t>
      </w:r>
      <w:r w:rsidR="00A12A20" w:rsidRPr="00123003">
        <w:rPr>
          <w:sz w:val="24"/>
          <w:szCs w:val="24"/>
          <w:lang w:val="en-US"/>
        </w:rPr>
        <w:t>.</w:t>
      </w:r>
      <w:r w:rsidR="003761D8" w:rsidRPr="00123003">
        <w:rPr>
          <w:sz w:val="24"/>
          <w:szCs w:val="24"/>
          <w:lang w:val="en-US"/>
        </w:rPr>
        <w:t xml:space="preserve"> </w:t>
      </w:r>
      <w:r w:rsidR="00361C11" w:rsidRPr="00123003">
        <w:rPr>
          <w:sz w:val="24"/>
          <w:szCs w:val="24"/>
          <w:lang w:val="en-US"/>
        </w:rPr>
        <w:t>Significantly l</w:t>
      </w:r>
      <w:r w:rsidR="00BE40E9" w:rsidRPr="00123003">
        <w:rPr>
          <w:sz w:val="24"/>
          <w:szCs w:val="24"/>
          <w:lang w:val="en-US"/>
        </w:rPr>
        <w:t>ower</w:t>
      </w:r>
      <w:r w:rsidR="00177682" w:rsidRPr="00123003">
        <w:rPr>
          <w:sz w:val="24"/>
          <w:szCs w:val="24"/>
          <w:lang w:val="en-US"/>
        </w:rPr>
        <w:t xml:space="preserve"> levels of tumorsuppressive butyrate</w:t>
      </w:r>
      <w:r w:rsidR="00361C11" w:rsidRPr="00123003">
        <w:rPr>
          <w:sz w:val="24"/>
          <w:szCs w:val="24"/>
          <w:lang w:val="en-US"/>
        </w:rPr>
        <w:t xml:space="preserve"> </w:t>
      </w:r>
      <w:r w:rsidR="008E0C2B">
        <w:rPr>
          <w:sz w:val="24"/>
          <w:szCs w:val="24"/>
          <w:lang w:val="en-US"/>
        </w:rPr>
        <w:t>(22.5</w:t>
      </w:r>
      <w:r w:rsidR="002C2ACB">
        <w:rPr>
          <w:sz w:val="24"/>
          <w:szCs w:val="24"/>
          <w:lang w:val="en-US"/>
        </w:rPr>
        <w:t xml:space="preserve"> </w:t>
      </w:r>
      <w:r w:rsidR="00804E7B">
        <w:rPr>
          <w:sz w:val="24"/>
          <w:szCs w:val="24"/>
          <w:lang w:val="en-US"/>
        </w:rPr>
        <w:t>±</w:t>
      </w:r>
      <w:r w:rsidR="002C2ACB">
        <w:rPr>
          <w:sz w:val="24"/>
          <w:szCs w:val="24"/>
          <w:lang w:val="en-US"/>
        </w:rPr>
        <w:t xml:space="preserve"> </w:t>
      </w:r>
      <w:r w:rsidR="00804E7B">
        <w:rPr>
          <w:sz w:val="24"/>
          <w:szCs w:val="24"/>
          <w:lang w:val="en-US"/>
        </w:rPr>
        <w:t>3.1 vs. 47.2</w:t>
      </w:r>
      <w:r w:rsidR="002C2ACB">
        <w:rPr>
          <w:sz w:val="24"/>
          <w:szCs w:val="24"/>
          <w:lang w:val="en-US"/>
        </w:rPr>
        <w:t xml:space="preserve"> </w:t>
      </w:r>
      <w:r w:rsidR="00804E7B">
        <w:rPr>
          <w:sz w:val="24"/>
          <w:szCs w:val="24"/>
          <w:lang w:val="en-US"/>
        </w:rPr>
        <w:t>±</w:t>
      </w:r>
      <w:r w:rsidR="002C2ACB">
        <w:rPr>
          <w:sz w:val="24"/>
          <w:szCs w:val="24"/>
          <w:lang w:val="en-US"/>
        </w:rPr>
        <w:t xml:space="preserve"> </w:t>
      </w:r>
      <w:r w:rsidR="00804E7B">
        <w:rPr>
          <w:sz w:val="24"/>
          <w:szCs w:val="24"/>
          <w:lang w:val="en-US"/>
        </w:rPr>
        <w:t>7.3 µ</w:t>
      </w:r>
      <w:proofErr w:type="spellStart"/>
      <w:r w:rsidR="00804E7B">
        <w:rPr>
          <w:sz w:val="24"/>
          <w:szCs w:val="24"/>
          <w:lang w:val="en-US"/>
        </w:rPr>
        <w:t>mol</w:t>
      </w:r>
      <w:proofErr w:type="spellEnd"/>
      <w:r w:rsidR="00804E7B">
        <w:rPr>
          <w:sz w:val="24"/>
          <w:szCs w:val="24"/>
          <w:lang w:val="en-US"/>
        </w:rPr>
        <w:t xml:space="preserve">/g) </w:t>
      </w:r>
      <w:r w:rsidR="00361C11" w:rsidRPr="00123003">
        <w:rPr>
          <w:sz w:val="24"/>
          <w:szCs w:val="24"/>
          <w:lang w:val="en-US"/>
        </w:rPr>
        <w:t>coincided with</w:t>
      </w:r>
      <w:r w:rsidR="00BE40E9" w:rsidRPr="00123003">
        <w:rPr>
          <w:sz w:val="24"/>
          <w:szCs w:val="24"/>
          <w:lang w:val="en-US"/>
        </w:rPr>
        <w:t xml:space="preserve"> </w:t>
      </w:r>
      <w:r w:rsidR="00EC1508" w:rsidRPr="00123003">
        <w:rPr>
          <w:sz w:val="24"/>
          <w:szCs w:val="24"/>
          <w:lang w:val="en-US"/>
        </w:rPr>
        <w:t xml:space="preserve">significantly </w:t>
      </w:r>
      <w:r w:rsidR="00BE40E9" w:rsidRPr="00123003">
        <w:rPr>
          <w:sz w:val="24"/>
          <w:szCs w:val="24"/>
          <w:lang w:val="en-US"/>
        </w:rPr>
        <w:t xml:space="preserve">higher </w:t>
      </w:r>
      <w:r w:rsidR="00EC1508" w:rsidRPr="00123003">
        <w:rPr>
          <w:sz w:val="24"/>
          <w:szCs w:val="24"/>
          <w:lang w:val="en-US"/>
        </w:rPr>
        <w:t>concentrations</w:t>
      </w:r>
      <w:r w:rsidR="00BE40E9" w:rsidRPr="00123003">
        <w:rPr>
          <w:sz w:val="24"/>
          <w:szCs w:val="24"/>
          <w:lang w:val="en-US"/>
        </w:rPr>
        <w:t xml:space="preserve"> of tumor-promoting deoxycholic acid</w:t>
      </w:r>
      <w:r w:rsidR="00361C11" w:rsidRPr="00123003">
        <w:rPr>
          <w:sz w:val="24"/>
          <w:szCs w:val="24"/>
          <w:lang w:val="en-US"/>
        </w:rPr>
        <w:t xml:space="preserve"> </w:t>
      </w:r>
      <w:r w:rsidR="008E0C2B">
        <w:rPr>
          <w:sz w:val="24"/>
          <w:szCs w:val="24"/>
          <w:lang w:val="en-US"/>
        </w:rPr>
        <w:t>(26.7</w:t>
      </w:r>
      <w:r w:rsidR="002C2ACB">
        <w:rPr>
          <w:sz w:val="24"/>
          <w:szCs w:val="24"/>
          <w:lang w:val="en-US"/>
        </w:rPr>
        <w:t xml:space="preserve"> </w:t>
      </w:r>
      <w:r w:rsidR="008E0C2B">
        <w:rPr>
          <w:sz w:val="24"/>
          <w:szCs w:val="24"/>
          <w:lang w:val="en-US"/>
        </w:rPr>
        <w:t>±</w:t>
      </w:r>
      <w:r w:rsidR="002C2ACB">
        <w:rPr>
          <w:sz w:val="24"/>
          <w:szCs w:val="24"/>
          <w:lang w:val="en-US"/>
        </w:rPr>
        <w:t xml:space="preserve"> </w:t>
      </w:r>
      <w:r w:rsidR="008E0C2B">
        <w:rPr>
          <w:sz w:val="24"/>
          <w:szCs w:val="24"/>
          <w:lang w:val="en-US"/>
        </w:rPr>
        <w:t>4.2 vs 11</w:t>
      </w:r>
      <w:r w:rsidR="002C2ACB">
        <w:rPr>
          <w:sz w:val="24"/>
          <w:szCs w:val="24"/>
          <w:lang w:val="en-US"/>
        </w:rPr>
        <w:t xml:space="preserve"> </w:t>
      </w:r>
      <w:r w:rsidR="008E0C2B">
        <w:rPr>
          <w:sz w:val="24"/>
          <w:szCs w:val="24"/>
          <w:lang w:val="en-US"/>
        </w:rPr>
        <w:t>±</w:t>
      </w:r>
      <w:r w:rsidR="002C2ACB">
        <w:rPr>
          <w:sz w:val="24"/>
          <w:szCs w:val="24"/>
          <w:lang w:val="en-US"/>
        </w:rPr>
        <w:t xml:space="preserve"> </w:t>
      </w:r>
      <w:r w:rsidR="008E0C2B">
        <w:rPr>
          <w:sz w:val="24"/>
          <w:szCs w:val="24"/>
          <w:lang w:val="en-US"/>
        </w:rPr>
        <w:t>1.9 µ</w:t>
      </w:r>
      <w:proofErr w:type="spellStart"/>
      <w:r w:rsidR="008E0C2B">
        <w:rPr>
          <w:sz w:val="24"/>
          <w:szCs w:val="24"/>
          <w:lang w:val="en-US"/>
        </w:rPr>
        <w:t>mol</w:t>
      </w:r>
      <w:proofErr w:type="spellEnd"/>
      <w:r w:rsidR="008E0C2B">
        <w:rPr>
          <w:sz w:val="24"/>
          <w:szCs w:val="24"/>
          <w:lang w:val="en-US"/>
        </w:rPr>
        <w:t xml:space="preserve">/g) </w:t>
      </w:r>
      <w:r w:rsidR="00361C11" w:rsidRPr="00123003">
        <w:rPr>
          <w:sz w:val="24"/>
          <w:szCs w:val="24"/>
          <w:lang w:val="en-US"/>
        </w:rPr>
        <w:t xml:space="preserve">in </w:t>
      </w:r>
      <w:proofErr w:type="gramStart"/>
      <w:r w:rsidR="00361C11" w:rsidRPr="00123003">
        <w:rPr>
          <w:sz w:val="24"/>
          <w:szCs w:val="24"/>
          <w:lang w:val="en-US"/>
        </w:rPr>
        <w:t>AN</w:t>
      </w:r>
      <w:proofErr w:type="gramEnd"/>
      <w:r w:rsidR="00361C11" w:rsidRPr="00123003">
        <w:rPr>
          <w:sz w:val="24"/>
          <w:szCs w:val="24"/>
          <w:lang w:val="en-US"/>
        </w:rPr>
        <w:t xml:space="preserve"> fecal samples.</w:t>
      </w:r>
      <w:r w:rsidR="003761D8" w:rsidRPr="00123003">
        <w:rPr>
          <w:sz w:val="24"/>
          <w:szCs w:val="24"/>
          <w:lang w:val="en-US"/>
        </w:rPr>
        <w:t xml:space="preserve"> </w:t>
      </w:r>
      <w:proofErr w:type="gramStart"/>
      <w:r w:rsidR="000C0BD3" w:rsidRPr="00123003">
        <w:rPr>
          <w:sz w:val="24"/>
          <w:szCs w:val="24"/>
          <w:lang w:val="en-US"/>
        </w:rPr>
        <w:t>AN</w:t>
      </w:r>
      <w:proofErr w:type="gramEnd"/>
      <w:r w:rsidR="000C0BD3" w:rsidRPr="00123003">
        <w:rPr>
          <w:sz w:val="24"/>
          <w:szCs w:val="24"/>
          <w:lang w:val="en-US"/>
        </w:rPr>
        <w:t xml:space="preserve"> participants had l</w:t>
      </w:r>
      <w:r w:rsidR="00361C11" w:rsidRPr="00123003">
        <w:rPr>
          <w:sz w:val="24"/>
          <w:szCs w:val="24"/>
          <w:lang w:val="en-US"/>
        </w:rPr>
        <w:t xml:space="preserve">ower </w:t>
      </w:r>
      <w:r w:rsidR="00974319" w:rsidRPr="00123003">
        <w:rPr>
          <w:sz w:val="24"/>
          <w:szCs w:val="24"/>
          <w:lang w:val="en-US"/>
        </w:rPr>
        <w:t>quantities</w:t>
      </w:r>
      <w:r w:rsidR="00361C11" w:rsidRPr="00123003">
        <w:rPr>
          <w:sz w:val="24"/>
          <w:szCs w:val="24"/>
          <w:lang w:val="en-US"/>
        </w:rPr>
        <w:t xml:space="preserve"> of</w:t>
      </w:r>
      <w:r w:rsidR="000C0BD3" w:rsidRPr="00123003">
        <w:rPr>
          <w:sz w:val="24"/>
          <w:szCs w:val="24"/>
          <w:lang w:val="en-US"/>
        </w:rPr>
        <w:t xml:space="preserve"> </w:t>
      </w:r>
      <w:r w:rsidR="008663AC" w:rsidRPr="00123003">
        <w:rPr>
          <w:sz w:val="24"/>
          <w:szCs w:val="24"/>
          <w:lang w:val="en-US"/>
        </w:rPr>
        <w:t>fecal</w:t>
      </w:r>
      <w:r w:rsidR="009A688A" w:rsidRPr="00123003">
        <w:rPr>
          <w:sz w:val="24"/>
          <w:szCs w:val="24"/>
          <w:lang w:val="en-US"/>
        </w:rPr>
        <w:t>/</w:t>
      </w:r>
      <w:r w:rsidR="00361C11" w:rsidRPr="00123003">
        <w:rPr>
          <w:sz w:val="24"/>
          <w:szCs w:val="24"/>
          <w:lang w:val="en-US"/>
        </w:rPr>
        <w:t xml:space="preserve">urinary metabolites </w:t>
      </w:r>
      <w:r w:rsidR="00974319" w:rsidRPr="00123003">
        <w:rPr>
          <w:sz w:val="24"/>
          <w:szCs w:val="24"/>
          <w:lang w:val="en-US"/>
        </w:rPr>
        <w:t xml:space="preserve">relative to RA and metabolite profiles </w:t>
      </w:r>
      <w:r w:rsidR="00EC1508" w:rsidRPr="00123003">
        <w:rPr>
          <w:sz w:val="24"/>
          <w:szCs w:val="24"/>
          <w:lang w:val="en-US"/>
        </w:rPr>
        <w:t xml:space="preserve">correlated with </w:t>
      </w:r>
      <w:r w:rsidR="00257327" w:rsidRPr="00123003">
        <w:rPr>
          <w:sz w:val="24"/>
          <w:szCs w:val="24"/>
          <w:lang w:val="en-US"/>
        </w:rPr>
        <w:t xml:space="preserve">abundance of </w:t>
      </w:r>
      <w:r w:rsidR="00EC1508" w:rsidRPr="00123003">
        <w:rPr>
          <w:sz w:val="24"/>
          <w:szCs w:val="24"/>
          <w:lang w:val="en-US"/>
        </w:rPr>
        <w:t xml:space="preserve">distinct </w:t>
      </w:r>
      <w:r w:rsidR="00361C11" w:rsidRPr="00123003">
        <w:rPr>
          <w:sz w:val="24"/>
          <w:szCs w:val="24"/>
          <w:lang w:val="en-US"/>
        </w:rPr>
        <w:t xml:space="preserve">microbial genera in </w:t>
      </w:r>
      <w:r w:rsidR="00361C11" w:rsidRPr="00123003">
        <w:rPr>
          <w:sz w:val="24"/>
          <w:szCs w:val="24"/>
          <w:lang w:val="en-US"/>
        </w:rPr>
        <w:lastRenderedPageBreak/>
        <w:t xml:space="preserve">feces. </w:t>
      </w:r>
      <w:r w:rsidR="00377047">
        <w:rPr>
          <w:sz w:val="24"/>
          <w:szCs w:val="24"/>
          <w:lang w:val="en-US"/>
        </w:rPr>
        <w:t>The main m</w:t>
      </w:r>
      <w:r w:rsidR="00BA55EF" w:rsidRPr="00123003">
        <w:rPr>
          <w:sz w:val="24"/>
          <w:szCs w:val="24"/>
          <w:lang w:val="en-US"/>
        </w:rPr>
        <w:t>icrobial</w:t>
      </w:r>
      <w:r w:rsidR="00AA21F5" w:rsidRPr="00123003">
        <w:rPr>
          <w:sz w:val="24"/>
          <w:szCs w:val="24"/>
          <w:lang w:val="en-US"/>
        </w:rPr>
        <w:t xml:space="preserve"> and metabolic</w:t>
      </w:r>
      <w:r w:rsidR="00BA55EF" w:rsidRPr="00123003">
        <w:rPr>
          <w:sz w:val="24"/>
          <w:szCs w:val="24"/>
          <w:lang w:val="en-US"/>
        </w:rPr>
        <w:t xml:space="preserve"> CRC-associated markers</w:t>
      </w:r>
      <w:r w:rsidR="00AA21F5" w:rsidRPr="00123003">
        <w:rPr>
          <w:sz w:val="24"/>
          <w:szCs w:val="24"/>
          <w:lang w:val="en-US"/>
        </w:rPr>
        <w:t xml:space="preserve"> were not significantly altered</w:t>
      </w:r>
      <w:r w:rsidR="004D556A" w:rsidRPr="00123003">
        <w:rPr>
          <w:sz w:val="24"/>
          <w:szCs w:val="24"/>
          <w:lang w:val="en-US"/>
        </w:rPr>
        <w:t xml:space="preserve"> in </w:t>
      </w:r>
      <w:proofErr w:type="gramStart"/>
      <w:r w:rsidR="004D556A" w:rsidRPr="00123003">
        <w:rPr>
          <w:sz w:val="24"/>
          <w:szCs w:val="24"/>
          <w:lang w:val="en-US"/>
        </w:rPr>
        <w:t>AN</w:t>
      </w:r>
      <w:proofErr w:type="gramEnd"/>
      <w:r w:rsidR="004D556A" w:rsidRPr="00123003">
        <w:rPr>
          <w:sz w:val="24"/>
          <w:szCs w:val="24"/>
          <w:lang w:val="en-US"/>
        </w:rPr>
        <w:t xml:space="preserve"> participants</w:t>
      </w:r>
      <w:r w:rsidR="00AA21F5" w:rsidRPr="00123003">
        <w:rPr>
          <w:sz w:val="24"/>
          <w:szCs w:val="24"/>
          <w:lang w:val="en-US"/>
        </w:rPr>
        <w:t xml:space="preserve"> with adenomatous polyps</w:t>
      </w:r>
      <w:r w:rsidR="00974319" w:rsidRPr="00123003">
        <w:rPr>
          <w:sz w:val="24"/>
          <w:szCs w:val="24"/>
          <w:lang w:val="en-US"/>
        </w:rPr>
        <w:t>.</w:t>
      </w:r>
    </w:p>
    <w:p w:rsidR="00B1075D" w:rsidRPr="00123003" w:rsidRDefault="003E2C9A" w:rsidP="00123003">
      <w:pPr>
        <w:spacing w:line="480" w:lineRule="auto"/>
        <w:jc w:val="both"/>
        <w:rPr>
          <w:sz w:val="24"/>
          <w:szCs w:val="24"/>
          <w:lang w:val="en-US"/>
        </w:rPr>
      </w:pPr>
      <w:r w:rsidRPr="00123003">
        <w:rPr>
          <w:b/>
          <w:sz w:val="24"/>
          <w:szCs w:val="24"/>
          <w:lang w:val="en-US"/>
        </w:rPr>
        <w:t>Conclusion</w:t>
      </w:r>
      <w:r w:rsidR="00F26A0B" w:rsidRPr="00123003">
        <w:rPr>
          <w:b/>
          <w:sz w:val="24"/>
          <w:szCs w:val="24"/>
          <w:lang w:val="en-US"/>
        </w:rPr>
        <w:t>s:</w:t>
      </w:r>
      <w:r w:rsidR="00F26A0B" w:rsidRPr="00123003">
        <w:rPr>
          <w:sz w:val="24"/>
          <w:szCs w:val="24"/>
          <w:lang w:val="en-US"/>
        </w:rPr>
        <w:t xml:space="preserve"> </w:t>
      </w:r>
      <w:r w:rsidR="00AA21F5" w:rsidRPr="00123003">
        <w:rPr>
          <w:sz w:val="24"/>
          <w:szCs w:val="24"/>
          <w:lang w:val="en-US"/>
        </w:rPr>
        <w:t xml:space="preserve"> </w:t>
      </w:r>
      <w:r w:rsidR="008A45B3">
        <w:rPr>
          <w:sz w:val="24"/>
          <w:szCs w:val="24"/>
          <w:lang w:val="en-US"/>
        </w:rPr>
        <w:t xml:space="preserve">The </w:t>
      </w:r>
      <w:r w:rsidR="00285CF4" w:rsidRPr="00123003">
        <w:rPr>
          <w:sz w:val="24"/>
          <w:szCs w:val="24"/>
          <w:lang w:val="en-US"/>
        </w:rPr>
        <w:t>low-fiber, high-fat</w:t>
      </w:r>
      <w:r w:rsidR="0099073B" w:rsidRPr="00123003">
        <w:rPr>
          <w:sz w:val="24"/>
          <w:szCs w:val="24"/>
          <w:lang w:val="en-US"/>
        </w:rPr>
        <w:t xml:space="preserve"> diet</w:t>
      </w:r>
      <w:r w:rsidR="00AA21F5" w:rsidRPr="00123003">
        <w:rPr>
          <w:sz w:val="24"/>
          <w:szCs w:val="24"/>
          <w:lang w:val="en-US"/>
        </w:rPr>
        <w:t xml:space="preserve"> </w:t>
      </w:r>
      <w:r w:rsidR="008A45B3">
        <w:rPr>
          <w:sz w:val="24"/>
          <w:szCs w:val="24"/>
          <w:lang w:val="en-US"/>
        </w:rPr>
        <w:t xml:space="preserve">of </w:t>
      </w:r>
      <w:proofErr w:type="gramStart"/>
      <w:r w:rsidR="008A45B3">
        <w:rPr>
          <w:sz w:val="24"/>
          <w:szCs w:val="24"/>
          <w:lang w:val="en-US"/>
        </w:rPr>
        <w:t>AN</w:t>
      </w:r>
      <w:proofErr w:type="gramEnd"/>
      <w:r w:rsidR="008A45B3">
        <w:rPr>
          <w:sz w:val="24"/>
          <w:szCs w:val="24"/>
          <w:lang w:val="en-US"/>
        </w:rPr>
        <w:t xml:space="preserve"> people </w:t>
      </w:r>
      <w:r w:rsidR="00AA21F5" w:rsidRPr="00123003">
        <w:rPr>
          <w:sz w:val="24"/>
          <w:szCs w:val="24"/>
          <w:lang w:val="en-US"/>
        </w:rPr>
        <w:t>and exposure</w:t>
      </w:r>
      <w:r w:rsidR="00AF7EEB" w:rsidRPr="00123003">
        <w:rPr>
          <w:sz w:val="24"/>
          <w:szCs w:val="24"/>
          <w:lang w:val="en-US"/>
        </w:rPr>
        <w:t xml:space="preserve"> to car</w:t>
      </w:r>
      <w:r w:rsidR="00BA55EF" w:rsidRPr="00123003">
        <w:rPr>
          <w:sz w:val="24"/>
          <w:szCs w:val="24"/>
          <w:lang w:val="en-US"/>
        </w:rPr>
        <w:t>cinogens</w:t>
      </w:r>
      <w:r w:rsidR="009A688A" w:rsidRPr="00123003">
        <w:rPr>
          <w:sz w:val="24"/>
          <w:szCs w:val="24"/>
          <w:lang w:val="en-US"/>
        </w:rPr>
        <w:t xml:space="preserve"> derived from diet</w:t>
      </w:r>
      <w:r w:rsidR="00A46CD0" w:rsidRPr="00123003">
        <w:rPr>
          <w:sz w:val="24"/>
          <w:szCs w:val="24"/>
          <w:lang w:val="en-US"/>
        </w:rPr>
        <w:t xml:space="preserve"> or environment</w:t>
      </w:r>
      <w:r w:rsidR="00974319" w:rsidRPr="00123003">
        <w:rPr>
          <w:sz w:val="24"/>
          <w:szCs w:val="24"/>
          <w:lang w:val="en-US"/>
        </w:rPr>
        <w:t xml:space="preserve"> </w:t>
      </w:r>
      <w:r w:rsidR="009321E1">
        <w:rPr>
          <w:sz w:val="24"/>
          <w:szCs w:val="24"/>
          <w:lang w:val="en-US"/>
        </w:rPr>
        <w:t>are</w:t>
      </w:r>
      <w:bookmarkStart w:id="0" w:name="_GoBack"/>
      <w:bookmarkEnd w:id="0"/>
      <w:r w:rsidR="0021231C">
        <w:rPr>
          <w:sz w:val="24"/>
          <w:szCs w:val="24"/>
          <w:lang w:val="en-US"/>
        </w:rPr>
        <w:t xml:space="preserve"> associated with</w:t>
      </w:r>
      <w:r w:rsidR="00974319" w:rsidRPr="00123003">
        <w:rPr>
          <w:sz w:val="24"/>
          <w:szCs w:val="24"/>
          <w:lang w:val="en-US"/>
        </w:rPr>
        <w:t xml:space="preserve"> a tumor-promoting colonic milieu</w:t>
      </w:r>
      <w:r w:rsidR="00B64E65" w:rsidRPr="00123003">
        <w:rPr>
          <w:sz w:val="24"/>
          <w:szCs w:val="24"/>
          <w:lang w:val="en-US"/>
        </w:rPr>
        <w:t xml:space="preserve"> as </w:t>
      </w:r>
      <w:r w:rsidR="001E2AC5" w:rsidRPr="00123003">
        <w:rPr>
          <w:sz w:val="24"/>
          <w:szCs w:val="24"/>
          <w:lang w:val="en-US"/>
        </w:rPr>
        <w:t xml:space="preserve">reflected by the </w:t>
      </w:r>
      <w:r w:rsidR="008A45B3">
        <w:rPr>
          <w:sz w:val="24"/>
          <w:szCs w:val="24"/>
          <w:lang w:val="en-US"/>
        </w:rPr>
        <w:t>high rates</w:t>
      </w:r>
      <w:r w:rsidR="008A45B3" w:rsidRPr="00123003">
        <w:rPr>
          <w:sz w:val="24"/>
          <w:szCs w:val="24"/>
          <w:lang w:val="en-US"/>
        </w:rPr>
        <w:t xml:space="preserve"> </w:t>
      </w:r>
      <w:r w:rsidR="001E2AC5" w:rsidRPr="00123003">
        <w:rPr>
          <w:sz w:val="24"/>
          <w:szCs w:val="24"/>
          <w:lang w:val="en-US"/>
        </w:rPr>
        <w:t>of</w:t>
      </w:r>
      <w:r w:rsidR="00BA55EF" w:rsidRPr="00123003">
        <w:rPr>
          <w:sz w:val="24"/>
          <w:szCs w:val="24"/>
          <w:lang w:val="en-US"/>
        </w:rPr>
        <w:t xml:space="preserve"> adenomatous polyps</w:t>
      </w:r>
      <w:r w:rsidR="001E2AC5" w:rsidRPr="00123003">
        <w:rPr>
          <w:sz w:val="24"/>
          <w:szCs w:val="24"/>
          <w:lang w:val="en-US"/>
        </w:rPr>
        <w:t xml:space="preserve"> in AN participants.</w:t>
      </w:r>
    </w:p>
    <w:p w:rsidR="00981A97" w:rsidRPr="00123003" w:rsidRDefault="00981A97" w:rsidP="00123003">
      <w:pPr>
        <w:pStyle w:val="KeinLeerraum"/>
        <w:spacing w:line="480" w:lineRule="auto"/>
        <w:jc w:val="both"/>
        <w:rPr>
          <w:b/>
          <w:sz w:val="24"/>
          <w:szCs w:val="24"/>
          <w:lang w:val="en-US" w:eastAsia="de-DE"/>
        </w:rPr>
      </w:pPr>
      <w:r w:rsidRPr="00123003">
        <w:rPr>
          <w:b/>
          <w:sz w:val="24"/>
          <w:szCs w:val="24"/>
          <w:lang w:val="en-US" w:eastAsia="de-DE"/>
        </w:rPr>
        <w:t>KEYWORDS</w:t>
      </w:r>
    </w:p>
    <w:p w:rsidR="00981A97" w:rsidRPr="00123003" w:rsidRDefault="00D73DD2" w:rsidP="00123003">
      <w:pPr>
        <w:spacing w:line="480" w:lineRule="auto"/>
        <w:jc w:val="both"/>
        <w:rPr>
          <w:sz w:val="24"/>
          <w:szCs w:val="24"/>
          <w:lang w:val="en-US" w:eastAsia="de-DE"/>
        </w:rPr>
      </w:pPr>
      <w:r>
        <w:rPr>
          <w:sz w:val="24"/>
          <w:szCs w:val="24"/>
          <w:lang w:val="en-US" w:eastAsia="de-DE"/>
        </w:rPr>
        <w:t>Colorectal cancer;</w:t>
      </w:r>
      <w:r w:rsidR="00981A97" w:rsidRPr="00123003">
        <w:rPr>
          <w:sz w:val="24"/>
          <w:szCs w:val="24"/>
          <w:lang w:val="en-US" w:eastAsia="de-DE"/>
        </w:rPr>
        <w:t xml:space="preserve"> </w:t>
      </w:r>
      <w:r w:rsidR="00105953" w:rsidRPr="00123003">
        <w:rPr>
          <w:sz w:val="24"/>
          <w:szCs w:val="24"/>
          <w:lang w:val="en-US" w:eastAsia="de-DE"/>
        </w:rPr>
        <w:t>gut microbiota</w:t>
      </w:r>
      <w:r>
        <w:rPr>
          <w:sz w:val="24"/>
          <w:szCs w:val="24"/>
          <w:lang w:val="en-US" w:eastAsia="de-DE"/>
        </w:rPr>
        <w:t>;</w:t>
      </w:r>
      <w:r w:rsidR="00981A97" w:rsidRPr="00123003">
        <w:rPr>
          <w:sz w:val="24"/>
          <w:szCs w:val="24"/>
          <w:lang w:val="en-US" w:eastAsia="de-DE"/>
        </w:rPr>
        <w:t xml:space="preserve"> </w:t>
      </w:r>
      <w:r w:rsidR="00DC4ED2" w:rsidRPr="00123003">
        <w:rPr>
          <w:sz w:val="24"/>
          <w:szCs w:val="24"/>
          <w:lang w:val="en-US" w:eastAsia="de-DE"/>
        </w:rPr>
        <w:t xml:space="preserve">dietary </w:t>
      </w:r>
      <w:r>
        <w:rPr>
          <w:sz w:val="24"/>
          <w:szCs w:val="24"/>
          <w:lang w:val="en-US" w:eastAsia="de-DE"/>
        </w:rPr>
        <w:t>fiber;</w:t>
      </w:r>
      <w:r w:rsidR="00981A97" w:rsidRPr="00123003">
        <w:rPr>
          <w:sz w:val="24"/>
          <w:szCs w:val="24"/>
          <w:lang w:val="en-US" w:eastAsia="de-DE"/>
        </w:rPr>
        <w:t xml:space="preserve"> short-chain fatty acids</w:t>
      </w:r>
      <w:r>
        <w:rPr>
          <w:sz w:val="24"/>
          <w:szCs w:val="24"/>
          <w:lang w:val="en-US" w:eastAsia="de-DE"/>
        </w:rPr>
        <w:t>;</w:t>
      </w:r>
      <w:r w:rsidR="00937FA5" w:rsidRPr="00123003">
        <w:rPr>
          <w:sz w:val="24"/>
          <w:szCs w:val="24"/>
          <w:lang w:val="en-US" w:eastAsia="de-DE"/>
        </w:rPr>
        <w:t xml:space="preserve"> butyrate</w:t>
      </w:r>
      <w:r>
        <w:rPr>
          <w:sz w:val="24"/>
          <w:szCs w:val="24"/>
          <w:lang w:val="en-US" w:eastAsia="de-DE"/>
        </w:rPr>
        <w:t>; bile acid</w:t>
      </w:r>
      <w:r w:rsidR="0038301C">
        <w:rPr>
          <w:sz w:val="24"/>
          <w:szCs w:val="24"/>
          <w:lang w:val="en-US" w:eastAsia="de-DE"/>
        </w:rPr>
        <w:t>s</w:t>
      </w:r>
      <w:r>
        <w:rPr>
          <w:sz w:val="24"/>
          <w:szCs w:val="24"/>
          <w:lang w:val="en-US" w:eastAsia="de-DE"/>
        </w:rPr>
        <w:t>;</w:t>
      </w:r>
      <w:r w:rsidR="00937FA5" w:rsidRPr="00123003">
        <w:rPr>
          <w:sz w:val="24"/>
          <w:szCs w:val="24"/>
          <w:lang w:val="en-US" w:eastAsia="de-DE"/>
        </w:rPr>
        <w:t xml:space="preserve"> deoxycholic acid</w:t>
      </w:r>
      <w:r>
        <w:rPr>
          <w:sz w:val="24"/>
          <w:szCs w:val="24"/>
          <w:lang w:val="en-US" w:eastAsia="de-DE"/>
        </w:rPr>
        <w:t>;</w:t>
      </w:r>
      <w:r w:rsidR="00937FA5" w:rsidRPr="00123003">
        <w:rPr>
          <w:sz w:val="24"/>
          <w:szCs w:val="24"/>
          <w:lang w:val="en-US" w:eastAsia="de-DE"/>
        </w:rPr>
        <w:t xml:space="preserve"> Alaska Native people</w:t>
      </w:r>
      <w:r>
        <w:rPr>
          <w:sz w:val="24"/>
          <w:szCs w:val="24"/>
          <w:lang w:val="en-US" w:eastAsia="de-DE"/>
        </w:rPr>
        <w:t>;</w:t>
      </w:r>
      <w:r w:rsidR="00937FA5" w:rsidRPr="00123003">
        <w:rPr>
          <w:sz w:val="24"/>
          <w:szCs w:val="24"/>
          <w:lang w:val="en-US" w:eastAsia="de-DE"/>
        </w:rPr>
        <w:t xml:space="preserve"> rural African people</w:t>
      </w:r>
    </w:p>
    <w:p w:rsidR="005748B6" w:rsidRPr="00123003" w:rsidRDefault="00DA3D4B" w:rsidP="00123003">
      <w:pPr>
        <w:pStyle w:val="KeinLeerraum"/>
        <w:spacing w:line="480" w:lineRule="auto"/>
        <w:jc w:val="both"/>
        <w:rPr>
          <w:b/>
          <w:sz w:val="24"/>
          <w:szCs w:val="24"/>
          <w:lang w:val="en-US"/>
        </w:rPr>
      </w:pPr>
      <w:r w:rsidRPr="00123003">
        <w:rPr>
          <w:b/>
          <w:sz w:val="24"/>
          <w:szCs w:val="24"/>
          <w:lang w:val="en-US"/>
        </w:rPr>
        <w:t>INTRODUCTION</w:t>
      </w:r>
    </w:p>
    <w:p w:rsidR="004D39DD" w:rsidRPr="00123003" w:rsidRDefault="002D5F95" w:rsidP="00123003">
      <w:pPr>
        <w:pStyle w:val="KeinLeerraum"/>
        <w:spacing w:line="480" w:lineRule="auto"/>
        <w:jc w:val="both"/>
        <w:rPr>
          <w:sz w:val="24"/>
          <w:szCs w:val="24"/>
          <w:lang w:val="en-US"/>
        </w:rPr>
      </w:pPr>
      <w:r w:rsidRPr="00123003">
        <w:rPr>
          <w:sz w:val="24"/>
          <w:szCs w:val="24"/>
          <w:lang w:val="en-US"/>
        </w:rPr>
        <w:t xml:space="preserve">Colorectal cancer (CRC) </w:t>
      </w:r>
      <w:r w:rsidR="001E313B" w:rsidRPr="00123003">
        <w:rPr>
          <w:sz w:val="24"/>
          <w:szCs w:val="24"/>
          <w:lang w:val="en-US"/>
        </w:rPr>
        <w:t>is</w:t>
      </w:r>
      <w:r w:rsidRPr="00123003">
        <w:rPr>
          <w:sz w:val="24"/>
          <w:szCs w:val="24"/>
          <w:lang w:val="en-US"/>
        </w:rPr>
        <w:t xml:space="preserve"> the </w:t>
      </w:r>
      <w:r w:rsidR="000A4268">
        <w:rPr>
          <w:sz w:val="24"/>
          <w:szCs w:val="24"/>
          <w:lang w:val="en-US"/>
        </w:rPr>
        <w:t>fourth</w:t>
      </w:r>
      <w:r w:rsidR="000A4268" w:rsidRPr="00123003">
        <w:rPr>
          <w:sz w:val="24"/>
          <w:szCs w:val="24"/>
          <w:lang w:val="en-US"/>
        </w:rPr>
        <w:t xml:space="preserve"> </w:t>
      </w:r>
      <w:r w:rsidR="00B021C7" w:rsidRPr="00123003">
        <w:rPr>
          <w:sz w:val="24"/>
          <w:szCs w:val="24"/>
          <w:lang w:val="en-US"/>
        </w:rPr>
        <w:t xml:space="preserve">leading </w:t>
      </w:r>
      <w:r w:rsidR="001E313B" w:rsidRPr="00123003">
        <w:rPr>
          <w:sz w:val="24"/>
          <w:szCs w:val="24"/>
          <w:lang w:val="en-US"/>
        </w:rPr>
        <w:t xml:space="preserve">cause of cancer deaths worldwide </w:t>
      </w:r>
      <w:r w:rsidR="00956CBF" w:rsidRPr="00123003">
        <w:rPr>
          <w:sz w:val="24"/>
          <w:szCs w:val="24"/>
          <w:lang w:val="en-US"/>
        </w:rPr>
        <w:t xml:space="preserve">and shows rising </w:t>
      </w:r>
      <w:r w:rsidR="00163B44" w:rsidRPr="00123003">
        <w:rPr>
          <w:sz w:val="24"/>
          <w:szCs w:val="24"/>
          <w:lang w:val="en-US"/>
        </w:rPr>
        <w:t>incidence</w:t>
      </w:r>
      <w:r w:rsidR="00956CBF" w:rsidRPr="00123003">
        <w:rPr>
          <w:sz w:val="24"/>
          <w:szCs w:val="24"/>
          <w:lang w:val="en-US"/>
        </w:rPr>
        <w:t xml:space="preserve"> </w:t>
      </w:r>
      <w:r w:rsidR="00163B44" w:rsidRPr="00123003">
        <w:rPr>
          <w:sz w:val="24"/>
          <w:szCs w:val="24"/>
          <w:lang w:val="en-US"/>
        </w:rPr>
        <w:t xml:space="preserve">in most countries </w:t>
      </w:r>
      <w:r w:rsidR="00545FB5" w:rsidRPr="00123003">
        <w:rPr>
          <w:sz w:val="24"/>
          <w:szCs w:val="24"/>
          <w:lang w:val="en-US"/>
        </w:rPr>
        <w:fldChar w:fldCharType="begin"/>
      </w:r>
      <w:r w:rsidR="00F61B70">
        <w:rPr>
          <w:sz w:val="24"/>
          <w:szCs w:val="24"/>
          <w:lang w:val="en-US"/>
        </w:rPr>
        <w:instrText xml:space="preserve"> ADDIN ZOTERO_ITEM CSL_CITATION {"citationID":"4ta23Lna","properties":{"formattedCitation":"(1,2)","plainCitation":"(1,2)","noteIndex":0},"citationItems":[{"id":4432,"uris":["http://zotero.org/users/46719/items/F6XMNA8C"],"uri":["http://zotero.org/users/46719/items/F6XMNA8C"],"itemData":{"id":4432,"type":"article-journal","title":"Estimating the global cancer incidence and mortality in 2018: GLOBOCAN sources and methods","container-title":"International Journal of Cancer","page":"1941-1953","volume":"144","issue":"8","source":"PubMed","abstract":"Estimates of the worldwide incidence and mortality from 36 cancers and for all cancers combined for the year 2018 are now available in the GLOBOCAN 2018 database, compiled and disseminated by the International Agency for Research on Cancer (IARC). This paper reviews the sources and methods used in compiling the cancer statistics in 185 countries. The validity of the national estimates depends upon the representativeness of the source information, and to take into account possible sources of bias, uncertainty intervals are now provided for the estimated sex- and site-specific all-ages number of new cancer cases and cancer deaths. We briefly describe the key results globally and by world region. There were an estimated 18.1 million (95% UI: 17.5-18.7 million) new cases of cancer (17 million excluding non-melanoma skin cancer) and 9.6 million (95% UI: 9.3-9.8 million) deaths from cancer (9.5 million excluding non-melanoma skin cancer) worldwide in 2018.","DOI":"10.1002/ijc.31937","ISSN":"1097-0215","note":"PMID: 30350310","title-short":"Estimating the global cancer incidence and mortality in 2018","journalAbbreviation":"Int. J. Cancer","language":"eng","author":[{"family":"Ferlay","given":"J."},{"family":"Colombet","given":"M."},{"family":"Soerjomataram","given":"I."},{"family":"Mathers","given":"C."},{"family":"Parkin","given":"D. M."},{"family":"Piñeros","given":"M."},{"family":"Znaor","given":"A."},{"family":"Bray","given":"F."}],"issued":{"date-parts":[["2019",4,15]]}}},{"id":4127,"uris":["http://zotero.org/users/46719/items/I5L8L6MS"],"uri":["http://zotero.org/users/46719/items/I5L8L6MS"],"itemData":{"id":4127,"type":"article-journal","title":"Global patterns and trends in colorectal cancer incidence and mortality","container-title":"Gut","page":"683-691","volume":"66","issue":"4","source":"gut.bmj.com","abstract":"Objective The global burden of colorectal cancer (CRC) is expected to increase by 60% to more than 2.2 million new cases and 1.1 million deaths by 2030. In this study, we aim to describe the recent CRC incidence and mortality patterns and trends linking the findings to the prospects of reducing the burden through cancer prevention and care.\nDesign Estimates of sex-specific CRC incidence and mortality rates in 2012 were extracted from the GLOBOCAN database. Temporal patterns were assessed for 37 countries using data from Cancer Incidence in Five Continents (CI5) volumes I–X and the WHO mortality database. Trends were assessed via the annual percentage change using joinpoint regression and discussed in relation to human development levels.\nResults CRC incidence and mortality rates vary up to 10-fold worldwide, with distinct gradients across human development levels, pointing towards widening disparities and an increasing burden in countries in transition. Generally, CRC incidence and mortality rates are still rising rapidly in many low-income and middle-income countries; stabilising or decreasing trends tend to be seen in highly developed countries where rates remain among the highest in the world.\nConclusions Patterns and trends in CRC incidence and mortality correlate with present human development levels and their incremental changes might reflect the adoption of more western lifestyles. Targeted resource-dependent interventions, including primary prevention in low-income, supplemented with early detection in high-income settings, are needed to reduce the number of patients with CRC in future decades.","DOI":"10.1136/gutjnl-2015-310912","ISSN":"0017-5749, 1468-3288","note":"PMID: 26818619","language":"en","author":[{"family":"Arnold","given":"Melina"},{"family":"Sierra","given":"Mónica S."},{"family":"Laversanne","given":"Mathieu"},{"family":"Soerjomataram","given":"Isabelle"},{"family":"Jemal","given":"Ahmedin"},{"family":"Bray","given":"Freddie"}],"issued":{"date-parts":[["2017",4,1]]}}}],"schema":"https://github.com/citation-style-language/schema/raw/master/csl-citation.json"} </w:instrText>
      </w:r>
      <w:r w:rsidR="00545FB5" w:rsidRPr="00123003">
        <w:rPr>
          <w:sz w:val="24"/>
          <w:szCs w:val="24"/>
          <w:lang w:val="en-US"/>
        </w:rPr>
        <w:fldChar w:fldCharType="separate"/>
      </w:r>
      <w:r w:rsidR="00164E6C" w:rsidRPr="00123003">
        <w:rPr>
          <w:sz w:val="24"/>
          <w:szCs w:val="24"/>
          <w:lang w:val="en-US"/>
        </w:rPr>
        <w:t>(1,2)</w:t>
      </w:r>
      <w:r w:rsidR="00545FB5" w:rsidRPr="00123003">
        <w:rPr>
          <w:sz w:val="24"/>
          <w:szCs w:val="24"/>
          <w:lang w:val="en-US"/>
        </w:rPr>
        <w:fldChar w:fldCharType="end"/>
      </w:r>
      <w:r w:rsidRPr="00123003">
        <w:rPr>
          <w:sz w:val="24"/>
          <w:szCs w:val="24"/>
          <w:lang w:val="en-US"/>
        </w:rPr>
        <w:t>.</w:t>
      </w:r>
      <w:r w:rsidR="00A764AB" w:rsidRPr="00123003">
        <w:rPr>
          <w:sz w:val="24"/>
          <w:szCs w:val="24"/>
          <w:lang w:val="en-US"/>
        </w:rPr>
        <w:t xml:space="preserve"> </w:t>
      </w:r>
      <w:r w:rsidR="00E07571" w:rsidRPr="00123003">
        <w:rPr>
          <w:sz w:val="24"/>
          <w:szCs w:val="24"/>
          <w:lang w:val="en-US"/>
        </w:rPr>
        <w:t>T</w:t>
      </w:r>
      <w:r w:rsidR="00A764AB" w:rsidRPr="00123003">
        <w:rPr>
          <w:sz w:val="24"/>
          <w:szCs w:val="24"/>
          <w:lang w:val="en-US"/>
        </w:rPr>
        <w:t xml:space="preserve">he majority </w:t>
      </w:r>
      <w:r w:rsidR="004124A4" w:rsidRPr="00123003">
        <w:rPr>
          <w:sz w:val="24"/>
          <w:szCs w:val="24"/>
          <w:lang w:val="en-US"/>
        </w:rPr>
        <w:t>of</w:t>
      </w:r>
      <w:r w:rsidR="00A764AB" w:rsidRPr="00123003">
        <w:rPr>
          <w:sz w:val="24"/>
          <w:szCs w:val="24"/>
          <w:lang w:val="en-US"/>
        </w:rPr>
        <w:t xml:space="preserve"> </w:t>
      </w:r>
      <w:r w:rsidR="004124A4" w:rsidRPr="00123003">
        <w:rPr>
          <w:sz w:val="24"/>
          <w:szCs w:val="24"/>
          <w:lang w:val="en-US"/>
        </w:rPr>
        <w:t xml:space="preserve">sporadic </w:t>
      </w:r>
      <w:r w:rsidR="00A764AB" w:rsidRPr="00123003">
        <w:rPr>
          <w:sz w:val="24"/>
          <w:szCs w:val="24"/>
          <w:lang w:val="en-US"/>
        </w:rPr>
        <w:t xml:space="preserve">CRC </w:t>
      </w:r>
      <w:r w:rsidR="005A1703" w:rsidRPr="00123003">
        <w:rPr>
          <w:sz w:val="24"/>
          <w:szCs w:val="24"/>
          <w:lang w:val="en-US"/>
        </w:rPr>
        <w:t xml:space="preserve">cases </w:t>
      </w:r>
      <w:r w:rsidR="004124A4" w:rsidRPr="00123003">
        <w:rPr>
          <w:sz w:val="24"/>
          <w:szCs w:val="24"/>
          <w:lang w:val="en-US"/>
        </w:rPr>
        <w:t>result</w:t>
      </w:r>
      <w:r w:rsidR="003A495C" w:rsidRPr="00123003">
        <w:rPr>
          <w:sz w:val="24"/>
          <w:szCs w:val="24"/>
          <w:lang w:val="en-US"/>
        </w:rPr>
        <w:t>s</w:t>
      </w:r>
      <w:r w:rsidR="004124A4" w:rsidRPr="00123003">
        <w:rPr>
          <w:sz w:val="24"/>
          <w:szCs w:val="24"/>
          <w:lang w:val="en-US"/>
        </w:rPr>
        <w:t xml:space="preserve"> from accumulated genetic alterations</w:t>
      </w:r>
      <w:r w:rsidR="00A764AB" w:rsidRPr="00123003">
        <w:rPr>
          <w:sz w:val="24"/>
          <w:szCs w:val="24"/>
          <w:lang w:val="en-US"/>
        </w:rPr>
        <w:t xml:space="preserve"> </w:t>
      </w:r>
      <w:r w:rsidR="004124A4" w:rsidRPr="00123003">
        <w:rPr>
          <w:sz w:val="24"/>
          <w:szCs w:val="24"/>
          <w:lang w:val="en-US"/>
        </w:rPr>
        <w:t>in response to</w:t>
      </w:r>
      <w:r w:rsidR="00A764AB" w:rsidRPr="00123003">
        <w:rPr>
          <w:sz w:val="24"/>
          <w:szCs w:val="24"/>
          <w:lang w:val="en-US"/>
        </w:rPr>
        <w:t xml:space="preserve"> </w:t>
      </w:r>
      <w:r w:rsidR="006E36A8" w:rsidRPr="00123003">
        <w:rPr>
          <w:sz w:val="24"/>
          <w:szCs w:val="24"/>
          <w:lang w:val="en-US"/>
        </w:rPr>
        <w:t>detrimental</w:t>
      </w:r>
      <w:r w:rsidR="004124A4" w:rsidRPr="00123003">
        <w:rPr>
          <w:sz w:val="24"/>
          <w:szCs w:val="24"/>
          <w:lang w:val="en-US"/>
        </w:rPr>
        <w:t xml:space="preserve"> environmental factors</w:t>
      </w:r>
      <w:r w:rsidR="007D74F9" w:rsidRPr="00123003">
        <w:rPr>
          <w:sz w:val="24"/>
          <w:szCs w:val="24"/>
          <w:lang w:val="en-US"/>
        </w:rPr>
        <w:t>, in particular diet</w:t>
      </w:r>
      <w:r w:rsidR="004124A4" w:rsidRPr="00123003">
        <w:rPr>
          <w:sz w:val="24"/>
          <w:szCs w:val="24"/>
          <w:lang w:val="en-US"/>
        </w:rPr>
        <w:t xml:space="preserve"> </w:t>
      </w:r>
      <w:r w:rsidR="00545FB5" w:rsidRPr="00123003">
        <w:rPr>
          <w:sz w:val="24"/>
          <w:szCs w:val="24"/>
          <w:lang w:val="en-US"/>
        </w:rPr>
        <w:fldChar w:fldCharType="begin"/>
      </w:r>
      <w:r w:rsidR="00F61B70">
        <w:rPr>
          <w:sz w:val="24"/>
          <w:szCs w:val="24"/>
          <w:lang w:val="en-US"/>
        </w:rPr>
        <w:instrText xml:space="preserve"> ADDIN ZOTERO_ITEM CSL_CITATION {"citationID":"D4TsmYQl","properties":{"formattedCitation":"(3,4)","plainCitation":"(3,4)","noteIndex":0},"citationItems":[{"id":3467,"uris":["http://zotero.org/users/46719/items/A8NB9PZS"],"uri":["http://zotero.org/users/46719/items/A8NB9PZS"],"itemData":{"id":3467,"type":"article-journal","title":"Hereditary and familial colon cancer","container-title":"Gastroenterology","page":"2044-2058","volume":"138","issue":"6","source":"PubMed","abstract":"Between 2% to 5% of all colon cancers arise in the setting of well-defined inherited syndromes, including Lynch syndrome, familial adenomatous polyposis, MUTYH-associated polyposis, and certain hamartomatous polyposis conditions. Each is associated with a high risk of colon cancer. In addition to the syndromes, up to one-third of colon cancers exhibit increased familial risk, likely related to inheritance. A number of less penetrant, but possibly more frequent susceptibility genes have been identified for this level of inheritance. Clarification of predisposing genes allows for accurate risk assessment and more precise screening approaches. This review examines the colon cancer syndromes, their genetics and management, and also the common familial colon cancers with current genetic advances and screening guidelines.","DOI":"10.1053/j.gastro.2010.01.054","ISSN":"1528-0012","note":"PMID: 20420945\nPMCID: PMC3057468","journalAbbreviation":"Gastroenterology","language":"eng","author":[{"family":"Jasperson","given":"Kory W."},{"family":"Tuohy","given":"Thérèse M."},{"family":"Neklason","given":"Deborah W."},{"family":"Burt","given":"Randall W."}],"issued":{"date-parts":[["2010",6]]}}},{"id":3608,"uris":["http://zotero.org/users/46719/items/S9BND3MJ"],"uri":["http://zotero.org/users/46719/items/S9BND3MJ"],"itemData":{"id":3608,"type":"article-journal","title":"The causes of cancer: quantitative estimates of avoidable risks of cancer in the United States today","container-title":"Journal of the National Cancer Institute","page":"1191-1308","volume":"66","issue":"6","source":"PubMed","abstract":"Evidence that the various common types of cancer are largely avoidable diseases is reviewed. Life-style and other environmental factors are divided into a dozen categories, and for each category the evidence relating those particular factors to cancer onset rates is summarized. Where possible, an estimate is made of the percentage of current U.S. cancer mortality that might have been caused or avoided by that category of factors. These estimates are based chiefly on evidence from epidemiology, as the available evidence from animal and other laboratory studies cannot provide reliable human risk assessments. By far the largest reliably known percentage is the 30% of current U.S. cancer deaths that are due to tobacco, although it is possible that some nutritional factor(s) may eventually be found to be of comparable importance. The percentage of U.S. cancer deaths that are due to tobacco is still increasing, and must be expected to continue to increase for some years yet due to the delayed effects of the adoption of cigarettes in earlier decades. Trends in mortality and in onset rates for many separate types of cancer are studied in detail in appendixes to this paper. Biases in the available data on registration of new cases produce apparent trends in cancer incidence which are spurious. Biases also produce spurious trends in cancer incidence which are spurious. Biases also produce spurious trends in cancer death certification rates, especially among old people. In (and before) middle age, where the biases are smaller, there appear to be a few real increases and a few real decreases in mortality from some particular types of cancer, but there is no evidence of any generalized increase other than that due to tobacco. Moderate increases or decreases due to some new agent(s) or habit(s) might of course be overlooked in such large-scale analyses. But, such analyses do suggest that, apart from cancer of the respiratory tract, the types of cancer that are currently common are not peculiarly modern diseases and are likely to depend chiefly on some long-established factor(s). (A prospective study utilizing both questionnaires and stored blood and other biological materials might help elucidate these factors.) The proportion of current U.S. cancer deaths attributed to occupational factors is provisionally estimated as 4% (lung cancer being the major contributor to this). This is far smaller than has recently been suggested by various U.S. Government agencies. The matter could be resolved directly by a \"case-control\" study of lung cancer two or three times larger than the recently completed U.S. National Bladder Cancer Study but similar to it in methodology and unit costs; there are also other reasons for such a study. A fuller summary of conclusions and recommendations comprises the final section of this report.","ISSN":"0027-8874","note":"PMID: 7017215","title-short":"The causes of cancer","journalAbbreviation":"J. Natl. Cancer Inst.","language":"eng","author":[{"family":"Doll","given":"R."},{"family":"Peto","given":"R."}],"issued":{"date-parts":[["1981",6]]}}}],"schema":"https://github.com/citation-style-language/schema/raw/master/csl-citation.json"} </w:instrText>
      </w:r>
      <w:r w:rsidR="00545FB5" w:rsidRPr="00123003">
        <w:rPr>
          <w:sz w:val="24"/>
          <w:szCs w:val="24"/>
          <w:lang w:val="en-US"/>
        </w:rPr>
        <w:fldChar w:fldCharType="separate"/>
      </w:r>
      <w:r w:rsidR="00164E6C" w:rsidRPr="00123003">
        <w:rPr>
          <w:sz w:val="24"/>
          <w:szCs w:val="24"/>
          <w:lang w:val="en-US"/>
        </w:rPr>
        <w:t>(3,4)</w:t>
      </w:r>
      <w:r w:rsidR="00545FB5" w:rsidRPr="00123003">
        <w:rPr>
          <w:sz w:val="24"/>
          <w:szCs w:val="24"/>
          <w:lang w:val="en-US"/>
        </w:rPr>
        <w:fldChar w:fldCharType="end"/>
      </w:r>
      <w:r w:rsidR="004124A4" w:rsidRPr="00123003">
        <w:rPr>
          <w:sz w:val="24"/>
          <w:szCs w:val="24"/>
          <w:lang w:val="en-US"/>
        </w:rPr>
        <w:t xml:space="preserve">. </w:t>
      </w:r>
      <w:r w:rsidR="00B15B8A" w:rsidRPr="00123003">
        <w:rPr>
          <w:sz w:val="24"/>
          <w:szCs w:val="24"/>
          <w:lang w:val="en-US"/>
        </w:rPr>
        <w:t>Recent meta-analyse</w:t>
      </w:r>
      <w:r w:rsidR="00B14B67" w:rsidRPr="00123003">
        <w:rPr>
          <w:sz w:val="24"/>
          <w:szCs w:val="24"/>
          <w:lang w:val="en-US"/>
        </w:rPr>
        <w:t xml:space="preserve">s </w:t>
      </w:r>
      <w:r w:rsidR="00A82B35" w:rsidRPr="00123003">
        <w:rPr>
          <w:sz w:val="24"/>
          <w:szCs w:val="24"/>
          <w:lang w:val="en-US"/>
        </w:rPr>
        <w:t>provide</w:t>
      </w:r>
      <w:r w:rsidR="00B14B67" w:rsidRPr="00123003">
        <w:rPr>
          <w:sz w:val="24"/>
          <w:szCs w:val="24"/>
          <w:lang w:val="en-US"/>
        </w:rPr>
        <w:t>d</w:t>
      </w:r>
      <w:r w:rsidR="00A82B35" w:rsidRPr="00123003">
        <w:rPr>
          <w:sz w:val="24"/>
          <w:szCs w:val="24"/>
          <w:lang w:val="en-US"/>
        </w:rPr>
        <w:t xml:space="preserve"> convincing evidence for red and processed meat </w:t>
      </w:r>
      <w:r w:rsidR="008D54A8" w:rsidRPr="00123003">
        <w:rPr>
          <w:sz w:val="24"/>
          <w:szCs w:val="24"/>
          <w:lang w:val="en-US"/>
        </w:rPr>
        <w:t xml:space="preserve">(involving high amounts of fat) </w:t>
      </w:r>
      <w:r w:rsidR="00A82B35" w:rsidRPr="00123003">
        <w:rPr>
          <w:sz w:val="24"/>
          <w:szCs w:val="24"/>
          <w:lang w:val="en-US"/>
        </w:rPr>
        <w:t>increasing and fiber reducing CRC risk</w:t>
      </w:r>
      <w:r w:rsidR="00F86BB5" w:rsidRPr="00123003">
        <w:rPr>
          <w:sz w:val="24"/>
          <w:szCs w:val="24"/>
          <w:lang w:val="en-US"/>
        </w:rPr>
        <w:t xml:space="preserve"> </w:t>
      </w:r>
      <w:r w:rsidR="00545FB5" w:rsidRPr="00123003">
        <w:rPr>
          <w:sz w:val="24"/>
          <w:szCs w:val="24"/>
          <w:lang w:val="en-US"/>
        </w:rPr>
        <w:fldChar w:fldCharType="begin"/>
      </w:r>
      <w:r w:rsidR="00F61B70">
        <w:rPr>
          <w:sz w:val="24"/>
          <w:szCs w:val="24"/>
          <w:lang w:val="en-US"/>
        </w:rPr>
        <w:instrText xml:space="preserve"> ADDIN ZOTERO_ITEM CSL_CITATION {"citationID":"gaIj2Fgr","properties":{"formattedCitation":"(5,6)","plainCitation":"(5,6)","noteIndex":0},"citationItems":[{"id":3720,"uris":["http://zotero.org/users/46719/items/CNIJACEB"],"uri":["http://zotero.org/users/46719/items/CNIJACEB"],"itemData":{"id":3720,"type":"article-journal","title":"Continuous Update Project Report. Food, Nutrition, Physical Activity, and the Prevention of Colorectal Cancer","source":"CrossRef","URL":"http://www.wcrf.org/sites/default/files/Colorectal-Cancer-2011-Report.pdf","language":"en","author":[{"family":"World Cancer Research Fund / American Institute for Cancer Research","given":""}],"issued":{"date-parts":[["2011"]]}}},{"id":4346,"uris":["http://zotero.org/users/46719/items/3ERURRW6"],"uri":["http://zotero.org/users/46719/items/3ERURRW6"],"itemData":{"id":4346,"type":"article-journal","title":"Carbohydrate quality and human health: a series of systematic reviews and meta-analyses","container-title":"The Lancet","volume":"0","issue":"0","source":"www.thelancet.com","abstract":"&lt;h2&gt;Summary&lt;/h2&gt;&lt;h3&gt;Background&lt;/h3&gt;&lt;p&gt;Previous systematic reviews and meta-analyses explaining the relationship between carbohydrate quality and health have usually examined a single marker and a limited number of clinical outcomes. We aimed to more precisely quantify the predictive potential of several markers, to determine which markers are most useful, and to establish an evidence base for quantitative recommendations for intakes of dietary fibre.&lt;/p&gt;&lt;h3&gt;Methods&lt;/h3&gt;&lt;p&gt;We did a series of systematic reviews and meta-analyses of prospective studies published from database inception to April 30, 2017, and randomised controlled trials published from database inception to Feb 28, 2018, which reported on indicators of carbohydrate quality and non-communicable disease incidence, mortality, and risk factors. Studies were identified by searches in PubMed, Ovid MEDLINE, Embase, and the Cochrane Central Register of Controlled Trials, and by hand searching of previous publications. We excluded prospective studies and trials reporting on participants with a chronic disease, and weight loss trials or trials involving supplements. Searches, data extraction, and bias assessment were duplicated independently. Robustness of pooled estimates from random-effects models was considered with sensitivity analyses, meta-regression, dose-response testing, and subgroup analyses. The GRADE approach was used to assess quality of evidence.&lt;/p&gt;&lt;h3&gt;Findings&lt;/h3&gt;&lt;p&gt;Just under 135 million person-years of data from 185 prospective studies and 58 clinical trials with 4635 adult participants were included in the analyses. Observational data suggest a 15–30% decrease in all-cause and cardiovascular related mortality, and incidence of coronary heart disease, stroke incidence and mortality, type 2 diabetes, and colorectal cancer when comparing the highest dietary fibre consumers with the lowest consumers Clinical trials show significantly lower bodyweight, systolic blood pressure, and total cholesterol when comparing higher with lower intakes of dietary fibre. Risk reduction associated with a range of critical outcomes was greatest when daily intake of dietary fibre was between 25 g and 29 g. Dose-response curves suggested that higher intakes of dietary fibre could confer even greater benefit to protect against cardiovascular diseases, type 2 diabetes, and colorectal and breast cancer. Similar findings for whole grain intake were observed. Smaller or no risk reductions were found with the observational data when comparing the effects of diets characterised by low rather than higher glycaemic index or load. The certainty of evidence for relationships between carbohydrate quality and critical outcomes was graded as moderate for dietary fibre, low to moderate for whole grains, and low to very low for dietary glycaemic index and glycaemic load. Data relating to other dietary exposures are scarce.&lt;/p&gt;&lt;h3&gt;Interpretation&lt;/h3&gt;&lt;p&gt;Findings from prospective studies and clinical trials associated with relatively high intakes of dietary fibre and whole grains were complementary, and striking dose-response evidence indicates that the relationships to several non-communicable diseases could be causal. Implementation of recommendations to increase dietary fibre intake and to replace refined grains with whole grains is expected to benefit human health. A major strength of the study was the ability to examine key indicators of carbohydrate quality in relation to a range of non-communicable disease outcomes from cohort studies and randomised trials in a single study. Our findings are limited to risk reduction in the population at large rather than those with chronic disease.&lt;/p&gt;&lt;h3&gt;Funding&lt;/h3&gt;&lt;p&gt;Health Research Council of New Zealand, WHO, Riddet Centre of Research Excellence, Healthier Lives National Science Challenge, University of Otago, and the Otago Southland Diabetes Research Trust.&lt;/p&gt;","URL":"https://www.thelancet.com/journals/lancet/article/PIIS0140-6736(18)31809-9/abstract","DOI":"10.1016/S0140-6736(18)31809-9","ISSN":"0140-6736, 1474-547X","note":"PMID: 30638909","title-short":"Carbohydrate quality and human health","journalAbbreviation":"The Lancet","language":"English","author":[{"family":"Reynolds","given":"Andrew"},{"family":"Mann","given":"Jim"},{"family":"Cummings","given":"John"},{"family":"Winter","given":"Nicola"},{"family":"Mete","given":"Evelyn"},{"family":"Morenga","given":"Lisa Te"}],"issued":{"date-parts":[["2019",1,10]]},"accessed":{"date-parts":[["2019",1,31]]}}}],"schema":"https://github.com/citation-style-language/schema/raw/master/csl-citation.json"} </w:instrText>
      </w:r>
      <w:r w:rsidR="00545FB5" w:rsidRPr="00123003">
        <w:rPr>
          <w:sz w:val="24"/>
          <w:szCs w:val="24"/>
          <w:lang w:val="en-US"/>
        </w:rPr>
        <w:fldChar w:fldCharType="separate"/>
      </w:r>
      <w:r w:rsidR="00164E6C" w:rsidRPr="00123003">
        <w:rPr>
          <w:sz w:val="24"/>
          <w:szCs w:val="24"/>
          <w:lang w:val="en-US"/>
        </w:rPr>
        <w:t>(5,6)</w:t>
      </w:r>
      <w:r w:rsidR="00545FB5" w:rsidRPr="00123003">
        <w:rPr>
          <w:sz w:val="24"/>
          <w:szCs w:val="24"/>
          <w:lang w:val="en-US"/>
        </w:rPr>
        <w:fldChar w:fldCharType="end"/>
      </w:r>
      <w:r w:rsidR="00A82B35" w:rsidRPr="00123003">
        <w:rPr>
          <w:sz w:val="24"/>
          <w:szCs w:val="24"/>
          <w:lang w:val="en-US"/>
        </w:rPr>
        <w:t xml:space="preserve">. </w:t>
      </w:r>
      <w:r w:rsidR="0037280E" w:rsidRPr="00123003">
        <w:rPr>
          <w:sz w:val="24"/>
          <w:szCs w:val="24"/>
          <w:lang w:val="en-US"/>
        </w:rPr>
        <w:t>D</w:t>
      </w:r>
      <w:r w:rsidR="00594786" w:rsidRPr="00123003">
        <w:rPr>
          <w:sz w:val="24"/>
          <w:szCs w:val="24"/>
          <w:lang w:val="en-US"/>
        </w:rPr>
        <w:t>ietary fiber</w:t>
      </w:r>
      <w:r w:rsidR="005A1703" w:rsidRPr="00123003">
        <w:rPr>
          <w:sz w:val="24"/>
          <w:szCs w:val="24"/>
          <w:lang w:val="en-US"/>
        </w:rPr>
        <w:t xml:space="preserve"> is</w:t>
      </w:r>
      <w:r w:rsidR="00594786" w:rsidRPr="00123003">
        <w:rPr>
          <w:sz w:val="24"/>
          <w:szCs w:val="24"/>
          <w:lang w:val="en-US"/>
        </w:rPr>
        <w:t xml:space="preserve"> indigestible for the host</w:t>
      </w:r>
      <w:r w:rsidR="005A1703" w:rsidRPr="00123003">
        <w:rPr>
          <w:sz w:val="24"/>
          <w:szCs w:val="24"/>
          <w:lang w:val="en-US"/>
        </w:rPr>
        <w:t xml:space="preserve"> and</w:t>
      </w:r>
      <w:r w:rsidR="0037280E" w:rsidRPr="00123003">
        <w:rPr>
          <w:sz w:val="24"/>
          <w:szCs w:val="24"/>
          <w:lang w:val="en-US"/>
        </w:rPr>
        <w:t xml:space="preserve"> fermented by the gut microbiota to short-chain fatty acids (SCFA)</w:t>
      </w:r>
      <w:r w:rsidR="00FD312E" w:rsidRPr="00123003">
        <w:rPr>
          <w:sz w:val="24"/>
          <w:szCs w:val="24"/>
          <w:lang w:val="en-US"/>
        </w:rPr>
        <w:t>,</w:t>
      </w:r>
      <w:r w:rsidR="0037280E" w:rsidRPr="00123003">
        <w:rPr>
          <w:sz w:val="24"/>
          <w:szCs w:val="24"/>
          <w:lang w:val="en-US"/>
        </w:rPr>
        <w:t xml:space="preserve"> </w:t>
      </w:r>
      <w:r w:rsidR="00FD312E" w:rsidRPr="00123003">
        <w:rPr>
          <w:sz w:val="24"/>
          <w:szCs w:val="24"/>
          <w:lang w:val="en-US"/>
        </w:rPr>
        <w:t xml:space="preserve">particularly butyrate, </w:t>
      </w:r>
      <w:r w:rsidR="0037280E" w:rsidRPr="00123003">
        <w:rPr>
          <w:sz w:val="24"/>
          <w:szCs w:val="24"/>
          <w:lang w:val="en-US"/>
        </w:rPr>
        <w:t xml:space="preserve">that demonstrate </w:t>
      </w:r>
      <w:r w:rsidR="0076085C" w:rsidRPr="00123003">
        <w:rPr>
          <w:sz w:val="24"/>
          <w:szCs w:val="24"/>
          <w:lang w:val="en-US"/>
        </w:rPr>
        <w:t>potent</w:t>
      </w:r>
      <w:r w:rsidR="00594786" w:rsidRPr="00123003">
        <w:rPr>
          <w:sz w:val="24"/>
          <w:szCs w:val="24"/>
          <w:lang w:val="en-US"/>
        </w:rPr>
        <w:t xml:space="preserve"> </w:t>
      </w:r>
      <w:r w:rsidR="00B14B67" w:rsidRPr="00123003">
        <w:rPr>
          <w:sz w:val="24"/>
          <w:szCs w:val="24"/>
          <w:lang w:val="en-US"/>
        </w:rPr>
        <w:t>anti-proliferative and anti-</w:t>
      </w:r>
      <w:r w:rsidR="00722C73" w:rsidRPr="00123003">
        <w:rPr>
          <w:sz w:val="24"/>
          <w:szCs w:val="24"/>
          <w:lang w:val="en-US"/>
        </w:rPr>
        <w:t>neoplastic</w:t>
      </w:r>
      <w:r w:rsidR="0037280E" w:rsidRPr="00123003">
        <w:rPr>
          <w:sz w:val="24"/>
          <w:szCs w:val="24"/>
          <w:lang w:val="en-US"/>
        </w:rPr>
        <w:t xml:space="preserve"> effects</w:t>
      </w:r>
      <w:r w:rsidR="00E3335A" w:rsidRPr="00123003">
        <w:rPr>
          <w:sz w:val="24"/>
          <w:szCs w:val="24"/>
          <w:lang w:val="en-US"/>
        </w:rPr>
        <w:t xml:space="preserve"> in the colon</w:t>
      </w:r>
      <w:r w:rsidR="00722C73" w:rsidRPr="00123003">
        <w:rPr>
          <w:sz w:val="24"/>
          <w:szCs w:val="24"/>
          <w:lang w:val="en-US"/>
        </w:rPr>
        <w:t xml:space="preserve"> </w:t>
      </w:r>
      <w:r w:rsidR="00DE4051" w:rsidRPr="00123003">
        <w:rPr>
          <w:sz w:val="24"/>
          <w:szCs w:val="24"/>
          <w:lang w:val="en-US"/>
        </w:rPr>
        <w:fldChar w:fldCharType="begin"/>
      </w:r>
      <w:r w:rsidR="00F61B70">
        <w:rPr>
          <w:sz w:val="24"/>
          <w:szCs w:val="24"/>
          <w:lang w:val="en-US"/>
        </w:rPr>
        <w:instrText xml:space="preserve"> ADDIN ZOTERO_ITEM CSL_CITATION {"citationID":"ajsds2rdj1","properties":{"formattedCitation":"(7)","plainCitation":"(7)","noteIndex":0},"citationItems":[{"id":3520,"uris":["http://zotero.org/users/46719/items/ZWR6A2KF"],"uri":["http://zotero.org/users/46719/items/ZWR6A2KF"],"itemData":{"id":3520,"type":"article-journal","title":"Diet, microorganisms and their metabolites, and colon cancer","container-title":"Nature Reviews. Gastroenterology &amp; Hepatology","page":"691-706","volume":"13","issue":"12","source":"PubMed","abstract":"Colorectal cancer is one of the so-called westernized diseases and the second leading cause of cancer death worldwide. On the basis of global epidemiological and scientific studies, evidence suggests that the risk of colorectal cancer is increased by processed and unprocessed meat consumption but suppressed by fibre, and that food composition affects colonic health and cancer risk via its effects on colonic microbial metabolism. The gut microbiota can ferment complex dietary residues that are resistant to digestion by enteric enzymes. This process provides energy for the microbiota but culminates in the release of short-chain fatty acids including butyrate, which are utilized for the metabolic needs of the colon and the body. Butyrate has a remarkable array of colonic health-promoting and antineoplastic properties: it is the preferred energy source for colonocytes, it maintains mucosal integrity and it suppresses inflammation and carcinogenesis through effects on immunity, gene expression and epigenetic modulation. Protein residues and fat-stimulated bile acids are also metabolized by the microbiota to inflammatory and/or carcinogenic metabolites, which increase the risk of neoplastic progression. This Review will discuss the mechanisms behind these microbial metabolite effects, which could be modified by diet to achieve the objective of preventing colorectal cancer in Western societies.","DOI":"10.1038/nrgastro.2016.165","ISSN":"1759-5053","note":"PMID: 27848961","journalAbbreviation":"Nat Rev Gastroenterol Hepatol","language":"eng","author":[{"family":"O'Keefe","given":"Stephen J. D."}],"issued":{"date-parts":[["2016",12]]}}}],"schema":"https://github.com/citation-style-language/schema/raw/master/csl-citation.json"} </w:instrText>
      </w:r>
      <w:r w:rsidR="00DE4051" w:rsidRPr="00123003">
        <w:rPr>
          <w:sz w:val="24"/>
          <w:szCs w:val="24"/>
          <w:lang w:val="en-US"/>
        </w:rPr>
        <w:fldChar w:fldCharType="separate"/>
      </w:r>
      <w:r w:rsidR="00164E6C" w:rsidRPr="00123003">
        <w:rPr>
          <w:sz w:val="24"/>
          <w:szCs w:val="24"/>
          <w:lang w:val="en-US"/>
        </w:rPr>
        <w:t>(7)</w:t>
      </w:r>
      <w:r w:rsidR="00DE4051" w:rsidRPr="00123003">
        <w:rPr>
          <w:sz w:val="24"/>
          <w:szCs w:val="24"/>
          <w:lang w:val="en-US"/>
        </w:rPr>
        <w:fldChar w:fldCharType="end"/>
      </w:r>
      <w:r w:rsidR="00252163" w:rsidRPr="00123003">
        <w:rPr>
          <w:sz w:val="24"/>
          <w:szCs w:val="24"/>
          <w:lang w:val="en-US"/>
        </w:rPr>
        <w:t>.</w:t>
      </w:r>
      <w:r w:rsidR="00594786" w:rsidRPr="00123003">
        <w:rPr>
          <w:sz w:val="24"/>
          <w:szCs w:val="24"/>
          <w:lang w:val="en-US"/>
        </w:rPr>
        <w:t xml:space="preserve"> </w:t>
      </w:r>
      <w:r w:rsidR="008167CC" w:rsidRPr="00123003">
        <w:rPr>
          <w:sz w:val="24"/>
          <w:szCs w:val="24"/>
          <w:lang w:val="en-US"/>
        </w:rPr>
        <w:t>A</w:t>
      </w:r>
      <w:r w:rsidR="0037280E" w:rsidRPr="00123003">
        <w:rPr>
          <w:sz w:val="24"/>
          <w:szCs w:val="24"/>
          <w:lang w:val="en-US"/>
        </w:rPr>
        <w:t xml:space="preserve"> high consumption of fat stimulat</w:t>
      </w:r>
      <w:r w:rsidR="008167CC" w:rsidRPr="00123003">
        <w:rPr>
          <w:sz w:val="24"/>
          <w:szCs w:val="24"/>
          <w:lang w:val="en-US"/>
        </w:rPr>
        <w:t>es</w:t>
      </w:r>
      <w:r w:rsidR="0037280E" w:rsidRPr="00123003">
        <w:rPr>
          <w:sz w:val="24"/>
          <w:szCs w:val="24"/>
          <w:lang w:val="en-US"/>
        </w:rPr>
        <w:t xml:space="preserve"> hepatic synthesis of bile acids and their delivery to the colon, where they undergo complex biotransformation performed by gut bacteria</w:t>
      </w:r>
      <w:r w:rsidR="007F4A8D" w:rsidRPr="00123003">
        <w:rPr>
          <w:sz w:val="24"/>
          <w:szCs w:val="24"/>
          <w:lang w:val="en-US"/>
        </w:rPr>
        <w:t>. This</w:t>
      </w:r>
      <w:r w:rsidR="00E3335A" w:rsidRPr="00123003">
        <w:rPr>
          <w:sz w:val="24"/>
          <w:szCs w:val="24"/>
          <w:lang w:val="en-US"/>
        </w:rPr>
        <w:t xml:space="preserve"> result</w:t>
      </w:r>
      <w:r w:rsidR="007F4A8D" w:rsidRPr="00123003">
        <w:rPr>
          <w:sz w:val="24"/>
          <w:szCs w:val="24"/>
          <w:lang w:val="en-US"/>
        </w:rPr>
        <w:t>s</w:t>
      </w:r>
      <w:r w:rsidR="00E3335A" w:rsidRPr="00123003">
        <w:rPr>
          <w:sz w:val="24"/>
          <w:szCs w:val="24"/>
          <w:lang w:val="en-US"/>
        </w:rPr>
        <w:t xml:space="preserve"> in high concentrations</w:t>
      </w:r>
      <w:r w:rsidR="0037280E" w:rsidRPr="00123003">
        <w:rPr>
          <w:sz w:val="24"/>
          <w:szCs w:val="24"/>
          <w:lang w:val="en-US"/>
        </w:rPr>
        <w:t xml:space="preserve"> </w:t>
      </w:r>
      <w:r w:rsidR="00E3335A" w:rsidRPr="00123003">
        <w:rPr>
          <w:sz w:val="24"/>
          <w:szCs w:val="24"/>
          <w:lang w:val="en-US"/>
        </w:rPr>
        <w:t xml:space="preserve">of secondary bile acids such </w:t>
      </w:r>
      <w:r w:rsidR="0037280E" w:rsidRPr="00123003">
        <w:rPr>
          <w:sz w:val="24"/>
          <w:szCs w:val="24"/>
          <w:lang w:val="en-US"/>
        </w:rPr>
        <w:t>as deoxycholic acid (DCA),</w:t>
      </w:r>
      <w:r w:rsidR="003345B8" w:rsidRPr="00123003">
        <w:rPr>
          <w:sz w:val="24"/>
          <w:szCs w:val="24"/>
          <w:lang w:val="en-US"/>
        </w:rPr>
        <w:t xml:space="preserve"> </w:t>
      </w:r>
      <w:r w:rsidR="0037280E" w:rsidRPr="00123003">
        <w:rPr>
          <w:sz w:val="24"/>
          <w:szCs w:val="24"/>
          <w:lang w:val="en-US"/>
        </w:rPr>
        <w:t>which show</w:t>
      </w:r>
      <w:r w:rsidR="00815FE6" w:rsidRPr="00123003">
        <w:rPr>
          <w:sz w:val="24"/>
          <w:szCs w:val="24"/>
          <w:lang w:val="en-US"/>
        </w:rPr>
        <w:t>s</w:t>
      </w:r>
      <w:r w:rsidR="0037280E" w:rsidRPr="00123003">
        <w:rPr>
          <w:sz w:val="24"/>
          <w:szCs w:val="24"/>
          <w:lang w:val="en-US"/>
        </w:rPr>
        <w:t xml:space="preserve"> experimental tumorigenic activity</w:t>
      </w:r>
      <w:r w:rsidR="00722C73" w:rsidRPr="00123003">
        <w:rPr>
          <w:sz w:val="24"/>
          <w:szCs w:val="24"/>
          <w:lang w:val="en-US"/>
        </w:rPr>
        <w:t xml:space="preserve"> </w:t>
      </w:r>
      <w:r w:rsidR="00722C73" w:rsidRPr="00123003">
        <w:rPr>
          <w:sz w:val="24"/>
          <w:szCs w:val="24"/>
          <w:lang w:val="en-US"/>
        </w:rPr>
        <w:fldChar w:fldCharType="begin"/>
      </w:r>
      <w:r w:rsidR="00F61B70">
        <w:rPr>
          <w:sz w:val="24"/>
          <w:szCs w:val="24"/>
          <w:lang w:val="en-US"/>
        </w:rPr>
        <w:instrText xml:space="preserve"> ADDIN ZOTERO_ITEM CSL_CITATION {"citationID":"a8l964mvaq","properties":{"formattedCitation":"(8)","plainCitation":"(8)","noteIndex":0},"citationItems":[{"id":3923,"uris":["http://zotero.org/users/46719/items/DBNFKFYS"],"uri":["http://zotero.org/users/46719/items/DBNFKFYS"],"itemData":{"id":3923,"type":"article-journal","title":"Influence of Bile Acids on Colorectal Cancer Risk: Potential Mechanisms Mediated by Diet - Gut Microbiota Interactions","container-title":"Current Nutrition Reports","page":"315-322","volume":"6","issue":"4","source":"PubMed","abstract":"Purpose of review: To review the evidence for the tumorigenic effects of food-stimulated bile acids on the colon and interaction with the gut microbiota.\nRecent Findings: High-fat diets promote the hepatic synthesis of bile acids and increase their delivery to the colonic lumen. Here, they stimulate the growth and activity of 7α-dehydroxylating bacteria, which convert primary into secondary bile acids that show tumorigenic activity, especially deoxycholic acid (DCA). Fecal levels of secondary bile acids correlate with mucosal and metabolic markers of colorectal cancer (CRC) risk in high and low risk adult individuals and can be modified within a few weeks by dietary change. While gut bacteria regulate the bile acid pool via complex microbial biotransformation, bile acids alter the gut microbiota composition due to their antimicrobial properties. This mutual reaction induces altered bile acid pools and dysbiotic compositions of the gut microbiota that may show tumor-promoting activity of bile acids beyond their conversion to DCA.\nSummary: Bile acids act as tumor promoters in the colon. Diet and the gut microbiota are most likely the key drivers that mediate and confer bile acid-associated tumorigenic activity. Bacterial conversion of bile acids in the colon has a significant impact on their tumorigenic activity, substantiating the hypothesis that diet affects CRC risk through its effects on colonic microbial metabolism.","DOI":"10.1007/s13668-017-0219-5","ISSN":"2161-3311","note":"PMID: 29430336\nPMCID: PMC5802424","title-short":"Influence of Bile Acids on Colorectal Cancer Risk","journalAbbreviation":"Curr Nutr Rep","language":"eng","author":[{"family":"Ocvirk","given":"Sören"},{"family":"O'Keefe","given":"Stephen Jd"}],"issued":{"date-parts":[["2017",12]]}}}],"schema":"https://github.com/citation-style-language/schema/raw/master/csl-citation.json"} </w:instrText>
      </w:r>
      <w:r w:rsidR="00722C73" w:rsidRPr="00123003">
        <w:rPr>
          <w:sz w:val="24"/>
          <w:szCs w:val="24"/>
          <w:lang w:val="en-US"/>
        </w:rPr>
        <w:fldChar w:fldCharType="separate"/>
      </w:r>
      <w:r w:rsidR="00164E6C" w:rsidRPr="00123003">
        <w:rPr>
          <w:sz w:val="24"/>
          <w:szCs w:val="24"/>
          <w:lang w:val="en-US"/>
        </w:rPr>
        <w:t>(8)</w:t>
      </w:r>
      <w:r w:rsidR="00722C73" w:rsidRPr="00123003">
        <w:rPr>
          <w:sz w:val="24"/>
          <w:szCs w:val="24"/>
          <w:lang w:val="en-US"/>
        </w:rPr>
        <w:fldChar w:fldCharType="end"/>
      </w:r>
      <w:r w:rsidR="0037280E" w:rsidRPr="00123003">
        <w:rPr>
          <w:sz w:val="24"/>
          <w:szCs w:val="24"/>
          <w:lang w:val="en-US"/>
        </w:rPr>
        <w:t>.</w:t>
      </w:r>
      <w:r w:rsidR="00611139" w:rsidRPr="00123003">
        <w:rPr>
          <w:sz w:val="24"/>
          <w:szCs w:val="24"/>
          <w:lang w:val="en-US"/>
        </w:rPr>
        <w:t xml:space="preserve"> A series of studies by our group </w:t>
      </w:r>
      <w:r w:rsidR="00B14B67" w:rsidRPr="00123003">
        <w:rPr>
          <w:sz w:val="24"/>
          <w:szCs w:val="24"/>
          <w:lang w:val="en-US"/>
        </w:rPr>
        <w:t xml:space="preserve">has </w:t>
      </w:r>
      <w:r w:rsidR="00611139" w:rsidRPr="00123003">
        <w:rPr>
          <w:sz w:val="24"/>
          <w:szCs w:val="24"/>
          <w:lang w:val="en-US"/>
        </w:rPr>
        <w:t xml:space="preserve">demonstrated </w:t>
      </w:r>
      <w:r w:rsidR="004D39DD" w:rsidRPr="00123003">
        <w:rPr>
          <w:sz w:val="24"/>
          <w:szCs w:val="24"/>
          <w:lang w:val="en-US"/>
        </w:rPr>
        <w:t>that</w:t>
      </w:r>
      <w:r w:rsidR="002364CD" w:rsidRPr="00123003">
        <w:rPr>
          <w:sz w:val="24"/>
          <w:szCs w:val="24"/>
          <w:lang w:val="en-US"/>
        </w:rPr>
        <w:t xml:space="preserve"> </w:t>
      </w:r>
      <w:r w:rsidR="007A395E" w:rsidRPr="00123003">
        <w:rPr>
          <w:sz w:val="24"/>
          <w:szCs w:val="24"/>
          <w:lang w:val="en-US"/>
        </w:rPr>
        <w:t>healthy</w:t>
      </w:r>
      <w:r w:rsidR="00611139" w:rsidRPr="00123003">
        <w:rPr>
          <w:sz w:val="24"/>
          <w:szCs w:val="24"/>
          <w:lang w:val="en-US"/>
        </w:rPr>
        <w:t xml:space="preserve"> </w:t>
      </w:r>
      <w:r w:rsidR="007A395E" w:rsidRPr="00123003">
        <w:rPr>
          <w:sz w:val="24"/>
          <w:szCs w:val="24"/>
          <w:lang w:val="en-US"/>
        </w:rPr>
        <w:t xml:space="preserve">rural Africans, who rarely get CRC (&lt;5:100,000) and consume a diet rich in fiber and low in fat, show significantly higher levels of SCFA and lower levels of bile acids </w:t>
      </w:r>
      <w:r w:rsidR="00EF49E3" w:rsidRPr="00123003">
        <w:rPr>
          <w:sz w:val="24"/>
          <w:szCs w:val="24"/>
          <w:lang w:val="en-US"/>
        </w:rPr>
        <w:t xml:space="preserve">in feces </w:t>
      </w:r>
      <w:r w:rsidR="007A395E" w:rsidRPr="00123003">
        <w:rPr>
          <w:sz w:val="24"/>
          <w:szCs w:val="24"/>
          <w:lang w:val="en-US"/>
        </w:rPr>
        <w:t>than African Americans, who consume a low-</w:t>
      </w:r>
      <w:r w:rsidR="00611139" w:rsidRPr="00123003">
        <w:rPr>
          <w:sz w:val="24"/>
          <w:szCs w:val="24"/>
          <w:lang w:val="en-US"/>
        </w:rPr>
        <w:t>fiber</w:t>
      </w:r>
      <w:r w:rsidR="007A395E" w:rsidRPr="00123003">
        <w:rPr>
          <w:sz w:val="24"/>
          <w:szCs w:val="24"/>
          <w:lang w:val="en-US"/>
        </w:rPr>
        <w:t xml:space="preserve">, high-fat diet and have the highest CRC incidence in the </w:t>
      </w:r>
      <w:r w:rsidR="00B021C7" w:rsidRPr="00123003">
        <w:rPr>
          <w:sz w:val="24"/>
          <w:szCs w:val="24"/>
          <w:lang w:val="en-US"/>
        </w:rPr>
        <w:t xml:space="preserve">contiguous </w:t>
      </w:r>
      <w:r w:rsidR="007A395E" w:rsidRPr="00123003">
        <w:rPr>
          <w:sz w:val="24"/>
          <w:szCs w:val="24"/>
          <w:lang w:val="en-US"/>
        </w:rPr>
        <w:t>US (</w:t>
      </w:r>
      <w:r w:rsidR="00B83CB4">
        <w:rPr>
          <w:sz w:val="24"/>
          <w:szCs w:val="24"/>
          <w:lang w:val="en-US"/>
        </w:rPr>
        <w:t>49</w:t>
      </w:r>
      <w:r w:rsidR="007A395E" w:rsidRPr="00123003">
        <w:rPr>
          <w:sz w:val="24"/>
          <w:szCs w:val="24"/>
          <w:lang w:val="en-US"/>
        </w:rPr>
        <w:t>:100,000)</w:t>
      </w:r>
      <w:r w:rsidR="00545FB5" w:rsidRPr="00123003">
        <w:rPr>
          <w:sz w:val="24"/>
          <w:szCs w:val="24"/>
          <w:lang w:val="en-US"/>
        </w:rPr>
        <w:t xml:space="preserve"> </w:t>
      </w:r>
      <w:r w:rsidR="00545FB5" w:rsidRPr="00123003">
        <w:rPr>
          <w:sz w:val="24"/>
          <w:szCs w:val="24"/>
          <w:lang w:val="en-US"/>
        </w:rPr>
        <w:fldChar w:fldCharType="begin"/>
      </w:r>
      <w:r w:rsidR="00F61B70">
        <w:rPr>
          <w:sz w:val="24"/>
          <w:szCs w:val="24"/>
          <w:lang w:val="en-US"/>
        </w:rPr>
        <w:instrText xml:space="preserve"> ADDIN ZOTERO_ITEM CSL_CITATION {"citationID":"abfci47tts","properties":{"formattedCitation":"(9)","plainCitation":"(9)","noteIndex":0},"citationItems":[{"id":464,"uris":["http://zotero.org/users/46719/items/8IITHWEP"],"uri":["http://zotero.org/users/46719/items/8IITHWEP"],"itemData":{"id":464,"type":"article-journal","title":"Diet, microbiota, and microbial metabolites in colon cancer risk in rural Africans and African Americans","container-title":"The American Journal of Clinical Nutrition","page":"111-120","volume":"98","issue":"1","source":"ajcn.nutrition.org","abstract":"Background: Epidemiologic studies have suggested that most cases of sporadic colon cancer can be attributed to diet. The recognition that colonic microbiota have a major influence on colonic health suggests that they might mediate colonic carcinogenesis.\nObjective: To examine the hypothesis that the influence of diet on colon cancer risk is mediated by the microbiota through their metabolites, we measured differences in colonic microbes and their metabolites in African Americans with a high risk and in rural native Africans with a low risk of colon cancer.\nDesign: Fresh fecal samples were collected from 12 healthy African Americans aged 50–65 y and from 12 age- and sex-matched native Africans. Microbiomes were analyzed with 16S ribosomal RNA gene pyrosequencing together with quantitative polymerase chain reaction of the major fermentative, butyrate-producing, and bile acid–deconjugating bacteria. Fecal short-chain fatty acids were measured by gas chromatography and bile acids by liquid chromatography–mass spectrometry.\nResults: Microbial composition was fundamentally different, with a predominance of Prevotella in native Africans (enterotype 2) and of Bacteroides in African Americans (enterotype 1). Total bacteria and major butyrate-producing groups were significantly more abundant in fecal samples from native Africans. Microbial genes encoding for secondary bile acid production were more abundant in African Americans, whereas those encoding for methanogenesis and hydrogen sulfide production were higher in native Africans. Fecal secondary bile acid concentrations were higher in African Americans, whereas short-chain fatty acids were higher in native Africans.\nConclusion: Our results support the hypothesis that colon cancer risk is influenced by the balance between microbial production of health-promoting metabolites such as butyrate and potentially carcinogenic metabolites such as secondary bile acids.","DOI":"10.3945/ajcn.112.056689","ISSN":"0002-9165, 1938-3207","note":"PMID: 23719549","journalAbbreviation":"Am J Clin Nutr","language":"en","author":[{"family":"Ou","given":"Junhai"},{"family":"Carbonero","given":"Franck"},{"family":"Zoetendal","given":"Erwin G."},{"family":"DeLany","given":"James P."},{"family":"Wang","given":"Mei"},{"family":"Newton","given":"Keith"},{"family":"Gaskins","given":"H. Rex"},{"family":"O'Keefe","given":"Stephen JD"}],"issued":{"date-parts":[["2013",7,1]]}}}],"schema":"https://github.com/citation-style-language/schema/raw/master/csl-citation.json"} </w:instrText>
      </w:r>
      <w:r w:rsidR="00545FB5" w:rsidRPr="00123003">
        <w:rPr>
          <w:sz w:val="24"/>
          <w:szCs w:val="24"/>
          <w:lang w:val="en-US"/>
        </w:rPr>
        <w:fldChar w:fldCharType="separate"/>
      </w:r>
      <w:r w:rsidR="00164E6C" w:rsidRPr="00123003">
        <w:rPr>
          <w:sz w:val="24"/>
          <w:szCs w:val="24"/>
          <w:lang w:val="en-US"/>
        </w:rPr>
        <w:t>(9)</w:t>
      </w:r>
      <w:r w:rsidR="00545FB5" w:rsidRPr="00123003">
        <w:rPr>
          <w:sz w:val="24"/>
          <w:szCs w:val="24"/>
          <w:lang w:val="en-US"/>
        </w:rPr>
        <w:fldChar w:fldCharType="end"/>
      </w:r>
      <w:r w:rsidR="00EF0C1C" w:rsidRPr="00123003">
        <w:rPr>
          <w:sz w:val="24"/>
          <w:szCs w:val="24"/>
          <w:lang w:val="en-US"/>
        </w:rPr>
        <w:t xml:space="preserve">. </w:t>
      </w:r>
      <w:r w:rsidR="005706C9" w:rsidRPr="00123003">
        <w:rPr>
          <w:sz w:val="24"/>
          <w:szCs w:val="24"/>
          <w:lang w:val="en-US"/>
        </w:rPr>
        <w:lastRenderedPageBreak/>
        <w:t>A</w:t>
      </w:r>
      <w:r w:rsidR="00EF0C1C" w:rsidRPr="00123003">
        <w:rPr>
          <w:sz w:val="24"/>
          <w:szCs w:val="24"/>
          <w:lang w:val="en-US"/>
        </w:rPr>
        <w:t xml:space="preserve"> diet switch </w:t>
      </w:r>
      <w:r w:rsidR="00B021C7" w:rsidRPr="00123003">
        <w:rPr>
          <w:sz w:val="24"/>
          <w:szCs w:val="24"/>
          <w:lang w:val="en-US"/>
        </w:rPr>
        <w:t xml:space="preserve">among volunteers from </w:t>
      </w:r>
      <w:r w:rsidR="005706C9" w:rsidRPr="00123003">
        <w:rPr>
          <w:sz w:val="24"/>
          <w:szCs w:val="24"/>
          <w:lang w:val="en-US"/>
        </w:rPr>
        <w:t xml:space="preserve">these two populations </w:t>
      </w:r>
      <w:r w:rsidR="00EF0C1C" w:rsidRPr="00123003">
        <w:rPr>
          <w:sz w:val="24"/>
          <w:szCs w:val="24"/>
          <w:lang w:val="en-US"/>
        </w:rPr>
        <w:t>led to r</w:t>
      </w:r>
      <w:r w:rsidR="00C33A67" w:rsidRPr="00123003">
        <w:rPr>
          <w:sz w:val="24"/>
          <w:szCs w:val="24"/>
          <w:lang w:val="en-US"/>
        </w:rPr>
        <w:t xml:space="preserve">eciprocal changes in fecal SCFA, </w:t>
      </w:r>
      <w:r w:rsidR="00EF0C1C" w:rsidRPr="00123003">
        <w:rPr>
          <w:sz w:val="24"/>
          <w:szCs w:val="24"/>
          <w:lang w:val="en-US"/>
        </w:rPr>
        <w:t xml:space="preserve">bile acids </w:t>
      </w:r>
      <w:r w:rsidR="00C33A67" w:rsidRPr="00123003">
        <w:rPr>
          <w:sz w:val="24"/>
          <w:szCs w:val="24"/>
          <w:lang w:val="en-US"/>
        </w:rPr>
        <w:t xml:space="preserve">and related </w:t>
      </w:r>
      <w:r w:rsidR="00EF49E3" w:rsidRPr="00123003">
        <w:rPr>
          <w:sz w:val="24"/>
          <w:szCs w:val="24"/>
          <w:lang w:val="en-US"/>
        </w:rPr>
        <w:t>functional microbial genes</w:t>
      </w:r>
      <w:r w:rsidR="00815ECE" w:rsidRPr="00123003">
        <w:rPr>
          <w:sz w:val="24"/>
          <w:szCs w:val="24"/>
          <w:lang w:val="en-US"/>
        </w:rPr>
        <w:t xml:space="preserve"> of the gut microbiota</w:t>
      </w:r>
      <w:r w:rsidR="004D39DD" w:rsidRPr="00123003">
        <w:rPr>
          <w:sz w:val="24"/>
          <w:szCs w:val="24"/>
          <w:lang w:val="en-US"/>
        </w:rPr>
        <w:t xml:space="preserve"> </w:t>
      </w:r>
      <w:r w:rsidR="004D39DD" w:rsidRPr="00123003">
        <w:rPr>
          <w:sz w:val="24"/>
          <w:szCs w:val="24"/>
          <w:lang w:val="en-US"/>
        </w:rPr>
        <w:fldChar w:fldCharType="begin"/>
      </w:r>
      <w:r w:rsidR="00F61B70">
        <w:rPr>
          <w:sz w:val="24"/>
          <w:szCs w:val="24"/>
          <w:lang w:val="en-US"/>
        </w:rPr>
        <w:instrText xml:space="preserve"> ADDIN ZOTERO_ITEM CSL_CITATION {"citationID":"a156ha3um4d","properties":{"formattedCitation":"(10)","plainCitation":"(10)","noteIndex":0},"citationItems":[{"id":2125,"uris":["http://zotero.org/users/46719/items/XV558T9I"],"uri":["http://zotero.org/users/46719/items/XV558T9I"],"itemData":{"id":2125,"type":"article-journal","title":"Fat, fibre and cancer risk in African Americans and rural Africans","container-title":"Nature Communications","page":"6342","volume":"6","source":"PubMed","abstract":"Rates of colon cancer are much higher in African Americans (65:100,000) than in rural South Africans (&lt;5:100,000). The higher rates are associated with higher animal protein and fat, and lower fibre consumption, higher colonic secondary bile acids, lower colonic short-chain fatty acid quantities and higher mucosal proliferative biomarkers of cancer risk in otherwise healthy middle-aged volunteers. Here we investigate further the role of fat and fibre in this association. We performed 2-week food exchanges in subjects from the same populations, where African Americans were fed a high-fibre, low-fat African-style diet and rural Africans a high-fat, low-fibre western-style diet, under close supervision. In comparison with their usual diets, the food changes resulted in remarkable reciprocal changes in mucosal biomarkers of cancer risk and in aspects of the microbiota and metabolome known to affect cancer risk, best illustrated by increased saccharolytic fermentation and butyrogenesis, and suppressed secondary bile acid synthesis in the African Americans.","DOI":"10.1038/ncomms7342","ISSN":"2041-1723","note":"PMID: 25919227","journalAbbreviation":"Nat Commun","language":"ENG","author":[{"family":"O'Keefe","given":"Stephen J. D."},{"family":"Li","given":"Jia V."},{"family":"Lahti","given":"Leo"},{"family":"Ou","given":"Junhai"},{"family":"Carbonero","given":"Franck"},{"family":"Mohammed","given":"Khaled"},{"family":"Posma","given":"Joram M."},{"family":"Kinross","given":"James"},{"family":"Wahl","given":"Elaine"},{"family":"Ruder","given":"Elizabeth"},{"family":"Vipperla","given":"Kishore"},{"family":"Naidoo","given":"Vasudevan"},{"family":"Mtshali","given":"Lungile"},{"family":"Tims","given":"Sebastian"},{"family":"Puylaert","given":"Philippe G. B."},{"family":"DeLany","given":"James"},{"family":"Krasinskas","given":"Alyssa"},{"family":"Benefiel","given":"Ann C."},{"family":"Kaseb","given":"Hatem O."},{"family":"Newton","given":"Keith"},{"family":"Nicholson","given":"Jeremy K."},{"family":"Vos","given":"Willem M.","non-dropping-particle":"de"},{"family":"Gaskins","given":"H. Rex"},{"family":"Zoetendal","given":"Erwin G."}],"issued":{"date-parts":[["2015"]]}}}],"schema":"https://github.com/citation-style-language/schema/raw/master/csl-citation.json"} </w:instrText>
      </w:r>
      <w:r w:rsidR="004D39DD" w:rsidRPr="00123003">
        <w:rPr>
          <w:sz w:val="24"/>
          <w:szCs w:val="24"/>
          <w:lang w:val="en-US"/>
        </w:rPr>
        <w:fldChar w:fldCharType="separate"/>
      </w:r>
      <w:r w:rsidR="00164E6C" w:rsidRPr="00123003">
        <w:rPr>
          <w:sz w:val="24"/>
          <w:szCs w:val="24"/>
          <w:lang w:val="en-US"/>
        </w:rPr>
        <w:t>(10)</w:t>
      </w:r>
      <w:r w:rsidR="004D39DD" w:rsidRPr="00123003">
        <w:rPr>
          <w:sz w:val="24"/>
          <w:szCs w:val="24"/>
          <w:lang w:val="en-US"/>
        </w:rPr>
        <w:fldChar w:fldCharType="end"/>
      </w:r>
      <w:r w:rsidR="004D39DD" w:rsidRPr="00123003">
        <w:rPr>
          <w:sz w:val="24"/>
          <w:szCs w:val="24"/>
          <w:lang w:val="en-US"/>
        </w:rPr>
        <w:t>.</w:t>
      </w:r>
      <w:r w:rsidR="00815ECE" w:rsidRPr="00123003">
        <w:rPr>
          <w:sz w:val="24"/>
          <w:szCs w:val="24"/>
          <w:lang w:val="en-US"/>
        </w:rPr>
        <w:t xml:space="preserve"> </w:t>
      </w:r>
      <w:r w:rsidR="004D39DD" w:rsidRPr="00123003">
        <w:rPr>
          <w:sz w:val="24"/>
          <w:szCs w:val="24"/>
          <w:lang w:val="en-US"/>
        </w:rPr>
        <w:t xml:space="preserve">Critically, this correlated with changes in mucosal markers of CRC risk </w:t>
      </w:r>
      <w:r w:rsidR="00545FB5" w:rsidRPr="00123003">
        <w:rPr>
          <w:sz w:val="24"/>
          <w:szCs w:val="24"/>
          <w:lang w:val="en-US"/>
        </w:rPr>
        <w:fldChar w:fldCharType="begin"/>
      </w:r>
      <w:r w:rsidR="00F61B70">
        <w:rPr>
          <w:sz w:val="24"/>
          <w:szCs w:val="24"/>
          <w:lang w:val="en-US"/>
        </w:rPr>
        <w:instrText xml:space="preserve"> ADDIN ZOTERO_ITEM CSL_CITATION {"citationID":"a4dlu6jld7","properties":{"formattedCitation":"(10)","plainCitation":"(10)","noteIndex":0},"citationItems":[{"id":2125,"uris":["http://zotero.org/users/46719/items/XV558T9I"],"uri":["http://zotero.org/users/46719/items/XV558T9I"],"itemData":{"id":2125,"type":"article-journal","title":"Fat, fibre and cancer risk in African Americans and rural Africans","container-title":"Nature Communications","page":"6342","volume":"6","source":"PubMed","abstract":"Rates of colon cancer are much higher in African Americans (65:100,000) than in rural South Africans (&lt;5:100,000). The higher rates are associated with higher animal protein and fat, and lower fibre consumption, higher colonic secondary bile acids, lower colonic short-chain fatty acid quantities and higher mucosal proliferative biomarkers of cancer risk in otherwise healthy middle-aged volunteers. Here we investigate further the role of fat and fibre in this association. We performed 2-week food exchanges in subjects from the same populations, where African Americans were fed a high-fibre, low-fat African-style diet and rural Africans a high-fat, low-fibre western-style diet, under close supervision. In comparison with their usual diets, the food changes resulted in remarkable reciprocal changes in mucosal biomarkers of cancer risk and in aspects of the microbiota and metabolome known to affect cancer risk, best illustrated by increased saccharolytic fermentation and butyrogenesis, and suppressed secondary bile acid synthesis in the African Americans.","DOI":"10.1038/ncomms7342","ISSN":"2041-1723","note":"PMID: 25919227","journalAbbreviation":"Nat Commun","language":"ENG","author":[{"family":"O'Keefe","given":"Stephen J. D."},{"family":"Li","given":"Jia V."},{"family":"Lahti","given":"Leo"},{"family":"Ou","given":"Junhai"},{"family":"Carbonero","given":"Franck"},{"family":"Mohammed","given":"Khaled"},{"family":"Posma","given":"Joram M."},{"family":"Kinross","given":"James"},{"family":"Wahl","given":"Elaine"},{"family":"Ruder","given":"Elizabeth"},{"family":"Vipperla","given":"Kishore"},{"family":"Naidoo","given":"Vasudevan"},{"family":"Mtshali","given":"Lungile"},{"family":"Tims","given":"Sebastian"},{"family":"Puylaert","given":"Philippe G. B."},{"family":"DeLany","given":"James"},{"family":"Krasinskas","given":"Alyssa"},{"family":"Benefiel","given":"Ann C."},{"family":"Kaseb","given":"Hatem O."},{"family":"Newton","given":"Keith"},{"family":"Nicholson","given":"Jeremy K."},{"family":"Vos","given":"Willem M.","non-dropping-particle":"de"},{"family":"Gaskins","given":"H. Rex"},{"family":"Zoetendal","given":"Erwin G."}],"issued":{"date-parts":[["2015"]]}}}],"schema":"https://github.com/citation-style-language/schema/raw/master/csl-citation.json"} </w:instrText>
      </w:r>
      <w:r w:rsidR="00545FB5" w:rsidRPr="00123003">
        <w:rPr>
          <w:sz w:val="24"/>
          <w:szCs w:val="24"/>
          <w:lang w:val="en-US"/>
        </w:rPr>
        <w:fldChar w:fldCharType="separate"/>
      </w:r>
      <w:r w:rsidR="00164E6C" w:rsidRPr="00123003">
        <w:rPr>
          <w:sz w:val="24"/>
          <w:szCs w:val="24"/>
          <w:lang w:val="en-US"/>
        </w:rPr>
        <w:t>(10)</w:t>
      </w:r>
      <w:r w:rsidR="00545FB5" w:rsidRPr="00123003">
        <w:rPr>
          <w:sz w:val="24"/>
          <w:szCs w:val="24"/>
          <w:lang w:val="en-US"/>
        </w:rPr>
        <w:fldChar w:fldCharType="end"/>
      </w:r>
      <w:r w:rsidR="00DB7E1B" w:rsidRPr="00123003">
        <w:rPr>
          <w:sz w:val="24"/>
          <w:szCs w:val="24"/>
          <w:lang w:val="en-US"/>
        </w:rPr>
        <w:t xml:space="preserve">. </w:t>
      </w:r>
    </w:p>
    <w:p w:rsidR="00335ECA" w:rsidRPr="00123003" w:rsidRDefault="00C33A67" w:rsidP="00123003">
      <w:pPr>
        <w:spacing w:line="480" w:lineRule="auto"/>
        <w:jc w:val="both"/>
        <w:rPr>
          <w:sz w:val="24"/>
          <w:szCs w:val="24"/>
          <w:lang w:val="en-US"/>
        </w:rPr>
      </w:pPr>
      <w:r w:rsidRPr="00123003">
        <w:rPr>
          <w:sz w:val="24"/>
          <w:szCs w:val="24"/>
          <w:lang w:val="en-US"/>
        </w:rPr>
        <w:t xml:space="preserve">While CRC rates are high in </w:t>
      </w:r>
      <w:r w:rsidR="003742B2" w:rsidRPr="00123003">
        <w:rPr>
          <w:sz w:val="24"/>
          <w:szCs w:val="24"/>
          <w:lang w:val="en-US"/>
        </w:rPr>
        <w:t xml:space="preserve">industrialized </w:t>
      </w:r>
      <w:r w:rsidRPr="00123003">
        <w:rPr>
          <w:sz w:val="24"/>
          <w:szCs w:val="24"/>
          <w:lang w:val="en-US"/>
        </w:rPr>
        <w:t xml:space="preserve">countries with “Western diets”, the world’s highest risk for CRC was </w:t>
      </w:r>
      <w:r w:rsidR="00A239A3" w:rsidRPr="00123003">
        <w:rPr>
          <w:sz w:val="24"/>
          <w:szCs w:val="24"/>
          <w:lang w:val="en-US"/>
        </w:rPr>
        <w:t xml:space="preserve">paradoxically revealed in a population that </w:t>
      </w:r>
      <w:r w:rsidR="00470FB7" w:rsidRPr="00123003">
        <w:rPr>
          <w:sz w:val="24"/>
          <w:szCs w:val="24"/>
          <w:lang w:val="en-US"/>
        </w:rPr>
        <w:t xml:space="preserve">still </w:t>
      </w:r>
      <w:r w:rsidR="00A239A3" w:rsidRPr="00123003">
        <w:rPr>
          <w:sz w:val="24"/>
          <w:szCs w:val="24"/>
          <w:lang w:val="en-US"/>
        </w:rPr>
        <w:t>pursues a</w:t>
      </w:r>
      <w:r w:rsidR="002332B1" w:rsidRPr="00123003">
        <w:rPr>
          <w:sz w:val="24"/>
          <w:szCs w:val="24"/>
          <w:lang w:val="en-US"/>
        </w:rPr>
        <w:t xml:space="preserve"> </w:t>
      </w:r>
      <w:r w:rsidR="00A239A3" w:rsidRPr="00123003">
        <w:rPr>
          <w:sz w:val="24"/>
          <w:szCs w:val="24"/>
          <w:lang w:val="en-US"/>
        </w:rPr>
        <w:t>traditional lifestyle</w:t>
      </w:r>
      <w:r w:rsidR="003D3661" w:rsidRPr="00123003">
        <w:rPr>
          <w:sz w:val="24"/>
          <w:szCs w:val="24"/>
          <w:lang w:val="en-US"/>
        </w:rPr>
        <w:t xml:space="preserve"> in remote communities</w:t>
      </w:r>
      <w:r w:rsidR="00A239A3" w:rsidRPr="00123003">
        <w:rPr>
          <w:sz w:val="24"/>
          <w:szCs w:val="24"/>
          <w:lang w:val="en-US"/>
        </w:rPr>
        <w:t xml:space="preserve">: </w:t>
      </w:r>
      <w:r w:rsidR="00CA0A51" w:rsidRPr="00123003">
        <w:rPr>
          <w:sz w:val="24"/>
          <w:szCs w:val="24"/>
          <w:lang w:val="en-US"/>
        </w:rPr>
        <w:t>Alaskan</w:t>
      </w:r>
      <w:r w:rsidR="0076085C" w:rsidRPr="00123003">
        <w:rPr>
          <w:sz w:val="24"/>
          <w:szCs w:val="24"/>
          <w:lang w:val="en-US"/>
        </w:rPr>
        <w:t xml:space="preserve"> Native</w:t>
      </w:r>
      <w:r w:rsidR="00CA0A51" w:rsidRPr="00123003">
        <w:rPr>
          <w:sz w:val="24"/>
          <w:szCs w:val="24"/>
          <w:lang w:val="en-US"/>
        </w:rPr>
        <w:t xml:space="preserve"> (AN) people </w:t>
      </w:r>
      <w:r w:rsidR="003179CC" w:rsidRPr="00123003">
        <w:rPr>
          <w:sz w:val="24"/>
          <w:szCs w:val="24"/>
          <w:lang w:val="en-US"/>
        </w:rPr>
        <w:t>have</w:t>
      </w:r>
      <w:r w:rsidR="00CA0A51" w:rsidRPr="00123003">
        <w:rPr>
          <w:sz w:val="24"/>
          <w:szCs w:val="24"/>
          <w:lang w:val="en-US"/>
        </w:rPr>
        <w:t xml:space="preserve"> the world’s highest </w:t>
      </w:r>
      <w:r w:rsidR="00B14B67" w:rsidRPr="00123003">
        <w:rPr>
          <w:sz w:val="24"/>
          <w:szCs w:val="24"/>
          <w:lang w:val="en-US"/>
        </w:rPr>
        <w:t xml:space="preserve">reported </w:t>
      </w:r>
      <w:r w:rsidR="00EC3069" w:rsidRPr="00123003">
        <w:rPr>
          <w:sz w:val="24"/>
          <w:szCs w:val="24"/>
          <w:lang w:val="en-US"/>
        </w:rPr>
        <w:t>risk</w:t>
      </w:r>
      <w:r w:rsidR="00CA0A51" w:rsidRPr="00123003">
        <w:rPr>
          <w:sz w:val="24"/>
          <w:szCs w:val="24"/>
          <w:lang w:val="en-US"/>
        </w:rPr>
        <w:t xml:space="preserve"> f</w:t>
      </w:r>
      <w:r w:rsidR="00101040" w:rsidRPr="00123003">
        <w:rPr>
          <w:sz w:val="24"/>
          <w:szCs w:val="24"/>
          <w:lang w:val="en-US"/>
        </w:rPr>
        <w:t>or</w:t>
      </w:r>
      <w:r w:rsidR="00CA0A51" w:rsidRPr="00123003">
        <w:rPr>
          <w:sz w:val="24"/>
          <w:szCs w:val="24"/>
          <w:lang w:val="en-US"/>
        </w:rPr>
        <w:t xml:space="preserve"> CRC (</w:t>
      </w:r>
      <w:r w:rsidR="003653E2" w:rsidRPr="00123003">
        <w:rPr>
          <w:sz w:val="24"/>
          <w:szCs w:val="24"/>
          <w:lang w:val="en-US"/>
        </w:rPr>
        <w:t>~</w:t>
      </w:r>
      <w:r w:rsidR="00B83CB4">
        <w:rPr>
          <w:sz w:val="24"/>
          <w:szCs w:val="24"/>
          <w:lang w:val="en-US"/>
        </w:rPr>
        <w:t>9</w:t>
      </w:r>
      <w:r w:rsidR="00101040" w:rsidRPr="00123003">
        <w:rPr>
          <w:sz w:val="24"/>
          <w:szCs w:val="24"/>
          <w:lang w:val="en-US"/>
        </w:rPr>
        <w:t>1:100,000)</w:t>
      </w:r>
      <w:r w:rsidR="00E07571" w:rsidRPr="00123003">
        <w:rPr>
          <w:sz w:val="24"/>
          <w:szCs w:val="24"/>
          <w:lang w:val="en-US"/>
        </w:rPr>
        <w:t xml:space="preserve">, but their frequency of genetic mutations predisposing for CRC seems to be similar to other populations in the US </w:t>
      </w:r>
      <w:r w:rsidR="000C262D" w:rsidRPr="00123003">
        <w:rPr>
          <w:sz w:val="24"/>
          <w:szCs w:val="24"/>
          <w:lang w:val="en-US"/>
        </w:rPr>
        <w:fldChar w:fldCharType="begin"/>
      </w:r>
      <w:r w:rsidR="00F61B70">
        <w:rPr>
          <w:sz w:val="24"/>
          <w:szCs w:val="24"/>
          <w:lang w:val="en-US"/>
        </w:rPr>
        <w:instrText xml:space="preserve"> ADDIN ZOTERO_ITEM CSL_CITATION {"citationID":"dfjf8Dl5","properties":{"unsorted":true,"formattedCitation":"(11\\uc0\\u8211{}14)","plainCitation":"(11–14)","noteIndex":0},"citationItems":[{"id":3862,"uris":["http://zotero.org/users/46719/items/C2USSYW2"],"uri":["http://zotero.org/users/46719/items/C2USSYW2"],"itemData":{"id":3862,"type":"article-journal","title":"Colorectal cancer incidence and survival among Alaska Natives, 1969-1993","container-title":"International Journal of Epidemiology","page":"388-396","volume":"27","issue":"3","source":"PubMed","abstract":"BACKGROUND: Although colorectal cancer rates are low among most groups of Native Americans in North America, rates for Alaska Natives have been substantially elevated compared with US rates for all races combined.\nMETHODS: To better describe the epidemiology of colorectal cancer incidence and survival among Alaska Natives, stratified by gender and tribal/ethnic affiliation, we examined data collected by the Alaska Native Cancer Registry 1969-1993. We calculated age-adjusted and age-specific incidence as well as actuarial survival rates, and examined histological type, site, stage at diagnosis, and treatment. We compared these data to colorectal cancer data from whites living in western Washington.\nRESULTS: In all, 587 colorectal cancer cases were identified among Alaska Natives over the 25-year period, for an age-adjusted annual incidence rate of 71.4/100000 in women, and 69.3/100000 in men. Compared to Alaska Indians, colon cancer rates were significantly higher in Aleuts (relative risk [RR] = 1.6, 95% CI: 1.2-2.2) and in Eskimos (RR = 1.5, 95% CI: 1.2-1.8), while rectal cancer rates did not differ by race/ethnicity. Alaska Natives experienced a 50% higher incidence rate of colorectal cancer overall compared to western Washington whites (RR = 1.5, 95% CI: 1.3-1.6), although rectal cancer rates were similar in the two populations. The highest RR were seen among Alaska Native women; Aleuts and Eskimos had colon cancer rates more than twice that of western Washington white women. No unusual qualitative features were found in the cancers occurring in Alaska Natives. Actuarial colorectal cancer survival rates for Alaska Natives overall were 74% at one year and 42% at 5 years; these rates were very similar to those observed for the western Washington population. Both one and 5-year survival rates showed a significant trend towards improvement over time.\nCONCLUSIONS: Alaska Natives had substantially higher colorectal cancer incidence rates compared to western Washington whites. Rates were particularly high for Aleut and Eskimo women. These data suggest a need for intensified secondary prevention strategies for this high-risk population, while further research is needed to identify modifiable risk factors.","ISSN":"0300-5771","note":"PMID: 9698125","journalAbbreviation":"Int J Epidemiol","language":"eng","author":[{"family":"Brown","given":"M. O."},{"family":"Lanier","given":"A. P."},{"family":"Becker","given":"T. M."}],"issued":{"date-parts":[["1998",6]]}}},{"id":3919,"uris":["http://zotero.org/users/46719/items/47T8NIUU"],"uri":["http://zotero.org/users/46719/items/47T8NIUU"],"itemData":{"id":3919,"type":"article-journal","title":"Frequency of defective DNA mismatch repair in colorectal cancer among the Alaska Native people","container-title":"Cancer Epidemiology, Biomarkers &amp; Prevention: A Publication of the American Association for Cancer Research, Cosponsored by the American Society of Preventive Oncology","page":"2344-2350","volume":"16","issue":"11","source":"PubMed","abstract":"The frequency of colorectal cancer (CRC) among the Alaska Native people is the highest of any ethnic group in the United States. In this study, CRC from 329 Alaska Native people (165 Eskimo, 111 Indians, and 53 Aleut) were evaluated for evidence of defective DNA mismatch repair (MMR) by testing tumors for altered protein expression (hMLH1, hMSH2, and hMSH6) and for the presence of microsatellite instability. Of the 329 samples tested, 46 (14%) showed both microsatellite instability and altered protein expression; 42 (91%) with a loss of hMLH1, 3 (7%) hMSH2, and 1 (2%) hMLH1/hMSH6. Tumors with loss of hMLH1 were further evaluated for hMLH1 promoter hypermethylation and for the presence of the BRAF-V600E mutation. Among cases tested, all 19 (100%) tumors among the Eskimo patients showed hMLH1 promoter hypermethylation, whereas this was the case for only 3 of the 7 (42%) tumors among the Aleut (P=0.002) and 5 of the 10 (50%) tumors from the Indians (P=0.002). The majority of hypermethylated cases (23 of 27) tested positive for the V600E alteration. Of the nine tumors from the Aleut and Indian patients that did not exhibit hMLH1 hypermethylation, eight tested negative for V600E. Overall, the frequency of defective MMR among the three groups was not statistically different (P=0.75). However, the data suggest that the pathogenesis of CRC may differ between the three groups. The CRC with defective MMR among the Eskimo sample fit the typical profile for hMLH1-related cancer associated with sporadic CRC, whereas the pattern in the Aleut and Indian suggests the possibility that germ line hMLH1 mutations may be present.","DOI":"10.1158/1055-9965.EPI-07-0577","ISSN":"1055-9965","note":"PMID: 18006922","journalAbbreviation":"Cancer Epidemiol. Biomarkers Prev.","language":"eng","author":[{"family":"Boardman","given":"Lisa A."},{"family":"Lanier","given":"Anne P."},{"family":"French","given":"Amy J."},{"family":"Schowalter","given":"Karen V."},{"family":"Burgart","given":"Lawrence J."},{"family":"Koller","given":"Kathryn R."},{"family":"McDonnell","given":"Shannon K."},{"family":"Schaid","given":"Daniel J."},{"family":"Thibodeau","given":"Stephen N."}],"issued":{"date-parts":[["2007",11]]}}},{"id":3918,"uris":["http://zotero.org/users/46719/items/KYX4YNU2"],"uri":["http://zotero.org/users/46719/items/KYX4YNU2"],"itemData":{"id":3918,"type":"article-journal","title":"Colorectal Cancer in Alaska Native People, 2005–2009","container-title":"Gastrointestinal Cancer Research : GCR","page":"149-154","volume":"5","issue":"5","source":"PubMed Central","abstract":"BACKGROUND:\nColorectal cancer (CRC) is the most frequently diagnosed cancer among Alaska Native (AN) people, and the second leading cause of cancer death. The incidence rate for the combined years 1999 through 2003 was 30% higher than the rate among U.S. whites (USWs) for the same period. Current incidence rates may serve to monitor the impact of screening programs in reducing CRC in the AN population.\n\nMETHODS:\nIncidence data are from the Alaska Native Tumor Registry and the National Cancer Institute Surveillance, Epidemiology, and End Results (SEER) Program. We compared AN CRC incidence, survival rates, and stage at diagnosis with rates in USWs for cases diagnosed from 2005 through 2009. Relative survival calculations were produced in SEER*Stat by the actuarial method.\n\nRESULTS:\nThe CRC age-adjusted incidence rate among AN men and women combined was higher than those in USW men and women (84 vs. 43/100,000; P &lt; .05; AN:USW rate ratio [RR] = 2.0). The greatest differences between rates in AN people and USWs were for tumors in the hepatic flexure (RR = 3.1) and in the transverse (RR = 2.9) and sigmoid (RR = 2.5) regions of the colon. Rectal cancer rates among AN people were significantly higher than rates in USWs (21 vs.12/100,000). Five-year relative survival proportions by stage at diagnosis indicate that the CRC 5-year relative survival was similar in AN people and USWs for the period 2004 through 2009.\n\nCONCLUSIONS:\nThe high rate of CRC in AN people emphasizes the need for screening programs and interventions to reduce known modifiable risks. Research in methods to promote healthy behaviors among AN people is greatly needed.","ISSN":"1934-7820","note":"PMID: 23112882\nPMCID: PMC3481146","journalAbbreviation":"Gastrointest Cancer Res","author":[{"family":"Kelly","given":"Janet J."},{"family":"Alberts","given":"Steven R."},{"family":"Sacco","given":"Frank"},{"family":"Lanier","given":"Anne P."}],"issued":{"date-parts":[["2012"]]}}},{"id":4115,"uris":["http://zotero.org/users/46719/items/BLVHABGW"],"uri":["http://zotero.org/users/46719/items/BLVHABGW"],"itemData":{"id":4115,"type":"article-journal","title":"Geographic variation in colorectal cancer incidence and mortality, age of onset, and stage at diagnosis among American Indian and Alaska Native people, 1990-2009","container-title":"American Journal of Public Health","page":"S404-414","volume":"104 Suppl 3","source":"PubMed","abstract":"OBJECTIVES: We characterized estimates of colorectal cancer (CRC) in American Indians/Alaska Natives (AI/ANs) compared with Whites using a linkage methodology to improve AI/AN classification in incidence and mortality data.\nMETHODS: We linked incidence and mortality data to Indian Health Service enrollment records. Our analyses were restricted to Contract Health Services Delivery Area counties. We analyzed death and incidence rates of CRC for AI/AN persons and Whites by 6 regions from 1999 to 2009. Trends were described using linear modeling.\nRESULTS: The AI/AN colorectal cancer incidence was 21% higher and mortality 39% higher than in Whites. Although incidence and mortality significantly declined among Whites, AI/AN incidence did not change significantly, and mortality declined only in the Northern Plains. AI/AN persons had a higher incidence of CRC than Whites in all ages and were more often diagnosed with late stage CRC than Whites.\nCONCLUSIONS: Compared with Whites, AI/AN individuals in many regions had a higher burden of CRC and stable or increasing CRC mortality. An understanding of the factors driving these regional disparities could offer critical insights for prevention and control programs.","DOI":"10.2105/AJPH.2013.301654","ISSN":"1541-0048","note":"PMID: 24754657\nPMCID: PMC4035875","journalAbbreviation":"Am J Public Health","language":"eng","author":[{"family":"Perdue","given":"David G."},{"family":"Haverkamp","given":"Donald"},{"family":"Perkins","given":"Carin"},{"family":"Daley","given":"Christine Makosky"},{"family":"Provost","given":"Ellen"}],"issued":{"date-parts":[["2014",6]]}}}],"schema":"https://github.com/citation-style-language/schema/raw/master/csl-citation.json"} </w:instrText>
      </w:r>
      <w:r w:rsidR="000C262D" w:rsidRPr="00123003">
        <w:rPr>
          <w:sz w:val="24"/>
          <w:szCs w:val="24"/>
          <w:lang w:val="en-US"/>
        </w:rPr>
        <w:fldChar w:fldCharType="separate"/>
      </w:r>
      <w:r w:rsidR="00164E6C" w:rsidRPr="00123003">
        <w:rPr>
          <w:rFonts w:cs="Times New Roman"/>
          <w:sz w:val="24"/>
          <w:szCs w:val="24"/>
          <w:lang w:val="en-US"/>
        </w:rPr>
        <w:t>(11–14)</w:t>
      </w:r>
      <w:r w:rsidR="000C262D" w:rsidRPr="00123003">
        <w:rPr>
          <w:sz w:val="24"/>
          <w:szCs w:val="24"/>
          <w:lang w:val="en-US"/>
        </w:rPr>
        <w:fldChar w:fldCharType="end"/>
      </w:r>
      <w:r w:rsidR="000C262D" w:rsidRPr="00123003">
        <w:rPr>
          <w:sz w:val="24"/>
          <w:szCs w:val="24"/>
          <w:lang w:val="en-US"/>
        </w:rPr>
        <w:t>.</w:t>
      </w:r>
      <w:r w:rsidR="00335ECA" w:rsidRPr="00123003">
        <w:rPr>
          <w:sz w:val="24"/>
          <w:szCs w:val="24"/>
          <w:lang w:val="en-US"/>
        </w:rPr>
        <w:t xml:space="preserve"> </w:t>
      </w:r>
      <w:r w:rsidR="00E07571" w:rsidRPr="00123003">
        <w:rPr>
          <w:sz w:val="24"/>
          <w:szCs w:val="24"/>
          <w:lang w:val="en-US"/>
        </w:rPr>
        <w:t>W</w:t>
      </w:r>
      <w:r w:rsidR="003179CC" w:rsidRPr="00123003">
        <w:rPr>
          <w:sz w:val="24"/>
          <w:szCs w:val="24"/>
          <w:lang w:val="en-US"/>
        </w:rPr>
        <w:t xml:space="preserve">e aimed to investigate how the diet of </w:t>
      </w:r>
      <w:proofErr w:type="gramStart"/>
      <w:r w:rsidR="00335ECA" w:rsidRPr="00123003">
        <w:rPr>
          <w:sz w:val="24"/>
          <w:szCs w:val="24"/>
          <w:lang w:val="en-US"/>
        </w:rPr>
        <w:t>AN</w:t>
      </w:r>
      <w:proofErr w:type="gramEnd"/>
      <w:r w:rsidR="00335ECA" w:rsidRPr="00123003">
        <w:rPr>
          <w:sz w:val="24"/>
          <w:szCs w:val="24"/>
          <w:lang w:val="en-US"/>
        </w:rPr>
        <w:t xml:space="preserve"> people</w:t>
      </w:r>
      <w:r w:rsidR="003179CC" w:rsidRPr="00123003">
        <w:rPr>
          <w:sz w:val="24"/>
          <w:szCs w:val="24"/>
          <w:lang w:val="en-US"/>
        </w:rPr>
        <w:t xml:space="preserve"> impacts </w:t>
      </w:r>
      <w:r w:rsidR="00192627" w:rsidRPr="00123003">
        <w:rPr>
          <w:sz w:val="24"/>
          <w:szCs w:val="24"/>
          <w:lang w:val="en-US"/>
        </w:rPr>
        <w:t>the composition and function of the gut microbiota and related</w:t>
      </w:r>
      <w:r w:rsidR="003179CC" w:rsidRPr="00123003">
        <w:rPr>
          <w:sz w:val="24"/>
          <w:szCs w:val="24"/>
          <w:lang w:val="en-US"/>
        </w:rPr>
        <w:t xml:space="preserve"> metabolic markers </w:t>
      </w:r>
      <w:r w:rsidR="000C262D" w:rsidRPr="00123003">
        <w:rPr>
          <w:sz w:val="24"/>
          <w:szCs w:val="24"/>
          <w:lang w:val="en-US"/>
        </w:rPr>
        <w:t xml:space="preserve">that are </w:t>
      </w:r>
      <w:r w:rsidR="003179CC" w:rsidRPr="00123003">
        <w:rPr>
          <w:sz w:val="24"/>
          <w:szCs w:val="24"/>
          <w:lang w:val="en-US"/>
        </w:rPr>
        <w:t>associated with</w:t>
      </w:r>
      <w:r w:rsidR="000C262D" w:rsidRPr="00123003">
        <w:rPr>
          <w:sz w:val="24"/>
          <w:szCs w:val="24"/>
          <w:lang w:val="en-US"/>
        </w:rPr>
        <w:t xml:space="preserve"> increased</w:t>
      </w:r>
      <w:r w:rsidR="003179CC" w:rsidRPr="00123003">
        <w:rPr>
          <w:sz w:val="24"/>
          <w:szCs w:val="24"/>
          <w:lang w:val="en-US"/>
        </w:rPr>
        <w:t xml:space="preserve"> CRC</w:t>
      </w:r>
      <w:r w:rsidR="000C262D" w:rsidRPr="00123003">
        <w:rPr>
          <w:sz w:val="24"/>
          <w:szCs w:val="24"/>
          <w:lang w:val="en-US"/>
        </w:rPr>
        <w:t xml:space="preserve"> risk</w:t>
      </w:r>
      <w:r w:rsidR="003179CC" w:rsidRPr="00123003">
        <w:rPr>
          <w:sz w:val="24"/>
          <w:szCs w:val="24"/>
          <w:lang w:val="en-US"/>
        </w:rPr>
        <w:t xml:space="preserve">. </w:t>
      </w:r>
      <w:r w:rsidR="000C262D" w:rsidRPr="00123003">
        <w:rPr>
          <w:sz w:val="24"/>
          <w:szCs w:val="24"/>
          <w:lang w:val="en-US"/>
        </w:rPr>
        <w:t>Since t</w:t>
      </w:r>
      <w:r w:rsidR="00D549D4" w:rsidRPr="00123003">
        <w:rPr>
          <w:sz w:val="24"/>
          <w:szCs w:val="24"/>
          <w:lang w:val="en-US"/>
        </w:rPr>
        <w:t>he</w:t>
      </w:r>
      <w:r w:rsidR="00335ECA" w:rsidRPr="00123003">
        <w:rPr>
          <w:sz w:val="24"/>
          <w:szCs w:val="24"/>
          <w:lang w:val="en-US"/>
        </w:rPr>
        <w:t xml:space="preserve"> diet of </w:t>
      </w:r>
      <w:proofErr w:type="gramStart"/>
      <w:r w:rsidR="00335ECA" w:rsidRPr="00123003">
        <w:rPr>
          <w:sz w:val="24"/>
          <w:szCs w:val="24"/>
          <w:lang w:val="en-US"/>
        </w:rPr>
        <w:t>AN</w:t>
      </w:r>
      <w:proofErr w:type="gramEnd"/>
      <w:r w:rsidR="00335ECA" w:rsidRPr="00123003">
        <w:rPr>
          <w:sz w:val="24"/>
          <w:szCs w:val="24"/>
          <w:lang w:val="en-US"/>
        </w:rPr>
        <w:t xml:space="preserve"> people is rich in fat</w:t>
      </w:r>
      <w:r w:rsidR="003179CC" w:rsidRPr="00123003">
        <w:rPr>
          <w:sz w:val="24"/>
          <w:szCs w:val="24"/>
          <w:lang w:val="en-US"/>
        </w:rPr>
        <w:t xml:space="preserve"> and low in fiber</w:t>
      </w:r>
      <w:r w:rsidR="000C262D" w:rsidRPr="00123003">
        <w:rPr>
          <w:sz w:val="24"/>
          <w:szCs w:val="24"/>
          <w:lang w:val="en-US"/>
        </w:rPr>
        <w:t>,</w:t>
      </w:r>
      <w:r w:rsidR="00335ECA" w:rsidRPr="00123003">
        <w:rPr>
          <w:sz w:val="24"/>
          <w:szCs w:val="24"/>
          <w:lang w:val="en-US"/>
        </w:rPr>
        <w:t xml:space="preserve"> </w:t>
      </w:r>
      <w:r w:rsidR="003179CC" w:rsidRPr="00123003">
        <w:rPr>
          <w:sz w:val="24"/>
          <w:szCs w:val="24"/>
          <w:lang w:val="en-US"/>
        </w:rPr>
        <w:t xml:space="preserve">we </w:t>
      </w:r>
      <w:r w:rsidR="00B14B67" w:rsidRPr="00123003">
        <w:rPr>
          <w:sz w:val="24"/>
          <w:szCs w:val="24"/>
          <w:lang w:val="en-US"/>
        </w:rPr>
        <w:t>evaluated our results by comparison to</w:t>
      </w:r>
      <w:r w:rsidR="003179CC" w:rsidRPr="00123003">
        <w:rPr>
          <w:sz w:val="24"/>
          <w:szCs w:val="24"/>
          <w:lang w:val="en-US"/>
        </w:rPr>
        <w:t xml:space="preserve"> rural Africa</w:t>
      </w:r>
      <w:r w:rsidR="00EC3069" w:rsidRPr="00123003">
        <w:rPr>
          <w:sz w:val="24"/>
          <w:szCs w:val="24"/>
          <w:lang w:val="en-US"/>
        </w:rPr>
        <w:t>n</w:t>
      </w:r>
      <w:r w:rsidR="003179CC" w:rsidRPr="00123003">
        <w:rPr>
          <w:sz w:val="24"/>
          <w:szCs w:val="24"/>
          <w:lang w:val="en-US"/>
        </w:rPr>
        <w:t xml:space="preserve"> (RA) people </w:t>
      </w:r>
      <w:r w:rsidR="00C65390" w:rsidRPr="00123003">
        <w:rPr>
          <w:sz w:val="24"/>
          <w:szCs w:val="24"/>
          <w:lang w:val="en-US"/>
        </w:rPr>
        <w:t xml:space="preserve">from South </w:t>
      </w:r>
      <w:r w:rsidR="00335ECA" w:rsidRPr="00123003">
        <w:rPr>
          <w:sz w:val="24"/>
          <w:szCs w:val="24"/>
          <w:lang w:val="en-US"/>
        </w:rPr>
        <w:t>Africa</w:t>
      </w:r>
      <w:r w:rsidR="005D462C" w:rsidRPr="00123003">
        <w:rPr>
          <w:sz w:val="24"/>
          <w:szCs w:val="24"/>
          <w:lang w:val="en-US"/>
        </w:rPr>
        <w:t>,</w:t>
      </w:r>
      <w:r w:rsidR="00335ECA" w:rsidRPr="00123003">
        <w:rPr>
          <w:sz w:val="24"/>
          <w:szCs w:val="24"/>
          <w:lang w:val="en-US"/>
        </w:rPr>
        <w:t xml:space="preserve"> who have a low-fat, high-fiber diet.</w:t>
      </w:r>
      <w:r w:rsidR="00696141" w:rsidRPr="00123003">
        <w:rPr>
          <w:sz w:val="24"/>
          <w:szCs w:val="24"/>
          <w:lang w:val="en-US"/>
        </w:rPr>
        <w:t xml:space="preserve"> </w:t>
      </w:r>
    </w:p>
    <w:p w:rsidR="005748B6" w:rsidRPr="00123003" w:rsidRDefault="00DA3D4B" w:rsidP="00123003">
      <w:pPr>
        <w:pStyle w:val="KeinLeerraum"/>
        <w:spacing w:line="480" w:lineRule="auto"/>
        <w:jc w:val="both"/>
        <w:rPr>
          <w:b/>
          <w:sz w:val="24"/>
          <w:szCs w:val="24"/>
          <w:lang w:val="en-US"/>
        </w:rPr>
      </w:pPr>
      <w:r w:rsidRPr="00123003">
        <w:rPr>
          <w:b/>
          <w:sz w:val="24"/>
          <w:szCs w:val="24"/>
          <w:lang w:val="en-US"/>
        </w:rPr>
        <w:t>METHODS</w:t>
      </w:r>
    </w:p>
    <w:p w:rsidR="00DA3D4B" w:rsidRPr="00123003" w:rsidRDefault="00CB6434" w:rsidP="00123003">
      <w:pPr>
        <w:pStyle w:val="KeinLeerraum"/>
        <w:spacing w:line="480" w:lineRule="auto"/>
        <w:jc w:val="both"/>
        <w:rPr>
          <w:b/>
          <w:sz w:val="24"/>
          <w:szCs w:val="24"/>
          <w:lang w:val="en-US"/>
        </w:rPr>
      </w:pPr>
      <w:r w:rsidRPr="00123003">
        <w:rPr>
          <w:b/>
          <w:sz w:val="24"/>
          <w:szCs w:val="24"/>
          <w:lang w:val="en-US"/>
        </w:rPr>
        <w:t xml:space="preserve">Study population </w:t>
      </w:r>
      <w:r w:rsidR="00EC3069" w:rsidRPr="00123003">
        <w:rPr>
          <w:b/>
          <w:sz w:val="24"/>
          <w:szCs w:val="24"/>
          <w:lang w:val="en-US"/>
        </w:rPr>
        <w:t>and sample collection</w:t>
      </w:r>
    </w:p>
    <w:p w:rsidR="004D36D7" w:rsidRPr="00123003" w:rsidRDefault="004D36D7" w:rsidP="00123003">
      <w:pPr>
        <w:spacing w:line="480" w:lineRule="auto"/>
        <w:jc w:val="both"/>
        <w:rPr>
          <w:sz w:val="24"/>
          <w:szCs w:val="24"/>
          <w:lang w:val="en-US"/>
        </w:rPr>
      </w:pPr>
      <w:r w:rsidRPr="00123003">
        <w:rPr>
          <w:sz w:val="24"/>
          <w:szCs w:val="24"/>
          <w:lang w:val="en-US"/>
        </w:rPr>
        <w:t>H</w:t>
      </w:r>
      <w:r w:rsidR="00374D8A" w:rsidRPr="00123003">
        <w:rPr>
          <w:sz w:val="24"/>
          <w:szCs w:val="24"/>
          <w:lang w:val="en-US"/>
        </w:rPr>
        <w:t xml:space="preserve">ealthy Alaska Native (AN) </w:t>
      </w:r>
      <w:r w:rsidR="00B14B67" w:rsidRPr="00123003">
        <w:rPr>
          <w:sz w:val="24"/>
          <w:szCs w:val="24"/>
          <w:lang w:val="en-US"/>
        </w:rPr>
        <w:t>people</w:t>
      </w:r>
      <w:r w:rsidR="00C169D4" w:rsidRPr="00123003">
        <w:rPr>
          <w:sz w:val="24"/>
          <w:szCs w:val="24"/>
          <w:lang w:val="en-US"/>
        </w:rPr>
        <w:t xml:space="preserve"> </w:t>
      </w:r>
      <w:r w:rsidR="00374D8A" w:rsidRPr="00123003">
        <w:rPr>
          <w:sz w:val="24"/>
          <w:szCs w:val="24"/>
          <w:lang w:val="en-US"/>
        </w:rPr>
        <w:t>and hea</w:t>
      </w:r>
      <w:r w:rsidR="0090144D" w:rsidRPr="00123003">
        <w:rPr>
          <w:sz w:val="24"/>
          <w:szCs w:val="24"/>
          <w:lang w:val="en-US"/>
        </w:rPr>
        <w:t>l</w:t>
      </w:r>
      <w:r w:rsidR="00374D8A" w:rsidRPr="00123003">
        <w:rPr>
          <w:sz w:val="24"/>
          <w:szCs w:val="24"/>
          <w:lang w:val="en-US"/>
        </w:rPr>
        <w:t xml:space="preserve">thy rural African (RA) </w:t>
      </w:r>
      <w:r w:rsidR="00B14B67" w:rsidRPr="00123003">
        <w:rPr>
          <w:sz w:val="24"/>
          <w:szCs w:val="24"/>
          <w:lang w:val="en-US"/>
        </w:rPr>
        <w:t>individuals</w:t>
      </w:r>
      <w:r w:rsidR="00374D8A" w:rsidRPr="00123003">
        <w:rPr>
          <w:sz w:val="24"/>
          <w:szCs w:val="24"/>
          <w:lang w:val="en-US"/>
        </w:rPr>
        <w:t xml:space="preserve"> were recruited</w:t>
      </w:r>
      <w:r w:rsidRPr="00123003">
        <w:rPr>
          <w:sz w:val="24"/>
          <w:szCs w:val="24"/>
          <w:lang w:val="en-US"/>
        </w:rPr>
        <w:t xml:space="preserve"> for this study</w:t>
      </w:r>
      <w:r w:rsidR="00374D8A" w:rsidRPr="00123003">
        <w:rPr>
          <w:sz w:val="24"/>
          <w:szCs w:val="24"/>
          <w:lang w:val="en-US"/>
        </w:rPr>
        <w:t>.</w:t>
      </w:r>
      <w:r w:rsidR="007D7C6C" w:rsidRPr="00123003">
        <w:rPr>
          <w:sz w:val="24"/>
          <w:szCs w:val="24"/>
          <w:lang w:val="en-US"/>
        </w:rPr>
        <w:t xml:space="preserve"> </w:t>
      </w:r>
      <w:r w:rsidR="00967869" w:rsidRPr="00123003">
        <w:rPr>
          <w:sz w:val="24"/>
          <w:szCs w:val="24"/>
          <w:lang w:val="en-US"/>
        </w:rPr>
        <w:t xml:space="preserve">Inclusion criteria were </w:t>
      </w:r>
      <w:proofErr w:type="gramStart"/>
      <w:r w:rsidR="00967869" w:rsidRPr="00123003">
        <w:rPr>
          <w:sz w:val="24"/>
          <w:szCs w:val="24"/>
          <w:lang w:val="en-US"/>
        </w:rPr>
        <w:t xml:space="preserve">AN </w:t>
      </w:r>
      <w:r w:rsidR="00C251AD" w:rsidRPr="00123003">
        <w:rPr>
          <w:sz w:val="24"/>
          <w:szCs w:val="24"/>
          <w:lang w:val="en-US"/>
        </w:rPr>
        <w:t>or</w:t>
      </w:r>
      <w:proofErr w:type="gramEnd"/>
      <w:r w:rsidR="00C251AD" w:rsidRPr="00123003">
        <w:rPr>
          <w:sz w:val="24"/>
          <w:szCs w:val="24"/>
          <w:lang w:val="en-US"/>
        </w:rPr>
        <w:t xml:space="preserve"> RA </w:t>
      </w:r>
      <w:r w:rsidR="00967869" w:rsidRPr="00123003">
        <w:rPr>
          <w:sz w:val="24"/>
          <w:szCs w:val="24"/>
          <w:lang w:val="en-US"/>
        </w:rPr>
        <w:t>heritage,</w:t>
      </w:r>
      <w:r w:rsidR="00FC05E4" w:rsidRPr="00123003">
        <w:rPr>
          <w:sz w:val="24"/>
          <w:szCs w:val="24"/>
          <w:lang w:val="en-US"/>
        </w:rPr>
        <w:t xml:space="preserve"> respectively,</w:t>
      </w:r>
      <w:r w:rsidR="00967869" w:rsidRPr="00123003">
        <w:rPr>
          <w:sz w:val="24"/>
          <w:szCs w:val="24"/>
          <w:lang w:val="en-US"/>
        </w:rPr>
        <w:t xml:space="preserve"> and regional resident for at least the past 5 years. </w:t>
      </w:r>
      <w:r w:rsidR="00173114" w:rsidRPr="00123003">
        <w:rPr>
          <w:sz w:val="24"/>
          <w:szCs w:val="24"/>
          <w:lang w:val="en-US"/>
        </w:rPr>
        <w:t>Exclusion criteria were</w:t>
      </w:r>
      <w:r w:rsidR="00967869" w:rsidRPr="00123003">
        <w:rPr>
          <w:sz w:val="24"/>
          <w:szCs w:val="24"/>
          <w:lang w:val="en-US"/>
        </w:rPr>
        <w:t>: history of cancer, medical treatment for</w:t>
      </w:r>
      <w:r w:rsidR="00652434" w:rsidRPr="00123003">
        <w:rPr>
          <w:sz w:val="24"/>
          <w:szCs w:val="24"/>
          <w:lang w:val="en-US"/>
        </w:rPr>
        <w:t xml:space="preserve"> bowel conditions (e.g., ulcers, </w:t>
      </w:r>
      <w:r w:rsidR="00967869" w:rsidRPr="00123003">
        <w:rPr>
          <w:sz w:val="24"/>
          <w:szCs w:val="24"/>
          <w:lang w:val="en-US"/>
        </w:rPr>
        <w:t xml:space="preserve">diarrhea), history of bowel disease (e.g., Crohn’s </w:t>
      </w:r>
      <w:r w:rsidR="00652434" w:rsidRPr="00123003">
        <w:rPr>
          <w:sz w:val="24"/>
          <w:szCs w:val="24"/>
          <w:lang w:val="en-US"/>
        </w:rPr>
        <w:t xml:space="preserve">disease, </w:t>
      </w:r>
      <w:r w:rsidR="00967869" w:rsidRPr="00123003">
        <w:rPr>
          <w:sz w:val="24"/>
          <w:szCs w:val="24"/>
          <w:lang w:val="en-US"/>
        </w:rPr>
        <w:t xml:space="preserve">ulcerative colitis), previous bowel surgery resulting in chronic diarrhea, diagnosis of HIV, </w:t>
      </w:r>
      <w:proofErr w:type="gramStart"/>
      <w:r w:rsidR="00967869" w:rsidRPr="00123003">
        <w:rPr>
          <w:sz w:val="24"/>
          <w:szCs w:val="24"/>
          <w:lang w:val="en-US"/>
        </w:rPr>
        <w:t>antibiotics</w:t>
      </w:r>
      <w:proofErr w:type="gramEnd"/>
      <w:r w:rsidR="00967869" w:rsidRPr="00123003">
        <w:rPr>
          <w:sz w:val="24"/>
          <w:szCs w:val="24"/>
          <w:lang w:val="en-US"/>
        </w:rPr>
        <w:t xml:space="preserve"> within past 12 weeks, on insulin</w:t>
      </w:r>
      <w:r w:rsidR="004153C8" w:rsidRPr="00123003">
        <w:rPr>
          <w:sz w:val="24"/>
          <w:szCs w:val="24"/>
          <w:lang w:val="en-US"/>
        </w:rPr>
        <w:t>, on pre-/probiotics</w:t>
      </w:r>
      <w:r w:rsidR="00967869" w:rsidRPr="00123003">
        <w:rPr>
          <w:sz w:val="24"/>
          <w:szCs w:val="24"/>
          <w:lang w:val="en-US"/>
        </w:rPr>
        <w:t>, or on steroids</w:t>
      </w:r>
      <w:r w:rsidR="003C039D">
        <w:rPr>
          <w:sz w:val="24"/>
          <w:szCs w:val="24"/>
          <w:lang w:val="en-US"/>
        </w:rPr>
        <w:t xml:space="preserve"> (</w:t>
      </w:r>
      <w:r w:rsidR="003C039D" w:rsidRPr="003C039D">
        <w:rPr>
          <w:b/>
          <w:sz w:val="24"/>
          <w:szCs w:val="24"/>
          <w:lang w:val="en-US"/>
        </w:rPr>
        <w:t>Supplemental Figure 1</w:t>
      </w:r>
      <w:r w:rsidR="003C039D">
        <w:rPr>
          <w:sz w:val="24"/>
          <w:szCs w:val="24"/>
          <w:lang w:val="en-US"/>
        </w:rPr>
        <w:t>)</w:t>
      </w:r>
      <w:r w:rsidR="00967869" w:rsidRPr="00123003">
        <w:rPr>
          <w:sz w:val="24"/>
          <w:szCs w:val="24"/>
          <w:lang w:val="en-US"/>
        </w:rPr>
        <w:t xml:space="preserve">. </w:t>
      </w:r>
      <w:r w:rsidR="00173114" w:rsidRPr="00123003">
        <w:rPr>
          <w:sz w:val="24"/>
          <w:szCs w:val="24"/>
          <w:lang w:val="en-US"/>
        </w:rPr>
        <w:t>I</w:t>
      </w:r>
      <w:r w:rsidR="003B1C96" w:rsidRPr="00123003">
        <w:rPr>
          <w:sz w:val="24"/>
          <w:szCs w:val="24"/>
          <w:lang w:val="en-US"/>
        </w:rPr>
        <w:t>nformed consent was acquired</w:t>
      </w:r>
      <w:r w:rsidR="00173114" w:rsidRPr="00123003">
        <w:rPr>
          <w:sz w:val="24"/>
          <w:szCs w:val="24"/>
          <w:lang w:val="en-US"/>
        </w:rPr>
        <w:t xml:space="preserve"> before enrollment </w:t>
      </w:r>
      <w:r w:rsidR="00F65A34" w:rsidRPr="00123003">
        <w:rPr>
          <w:sz w:val="24"/>
          <w:szCs w:val="24"/>
          <w:lang w:val="en-US"/>
        </w:rPr>
        <w:t>of</w:t>
      </w:r>
      <w:r w:rsidR="00173114" w:rsidRPr="00123003">
        <w:rPr>
          <w:sz w:val="24"/>
          <w:szCs w:val="24"/>
          <w:lang w:val="en-US"/>
        </w:rPr>
        <w:t xml:space="preserve"> study participants</w:t>
      </w:r>
      <w:r w:rsidR="007F4A8D" w:rsidRPr="00123003">
        <w:rPr>
          <w:sz w:val="24"/>
          <w:szCs w:val="24"/>
          <w:lang w:val="en-US"/>
        </w:rPr>
        <w:t xml:space="preserve">. </w:t>
      </w:r>
      <w:r w:rsidR="00E146DE" w:rsidRPr="00123003">
        <w:rPr>
          <w:sz w:val="24"/>
          <w:szCs w:val="24"/>
          <w:lang w:val="en-US"/>
        </w:rPr>
        <w:t xml:space="preserve">A colonoscopy was performed for every study participant, where </w:t>
      </w:r>
      <w:r w:rsidR="00F345E8" w:rsidRPr="00123003">
        <w:rPr>
          <w:sz w:val="24"/>
          <w:szCs w:val="24"/>
          <w:lang w:val="en-US"/>
        </w:rPr>
        <w:t>number of polyps was</w:t>
      </w:r>
      <w:r w:rsidR="00E146DE" w:rsidRPr="00123003">
        <w:rPr>
          <w:sz w:val="24"/>
          <w:szCs w:val="24"/>
          <w:lang w:val="en-US"/>
        </w:rPr>
        <w:t xml:space="preserve"> quantified and </w:t>
      </w:r>
      <w:r w:rsidR="00F345E8" w:rsidRPr="00123003">
        <w:rPr>
          <w:sz w:val="24"/>
          <w:szCs w:val="24"/>
          <w:lang w:val="en-US"/>
        </w:rPr>
        <w:t xml:space="preserve">polyps </w:t>
      </w:r>
      <w:r w:rsidR="00E146DE" w:rsidRPr="00123003">
        <w:rPr>
          <w:sz w:val="24"/>
          <w:szCs w:val="24"/>
          <w:lang w:val="en-US"/>
        </w:rPr>
        <w:t xml:space="preserve">removed. </w:t>
      </w:r>
      <w:r w:rsidR="007F4A8D" w:rsidRPr="00123003">
        <w:rPr>
          <w:sz w:val="24"/>
          <w:szCs w:val="24"/>
          <w:lang w:val="en-US"/>
        </w:rPr>
        <w:t>R</w:t>
      </w:r>
      <w:r w:rsidR="00967869" w:rsidRPr="00123003">
        <w:rPr>
          <w:sz w:val="24"/>
          <w:szCs w:val="24"/>
          <w:lang w:val="en-US"/>
        </w:rPr>
        <w:t>esearch nurses collected participant diet data using an annual food frequency questionnaire containing traditional AN</w:t>
      </w:r>
      <w:r w:rsidR="00C251AD" w:rsidRPr="00123003">
        <w:rPr>
          <w:sz w:val="24"/>
          <w:szCs w:val="24"/>
          <w:lang w:val="en-US"/>
        </w:rPr>
        <w:t xml:space="preserve"> or RA</w:t>
      </w:r>
      <w:r w:rsidR="00967869" w:rsidRPr="00123003">
        <w:rPr>
          <w:sz w:val="24"/>
          <w:szCs w:val="24"/>
          <w:lang w:val="en-US"/>
        </w:rPr>
        <w:t xml:space="preserve"> foods</w:t>
      </w:r>
      <w:r w:rsidR="00110AB6" w:rsidRPr="00123003">
        <w:rPr>
          <w:sz w:val="24"/>
          <w:szCs w:val="24"/>
          <w:lang w:val="en-US"/>
        </w:rPr>
        <w:t>, respectively</w:t>
      </w:r>
      <w:r w:rsidR="00836220">
        <w:rPr>
          <w:sz w:val="24"/>
          <w:szCs w:val="24"/>
          <w:lang w:val="en-US"/>
        </w:rPr>
        <w:fldChar w:fldCharType="begin"/>
      </w:r>
      <w:r w:rsidR="00F61B70">
        <w:rPr>
          <w:sz w:val="24"/>
          <w:szCs w:val="24"/>
          <w:lang w:val="en-US"/>
        </w:rPr>
        <w:instrText xml:space="preserve"> ADDIN ZOTERO_ITEM CSL_CITATION {"citationID":"Z9fLc3iT","properties":{"formattedCitation":"(15)","plainCitation":"(15)","noteIndex":0},"citationItems":[{"id":4501,"uris":["http://zotero.org/users/46719/items/IAZSR7QA"],"uri":["http://zotero.org/users/46719/items/IAZSR7QA"],"itemData":{"id":4501,"type":"article-journal","title":"Developing a validated Alaska Native food frequency questionnaire for western Alaska, 2002-2006","container-title":"International Journal of Circumpolar Health","page":"99-108","volume":"68","issue":"2","source":"PubMed","abstract":"OBJECTIVES: The purpose of this study was to develop a dietary instrument (food frequency questionnaire [FFQ]) that measured total dietary intake over 1 year among Alaska Native people in 2 regions. Ways of assessing diet are needed in order to accurately evaluate how the diets of Alaska Natives relate to their health.\nSTUDY DESIGN: Seasonal 24-hour (24-h) diet recalls were collected for developing an FFQ that described the average dietary foods and nutrients consumed. Alaska Native people living in 12 small communities in 2 regions of the state were eligible to participate.\nMETHODS: Each participant was to provide 4 24-h diet recalls, 1 per season. Recalls were used to develop an FFQ using regression techniques. The FFQ was administered to 58 of the 333 original participants. Responses to the FFQ were compared to the averages of their 24-h recalls using the Spearman Correlation Coefficient.\nRESULTS: Energy-adjusted correlations ranged from 0.15 for protein to 0.49 for monounsaturated fatty acids. Fifteen of 26 nutrients examined were significantly correlated (total carbohydrates, sucrose, fructose, total fat, fatty acids [monounsaturated, polyunsaturated, omega 3, EPA, DHA], folate, vitamins A, C, D, potassium and selenium).\nCONCLUSIONS: The FFQ can be used to evaluate intakes of Alaska Natives in western Alaska for the correlated nutrients.","DOI":"10.3402/ijch.v68i2.18319","ISSN":"1239-9736","note":"PMID: 19517870","journalAbbreviation":"Int J Circumpolar Health","language":"eng","author":[{"family":"Johnson","given":"Jennifer S."},{"family":"Nobmann","given":"Elizabeth D."},{"family":"Asay","given":"Elvin"},{"family":"Lanier","given":"Anne P."}],"issued":{"date-parts":[["2009",4]]}}}],"schema":"https://github.com/citation-style-language/schema/raw/master/csl-citation.json"} </w:instrText>
      </w:r>
      <w:r w:rsidR="00836220">
        <w:rPr>
          <w:sz w:val="24"/>
          <w:szCs w:val="24"/>
          <w:lang w:val="en-US"/>
        </w:rPr>
        <w:fldChar w:fldCharType="separate"/>
      </w:r>
      <w:r w:rsidR="00836220" w:rsidRPr="00665C18">
        <w:rPr>
          <w:rFonts w:ascii="Calibri" w:hAnsi="Calibri" w:cs="Calibri"/>
          <w:sz w:val="24"/>
          <w:lang w:val="en-US"/>
        </w:rPr>
        <w:t>(15)</w:t>
      </w:r>
      <w:r w:rsidR="00836220">
        <w:rPr>
          <w:sz w:val="24"/>
          <w:szCs w:val="24"/>
          <w:lang w:val="en-US"/>
        </w:rPr>
        <w:fldChar w:fldCharType="end"/>
      </w:r>
      <w:r w:rsidR="00967869" w:rsidRPr="00123003">
        <w:rPr>
          <w:sz w:val="24"/>
          <w:szCs w:val="24"/>
          <w:lang w:val="en-US"/>
        </w:rPr>
        <w:t xml:space="preserve">. </w:t>
      </w:r>
      <w:r w:rsidR="00967869" w:rsidRPr="00123003">
        <w:rPr>
          <w:sz w:val="24"/>
          <w:szCs w:val="24"/>
          <w:lang w:val="en-US"/>
        </w:rPr>
        <w:lastRenderedPageBreak/>
        <w:t>The average dietary intake of all macro- and micronutrients was calculated using values normalized to 1000</w:t>
      </w:r>
      <w:r w:rsidR="005E2CC7" w:rsidRPr="00123003">
        <w:rPr>
          <w:sz w:val="24"/>
          <w:szCs w:val="24"/>
          <w:lang w:val="en-US"/>
        </w:rPr>
        <w:t xml:space="preserve"> </w:t>
      </w:r>
      <w:r w:rsidR="00967869" w:rsidRPr="00123003">
        <w:rPr>
          <w:sz w:val="24"/>
          <w:szCs w:val="24"/>
          <w:lang w:val="en-US"/>
        </w:rPr>
        <w:t>kcal intake. Study participants were asked to collect a sample from the first stool and urine passed in the morning into sterile plastic containers. Samples were stored at 4°C, collected</w:t>
      </w:r>
      <w:r w:rsidR="00652434" w:rsidRPr="00123003">
        <w:rPr>
          <w:sz w:val="24"/>
          <w:szCs w:val="24"/>
          <w:lang w:val="en-US"/>
        </w:rPr>
        <w:t xml:space="preserve"> </w:t>
      </w:r>
      <w:r w:rsidR="00967869" w:rsidRPr="00123003">
        <w:rPr>
          <w:sz w:val="24"/>
          <w:szCs w:val="24"/>
          <w:lang w:val="en-US"/>
        </w:rPr>
        <w:t>and transported on ice to be stored frozen at -70°C.</w:t>
      </w:r>
      <w:r w:rsidR="00C251AD" w:rsidRPr="00123003">
        <w:rPr>
          <w:sz w:val="24"/>
          <w:szCs w:val="24"/>
          <w:lang w:val="en-US"/>
        </w:rPr>
        <w:t xml:space="preserve"> </w:t>
      </w:r>
      <w:r w:rsidR="009F0A79" w:rsidRPr="00123003">
        <w:rPr>
          <w:sz w:val="24"/>
          <w:szCs w:val="24"/>
          <w:lang w:val="en-US"/>
        </w:rPr>
        <w:t>The Alaska Area Institution Review Board (#2012-07-029</w:t>
      </w:r>
      <w:r w:rsidR="00BC25D2" w:rsidRPr="00123003">
        <w:rPr>
          <w:sz w:val="24"/>
          <w:szCs w:val="24"/>
          <w:lang w:val="en-US"/>
        </w:rPr>
        <w:t>)</w:t>
      </w:r>
      <w:r w:rsidR="009F0A79" w:rsidRPr="00123003">
        <w:rPr>
          <w:sz w:val="24"/>
          <w:szCs w:val="24"/>
          <w:lang w:val="en-US"/>
        </w:rPr>
        <w:t>, University of Pitt</w:t>
      </w:r>
      <w:r w:rsidR="0044100B" w:rsidRPr="00123003">
        <w:rPr>
          <w:sz w:val="24"/>
          <w:szCs w:val="24"/>
          <w:lang w:val="en-US"/>
        </w:rPr>
        <w:t>sburgh Institution Review Board</w:t>
      </w:r>
      <w:r w:rsidR="004D182A" w:rsidRPr="00123003">
        <w:rPr>
          <w:sz w:val="24"/>
          <w:szCs w:val="24"/>
          <w:lang w:val="en-US"/>
        </w:rPr>
        <w:t xml:space="preserve"> (</w:t>
      </w:r>
      <w:r w:rsidR="004D182A" w:rsidRPr="00123003">
        <w:rPr>
          <w:bCs/>
          <w:color w:val="000000"/>
          <w:sz w:val="24"/>
          <w:szCs w:val="24"/>
          <w:lang w:val="en-US"/>
        </w:rPr>
        <w:t>PRO 08100243)</w:t>
      </w:r>
      <w:r w:rsidR="00BC25D2" w:rsidRPr="00123003">
        <w:rPr>
          <w:sz w:val="24"/>
          <w:szCs w:val="24"/>
          <w:lang w:val="en-US"/>
        </w:rPr>
        <w:t xml:space="preserve"> </w:t>
      </w:r>
      <w:r w:rsidR="009F0A79" w:rsidRPr="00123003">
        <w:rPr>
          <w:sz w:val="24"/>
          <w:szCs w:val="24"/>
          <w:lang w:val="en-US"/>
        </w:rPr>
        <w:t>and the University of KwaZulu-Natal Medical Ethics and Research Committee</w:t>
      </w:r>
      <w:r w:rsidR="004D182A" w:rsidRPr="00123003">
        <w:rPr>
          <w:sz w:val="24"/>
          <w:szCs w:val="24"/>
          <w:lang w:val="en-US"/>
        </w:rPr>
        <w:t xml:space="preserve"> (REF: BE006/01)</w:t>
      </w:r>
      <w:r w:rsidR="00BC25D2" w:rsidRPr="00123003">
        <w:rPr>
          <w:sz w:val="24"/>
          <w:szCs w:val="24"/>
          <w:lang w:val="en-US"/>
        </w:rPr>
        <w:t xml:space="preserve"> </w:t>
      </w:r>
      <w:r w:rsidR="009F0A79" w:rsidRPr="00123003">
        <w:rPr>
          <w:sz w:val="24"/>
          <w:szCs w:val="24"/>
          <w:lang w:val="en-US"/>
        </w:rPr>
        <w:t>provided ethical review and approval for the study. Tribal approval was received from Alaska Native Tribal Health Consortium, Southcentral Foundation,</w:t>
      </w:r>
      <w:r w:rsidR="00F129C7">
        <w:rPr>
          <w:sz w:val="24"/>
          <w:szCs w:val="24"/>
          <w:lang w:val="en-US"/>
        </w:rPr>
        <w:t xml:space="preserve"> Artic Slope Native Association</w:t>
      </w:r>
      <w:r w:rsidR="009F0A79" w:rsidRPr="00123003">
        <w:rPr>
          <w:sz w:val="24"/>
          <w:szCs w:val="24"/>
          <w:lang w:val="en-US"/>
        </w:rPr>
        <w:t xml:space="preserve"> and Samuel Simmonds Memorial Hospital Administration.  </w:t>
      </w:r>
    </w:p>
    <w:p w:rsidR="00DA3D4B" w:rsidRPr="00123003" w:rsidRDefault="00E614B8" w:rsidP="00123003">
      <w:pPr>
        <w:pStyle w:val="KeinLeerraum"/>
        <w:spacing w:line="480" w:lineRule="auto"/>
        <w:jc w:val="both"/>
        <w:rPr>
          <w:b/>
          <w:sz w:val="24"/>
          <w:szCs w:val="24"/>
          <w:lang w:val="en-US"/>
        </w:rPr>
      </w:pPr>
      <w:r w:rsidRPr="00123003">
        <w:rPr>
          <w:b/>
          <w:sz w:val="24"/>
          <w:szCs w:val="24"/>
          <w:lang w:val="en-US"/>
        </w:rPr>
        <w:t xml:space="preserve">16S </w:t>
      </w:r>
      <w:proofErr w:type="spellStart"/>
      <w:r w:rsidRPr="00123003">
        <w:rPr>
          <w:b/>
          <w:sz w:val="24"/>
          <w:szCs w:val="24"/>
          <w:lang w:val="en-US"/>
        </w:rPr>
        <w:t>rRNA</w:t>
      </w:r>
      <w:proofErr w:type="spellEnd"/>
      <w:r w:rsidRPr="00123003">
        <w:rPr>
          <w:b/>
          <w:sz w:val="24"/>
          <w:szCs w:val="24"/>
          <w:lang w:val="en-US"/>
        </w:rPr>
        <w:t xml:space="preserve"> gene sequencing</w:t>
      </w:r>
      <w:r w:rsidR="00A932F5" w:rsidRPr="00123003">
        <w:rPr>
          <w:b/>
          <w:sz w:val="24"/>
          <w:szCs w:val="24"/>
          <w:lang w:val="en-US"/>
        </w:rPr>
        <w:t xml:space="preserve"> and</w:t>
      </w:r>
      <w:r w:rsidRPr="00123003">
        <w:rPr>
          <w:b/>
          <w:sz w:val="24"/>
          <w:szCs w:val="24"/>
          <w:lang w:val="en-US"/>
        </w:rPr>
        <w:t xml:space="preserve"> </w:t>
      </w:r>
      <w:r w:rsidR="007C19CD" w:rsidRPr="00123003">
        <w:rPr>
          <w:b/>
          <w:sz w:val="24"/>
          <w:szCs w:val="24"/>
          <w:lang w:val="en-US"/>
        </w:rPr>
        <w:t xml:space="preserve">taxonomic </w:t>
      </w:r>
      <w:r w:rsidR="00CD439B" w:rsidRPr="00123003">
        <w:rPr>
          <w:b/>
          <w:sz w:val="24"/>
          <w:szCs w:val="24"/>
          <w:lang w:val="en-US"/>
        </w:rPr>
        <w:t>analysis</w:t>
      </w:r>
    </w:p>
    <w:p w:rsidR="008106E8" w:rsidRPr="00123003" w:rsidRDefault="00CD439B" w:rsidP="00123003">
      <w:pPr>
        <w:spacing w:line="480" w:lineRule="auto"/>
        <w:jc w:val="both"/>
        <w:rPr>
          <w:rFonts w:cs="Times New Roman"/>
          <w:sz w:val="24"/>
          <w:szCs w:val="24"/>
          <w:highlight w:val="yellow"/>
          <w:lang w:val="en-US"/>
        </w:rPr>
      </w:pPr>
      <w:r w:rsidRPr="00123003">
        <w:rPr>
          <w:rFonts w:cs="Times New Roman"/>
          <w:sz w:val="24"/>
          <w:szCs w:val="24"/>
          <w:lang w:val="en-US"/>
        </w:rPr>
        <w:t>DNA was extracted fr</w:t>
      </w:r>
      <w:r w:rsidR="001527A8" w:rsidRPr="00123003">
        <w:rPr>
          <w:rFonts w:cs="Times New Roman"/>
          <w:sz w:val="24"/>
          <w:szCs w:val="24"/>
          <w:lang w:val="en-US"/>
        </w:rPr>
        <w:t xml:space="preserve">om frozen fecal samples using </w:t>
      </w:r>
      <w:r w:rsidR="004D182A" w:rsidRPr="00123003">
        <w:rPr>
          <w:rFonts w:cs="Times New Roman"/>
          <w:sz w:val="24"/>
          <w:szCs w:val="24"/>
          <w:lang w:val="en-US"/>
        </w:rPr>
        <w:t>a</w:t>
      </w:r>
      <w:r w:rsidR="001527A8" w:rsidRPr="00123003">
        <w:rPr>
          <w:rFonts w:cs="Times New Roman"/>
          <w:sz w:val="24"/>
          <w:szCs w:val="24"/>
          <w:lang w:val="en-US"/>
        </w:rPr>
        <w:t xml:space="preserve"> DNA Stool Mini </w:t>
      </w:r>
      <w:r w:rsidRPr="00123003">
        <w:rPr>
          <w:rFonts w:cs="Times New Roman"/>
          <w:sz w:val="24"/>
          <w:szCs w:val="24"/>
          <w:lang w:val="en-US"/>
        </w:rPr>
        <w:t>kit (</w:t>
      </w:r>
      <w:proofErr w:type="spellStart"/>
      <w:r w:rsidRPr="00123003">
        <w:rPr>
          <w:rFonts w:cs="Times New Roman"/>
          <w:sz w:val="24"/>
          <w:szCs w:val="24"/>
          <w:lang w:val="en-US"/>
        </w:rPr>
        <w:t>Qiagen</w:t>
      </w:r>
      <w:proofErr w:type="spellEnd"/>
      <w:r w:rsidR="00C14501" w:rsidRPr="00123003">
        <w:rPr>
          <w:rFonts w:cs="Times New Roman"/>
          <w:sz w:val="24"/>
          <w:szCs w:val="24"/>
          <w:lang w:val="en-US"/>
        </w:rPr>
        <w:t>, Venlo, The Netherlands</w:t>
      </w:r>
      <w:r w:rsidRPr="00123003">
        <w:rPr>
          <w:rFonts w:cs="Times New Roman"/>
          <w:sz w:val="24"/>
          <w:szCs w:val="24"/>
          <w:lang w:val="en-US"/>
        </w:rPr>
        <w:t xml:space="preserve">) according to the manufacturer’s recommendations. A bead-beating step was included to increase the yields of DNA extracted from gram-positive </w:t>
      </w:r>
      <w:r w:rsidR="004A44FF" w:rsidRPr="00123003">
        <w:rPr>
          <w:rFonts w:cs="Times New Roman"/>
          <w:sz w:val="24"/>
          <w:szCs w:val="24"/>
          <w:lang w:val="en-US"/>
        </w:rPr>
        <w:t>bacteria</w:t>
      </w:r>
      <w:r w:rsidR="00C4775C" w:rsidRPr="00123003">
        <w:rPr>
          <w:rFonts w:cs="Times New Roman"/>
          <w:sz w:val="24"/>
          <w:szCs w:val="24"/>
          <w:lang w:val="en-US"/>
        </w:rPr>
        <w:t>.</w:t>
      </w:r>
      <w:r w:rsidR="004D076A" w:rsidRPr="00123003">
        <w:rPr>
          <w:rFonts w:cs="Times New Roman"/>
          <w:sz w:val="24"/>
          <w:szCs w:val="24"/>
          <w:lang w:val="en-US"/>
        </w:rPr>
        <w:t xml:space="preserve"> </w:t>
      </w:r>
      <w:r w:rsidR="004D076A" w:rsidRPr="00123003">
        <w:rPr>
          <w:sz w:val="24"/>
          <w:szCs w:val="24"/>
          <w:lang w:val="en-US"/>
        </w:rPr>
        <w:t>Extracted</w:t>
      </w:r>
      <w:r w:rsidR="00F01528" w:rsidRPr="00123003">
        <w:rPr>
          <w:sz w:val="24"/>
          <w:szCs w:val="24"/>
          <w:lang w:val="en-US"/>
        </w:rPr>
        <w:t xml:space="preserve"> DNA was PCR-</w:t>
      </w:r>
      <w:r w:rsidR="004D076A" w:rsidRPr="00123003">
        <w:rPr>
          <w:sz w:val="24"/>
          <w:szCs w:val="24"/>
          <w:lang w:val="en-US"/>
        </w:rPr>
        <w:t xml:space="preserve">amplified using the method/primers of </w:t>
      </w:r>
      <w:proofErr w:type="spellStart"/>
      <w:r w:rsidR="004D076A" w:rsidRPr="00123003">
        <w:rPr>
          <w:i/>
          <w:sz w:val="24"/>
          <w:szCs w:val="24"/>
          <w:lang w:val="en-US"/>
        </w:rPr>
        <w:t>Caporaso</w:t>
      </w:r>
      <w:proofErr w:type="spellEnd"/>
      <w:r w:rsidR="004D076A" w:rsidRPr="00123003">
        <w:rPr>
          <w:i/>
          <w:sz w:val="24"/>
          <w:szCs w:val="24"/>
          <w:lang w:val="en-US"/>
        </w:rPr>
        <w:t xml:space="preserve"> et al.</w:t>
      </w:r>
      <w:r w:rsidR="004D076A" w:rsidRPr="00123003">
        <w:rPr>
          <w:sz w:val="24"/>
          <w:szCs w:val="24"/>
          <w:lang w:val="en-US"/>
        </w:rPr>
        <w:t xml:space="preserve"> and the Q5 HS High-Fidelity polymerase (NEB</w:t>
      </w:r>
      <w:r w:rsidR="00C14501" w:rsidRPr="00123003">
        <w:rPr>
          <w:sz w:val="24"/>
          <w:szCs w:val="24"/>
          <w:lang w:val="en-US"/>
        </w:rPr>
        <w:t>, Ipswich, MA, USA</w:t>
      </w:r>
      <w:r w:rsidR="004D076A" w:rsidRPr="00123003">
        <w:rPr>
          <w:sz w:val="24"/>
          <w:szCs w:val="24"/>
          <w:lang w:val="en-US"/>
        </w:rPr>
        <w:t xml:space="preserve">) </w:t>
      </w:r>
      <w:r w:rsidR="004D076A" w:rsidRPr="00123003">
        <w:rPr>
          <w:sz w:val="24"/>
          <w:szCs w:val="24"/>
          <w:lang w:val="en-US"/>
        </w:rPr>
        <w:fldChar w:fldCharType="begin"/>
      </w:r>
      <w:r w:rsidR="00F61B70">
        <w:rPr>
          <w:sz w:val="24"/>
          <w:szCs w:val="24"/>
          <w:lang w:val="en-US"/>
        </w:rPr>
        <w:instrText xml:space="preserve"> ADDIN ZOTERO_ITEM CSL_CITATION {"citationID":"a28i0t8r685","properties":{"formattedCitation":"(16)","plainCitation":"(16)","noteIndex":0},"citationItems":[{"id":4152,"uris":["http://zotero.org/users/46719/items/AGDUNWEW"],"uri":["http://zotero.org/users/46719/items/AGDUNWEW"],"itemData":{"id":4152,"type":"article-journal","title":"Ultra-high-throughput microbial community analysis on the Illumina HiSeq and MiSeq platforms","container-title":"The ISME journal","page":"1621-1624","volume":"6","issue":"8","source":"PubMed","abstract":"DNA sequencing continues to decrease in cost with the Illumina HiSeq2000 generating up to 600 Gb of paired-end 100 base reads in a ten-day run. Here we present a protocol for community amplicon sequencing on the HiSeq2000 and MiSeq Illumina platforms, and apply that protocol to sequence 24 microbial communities from host-associated and free-living environments. A critical question as more sequencing platforms become available is whether biological conclusions derived on one platform are consistent with what would be derived on a different platform. We show that the protocol developed for these instruments successfully recaptures known biological results, and additionally that biological conclusions are consistent across sequencing platforms (the HiSeq2000 versus the MiSeq) and across the sequenced regions of amplicons.","DOI":"10.1038/ismej.2012.8","ISSN":"1751-7370","note":"PMID: 22402401\nPMCID: PMC3400413","journalAbbreviation":"ISME J","language":"eng","author":[{"family":"Caporaso","given":"J. Gregory"},{"family":"Lauber","given":"Christian L."},{"family":"Walters","given":"William A."},{"family":"Berg-Lyons","given":"Donna"},{"family":"Huntley","given":"James"},{"family":"Fierer","given":"Noah"},{"family":"Owens","given":"Sarah M."},{"family":"Betley","given":"Jason"},{"family":"Fraser","given":"Louise"},{"family":"Bauer","given":"Markus"},{"family":"Gormley","given":"Niall"},{"family":"Gilbert","given":"Jack A."},{"family":"Smith","given":"Geoff"},{"family":"Knight","given":"Rob"}],"issued":{"date-parts":[["2012",8]]}}}],"schema":"https://github.com/citation-style-language/schema/raw/master/csl-citation.json"} </w:instrText>
      </w:r>
      <w:r w:rsidR="004D076A" w:rsidRPr="00123003">
        <w:rPr>
          <w:sz w:val="24"/>
          <w:szCs w:val="24"/>
          <w:lang w:val="en-US"/>
        </w:rPr>
        <w:fldChar w:fldCharType="separate"/>
      </w:r>
      <w:r w:rsidR="00836220" w:rsidRPr="00836220">
        <w:rPr>
          <w:rFonts w:ascii="Calibri" w:hAnsi="Calibri" w:cs="Calibri"/>
          <w:sz w:val="24"/>
          <w:lang w:val="en-US"/>
        </w:rPr>
        <w:t>(16)</w:t>
      </w:r>
      <w:r w:rsidR="004D076A" w:rsidRPr="00123003">
        <w:rPr>
          <w:sz w:val="24"/>
          <w:szCs w:val="24"/>
          <w:lang w:val="en-US"/>
        </w:rPr>
        <w:fldChar w:fldCharType="end"/>
      </w:r>
      <w:r w:rsidR="004D076A" w:rsidRPr="00123003">
        <w:rPr>
          <w:sz w:val="24"/>
          <w:szCs w:val="24"/>
          <w:lang w:val="en-US"/>
        </w:rPr>
        <w:t>. See</w:t>
      </w:r>
      <w:r w:rsidR="004A44FF" w:rsidRPr="00123003">
        <w:rPr>
          <w:rFonts w:cs="Times New Roman"/>
          <w:sz w:val="24"/>
          <w:szCs w:val="24"/>
          <w:lang w:val="en-US"/>
        </w:rPr>
        <w:t xml:space="preserve"> </w:t>
      </w:r>
      <w:r w:rsidR="00D3195D" w:rsidRPr="00123003">
        <w:rPr>
          <w:rFonts w:cs="Times New Roman"/>
          <w:sz w:val="24"/>
          <w:szCs w:val="24"/>
          <w:lang w:val="en-US"/>
        </w:rPr>
        <w:t xml:space="preserve">online </w:t>
      </w:r>
      <w:r w:rsidR="004A44FF" w:rsidRPr="00123003">
        <w:rPr>
          <w:rFonts w:cs="Times New Roman"/>
          <w:sz w:val="24"/>
          <w:szCs w:val="24"/>
          <w:lang w:val="en-US"/>
        </w:rPr>
        <w:t xml:space="preserve">supplementary </w:t>
      </w:r>
      <w:r w:rsidR="00D3195D" w:rsidRPr="00123003">
        <w:rPr>
          <w:rFonts w:cs="Times New Roman"/>
          <w:sz w:val="24"/>
          <w:szCs w:val="24"/>
          <w:lang w:val="en-US"/>
        </w:rPr>
        <w:t>file</w:t>
      </w:r>
      <w:r w:rsidR="004D076A" w:rsidRPr="00123003">
        <w:rPr>
          <w:rFonts w:cs="Times New Roman"/>
          <w:sz w:val="24"/>
          <w:szCs w:val="24"/>
          <w:lang w:val="en-US"/>
        </w:rPr>
        <w:t xml:space="preserve"> for </w:t>
      </w:r>
      <w:r w:rsidR="009339D6" w:rsidRPr="00123003">
        <w:rPr>
          <w:rFonts w:cs="Times New Roman"/>
          <w:sz w:val="24"/>
          <w:szCs w:val="24"/>
          <w:lang w:val="en-US"/>
        </w:rPr>
        <w:t>details on</w:t>
      </w:r>
      <w:r w:rsidR="004D36D7" w:rsidRPr="00123003">
        <w:rPr>
          <w:rFonts w:cs="Times New Roman"/>
          <w:sz w:val="24"/>
          <w:szCs w:val="24"/>
          <w:lang w:val="en-US"/>
        </w:rPr>
        <w:t xml:space="preserve"> </w:t>
      </w:r>
      <w:r w:rsidR="004D076A" w:rsidRPr="00123003">
        <w:rPr>
          <w:rFonts w:cs="Times New Roman"/>
          <w:sz w:val="24"/>
          <w:szCs w:val="24"/>
          <w:lang w:val="en-US"/>
        </w:rPr>
        <w:t xml:space="preserve">sample processing, taxonomic and </w:t>
      </w:r>
      <w:r w:rsidR="00672CBD" w:rsidRPr="00123003">
        <w:rPr>
          <w:rFonts w:cs="Times New Roman"/>
          <w:sz w:val="24"/>
          <w:szCs w:val="24"/>
          <w:lang w:val="en-US"/>
        </w:rPr>
        <w:t>statistical analysis</w:t>
      </w:r>
      <w:r w:rsidR="004A44FF" w:rsidRPr="00123003">
        <w:rPr>
          <w:rFonts w:cs="Times New Roman"/>
          <w:sz w:val="24"/>
          <w:szCs w:val="24"/>
          <w:lang w:val="en-US"/>
        </w:rPr>
        <w:t>.</w:t>
      </w:r>
    </w:p>
    <w:p w:rsidR="00DA3D4B" w:rsidRPr="00123003" w:rsidRDefault="00801D92" w:rsidP="00123003">
      <w:pPr>
        <w:pStyle w:val="KeinLeerraum"/>
        <w:spacing w:line="480" w:lineRule="auto"/>
        <w:jc w:val="both"/>
        <w:rPr>
          <w:b/>
          <w:sz w:val="24"/>
          <w:szCs w:val="24"/>
          <w:lang w:val="en-US"/>
        </w:rPr>
      </w:pPr>
      <w:r w:rsidRPr="00123003">
        <w:rPr>
          <w:b/>
          <w:sz w:val="24"/>
          <w:szCs w:val="24"/>
          <w:vertAlign w:val="superscript"/>
          <w:lang w:val="en-US"/>
        </w:rPr>
        <w:t>1</w:t>
      </w:r>
      <w:r w:rsidR="00D91227" w:rsidRPr="00123003">
        <w:rPr>
          <w:b/>
          <w:sz w:val="24"/>
          <w:szCs w:val="24"/>
          <w:lang w:val="en-US"/>
        </w:rPr>
        <w:t>H-</w:t>
      </w:r>
      <w:r w:rsidRPr="00123003">
        <w:rPr>
          <w:b/>
          <w:sz w:val="24"/>
          <w:szCs w:val="24"/>
          <w:lang w:val="en-US"/>
        </w:rPr>
        <w:t>Nuclear Magnetic Resonance (</w:t>
      </w:r>
      <w:r w:rsidRPr="00123003">
        <w:rPr>
          <w:b/>
          <w:sz w:val="24"/>
          <w:szCs w:val="24"/>
          <w:vertAlign w:val="superscript"/>
          <w:lang w:val="en-US"/>
        </w:rPr>
        <w:t>1</w:t>
      </w:r>
      <w:r w:rsidRPr="00123003">
        <w:rPr>
          <w:b/>
          <w:sz w:val="24"/>
          <w:szCs w:val="24"/>
          <w:lang w:val="en-US"/>
        </w:rPr>
        <w:t>H-NMR) spectroscopy</w:t>
      </w:r>
    </w:p>
    <w:p w:rsidR="00686471" w:rsidRPr="00123003" w:rsidRDefault="00CB6434" w:rsidP="00123003">
      <w:pPr>
        <w:spacing w:line="480" w:lineRule="auto"/>
        <w:jc w:val="both"/>
        <w:rPr>
          <w:sz w:val="24"/>
          <w:szCs w:val="24"/>
          <w:lang w:val="en-US"/>
        </w:rPr>
      </w:pPr>
      <w:r w:rsidRPr="00123003">
        <w:rPr>
          <w:sz w:val="24"/>
          <w:szCs w:val="24"/>
          <w:lang w:val="en-US"/>
        </w:rPr>
        <w:t>Urine and f</w:t>
      </w:r>
      <w:r w:rsidR="00801D92" w:rsidRPr="00123003">
        <w:rPr>
          <w:sz w:val="24"/>
          <w:szCs w:val="24"/>
          <w:lang w:val="en-US"/>
        </w:rPr>
        <w:t>ecal water sample</w:t>
      </w:r>
      <w:r w:rsidRPr="00123003">
        <w:rPr>
          <w:sz w:val="24"/>
          <w:szCs w:val="24"/>
          <w:lang w:val="en-US"/>
        </w:rPr>
        <w:t>s were analyz</w:t>
      </w:r>
      <w:r w:rsidR="00801D92" w:rsidRPr="00123003">
        <w:rPr>
          <w:sz w:val="24"/>
          <w:szCs w:val="24"/>
          <w:lang w:val="en-US"/>
        </w:rPr>
        <w:t xml:space="preserve">ed using 600 MHz </w:t>
      </w:r>
      <w:r w:rsidR="00801D92" w:rsidRPr="00123003">
        <w:rPr>
          <w:sz w:val="24"/>
          <w:szCs w:val="24"/>
          <w:vertAlign w:val="superscript"/>
          <w:lang w:val="en-US"/>
        </w:rPr>
        <w:t>1</w:t>
      </w:r>
      <w:r w:rsidR="00801D92" w:rsidRPr="00123003">
        <w:rPr>
          <w:sz w:val="24"/>
          <w:szCs w:val="24"/>
          <w:lang w:val="en-US"/>
        </w:rPr>
        <w:t xml:space="preserve">H-NMR spectroscopy using established protocols </w:t>
      </w:r>
      <w:r w:rsidR="007E74E1" w:rsidRPr="00123003">
        <w:rPr>
          <w:sz w:val="24"/>
          <w:szCs w:val="24"/>
          <w:lang w:val="en-US"/>
        </w:rPr>
        <w:fldChar w:fldCharType="begin"/>
      </w:r>
      <w:r w:rsidR="00F61B70">
        <w:rPr>
          <w:sz w:val="24"/>
          <w:szCs w:val="24"/>
          <w:lang w:val="en-US"/>
        </w:rPr>
        <w:instrText xml:space="preserve"> ADDIN ZOTERO_ITEM CSL_CITATION {"citationID":"nIzU9WGK","properties":{"formattedCitation":"(17,18)","plainCitation":"(17,18)","noteIndex":0},"citationItems":[{"id":4021,"uris":["http://zotero.org/users/46719/items/PVS369TR"],"uri":["http://zotero.org/users/46719/items/PVS369TR"],"itemData":{"id":4021,"type":"article-journal","title":"Precision high-throughput proton NMR spectroscopy of human urine, serum, and plasma for large-scale metabolic phenotyping","container-title":"Analytical Chemistry","page":"9887-9894","volume":"86","issue":"19","source":"PubMed","abstract":"Proton nuclear magnetic resonance (NMR)-based metabolic phenotyping of urine and blood plasma/serum samples provides important prognostic and diagnostic information and permits monitoring of disease progression in an objective manner. Much effort has been made in recent years to develop NMR instrumentation and technology to allow the acquisition of data in an effective, reproducible, and high-throughput approach that allows the study of general population samples from epidemiological collections for biomarkers of disease risk. The challenge remains to develop highly reproducible methods and standardized protocols that minimize technical or experimental bias, allowing realistic interlaboratory comparisons of subtle biomarker information. Here we present a detailed set of updated protocols that carefully consider major experimental conditions, including sample preparation, spectrometer parameters, NMR pulse sequences, throughput, reproducibility, quality control, and resolution. These results provide an experimental platform that facilitates NMR spectroscopy usage across different large cohorts of biofluid samples, enabling integration of global metabolic profiling that is a prerequisite for personalized healthcare.","DOI":"10.1021/ac5025039","ISSN":"1520-6882","note":"PMID: 25180432","journalAbbreviation":"Anal. Chem.","language":"eng","author":[{"family":"Dona","given":"Anthony C."},{"family":"Jiménez","given":"Beatriz"},{"family":"Schäfer","given":"Hartmut"},{"family":"Humpfer","given":"Eberhard"},{"family":"Spraul","given":"Manfred"},{"family":"Lewis","given":"Matthew R."},{"family":"Pearce","given":"Jake T. M."},{"family":"Holmes","given":"Elaine"},{"family":"Lindon","given":"John C."},{"family":"Nicholson","given":"Jeremy K."}],"issued":{"date-parts":[["2014",10,7]]}}},{"id":4066,"uris":["http://zotero.org/users/46719/items/J9H55DBE"],"uri":["http://zotero.org/users/46719/items/J9H55DBE"],"itemData":{"id":4066,"type":"article-journal","title":"Optimized Sample Handling Strategy for Metabolic Profiling of Human Feces","container-title":"Analytical Chemistry","page":"4661-4668","volume":"88","issue":"9","source":"ACS Publications","abstract":"Fecal metabolites are being increasingly studied to unravel the host-gut microbial metabolic interactions. However, there are currently no guidelines for fecal sample collection and storage based on a systematic evaluation of the effect of time, storage temperature, storage duration, and sampling strategy. Here we derive an optimized protocol for fecal sample handling with the aim of maximizing metabolic stability and minimizing sample degradation. Samples obtained from five healthy individuals were analyzed to assess topographical homogeneity of feces and to evaluate storage duration-, temperature-, and freeze–thaw cycle-induced metabolic changes in crude stool and fecal water using a 1H NMR spectroscopy-based metabolic profiling approach. Interindividual variation was much greater than that attributable to storage conditions. Individual stool samples were found to be heterogeneous and spot sampling resulted in a high degree of metabolic variation. Crude fecal samples were remarkably unstable over time and exhibited distinct metabolic profiles at different storage temperatures. Microbial fermentation was the dominant driver in time-related changes observed in fecal samples stored at room temperature and this fermentative process was reduced when stored at 4 °C. Crude fecal samples frozen at −20 °C manifested elevated amino acids and nicotinate and depleted short chain fatty acids compared to crude fecal control samples. The relative concentrations of branched-chain and aromatic amino acids significantly increased in the freeze–thawed crude fecal samples, suggesting a release of microbial intracellular contents. The metabolic profiles of fecal water samples were more stable compared to crude samples. Our recommendation is that intact fecal samples should be collected, kept at 4 °C or on ice during transportation, and extracted ideally within 1 h of collection, or a maximum of 24 h. Fecal water samples should be extracted from a representative amount (</w:instrText>
      </w:r>
      <w:r w:rsidR="00F61B70">
        <w:rPr>
          <w:rFonts w:ascii="Cambria Math" w:hAnsi="Cambria Math" w:cs="Cambria Math"/>
          <w:sz w:val="24"/>
          <w:szCs w:val="24"/>
          <w:lang w:val="en-US"/>
        </w:rPr>
        <w:instrText>∼</w:instrText>
      </w:r>
      <w:r w:rsidR="00F61B70">
        <w:rPr>
          <w:sz w:val="24"/>
          <w:szCs w:val="24"/>
          <w:lang w:val="en-US"/>
        </w:rPr>
        <w:instrText xml:space="preserve">15 g) of homogenized stool sample, aliquoted, and stored at &lt;−20 °C, avoiding further freeze–thaw cycles.","DOI":"10.1021/acs.analchem.5b04159","ISSN":"0003-2700","journalAbbreviation":"Anal. Chem.","author":[{"family":"Gratton","given":"Jasmine"},{"family":"Phetcharaburanin","given":"Jutarop"},{"family":"Mullish","given":"Benjamin H."},{"family":"Williams","given":"Horace R. T."},{"family":"Thursz","given":"Mark"},{"family":"Nicholson","given":"Jeremy K."},{"family":"Holmes","given":"Elaine"},{"family":"Marchesi","given":"Julian R."},{"family":"Li","given":"Jia V."}],"issued":{"date-parts":[["2016",5,3]]}}}],"schema":"https://github.com/citation-style-language/schema/raw/master/csl-citation.json"} </w:instrText>
      </w:r>
      <w:r w:rsidR="007E74E1" w:rsidRPr="00123003">
        <w:rPr>
          <w:sz w:val="24"/>
          <w:szCs w:val="24"/>
          <w:lang w:val="en-US"/>
        </w:rPr>
        <w:fldChar w:fldCharType="separate"/>
      </w:r>
      <w:r w:rsidR="00836220" w:rsidRPr="00665C18">
        <w:rPr>
          <w:rFonts w:ascii="Calibri" w:hAnsi="Calibri" w:cs="Calibri"/>
          <w:sz w:val="24"/>
          <w:lang w:val="en-US"/>
        </w:rPr>
        <w:t>(17,18)</w:t>
      </w:r>
      <w:r w:rsidR="007E74E1" w:rsidRPr="00123003">
        <w:rPr>
          <w:sz w:val="24"/>
          <w:szCs w:val="24"/>
          <w:lang w:val="en-US"/>
        </w:rPr>
        <w:fldChar w:fldCharType="end"/>
      </w:r>
      <w:r w:rsidR="00801D92" w:rsidRPr="00123003">
        <w:rPr>
          <w:sz w:val="24"/>
          <w:szCs w:val="24"/>
          <w:lang w:val="en-US"/>
        </w:rPr>
        <w:t xml:space="preserve">. </w:t>
      </w:r>
      <w:r w:rsidR="00686471" w:rsidRPr="00123003">
        <w:rPr>
          <w:sz w:val="24"/>
          <w:szCs w:val="24"/>
          <w:lang w:val="en-US"/>
        </w:rPr>
        <w:t xml:space="preserve">Spectra were referenced to an internal standard, baseline and phase corrected using in-house software, and imported into MATLAB (R2014a). Urine spectra were digitized to the chemical shift range </w:t>
      </w:r>
      <w:r w:rsidR="00686471" w:rsidRPr="00123003">
        <w:rPr>
          <w:sz w:val="24"/>
          <w:szCs w:val="24"/>
        </w:rPr>
        <w:t>δ</w:t>
      </w:r>
      <w:r w:rsidR="00686471" w:rsidRPr="00123003">
        <w:rPr>
          <w:sz w:val="24"/>
          <w:szCs w:val="24"/>
          <w:lang w:val="en-US"/>
        </w:rPr>
        <w:t xml:space="preserve"> 0.3 to 10, excluding the water resonance at </w:t>
      </w:r>
      <w:r w:rsidR="00686471" w:rsidRPr="00123003">
        <w:rPr>
          <w:sz w:val="24"/>
          <w:szCs w:val="24"/>
        </w:rPr>
        <w:t>δ</w:t>
      </w:r>
      <w:r w:rsidR="00686471" w:rsidRPr="00123003">
        <w:rPr>
          <w:sz w:val="24"/>
          <w:szCs w:val="24"/>
          <w:lang w:val="en-US"/>
        </w:rPr>
        <w:t xml:space="preserve"> 4.71 to 4.91 and urea at </w:t>
      </w:r>
      <w:r w:rsidR="00686471" w:rsidRPr="00123003">
        <w:rPr>
          <w:sz w:val="24"/>
          <w:szCs w:val="24"/>
        </w:rPr>
        <w:t>δ</w:t>
      </w:r>
      <w:r w:rsidR="00686471" w:rsidRPr="00123003">
        <w:rPr>
          <w:sz w:val="24"/>
          <w:szCs w:val="24"/>
          <w:lang w:val="en-US"/>
        </w:rPr>
        <w:t xml:space="preserve"> 5.48 to 6.10. Fecal water spectra were digitized to the chemical shift range </w:t>
      </w:r>
      <w:r w:rsidR="00686471" w:rsidRPr="00123003">
        <w:rPr>
          <w:sz w:val="24"/>
          <w:szCs w:val="24"/>
        </w:rPr>
        <w:t>δ</w:t>
      </w:r>
      <w:r w:rsidR="00686471" w:rsidRPr="00123003">
        <w:rPr>
          <w:sz w:val="24"/>
          <w:szCs w:val="24"/>
          <w:lang w:val="en-US"/>
        </w:rPr>
        <w:t xml:space="preserve"> 0.3 to 10, excluding the water resonance at </w:t>
      </w:r>
      <w:r w:rsidR="00686471" w:rsidRPr="00123003">
        <w:rPr>
          <w:sz w:val="24"/>
          <w:szCs w:val="24"/>
        </w:rPr>
        <w:t>δ</w:t>
      </w:r>
      <w:r w:rsidR="00686471" w:rsidRPr="00123003">
        <w:rPr>
          <w:sz w:val="24"/>
          <w:szCs w:val="24"/>
          <w:lang w:val="en-US"/>
        </w:rPr>
        <w:t xml:space="preserve"> 4.62 to 5.18 and </w:t>
      </w:r>
      <w:r w:rsidR="00686471" w:rsidRPr="00123003">
        <w:rPr>
          <w:sz w:val="24"/>
          <w:szCs w:val="24"/>
          <w:lang w:val="en-US"/>
        </w:rPr>
        <w:lastRenderedPageBreak/>
        <w:t xml:space="preserve">polyethylene glycol signals at </w:t>
      </w:r>
      <w:r w:rsidR="00686471" w:rsidRPr="00123003">
        <w:rPr>
          <w:sz w:val="24"/>
          <w:szCs w:val="24"/>
        </w:rPr>
        <w:t>δ</w:t>
      </w:r>
      <w:r w:rsidR="00686471" w:rsidRPr="00123003">
        <w:rPr>
          <w:sz w:val="24"/>
          <w:szCs w:val="24"/>
          <w:lang w:val="en-US"/>
        </w:rPr>
        <w:t xml:space="preserve"> 3.63 to 3.81. Metabolites were identified using different statistical and analytical techniques </w:t>
      </w:r>
      <w:r w:rsidR="00686471" w:rsidRPr="00123003">
        <w:rPr>
          <w:sz w:val="24"/>
          <w:szCs w:val="24"/>
          <w:lang w:val="en-US"/>
        </w:rPr>
        <w:fldChar w:fldCharType="begin"/>
      </w:r>
      <w:r w:rsidR="00836220">
        <w:rPr>
          <w:sz w:val="24"/>
          <w:szCs w:val="24"/>
          <w:lang w:val="en-US"/>
        </w:rPr>
        <w:instrText xml:space="preserve"> ADDIN ZOTERO_ITEM CSL_CITATION {"citationID":"g9Mj5cdl","properties":{"formattedCitation":"(19)","plainCitation":"(19)","noteIndex":0},"citationItems":[{"id":4019,"uris":["http://zotero.org/users/46719/items/7NU4W7LF"],"uri":["http://zotero.org/users/46719/items/7NU4W7LF"],"itemData":{"id":4019,"type":"article-journal","title":"Integrated Analytical and Statistical Two-Dimensional Spectroscopy Strategy for Metabolite Identification: Application to Dietary Biomarkers","container-title":"Analytical Chemistry","page":"3300-3309","volume":"89","issue":"6","source":"PubMed Central","abstract":", A major purpose of exploratory metabolic\nprofiling is for the identification\nof molecular species that are statistically associated with specific\nbiological or medical outcomes; unfortunately, the structure elucidation\nprocess of unknowns is often a major bottleneck in this process. We\npresent here new holistic strategies that combine different statistical\nspectroscopic and analytical techniques to improve and simplify the\nprocess of metabolite identification. We exemplify these strategies\nusing study data collected as part of a dietary intervention to improve\nhealth and which elicits a relatively subtle suite of changes from\ncomplex molecular profiles. We identify three new dietary biomarkers\nrelated to the consumption of peas (N-methyl nicotinic\nacid), apples (rhamnitol), and onions (N-acetyl-S-(1Z)-propenyl-cysteine-sulfoxide) that\ncan be used to enhance dietary assessment and assess adherence to\ndiet. As part of the strategy, we introduce a new probabilistic statistical\nspectroscopy tool, RED-STORM (Resolution EnhanceD SubseT Optimization\nby Reference Matching), that uses 2D J-resolved 1H NMR spectra for enhanced information recovery using the\nBayesian paradigm to extract a subset of spectra with similar spectral\nsignatures to a reference. RED-STORM provided new information for\nsubsequent experiments (e.g., 2D-NMR spectroscopy, solid-phase extraction,\nliquid chromatography prefaced mass spectrometry) used to ultimately\nidentify an unknown compound. In summary, we illustrate the benefit\nof acquiring J-resolved experiments alongside conventional\n1D 1H NMR as part of routine metabolic profiling in large\ndata sets and show that application of complementary statistical and\nanalytical techniques for the identification of unknown metabolites\ncan be used to save valuable time and resources.","DOI":"10.1021/acs.analchem.6b03324","ISSN":"0003-2700","note":"PMID: 28240543\nPMCID: PMC5379249","title-short":"Integrated Analytical and Statistical Two-Dimensional Spectroscopy Strategy for Metabolite Identification","journalAbbreviation":"Anal Chem","author":[{"family":"Posma","given":"Joram\nM."},{"family":"Garcia-Perez","given":"Isabel"},{"family":"Heaton","given":"James C."},{"family":"Burdisso","given":"Paula"},{"family":"Mathers","given":"John C."},{"family":"Draper","given":"John"},{"family":"Lewis","given":"Matt"},{"family":"Lindon","given":"John C."},{"family":"Frost","given":"Gary"},{"family":"Holmes","given":"Elaine"},{"family":"Nicholson","given":"Jeremy K."}],"issued":{"date-parts":[["2017",3,21]]}}}],"schema":"https://github.com/citation-style-language/schema/raw/master/csl-citation.json"} </w:instrText>
      </w:r>
      <w:r w:rsidR="00686471" w:rsidRPr="00123003">
        <w:rPr>
          <w:sz w:val="24"/>
          <w:szCs w:val="24"/>
          <w:lang w:val="en-US"/>
        </w:rPr>
        <w:fldChar w:fldCharType="separate"/>
      </w:r>
      <w:r w:rsidR="00836220" w:rsidRPr="00665C18">
        <w:rPr>
          <w:rFonts w:ascii="Calibri" w:hAnsi="Calibri" w:cs="Calibri"/>
          <w:sz w:val="24"/>
          <w:lang w:val="en-US"/>
        </w:rPr>
        <w:t>(19)</w:t>
      </w:r>
      <w:r w:rsidR="00686471" w:rsidRPr="00123003">
        <w:rPr>
          <w:sz w:val="24"/>
          <w:szCs w:val="24"/>
          <w:lang w:val="en-US"/>
        </w:rPr>
        <w:fldChar w:fldCharType="end"/>
      </w:r>
      <w:r w:rsidR="00686471" w:rsidRPr="00123003">
        <w:rPr>
          <w:sz w:val="24"/>
          <w:szCs w:val="24"/>
          <w:lang w:val="en-US"/>
        </w:rPr>
        <w:t xml:space="preserve">. </w:t>
      </w:r>
      <w:r w:rsidR="004A44FF" w:rsidRPr="00123003">
        <w:rPr>
          <w:sz w:val="24"/>
          <w:szCs w:val="24"/>
          <w:lang w:val="en-US"/>
        </w:rPr>
        <w:t xml:space="preserve">See </w:t>
      </w:r>
      <w:r w:rsidR="00D3195D" w:rsidRPr="00123003">
        <w:rPr>
          <w:sz w:val="24"/>
          <w:szCs w:val="24"/>
          <w:lang w:val="en-US"/>
        </w:rPr>
        <w:t>online supplementary</w:t>
      </w:r>
      <w:r w:rsidR="00E032A9" w:rsidRPr="00123003">
        <w:rPr>
          <w:sz w:val="24"/>
          <w:szCs w:val="24"/>
          <w:lang w:val="en-US"/>
        </w:rPr>
        <w:t xml:space="preserve"> </w:t>
      </w:r>
      <w:r w:rsidR="00686471" w:rsidRPr="00123003">
        <w:rPr>
          <w:sz w:val="24"/>
          <w:szCs w:val="24"/>
          <w:lang w:val="en-US"/>
        </w:rPr>
        <w:t xml:space="preserve">file </w:t>
      </w:r>
      <w:r w:rsidR="00E032A9" w:rsidRPr="00123003">
        <w:rPr>
          <w:sz w:val="24"/>
          <w:szCs w:val="24"/>
          <w:lang w:val="en-US"/>
        </w:rPr>
        <w:t>for details</w:t>
      </w:r>
      <w:r w:rsidR="00686471" w:rsidRPr="00123003">
        <w:rPr>
          <w:sz w:val="24"/>
          <w:szCs w:val="24"/>
          <w:lang w:val="en-US"/>
        </w:rPr>
        <w:t xml:space="preserve"> </w:t>
      </w:r>
      <w:r w:rsidR="00652434" w:rsidRPr="00123003">
        <w:rPr>
          <w:sz w:val="24"/>
          <w:szCs w:val="24"/>
          <w:lang w:val="en-US"/>
        </w:rPr>
        <w:t>on</w:t>
      </w:r>
      <w:r w:rsidR="00686471" w:rsidRPr="00123003">
        <w:rPr>
          <w:sz w:val="24"/>
          <w:szCs w:val="24"/>
          <w:lang w:val="en-US"/>
        </w:rPr>
        <w:t xml:space="preserve"> data analysis</w:t>
      </w:r>
      <w:r w:rsidR="004A44FF" w:rsidRPr="00123003">
        <w:rPr>
          <w:sz w:val="24"/>
          <w:szCs w:val="24"/>
          <w:lang w:val="en-US"/>
        </w:rPr>
        <w:t>.</w:t>
      </w:r>
    </w:p>
    <w:p w:rsidR="00DA3D4B" w:rsidRPr="00123003" w:rsidRDefault="00CA36D1" w:rsidP="00123003">
      <w:pPr>
        <w:pStyle w:val="KeinLeerraum"/>
        <w:spacing w:line="480" w:lineRule="auto"/>
        <w:jc w:val="both"/>
        <w:rPr>
          <w:b/>
          <w:sz w:val="24"/>
          <w:szCs w:val="24"/>
          <w:lang w:val="en-US"/>
        </w:rPr>
      </w:pPr>
      <w:r w:rsidRPr="00123003">
        <w:rPr>
          <w:b/>
          <w:sz w:val="24"/>
          <w:szCs w:val="24"/>
          <w:lang w:val="en-US"/>
        </w:rPr>
        <w:t>Quantification of short-chain fatty acids</w:t>
      </w:r>
    </w:p>
    <w:p w:rsidR="00CA36D1" w:rsidRPr="00123003" w:rsidRDefault="00CA36D1" w:rsidP="00123003">
      <w:pPr>
        <w:spacing w:line="480" w:lineRule="auto"/>
        <w:jc w:val="both"/>
        <w:rPr>
          <w:sz w:val="24"/>
          <w:szCs w:val="24"/>
          <w:lang w:val="en-US"/>
        </w:rPr>
      </w:pPr>
      <w:r w:rsidRPr="00123003">
        <w:rPr>
          <w:sz w:val="24"/>
          <w:szCs w:val="24"/>
          <w:lang w:val="en-US"/>
        </w:rPr>
        <w:t xml:space="preserve">Fecal SCFA were analyzed by gas chromatography (GC) as described </w:t>
      </w:r>
      <w:r w:rsidR="00B021C7" w:rsidRPr="00123003">
        <w:rPr>
          <w:sz w:val="24"/>
          <w:szCs w:val="24"/>
          <w:lang w:val="en-US"/>
        </w:rPr>
        <w:t>previously</w:t>
      </w:r>
      <w:r w:rsidRPr="00123003">
        <w:rPr>
          <w:sz w:val="24"/>
          <w:szCs w:val="24"/>
          <w:lang w:val="en-US"/>
        </w:rPr>
        <w:t xml:space="preserve"> </w:t>
      </w:r>
      <w:r w:rsidR="00545FB5" w:rsidRPr="00123003">
        <w:rPr>
          <w:sz w:val="24"/>
          <w:szCs w:val="24"/>
          <w:lang w:val="en-US"/>
        </w:rPr>
        <w:fldChar w:fldCharType="begin"/>
      </w:r>
      <w:r w:rsidR="00F61B70">
        <w:rPr>
          <w:sz w:val="24"/>
          <w:szCs w:val="24"/>
          <w:lang w:val="en-US"/>
        </w:rPr>
        <w:instrText xml:space="preserve"> ADDIN ZOTERO_ITEM CSL_CITATION {"citationID":"a1ji3kehdnq","properties":{"formattedCitation":"(9)","plainCitation":"(9)","noteIndex":0},"citationItems":[{"id":464,"uris":["http://zotero.org/users/46719/items/8IITHWEP"],"uri":["http://zotero.org/users/46719/items/8IITHWEP"],"itemData":{"id":464,"type":"article-journal","title":"Diet, microbiota, and microbial metabolites in colon cancer risk in rural Africans and African Americans","container-title":"The American Journal of Clinical Nutrition","page":"111-120","volume":"98","issue":"1","source":"ajcn.nutrition.org","abstract":"Background: Epidemiologic studies have suggested that most cases of sporadic colon cancer can be attributed to diet. The recognition that colonic microbiota have a major influence on colonic health suggests that they might mediate colonic carcinogenesis.\nObjective: To examine the hypothesis that the influence of diet on colon cancer risk is mediated by the microbiota through their metabolites, we measured differences in colonic microbes and their metabolites in African Americans with a high risk and in rural native Africans with a low risk of colon cancer.\nDesign: Fresh fecal samples were collected from 12 healthy African Americans aged 50–65 y and from 12 age- and sex-matched native Africans. Microbiomes were analyzed with 16S ribosomal RNA gene pyrosequencing together with quantitative polymerase chain reaction of the major fermentative, butyrate-producing, and bile acid–deconjugating bacteria. Fecal short-chain fatty acids were measured by gas chromatography and bile acids by liquid chromatography–mass spectrometry.\nResults: Microbial composition was fundamentally different, with a predominance of Prevotella in native Africans (enterotype 2) and of Bacteroides in African Americans (enterotype 1). Total bacteria and major butyrate-producing groups were significantly more abundant in fecal samples from native Africans. Microbial genes encoding for secondary bile acid production were more abundant in African Americans, whereas those encoding for methanogenesis and hydrogen sulfide production were higher in native Africans. Fecal secondary bile acid concentrations were higher in African Americans, whereas short-chain fatty acids were higher in native Africans.\nConclusion: Our results support the hypothesis that colon cancer risk is influenced by the balance between microbial production of health-promoting metabolites such as butyrate and potentially carcinogenic metabolites such as secondary bile acids.","DOI":"10.3945/ajcn.112.056689","ISSN":"0002-9165, 1938-3207","note":"PMID: 23719549","journalAbbreviation":"Am J Clin Nutr","language":"en","author":[{"family":"Ou","given":"Junhai"},{"family":"Carbonero","given":"Franck"},{"family":"Zoetendal","given":"Erwin G."},{"family":"DeLany","given":"James P."},{"family":"Wang","given":"Mei"},{"family":"Newton","given":"Keith"},{"family":"Gaskins","given":"H. Rex"},{"family":"O'Keefe","given":"Stephen JD"}],"issued":{"date-parts":[["2013",7,1]]}}}],"schema":"https://github.com/citation-style-language/schema/raw/master/csl-citation.json"} </w:instrText>
      </w:r>
      <w:r w:rsidR="00545FB5" w:rsidRPr="00123003">
        <w:rPr>
          <w:sz w:val="24"/>
          <w:szCs w:val="24"/>
          <w:lang w:val="en-US"/>
        </w:rPr>
        <w:fldChar w:fldCharType="separate"/>
      </w:r>
      <w:r w:rsidR="00164E6C" w:rsidRPr="00123003">
        <w:rPr>
          <w:sz w:val="24"/>
          <w:szCs w:val="24"/>
          <w:lang w:val="en-US"/>
        </w:rPr>
        <w:t>(9)</w:t>
      </w:r>
      <w:r w:rsidR="00545FB5" w:rsidRPr="00123003">
        <w:rPr>
          <w:sz w:val="24"/>
          <w:szCs w:val="24"/>
          <w:lang w:val="en-US"/>
        </w:rPr>
        <w:fldChar w:fldCharType="end"/>
      </w:r>
      <w:r w:rsidRPr="00123003">
        <w:rPr>
          <w:sz w:val="24"/>
          <w:szCs w:val="24"/>
          <w:lang w:val="en-US"/>
        </w:rPr>
        <w:t xml:space="preserve">. </w:t>
      </w:r>
    </w:p>
    <w:p w:rsidR="00DA3D4B" w:rsidRPr="00123003" w:rsidRDefault="00CB6434" w:rsidP="00123003">
      <w:pPr>
        <w:pStyle w:val="KeinLeerraum"/>
        <w:spacing w:line="480" w:lineRule="auto"/>
        <w:jc w:val="both"/>
        <w:rPr>
          <w:b/>
          <w:sz w:val="24"/>
          <w:szCs w:val="24"/>
          <w:lang w:val="en-US"/>
        </w:rPr>
      </w:pPr>
      <w:r w:rsidRPr="00123003">
        <w:rPr>
          <w:b/>
          <w:sz w:val="24"/>
          <w:szCs w:val="24"/>
          <w:lang w:val="en-US"/>
        </w:rPr>
        <w:t>Quantification of bile acids</w:t>
      </w:r>
    </w:p>
    <w:p w:rsidR="00CA36D1" w:rsidRPr="00123003" w:rsidRDefault="00CA36D1" w:rsidP="00123003">
      <w:pPr>
        <w:spacing w:line="480" w:lineRule="auto"/>
        <w:jc w:val="both"/>
        <w:rPr>
          <w:sz w:val="24"/>
          <w:szCs w:val="24"/>
          <w:u w:val="single"/>
          <w:lang w:val="en-US"/>
        </w:rPr>
      </w:pPr>
      <w:r w:rsidRPr="00123003">
        <w:rPr>
          <w:rFonts w:cs="Times New Roman"/>
          <w:sz w:val="24"/>
          <w:szCs w:val="24"/>
          <w:lang w:val="en-US"/>
        </w:rPr>
        <w:t>Fecal bile acids were quantified by high pressure liquid chromatography (HPLC) coupled with mass spectrometry (MS) using electrospray ionization in negative ion mode by monitoring the (M-H)</w:t>
      </w:r>
      <w:r w:rsidRPr="00123003">
        <w:rPr>
          <w:rFonts w:cs="Times New Roman"/>
          <w:sz w:val="24"/>
          <w:szCs w:val="24"/>
          <w:vertAlign w:val="superscript"/>
          <w:lang w:val="en-US"/>
        </w:rPr>
        <w:t>-</w:t>
      </w:r>
      <w:r w:rsidRPr="00123003">
        <w:rPr>
          <w:rFonts w:cs="Times New Roman"/>
          <w:sz w:val="24"/>
          <w:szCs w:val="24"/>
          <w:lang w:val="en-US"/>
        </w:rPr>
        <w:t xml:space="preserve"> ion as described </w:t>
      </w:r>
      <w:r w:rsidR="00B021C7" w:rsidRPr="00123003">
        <w:rPr>
          <w:rFonts w:cs="Times New Roman"/>
          <w:sz w:val="24"/>
          <w:szCs w:val="24"/>
          <w:lang w:val="en-US"/>
        </w:rPr>
        <w:t>earlier</w:t>
      </w:r>
      <w:r w:rsidRPr="00123003">
        <w:rPr>
          <w:rFonts w:cs="Times New Roman"/>
          <w:sz w:val="24"/>
          <w:szCs w:val="24"/>
          <w:lang w:val="en-US"/>
        </w:rPr>
        <w:t xml:space="preserve"> </w:t>
      </w:r>
      <w:r w:rsidR="00545FB5" w:rsidRPr="00123003">
        <w:rPr>
          <w:rFonts w:cs="Times New Roman"/>
          <w:sz w:val="24"/>
          <w:szCs w:val="24"/>
          <w:lang w:val="en-US"/>
        </w:rPr>
        <w:fldChar w:fldCharType="begin"/>
      </w:r>
      <w:r w:rsidR="00F61B70">
        <w:rPr>
          <w:rFonts w:cs="Times New Roman"/>
          <w:sz w:val="24"/>
          <w:szCs w:val="24"/>
          <w:lang w:val="en-US"/>
        </w:rPr>
        <w:instrText xml:space="preserve"> ADDIN ZOTERO_ITEM CSL_CITATION {"citationID":"acligff383","properties":{"formattedCitation":"(9)","plainCitation":"(9)","noteIndex":0},"citationItems":[{"id":464,"uris":["http://zotero.org/users/46719/items/8IITHWEP"],"uri":["http://zotero.org/users/46719/items/8IITHWEP"],"itemData":{"id":464,"type":"article-journal","title":"Diet, microbiota, and microbial metabolites in colon cancer risk in rural Africans and African Americans","container-title":"The American Journal of Clinical Nutrition","page":"111-120","volume":"98","issue":"1","source":"ajcn.nutrition.org","abstract":"Background: Epidemiologic studies have suggested that most cases of sporadic colon cancer can be attributed to diet. The recognition that colonic microbiota have a major influence on colonic health suggests that they might mediate colonic carcinogenesis.\nObjective: To examine the hypothesis that the influence of diet on colon cancer risk is mediated by the microbiota through their metabolites, we measured differences in colonic microbes and their metabolites in African Americans with a high risk and in rural native Africans with a low risk of colon cancer.\nDesign: Fresh fecal samples were collected from 12 healthy African Americans aged 50–65 y and from 12 age- and sex-matched native Africans. Microbiomes were analyzed with 16S ribosomal RNA gene pyrosequencing together with quantitative polymerase chain reaction of the major fermentative, butyrate-producing, and bile acid–deconjugating bacteria. Fecal short-chain fatty acids were measured by gas chromatography and bile acids by liquid chromatography–mass spectrometry.\nResults: Microbial composition was fundamentally different, with a predominance of Prevotella in native Africans (enterotype 2) and of Bacteroides in African Americans (enterotype 1). Total bacteria and major butyrate-producing groups were significantly more abundant in fecal samples from native Africans. Microbial genes encoding for secondary bile acid production were more abundant in African Americans, whereas those encoding for methanogenesis and hydrogen sulfide production were higher in native Africans. Fecal secondary bile acid concentrations were higher in African Americans, whereas short-chain fatty acids were higher in native Africans.\nConclusion: Our results support the hypothesis that colon cancer risk is influenced by the balance between microbial production of health-promoting metabolites such as butyrate and potentially carcinogenic metabolites such as secondary bile acids.","DOI":"10.3945/ajcn.112.056689","ISSN":"0002-9165, 1938-3207","note":"PMID: 23719549","journalAbbreviation":"Am J Clin Nutr","language":"en","author":[{"family":"Ou","given":"Junhai"},{"family":"Carbonero","given":"Franck"},{"family":"Zoetendal","given":"Erwin G."},{"family":"DeLany","given":"James P."},{"family":"Wang","given":"Mei"},{"family":"Newton","given":"Keith"},{"family":"Gaskins","given":"H. Rex"},{"family":"O'Keefe","given":"Stephen JD"}],"issued":{"date-parts":[["2013",7,1]]}}}],"schema":"https://github.com/citation-style-language/schema/raw/master/csl-citation.json"} </w:instrText>
      </w:r>
      <w:r w:rsidR="00545FB5" w:rsidRPr="00123003">
        <w:rPr>
          <w:rFonts w:cs="Times New Roman"/>
          <w:sz w:val="24"/>
          <w:szCs w:val="24"/>
          <w:lang w:val="en-US"/>
        </w:rPr>
        <w:fldChar w:fldCharType="separate"/>
      </w:r>
      <w:r w:rsidR="00164E6C" w:rsidRPr="00123003">
        <w:rPr>
          <w:sz w:val="24"/>
          <w:szCs w:val="24"/>
        </w:rPr>
        <w:t>(9)</w:t>
      </w:r>
      <w:r w:rsidR="00545FB5" w:rsidRPr="00123003">
        <w:rPr>
          <w:rFonts w:cs="Times New Roman"/>
          <w:sz w:val="24"/>
          <w:szCs w:val="24"/>
          <w:lang w:val="en-US"/>
        </w:rPr>
        <w:fldChar w:fldCharType="end"/>
      </w:r>
      <w:r w:rsidR="00D549D4" w:rsidRPr="00123003">
        <w:rPr>
          <w:rFonts w:cs="Times New Roman"/>
          <w:sz w:val="24"/>
          <w:szCs w:val="24"/>
          <w:lang w:val="en-US"/>
        </w:rPr>
        <w:t xml:space="preserve">. </w:t>
      </w:r>
    </w:p>
    <w:p w:rsidR="00DA3D4B" w:rsidRPr="00123003" w:rsidRDefault="00CA36D1" w:rsidP="00123003">
      <w:pPr>
        <w:pStyle w:val="KeinLeerraum"/>
        <w:spacing w:line="480" w:lineRule="auto"/>
        <w:jc w:val="both"/>
        <w:rPr>
          <w:b/>
          <w:sz w:val="24"/>
          <w:szCs w:val="24"/>
          <w:lang w:val="en-US"/>
        </w:rPr>
      </w:pPr>
      <w:r w:rsidRPr="00123003">
        <w:rPr>
          <w:b/>
          <w:sz w:val="24"/>
          <w:szCs w:val="24"/>
          <w:lang w:val="en-US"/>
        </w:rPr>
        <w:t>Analysi</w:t>
      </w:r>
      <w:r w:rsidR="00065021" w:rsidRPr="00123003">
        <w:rPr>
          <w:b/>
          <w:sz w:val="24"/>
          <w:szCs w:val="24"/>
          <w:lang w:val="en-US"/>
        </w:rPr>
        <w:t>s of functional microbial genes</w:t>
      </w:r>
    </w:p>
    <w:p w:rsidR="001C223A" w:rsidRPr="00123003" w:rsidRDefault="009E2AE7" w:rsidP="00123003">
      <w:pPr>
        <w:spacing w:line="480" w:lineRule="auto"/>
        <w:jc w:val="both"/>
        <w:rPr>
          <w:rFonts w:cs="Times New Roman"/>
          <w:sz w:val="24"/>
          <w:szCs w:val="24"/>
          <w:lang w:val="en-US"/>
        </w:rPr>
      </w:pPr>
      <w:r w:rsidRPr="00123003">
        <w:rPr>
          <w:rFonts w:cs="Times New Roman"/>
          <w:sz w:val="24"/>
          <w:szCs w:val="24"/>
          <w:lang w:val="en-US"/>
        </w:rPr>
        <w:t xml:space="preserve">As described before </w:t>
      </w:r>
      <w:r w:rsidR="00545FB5" w:rsidRPr="00123003">
        <w:rPr>
          <w:rFonts w:cs="Times New Roman"/>
          <w:sz w:val="24"/>
          <w:szCs w:val="24"/>
          <w:lang w:val="en-US"/>
        </w:rPr>
        <w:fldChar w:fldCharType="begin"/>
      </w:r>
      <w:r w:rsidR="00F61B70">
        <w:rPr>
          <w:rFonts w:cs="Times New Roman"/>
          <w:sz w:val="24"/>
          <w:szCs w:val="24"/>
          <w:lang w:val="en-US"/>
        </w:rPr>
        <w:instrText xml:space="preserve"> ADDIN ZOTERO_ITEM CSL_CITATION {"citationID":"a1k06cip0ct","properties":{"formattedCitation":"(9,10)","plainCitation":"(9,10)","noteIndex":0},"citationItems":[{"id":464,"uris":["http://zotero.org/users/46719/items/8IITHWEP"],"uri":["http://zotero.org/users/46719/items/8IITHWEP"],"itemData":{"id":464,"type":"article-journal","title":"Diet, microbiota, and microbial metabolites in colon cancer risk in rural Africans and African Americans","container-title":"The American Journal of Clinical Nutrition","page":"111-120","volume":"98","issue":"1","source":"ajcn.nutrition.org","abstract":"Background: Epidemiologic studies have suggested that most cases of sporadic colon cancer can be attributed to diet. The recognition that colonic microbiota have a major influence on colonic health suggests that they might mediate colonic carcinogenesis.\nObjective: To examine the hypothesis that the influence of diet on colon cancer risk is mediated by the microbiota through their metabolites, we measured differences in colonic microbes and their metabolites in African Americans with a high risk and in rural native Africans with a low risk of colon cancer.\nDesign: Fresh fecal samples were collected from 12 healthy African Americans aged 50–65 y and from 12 age- and sex-matched native Africans. Microbiomes were analyzed with 16S ribosomal RNA gene pyrosequencing together with quantitative polymerase chain reaction of the major fermentative, butyrate-producing, and bile acid–deconjugating bacteria. Fecal short-chain fatty acids were measured by gas chromatography and bile acids by liquid chromatography–mass spectrometry.\nResults: Microbial composition was fundamentally different, with a predominance of Prevotella in native Africans (enterotype 2) and of Bacteroides in African Americans (enterotype 1). Total bacteria and major butyrate-producing groups were significantly more abundant in fecal samples from native Africans. Microbial genes encoding for secondary bile acid production were more abundant in African Americans, whereas those encoding for methanogenesis and hydrogen sulfide production were higher in native Africans. Fecal secondary bile acid concentrations were higher in African Americans, whereas short-chain fatty acids were higher in native Africans.\nConclusion: Our results support the hypothesis that colon cancer risk is influenced by the balance between microbial production of health-promoting metabolites such as butyrate and potentially carcinogenic metabolites such as secondary bile acids.","DOI":"10.3945/ajcn.112.056689","ISSN":"0002-9165, 1938-3207","note":"PMID: 23719549","journalAbbreviation":"Am J Clin Nutr","language":"en","author":[{"family":"Ou","given":"Junhai"},{"family":"Carbonero","given":"Franck"},{"family":"Zoetendal","given":"Erwin G."},{"family":"DeLany","given":"James P."},{"family":"Wang","given":"Mei"},{"family":"Newton","given":"Keith"},{"family":"Gaskins","given":"H. Rex"},{"family":"O'Keefe","given":"Stephen JD"}],"issued":{"date-parts":[["2013",7,1]]}}},{"id":2125,"uris":["http://zotero.org/users/46719/items/XV558T9I"],"uri":["http://zotero.org/users/46719/items/XV558T9I"],"itemData":{"id":2125,"type":"article-journal","title":"Fat, fibre and cancer risk in African Americans and rural Africans","container-title":"Nature Communications","page":"6342","volume":"6","source":"PubMed","abstract":"Rates of colon cancer are much higher in African Americans (65:100,000) than in rural South Africans (&lt;5:100,000). The higher rates are associated with higher animal protein and fat, and lower fibre consumption, higher colonic secondary bile acids, lower colonic short-chain fatty acid quantities and higher mucosal proliferative biomarkers of cancer risk in otherwise healthy middle-aged volunteers. Here we investigate further the role of fat and fibre in this association. We performed 2-week food exchanges in subjects from the same populations, where African Americans were fed a high-fibre, low-fat African-style diet and rural Africans a high-fat, low-fibre western-style diet, under close supervision. In comparison with their usual diets, the food changes resulted in remarkable reciprocal changes in mucosal biomarkers of cancer risk and in aspects of the microbiota and metabolome known to affect cancer risk, best illustrated by increased saccharolytic fermentation and butyrogenesis, and suppressed secondary bile acid synthesis in the African Americans.","DOI":"10.1038/ncomms7342","ISSN":"2041-1723","note":"PMID: 25919227","journalAbbreviation":"Nat Commun","language":"ENG","author":[{"family":"O'Keefe","given":"Stephen J. D."},{"family":"Li","given":"Jia V."},{"family":"Lahti","given":"Leo"},{"family":"Ou","given":"Junhai"},{"family":"Carbonero","given":"Franck"},{"family":"Mohammed","given":"Khaled"},{"family":"Posma","given":"Joram M."},{"family":"Kinross","given":"James"},{"family":"Wahl","given":"Elaine"},{"family":"Ruder","given":"Elizabeth"},{"family":"Vipperla","given":"Kishore"},{"family":"Naidoo","given":"Vasudevan"},{"family":"Mtshali","given":"Lungile"},{"family":"Tims","given":"Sebastian"},{"family":"Puylaert","given":"Philippe G. B."},{"family":"DeLany","given":"James"},{"family":"Krasinskas","given":"Alyssa"},{"family":"Benefiel","given":"Ann C."},{"family":"Kaseb","given":"Hatem O."},{"family":"Newton","given":"Keith"},{"family":"Nicholson","given":"Jeremy K."},{"family":"Vos","given":"Willem M.","non-dropping-particle":"de"},{"family":"Gaskins","given":"H. Rex"},{"family":"Zoetendal","given":"Erwin G."}],"issued":{"date-parts":[["2015"]]}}}],"schema":"https://github.com/citation-style-language/schema/raw/master/csl-citation.json"} </w:instrText>
      </w:r>
      <w:r w:rsidR="00545FB5" w:rsidRPr="00123003">
        <w:rPr>
          <w:rFonts w:cs="Times New Roman"/>
          <w:sz w:val="24"/>
          <w:szCs w:val="24"/>
          <w:lang w:val="en-US"/>
        </w:rPr>
        <w:fldChar w:fldCharType="separate"/>
      </w:r>
      <w:r w:rsidR="00164E6C" w:rsidRPr="00123003">
        <w:rPr>
          <w:sz w:val="24"/>
          <w:szCs w:val="24"/>
          <w:lang w:val="en-US"/>
        </w:rPr>
        <w:t>(9,10)</w:t>
      </w:r>
      <w:r w:rsidR="00545FB5" w:rsidRPr="00123003">
        <w:rPr>
          <w:rFonts w:cs="Times New Roman"/>
          <w:sz w:val="24"/>
          <w:szCs w:val="24"/>
          <w:lang w:val="en-US"/>
        </w:rPr>
        <w:fldChar w:fldCharType="end"/>
      </w:r>
      <w:r w:rsidR="000A5CB3" w:rsidRPr="00123003">
        <w:rPr>
          <w:rFonts w:cs="Times New Roman"/>
          <w:sz w:val="24"/>
          <w:szCs w:val="24"/>
          <w:lang w:val="en-US"/>
        </w:rPr>
        <w:t xml:space="preserve">, we targeted </w:t>
      </w:r>
      <w:r w:rsidR="006E4983" w:rsidRPr="00123003">
        <w:rPr>
          <w:rFonts w:cs="Times New Roman"/>
          <w:sz w:val="24"/>
          <w:szCs w:val="24"/>
          <w:lang w:val="en-US"/>
        </w:rPr>
        <w:t xml:space="preserve">functional </w:t>
      </w:r>
      <w:r w:rsidR="000A5CB3" w:rsidRPr="00123003">
        <w:rPr>
          <w:rFonts w:cs="Times New Roman"/>
          <w:sz w:val="24"/>
          <w:szCs w:val="24"/>
          <w:lang w:val="en-US"/>
        </w:rPr>
        <w:t>microbial genes</w:t>
      </w:r>
      <w:r w:rsidRPr="00123003">
        <w:rPr>
          <w:rFonts w:cs="Times New Roman"/>
          <w:sz w:val="24"/>
          <w:szCs w:val="24"/>
          <w:lang w:val="en-US"/>
        </w:rPr>
        <w:t xml:space="preserve"> involved </w:t>
      </w:r>
      <w:r w:rsidR="001C223A" w:rsidRPr="00123003">
        <w:rPr>
          <w:rFonts w:cs="Times New Roman"/>
          <w:sz w:val="24"/>
          <w:szCs w:val="24"/>
          <w:lang w:val="en-US"/>
        </w:rPr>
        <w:t>in butyrate synthesis, bile acid conversion, sulfite reduction and methane production.</w:t>
      </w:r>
      <w:r w:rsidR="001C223A" w:rsidRPr="00123003">
        <w:rPr>
          <w:sz w:val="24"/>
          <w:szCs w:val="24"/>
          <w:lang w:val="en-US"/>
        </w:rPr>
        <w:t xml:space="preserve"> See online supplementary file</w:t>
      </w:r>
      <w:r w:rsidR="00652434" w:rsidRPr="00123003">
        <w:rPr>
          <w:rFonts w:cs="Times New Roman"/>
          <w:sz w:val="24"/>
          <w:szCs w:val="24"/>
          <w:lang w:val="en-US"/>
        </w:rPr>
        <w:t xml:space="preserve"> for details</w:t>
      </w:r>
      <w:r w:rsidR="001C223A" w:rsidRPr="00123003">
        <w:rPr>
          <w:rFonts w:cs="Times New Roman"/>
          <w:sz w:val="24"/>
          <w:szCs w:val="24"/>
          <w:lang w:val="en-US"/>
        </w:rPr>
        <w:t>.</w:t>
      </w:r>
    </w:p>
    <w:p w:rsidR="00DA3D4B" w:rsidRPr="00123003" w:rsidRDefault="00CB6434" w:rsidP="00123003">
      <w:pPr>
        <w:pStyle w:val="KeinLeerraum"/>
        <w:spacing w:line="480" w:lineRule="auto"/>
        <w:jc w:val="both"/>
        <w:rPr>
          <w:b/>
          <w:sz w:val="24"/>
          <w:szCs w:val="24"/>
          <w:lang w:val="en-US"/>
        </w:rPr>
      </w:pPr>
      <w:r w:rsidRPr="00123003">
        <w:rPr>
          <w:b/>
          <w:sz w:val="24"/>
          <w:szCs w:val="24"/>
          <w:lang w:val="en-US"/>
        </w:rPr>
        <w:t>Statistical analysis</w:t>
      </w:r>
    </w:p>
    <w:p w:rsidR="0067648B" w:rsidRPr="00123003" w:rsidRDefault="00156AB4" w:rsidP="00123003">
      <w:pPr>
        <w:spacing w:line="480" w:lineRule="auto"/>
        <w:jc w:val="both"/>
        <w:rPr>
          <w:rFonts w:cs="Times New Roman"/>
          <w:sz w:val="24"/>
          <w:szCs w:val="24"/>
          <w:lang w:val="en-US"/>
        </w:rPr>
      </w:pPr>
      <w:r w:rsidRPr="00123003">
        <w:rPr>
          <w:sz w:val="24"/>
          <w:szCs w:val="24"/>
          <w:lang w:val="en-US"/>
        </w:rPr>
        <w:t xml:space="preserve">The </w:t>
      </w:r>
      <w:r>
        <w:rPr>
          <w:sz w:val="24"/>
          <w:szCs w:val="24"/>
          <w:lang w:val="en-US"/>
        </w:rPr>
        <w:t xml:space="preserve">pre-declared </w:t>
      </w:r>
      <w:r w:rsidRPr="00123003">
        <w:rPr>
          <w:sz w:val="24"/>
          <w:szCs w:val="24"/>
          <w:lang w:val="en-US"/>
        </w:rPr>
        <w:t xml:space="preserve">primary outcome </w:t>
      </w:r>
      <w:r>
        <w:rPr>
          <w:sz w:val="24"/>
          <w:szCs w:val="24"/>
          <w:lang w:val="en-US"/>
        </w:rPr>
        <w:t>variable</w:t>
      </w:r>
      <w:r w:rsidR="00AB6F81">
        <w:rPr>
          <w:sz w:val="24"/>
          <w:szCs w:val="24"/>
          <w:lang w:val="en-US"/>
        </w:rPr>
        <w:t>s</w:t>
      </w:r>
      <w:r w:rsidRPr="00123003">
        <w:rPr>
          <w:sz w:val="24"/>
          <w:szCs w:val="24"/>
          <w:lang w:val="en-US"/>
        </w:rPr>
        <w:t xml:space="preserve"> </w:t>
      </w:r>
      <w:r w:rsidR="00F61B70">
        <w:rPr>
          <w:sz w:val="24"/>
          <w:szCs w:val="24"/>
          <w:lang w:val="en-US"/>
        </w:rPr>
        <w:t>were</w:t>
      </w:r>
      <w:r w:rsidRPr="00123003">
        <w:rPr>
          <w:sz w:val="24"/>
          <w:szCs w:val="24"/>
          <w:lang w:val="en-US"/>
        </w:rPr>
        <w:t xml:space="preserve"> fecal levels</w:t>
      </w:r>
      <w:r w:rsidR="00F61B70">
        <w:rPr>
          <w:sz w:val="24"/>
          <w:szCs w:val="24"/>
          <w:lang w:val="en-US"/>
        </w:rPr>
        <w:t xml:space="preserve"> of</w:t>
      </w:r>
      <w:r w:rsidRPr="00123003">
        <w:rPr>
          <w:sz w:val="24"/>
          <w:szCs w:val="24"/>
          <w:lang w:val="en-US"/>
        </w:rPr>
        <w:t xml:space="preserve"> tumorsuppressive butyrate and </w:t>
      </w:r>
      <w:r w:rsidRPr="00665C18">
        <w:rPr>
          <w:sz w:val="24"/>
          <w:szCs w:val="24"/>
          <w:lang w:val="en-US"/>
        </w:rPr>
        <w:t>tumor-promoting deoxycholic acid</w:t>
      </w:r>
      <w:r w:rsidR="00F61B70">
        <w:rPr>
          <w:sz w:val="24"/>
          <w:szCs w:val="24"/>
          <w:lang w:val="en-US"/>
        </w:rPr>
        <w:t xml:space="preserve"> </w:t>
      </w:r>
      <w:r w:rsidR="00F61B70">
        <w:rPr>
          <w:sz w:val="24"/>
          <w:szCs w:val="24"/>
          <w:lang w:val="en-US"/>
        </w:rPr>
        <w:fldChar w:fldCharType="begin"/>
      </w:r>
      <w:r w:rsidR="00F61B70">
        <w:rPr>
          <w:sz w:val="24"/>
          <w:szCs w:val="24"/>
          <w:lang w:val="en-US"/>
        </w:rPr>
        <w:instrText xml:space="preserve"> ADDIN ZOTERO_ITEM CSL_CITATION {"citationID":"D7vQEM7M","properties":{"formattedCitation":"(9,10)","plainCitation":"(9,10)","noteIndex":0},"citationItems":[{"id":464,"uris":["http://zotero.org/users/46719/items/8IITHWEP"],"uri":["http://zotero.org/users/46719/items/8IITHWEP"],"itemData":{"id":464,"type":"article-journal","title":"Diet, microbiota, and microbial metabolites in colon cancer risk in rural Africans and African Americans","container-title":"The American Journal of Clinical Nutrition","page":"111-120","volume":"98","issue":"1","source":"ajcn.nutrition.org","abstract":"Background: Epidemiologic studies have suggested that most cases of sporadic colon cancer can be attributed to diet. The recognition that colonic microbiota have a major influence on colonic health suggests that they might mediate colonic carcinogenesis.\nObjective: To examine the hypothesis that the influence of diet on colon cancer risk is mediated by the microbiota through their metabolites, we measured differences in colonic microbes and their metabolites in African Americans with a high risk and in rural native Africans with a low risk of colon cancer.\nDesign: Fresh fecal samples were collected from 12 healthy African Americans aged 50–65 y and from 12 age- and sex-matched native Africans. Microbiomes were analyzed with 16S ribosomal RNA gene pyrosequencing together with quantitative polymerase chain reaction of the major fermentative, butyrate-producing, and bile acid–deconjugating bacteria. Fecal short-chain fatty acids were measured by gas chromatography and bile acids by liquid chromatography–mass spectrometry.\nResults: Microbial composition was fundamentally different, with a predominance of Prevotella in native Africans (enterotype 2) and of Bacteroides in African Americans (enterotype 1). Total bacteria and major butyrate-producing groups were significantly more abundant in fecal samples from native Africans. Microbial genes encoding for secondary bile acid production were more abundant in African Americans, whereas those encoding for methanogenesis and hydrogen sulfide production were higher in native Africans. Fecal secondary bile acid concentrations were higher in African Americans, whereas short-chain fatty acids were higher in native Africans.\nConclusion: Our results support the hypothesis that colon cancer risk is influenced by the balance between microbial production of health-promoting metabolites such as butyrate and potentially carcinogenic metabolites such as secondary bile acids.","DOI":"10.3945/ajcn.112.056689","ISSN":"0002-9165, 1938-3207","note":"PMID: 23719549","journalAbbreviation":"Am J Clin Nutr","language":"en","author":[{"family":"Ou","given":"Junhai"},{"family":"Carbonero","given":"Franck"},{"family":"Zoetendal","given":"Erwin G."},{"family":"DeLany","given":"James P."},{"family":"Wang","given":"Mei"},{"family":"Newton","given":"Keith"},{"family":"Gaskins","given":"H. Rex"},{"family":"O'Keefe","given":"Stephen JD"}],"issued":{"date-parts":[["2013",7,1]]}}},{"id":2125,"uris":["http://zotero.org/users/46719/items/XV558T9I"],"uri":["http://zotero.org/users/46719/items/XV558T9I"],"itemData":{"id":2125,"type":"article-journal","title":"Fat, fibre and cancer risk in African Americans and rural Africans","container-title":"Nature Communications","page":"6342","volume":"6","source":"PubMed","abstract":"Rates of colon cancer are much higher in African Americans (65:100,000) than in rural South Africans (&lt;5:100,000). The higher rates are associated with higher animal protein and fat, and lower fibre consumption, higher colonic secondary bile acids, lower colonic short-chain fatty acid quantities and higher mucosal proliferative biomarkers of cancer risk in otherwise healthy middle-aged volunteers. Here we investigate further the role of fat and fibre in this association. We performed 2-week food exchanges in subjects from the same populations, where African Americans were fed a high-fibre, low-fat African-style diet and rural Africans a high-fat, low-fibre western-style diet, under close supervision. In comparison with their usual diets, the food changes resulted in remarkable reciprocal changes in mucosal biomarkers of cancer risk and in aspects of the microbiota and metabolome known to affect cancer risk, best illustrated by increased saccharolytic fermentation and butyrogenesis, and suppressed secondary bile acid synthesis in the African Americans.","DOI":"10.1038/ncomms7342","ISSN":"2041-1723","note":"PMID: 25919227","journalAbbreviation":"Nat Commun","language":"ENG","author":[{"family":"O'Keefe","given":"Stephen J. D."},{"family":"Li","given":"Jia V."},{"family":"Lahti","given":"Leo"},{"family":"Ou","given":"Junhai"},{"family":"Carbonero","given":"Franck"},{"family":"Mohammed","given":"Khaled"},{"family":"Posma","given":"Joram M."},{"family":"Kinross","given":"James"},{"family":"Wahl","given":"Elaine"},{"family":"Ruder","given":"Elizabeth"},{"family":"Vipperla","given":"Kishore"},{"family":"Naidoo","given":"Vasudevan"},{"family":"Mtshali","given":"Lungile"},{"family":"Tims","given":"Sebastian"},{"family":"Puylaert","given":"Philippe G. B."},{"family":"DeLany","given":"James"},{"family":"Krasinskas","given":"Alyssa"},{"family":"Benefiel","given":"Ann C."},{"family":"Kaseb","given":"Hatem O."},{"family":"Newton","given":"Keith"},{"family":"Nicholson","given":"Jeremy K."},{"family":"Vos","given":"Willem M.","non-dropping-particle":"de"},{"family":"Gaskins","given":"H. Rex"},{"family":"Zoetendal","given":"Erwin G."}],"issued":{"date-parts":[["2015"]]}}}],"schema":"https://github.com/citation-style-language/schema/raw/master/csl-citation.json"} </w:instrText>
      </w:r>
      <w:r w:rsidR="00F61B70">
        <w:rPr>
          <w:sz w:val="24"/>
          <w:szCs w:val="24"/>
          <w:lang w:val="en-US"/>
        </w:rPr>
        <w:fldChar w:fldCharType="separate"/>
      </w:r>
      <w:r w:rsidR="00F61B70" w:rsidRPr="00F61B70">
        <w:rPr>
          <w:rFonts w:ascii="Calibri" w:hAnsi="Calibri" w:cs="Calibri"/>
          <w:sz w:val="24"/>
          <w:lang w:val="en-US"/>
        </w:rPr>
        <w:t>(9,10)</w:t>
      </w:r>
      <w:r w:rsidR="00F61B70">
        <w:rPr>
          <w:sz w:val="24"/>
          <w:szCs w:val="24"/>
          <w:lang w:val="en-US"/>
        </w:rPr>
        <w:fldChar w:fldCharType="end"/>
      </w:r>
      <w:r w:rsidRPr="00665C18">
        <w:rPr>
          <w:sz w:val="24"/>
          <w:szCs w:val="24"/>
          <w:lang w:val="en-US"/>
        </w:rPr>
        <w:t>.</w:t>
      </w:r>
      <w:r>
        <w:rPr>
          <w:sz w:val="24"/>
          <w:szCs w:val="24"/>
          <w:lang w:val="en-US"/>
        </w:rPr>
        <w:t xml:space="preserve"> Secondary outcome variables were fecal SCFA and bile acids, composition and metabolome of fecal microbiota, functional microbial genes involved in butyrogenesis and bile acid conversion</w:t>
      </w:r>
      <w:r w:rsidR="00F61B70">
        <w:rPr>
          <w:sz w:val="24"/>
          <w:szCs w:val="24"/>
          <w:lang w:val="en-US"/>
        </w:rPr>
        <w:t xml:space="preserve"> </w:t>
      </w:r>
      <w:r w:rsidR="00F61B70">
        <w:rPr>
          <w:sz w:val="24"/>
          <w:szCs w:val="24"/>
          <w:lang w:val="en-US"/>
        </w:rPr>
        <w:fldChar w:fldCharType="begin"/>
      </w:r>
      <w:r w:rsidR="00F61B70">
        <w:rPr>
          <w:sz w:val="24"/>
          <w:szCs w:val="24"/>
          <w:lang w:val="en-US"/>
        </w:rPr>
        <w:instrText xml:space="preserve"> ADDIN ZOTERO_ITEM CSL_CITATION {"citationID":"mXV3wBxX","properties":{"formattedCitation":"(9,10)","plainCitation":"(9,10)","noteIndex":0},"citationItems":[{"id":464,"uris":["http://zotero.org/users/46719/items/8IITHWEP"],"uri":["http://zotero.org/users/46719/items/8IITHWEP"],"itemData":{"id":464,"type":"article-journal","title":"Diet, microbiota, and microbial metabolites in colon cancer risk in rural Africans and African Americans","container-title":"The American Journal of Clinical Nutrition","page":"111-120","volume":"98","issue":"1","source":"ajcn.nutrition.org","abstract":"Background: Epidemiologic studies have suggested that most cases of sporadic colon cancer can be attributed to diet. The recognition that colonic microbiota have a major influence on colonic health suggests that they might mediate colonic carcinogenesis.\nObjective: To examine the hypothesis that the influence of diet on colon cancer risk is mediated by the microbiota through their metabolites, we measured differences in colonic microbes and their metabolites in African Americans with a high risk and in rural native Africans with a low risk of colon cancer.\nDesign: Fresh fecal samples were collected from 12 healthy African Americans aged 50–65 y and from 12 age- and sex-matched native Africans. Microbiomes were analyzed with 16S ribosomal RNA gene pyrosequencing together with quantitative polymerase chain reaction of the major fermentative, butyrate-producing, and bile acid–deconjugating bacteria. Fecal short-chain fatty acids were measured by gas chromatography and bile acids by liquid chromatography–mass spectrometry.\nResults: Microbial composition was fundamentally different, with a predominance of Prevotella in native Africans (enterotype 2) and of Bacteroides in African Americans (enterotype 1). Total bacteria and major butyrate-producing groups were significantly more abundant in fecal samples from native Africans. Microbial genes encoding for secondary bile acid production were more abundant in African Americans, whereas those encoding for methanogenesis and hydrogen sulfide production were higher in native Africans. Fecal secondary bile acid concentrations were higher in African Americans, whereas short-chain fatty acids were higher in native Africans.\nConclusion: Our results support the hypothesis that colon cancer risk is influenced by the balance between microbial production of health-promoting metabolites such as butyrate and potentially carcinogenic metabolites such as secondary bile acids.","DOI":"10.3945/ajcn.112.056689","ISSN":"0002-9165, 1938-3207","note":"PMID: 23719549","journalAbbreviation":"Am J Clin Nutr","language":"en","author":[{"family":"Ou","given":"Junhai"},{"family":"Carbonero","given":"Franck"},{"family":"Zoetendal","given":"Erwin G."},{"family":"DeLany","given":"James P."},{"family":"Wang","given":"Mei"},{"family":"Newton","given":"Keith"},{"family":"Gaskins","given":"H. Rex"},{"family":"O'Keefe","given":"Stephen JD"}],"issued":{"date-parts":[["2013",7,1]]}}},{"id":2125,"uris":["http://zotero.org/users/46719/items/XV558T9I"],"uri":["http://zotero.org/users/46719/items/XV558T9I"],"itemData":{"id":2125,"type":"article-journal","title":"Fat, fibre and cancer risk in African Americans and rural Africans","container-title":"Nature Communications","page":"6342","volume":"6","source":"PubMed","abstract":"Rates of colon cancer are much higher in African Americans (65:100,000) than in rural South Africans (&lt;5:100,000). The higher rates are associated with higher animal protein and fat, and lower fibre consumption, higher colonic secondary bile acids, lower colonic short-chain fatty acid quantities and higher mucosal proliferative biomarkers of cancer risk in otherwise healthy middle-aged volunteers. Here we investigate further the role of fat and fibre in this association. We performed 2-week food exchanges in subjects from the same populations, where African Americans were fed a high-fibre, low-fat African-style diet and rural Africans a high-fat, low-fibre western-style diet, under close supervision. In comparison with their usual diets, the food changes resulted in remarkable reciprocal changes in mucosal biomarkers of cancer risk and in aspects of the microbiota and metabolome known to affect cancer risk, best illustrated by increased saccharolytic fermentation and butyrogenesis, and suppressed secondary bile acid synthesis in the African Americans.","DOI":"10.1038/ncomms7342","ISSN":"2041-1723","note":"PMID: 25919227","journalAbbreviation":"Nat Commun","language":"ENG","author":[{"family":"O'Keefe","given":"Stephen J. D."},{"family":"Li","given":"Jia V."},{"family":"Lahti","given":"Leo"},{"family":"Ou","given":"Junhai"},{"family":"Carbonero","given":"Franck"},{"family":"Mohammed","given":"Khaled"},{"family":"Posma","given":"Joram M."},{"family":"Kinross","given":"James"},{"family":"Wahl","given":"Elaine"},{"family":"Ruder","given":"Elizabeth"},{"family":"Vipperla","given":"Kishore"},{"family":"Naidoo","given":"Vasudevan"},{"family":"Mtshali","given":"Lungile"},{"family":"Tims","given":"Sebastian"},{"family":"Puylaert","given":"Philippe G. B."},{"family":"DeLany","given":"James"},{"family":"Krasinskas","given":"Alyssa"},{"family":"Benefiel","given":"Ann C."},{"family":"Kaseb","given":"Hatem O."},{"family":"Newton","given":"Keith"},{"family":"Nicholson","given":"Jeremy K."},{"family":"Vos","given":"Willem M.","non-dropping-particle":"de"},{"family":"Gaskins","given":"H. Rex"},{"family":"Zoetendal","given":"Erwin G."}],"issued":{"date-parts":[["2015"]]}}}],"schema":"https://github.com/citation-style-language/schema/raw/master/csl-citation.json"} </w:instrText>
      </w:r>
      <w:r w:rsidR="00F61B70">
        <w:rPr>
          <w:sz w:val="24"/>
          <w:szCs w:val="24"/>
          <w:lang w:val="en-US"/>
        </w:rPr>
        <w:fldChar w:fldCharType="separate"/>
      </w:r>
      <w:r w:rsidR="00F61B70" w:rsidRPr="00E8450F">
        <w:rPr>
          <w:rFonts w:ascii="Calibri" w:hAnsi="Calibri" w:cs="Calibri"/>
          <w:sz w:val="24"/>
          <w:lang w:val="en-US"/>
        </w:rPr>
        <w:t>(9,10)</w:t>
      </w:r>
      <w:r w:rsidR="00F61B70">
        <w:rPr>
          <w:sz w:val="24"/>
          <w:szCs w:val="24"/>
          <w:lang w:val="en-US"/>
        </w:rPr>
        <w:fldChar w:fldCharType="end"/>
      </w:r>
      <w:r w:rsidRPr="00123003">
        <w:rPr>
          <w:sz w:val="24"/>
          <w:szCs w:val="24"/>
          <w:lang w:val="en-US"/>
        </w:rPr>
        <w:t xml:space="preserve">. In this context, CRC risk was defined as incidence of CRC previously identified for the respective ethnic group </w:t>
      </w:r>
      <w:r w:rsidRPr="00123003">
        <w:rPr>
          <w:sz w:val="24"/>
          <w:szCs w:val="24"/>
          <w:lang w:val="en-US"/>
        </w:rPr>
        <w:fldChar w:fldCharType="begin"/>
      </w:r>
      <w:r w:rsidR="00F61B70">
        <w:rPr>
          <w:sz w:val="24"/>
          <w:szCs w:val="24"/>
          <w:lang w:val="en-US"/>
        </w:rPr>
        <w:instrText xml:space="preserve"> ADDIN ZOTERO_ITEM CSL_CITATION {"citationID":"ambgcn3r6u","properties":{"formattedCitation":"(7,14)","plainCitation":"(7,14)","noteIndex":0},"citationItems":[{"id":4115,"uris":["http://zotero.org/users/46719/items/BLVHABGW"],"uri":["http://zotero.org/users/46719/items/BLVHABGW"],"itemData":{"id":4115,"type":"article-journal","title":"Geographic variation in colorectal cancer incidence and mortality, age of onset, and stage at diagnosis among American Indian and Alaska Native people, 1990-2009","container-title":"American Journal of Public Health","page":"S404-414","volume":"104 Suppl 3","source":"PubMed","abstract":"OBJECTIVES: We characterized estimates of colorectal cancer (CRC) in American Indians/Alaska Natives (AI/ANs) compared with Whites using a linkage methodology to improve AI/AN classification in incidence and mortality data.\nMETHODS: We linked incidence and mortality data to Indian Health Service enrollment records. Our analyses were restricted to Contract Health Services Delivery Area counties. We analyzed death and incidence rates of CRC for AI/AN persons and Whites by 6 regions from 1999 to 2009. Trends were described using linear modeling.\nRESULTS: The AI/AN colorectal cancer incidence was 21% higher and mortality 39% higher than in Whites. Although incidence and mortality significantly declined among Whites, AI/AN incidence did not change significantly, and mortality declined only in the Northern Plains. AI/AN persons had a higher incidence of CRC than Whites in all ages and were more often diagnosed with late stage CRC than Whites.\nCONCLUSIONS: Compared with Whites, AI/AN individuals in many regions had a higher burden of CRC and stable or increasing CRC mortality. An understanding of the factors driving these regional disparities could offer critical insights for prevention and control programs.","DOI":"10.2105/AJPH.2013.301654","ISSN":"1541-0048","note":"PMID: 24754657\nPMCID: PMC4035875","journalAbbreviation":"Am J Public Health","language":"eng","author":[{"family":"Perdue","given":"David G."},{"family":"Haverkamp","given":"Donald"},{"family":"Perkins","given":"Carin"},{"family":"Daley","given":"Christine Makosky"},{"family":"Provost","given":"Ellen"}],"issued":{"date-parts":[["2014",6]]}}},{"id":3520,"uris":["http://zotero.org/users/46719/items/ZWR6A2KF"],"uri":["http://zotero.org/users/46719/items/ZWR6A2KF"],"itemData":{"id":3520,"type":"article-journal","title":"Diet, microorganisms and their metabolites, and colon cancer","container-title":"Nature Reviews. Gastroenterology &amp; Hepatology","page":"691-706","volume":"13","issue":"12","source":"PubMed","abstract":"Colorectal cancer is one of the so-called westernized diseases and the second leading cause of cancer death worldwide. On the basis of global epidemiological and scientific studies, evidence suggests that the risk of colorectal cancer is increased by processed and unprocessed meat consumption but suppressed by fibre, and that food composition affects colonic health and cancer risk via its effects on colonic microbial metabolism. The gut microbiota can ferment complex dietary residues that are resistant to digestion by enteric enzymes. This process provides energy for the microbiota but culminates in the release of short-chain fatty acids including butyrate, which are utilized for the metabolic needs of the colon and the body. Butyrate has a remarkable array of colonic health-promoting and antineoplastic properties: it is the preferred energy source for colonocytes, it maintains mucosal integrity and it suppresses inflammation and carcinogenesis through effects on immunity, gene expression and epigenetic modulation. Protein residues and fat-stimulated bile acids are also metabolized by the microbiota to inflammatory and/or carcinogenic metabolites, which increase the risk of neoplastic progression. This Review will discuss the mechanisms behind these microbial metabolite effects, which could be modified by diet to achieve the objective of preventing colorectal cancer in Western societies.","DOI":"10.1038/nrgastro.2016.165","ISSN":"1759-5053","note":"PMID: 27848961","journalAbbreviation":"Nat Rev Gastroenterol Hepatol","language":"eng","author":[{"family":"O'Keefe","given":"Stephen J. D."}],"issued":{"date-parts":[["2016",12]]}}}],"schema":"https://github.com/citation-style-language/schema/raw/master/csl-citation.json"} </w:instrText>
      </w:r>
      <w:r w:rsidRPr="00123003">
        <w:rPr>
          <w:sz w:val="24"/>
          <w:szCs w:val="24"/>
          <w:lang w:val="en-US"/>
        </w:rPr>
        <w:fldChar w:fldCharType="separate"/>
      </w:r>
      <w:r w:rsidRPr="00123003">
        <w:rPr>
          <w:sz w:val="24"/>
          <w:szCs w:val="24"/>
        </w:rPr>
        <w:t>(7,14)</w:t>
      </w:r>
      <w:r w:rsidRPr="00123003">
        <w:rPr>
          <w:sz w:val="24"/>
          <w:szCs w:val="24"/>
          <w:lang w:val="en-US"/>
        </w:rPr>
        <w:fldChar w:fldCharType="end"/>
      </w:r>
      <w:r w:rsidRPr="00123003">
        <w:rPr>
          <w:sz w:val="24"/>
          <w:szCs w:val="24"/>
          <w:lang w:val="en-US"/>
        </w:rPr>
        <w:t xml:space="preserve">. Based on our previous studies </w:t>
      </w:r>
      <w:r w:rsidRPr="00123003">
        <w:rPr>
          <w:sz w:val="24"/>
          <w:szCs w:val="24"/>
          <w:lang w:val="en-US"/>
        </w:rPr>
        <w:fldChar w:fldCharType="begin"/>
      </w:r>
      <w:r w:rsidR="00F61B70">
        <w:rPr>
          <w:sz w:val="24"/>
          <w:szCs w:val="24"/>
          <w:lang w:val="en-US"/>
        </w:rPr>
        <w:instrText xml:space="preserve"> ADDIN ZOTERO_ITEM CSL_CITATION {"citationID":"a23eorard47","properties":{"formattedCitation":"(9,10)","plainCitation":"(9,10)","noteIndex":0},"citationItems":[{"id":464,"uris":["http://zotero.org/users/46719/items/8IITHWEP"],"uri":["http://zotero.org/users/46719/items/8IITHWEP"],"itemData":{"id":464,"type":"article-journal","title":"Diet, microbiota, and microbial metabolites in colon cancer risk in rural Africans and African Americans","container-title":"The American Journal of Clinical Nutrition","page":"111-120","volume":"98","issue":"1","source":"ajcn.nutrition.org","abstract":"Background: Epidemiologic studies have suggested that most cases of sporadic colon cancer can be attributed to diet. The recognition that colonic microbiota have a major influence on colonic health suggests that they might mediate colonic carcinogenesis.\nObjective: To examine the hypothesis that the influence of diet on colon cancer risk is mediated by the microbiota through their metabolites, we measured differences in colonic microbes and their metabolites in African Americans with a high risk and in rural native Africans with a low risk of colon cancer.\nDesign: Fresh fecal samples were collected from 12 healthy African Americans aged 50–65 y and from 12 age- and sex-matched native Africans. Microbiomes were analyzed with 16S ribosomal RNA gene pyrosequencing together with quantitative polymerase chain reaction of the major fermentative, butyrate-producing, and bile acid–deconjugating bacteria. Fecal short-chain fatty acids were measured by gas chromatography and bile acids by liquid chromatography–mass spectrometry.\nResults: Microbial composition was fundamentally different, with a predominance of Prevotella in native Africans (enterotype 2) and of Bacteroides in African Americans (enterotype 1). Total bacteria and major butyrate-producing groups were significantly more abundant in fecal samples from native Africans. Microbial genes encoding for secondary bile acid production were more abundant in African Americans, whereas those encoding for methanogenesis and hydrogen sulfide production were higher in native Africans. Fecal secondary bile acid concentrations were higher in African Americans, whereas short-chain fatty acids were higher in native Africans.\nConclusion: Our results support the hypothesis that colon cancer risk is influenced by the balance between microbial production of health-promoting metabolites such as butyrate and potentially carcinogenic metabolites such as secondary bile acids.","DOI":"10.3945/ajcn.112.056689","ISSN":"0002-9165, 1938-3207","note":"PMID: 23719549","journalAbbreviation":"Am J Clin Nutr","language":"en","author":[{"family":"Ou","given":"Junhai"},{"family":"Carbonero","given":"Franck"},{"family":"Zoetendal","given":"Erwin G."},{"family":"DeLany","given":"James P."},{"family":"Wang","given":"Mei"},{"family":"Newton","given":"Keith"},{"family":"Gaskins","given":"H. Rex"},{"family":"O'Keefe","given":"Stephen JD"}],"issued":{"date-parts":[["2013",7,1]]}}},{"id":2125,"uris":["http://zotero.org/users/46719/items/XV558T9I"],"uri":["http://zotero.org/users/46719/items/XV558T9I"],"itemData":{"id":2125,"type":"article-journal","title":"Fat, fibre and cancer risk in African Americans and rural Africans","container-title":"Nature Communications","page":"6342","volume":"6","source":"PubMed","abstract":"Rates of colon cancer are much higher in African Americans (65:100,000) than in rural South Africans (&lt;5:100,000). The higher rates are associated with higher animal protein and fat, and lower fibre consumption, higher colonic secondary bile acids, lower colonic short-chain fatty acid quantities and higher mucosal proliferative biomarkers of cancer risk in otherwise healthy middle-aged volunteers. Here we investigate further the role of fat and fibre in this association. We performed 2-week food exchanges in subjects from the same populations, where African Americans were fed a high-fibre, low-fat African-style diet and rural Africans a high-fat, low-fibre western-style diet, under close supervision. In comparison with their usual diets, the food changes resulted in remarkable reciprocal changes in mucosal biomarkers of cancer risk and in aspects of the microbiota and metabolome known to affect cancer risk, best illustrated by increased saccharolytic fermentation and butyrogenesis, and suppressed secondary bile acid synthesis in the African Americans.","DOI":"10.1038/ncomms7342","ISSN":"2041-1723","note":"PMID: 25919227","journalAbbreviation":"Nat Commun","language":"ENG","author":[{"family":"O'Keefe","given":"Stephen J. D."},{"family":"Li","given":"Jia V."},{"family":"Lahti","given":"Leo"},{"family":"Ou","given":"Junhai"},{"family":"Carbonero","given":"Franck"},{"family":"Mohammed","given":"Khaled"},{"family":"Posma","given":"Joram M."},{"family":"Kinross","given":"James"},{"family":"Wahl","given":"Elaine"},{"family":"Ruder","given":"Elizabeth"},{"family":"Vipperla","given":"Kishore"},{"family":"Naidoo","given":"Vasudevan"},{"family":"Mtshali","given":"Lungile"},{"family":"Tims","given":"Sebastian"},{"family":"Puylaert","given":"Philippe G. B."},{"family":"DeLany","given":"James"},{"family":"Krasinskas","given":"Alyssa"},{"family":"Benefiel","given":"Ann C."},{"family":"Kaseb","given":"Hatem O."},{"family":"Newton","given":"Keith"},{"family":"Nicholson","given":"Jeremy K."},{"family":"Vos","given":"Willem M.","non-dropping-particle":"de"},{"family":"Gaskins","given":"H. Rex"},{"family":"Zoetendal","given":"Erwin G."}],"issued":{"date-parts":[["2015"]]}}}],"schema":"https://github.com/citation-style-language/schema/raw/master/csl-citation.json"} </w:instrText>
      </w:r>
      <w:r w:rsidRPr="00123003">
        <w:rPr>
          <w:sz w:val="24"/>
          <w:szCs w:val="24"/>
          <w:lang w:val="en-US"/>
        </w:rPr>
        <w:fldChar w:fldCharType="separate"/>
      </w:r>
      <w:r w:rsidRPr="00123003">
        <w:rPr>
          <w:sz w:val="24"/>
          <w:szCs w:val="24"/>
          <w:lang w:val="en-US"/>
        </w:rPr>
        <w:t>(9,10)</w:t>
      </w:r>
      <w:r w:rsidRPr="00123003">
        <w:rPr>
          <w:sz w:val="24"/>
          <w:szCs w:val="24"/>
          <w:lang w:val="en-US"/>
        </w:rPr>
        <w:fldChar w:fldCharType="end"/>
      </w:r>
      <w:r w:rsidRPr="00123003">
        <w:rPr>
          <w:sz w:val="24"/>
          <w:szCs w:val="24"/>
          <w:lang w:val="en-US"/>
        </w:rPr>
        <w:t xml:space="preserve">, we expected a sample size of 20 participants per group to be adequate to detect differences in </w:t>
      </w:r>
      <w:r w:rsidR="00987B53">
        <w:rPr>
          <w:sz w:val="24"/>
          <w:szCs w:val="24"/>
          <w:lang w:val="en-US"/>
        </w:rPr>
        <w:t>primary outcome measures</w:t>
      </w:r>
      <w:r>
        <w:rPr>
          <w:sz w:val="24"/>
          <w:szCs w:val="24"/>
          <w:lang w:val="en-US"/>
        </w:rPr>
        <w:t xml:space="preserve"> (</w:t>
      </w:r>
      <w:r w:rsidR="00987B53">
        <w:rPr>
          <w:sz w:val="24"/>
          <w:szCs w:val="24"/>
          <w:lang w:val="en-US"/>
        </w:rPr>
        <w:t xml:space="preserve">with an </w:t>
      </w:r>
      <w:r>
        <w:rPr>
          <w:sz w:val="24"/>
          <w:szCs w:val="24"/>
          <w:lang w:val="en-US"/>
        </w:rPr>
        <w:t>α</w:t>
      </w:r>
      <w:r w:rsidR="00987B53">
        <w:rPr>
          <w:sz w:val="24"/>
          <w:szCs w:val="24"/>
          <w:lang w:val="en-US"/>
        </w:rPr>
        <w:t xml:space="preserve"> set to </w:t>
      </w:r>
      <w:r>
        <w:rPr>
          <w:sz w:val="24"/>
          <w:szCs w:val="24"/>
          <w:lang w:val="en-US"/>
        </w:rPr>
        <w:t>0.05</w:t>
      </w:r>
      <w:r w:rsidR="00987B53">
        <w:rPr>
          <w:sz w:val="24"/>
          <w:szCs w:val="24"/>
          <w:lang w:val="en-US"/>
        </w:rPr>
        <w:t xml:space="preserve"> and</w:t>
      </w:r>
      <w:r>
        <w:rPr>
          <w:sz w:val="24"/>
          <w:szCs w:val="24"/>
          <w:lang w:val="en-US"/>
        </w:rPr>
        <w:t xml:space="preserve"> β </w:t>
      </w:r>
      <w:r w:rsidR="00987B53">
        <w:rPr>
          <w:sz w:val="24"/>
          <w:szCs w:val="24"/>
          <w:lang w:val="en-US"/>
        </w:rPr>
        <w:t>set to 0.1</w:t>
      </w:r>
      <w:r>
        <w:rPr>
          <w:sz w:val="24"/>
          <w:szCs w:val="24"/>
          <w:lang w:val="en-US"/>
        </w:rPr>
        <w:t>)</w:t>
      </w:r>
      <w:r w:rsidRPr="00123003">
        <w:rPr>
          <w:sz w:val="24"/>
          <w:szCs w:val="24"/>
          <w:lang w:val="en-US"/>
        </w:rPr>
        <w:t xml:space="preserve">, especially considering the great disparity in CRC incidence of the two populations. </w:t>
      </w:r>
      <w:r w:rsidR="008774E1" w:rsidRPr="00123003">
        <w:rPr>
          <w:rFonts w:cs="Times New Roman"/>
          <w:sz w:val="24"/>
          <w:szCs w:val="24"/>
          <w:lang w:val="en-US"/>
        </w:rPr>
        <w:t>Statistical analysis of data</w:t>
      </w:r>
      <w:r w:rsidR="00065021" w:rsidRPr="00123003">
        <w:rPr>
          <w:rFonts w:cs="Times New Roman"/>
          <w:sz w:val="24"/>
          <w:szCs w:val="24"/>
          <w:lang w:val="en-US"/>
        </w:rPr>
        <w:t xml:space="preserve"> </w:t>
      </w:r>
      <w:r w:rsidR="008774E1" w:rsidRPr="00123003">
        <w:rPr>
          <w:rFonts w:cs="Times New Roman"/>
          <w:sz w:val="24"/>
          <w:szCs w:val="24"/>
          <w:lang w:val="en-US"/>
        </w:rPr>
        <w:t>sets with one variable was performed by</w:t>
      </w:r>
      <w:r w:rsidR="00652434" w:rsidRPr="00123003">
        <w:rPr>
          <w:rFonts w:cs="Times New Roman"/>
          <w:sz w:val="24"/>
          <w:szCs w:val="24"/>
          <w:lang w:val="en-US"/>
        </w:rPr>
        <w:t xml:space="preserve"> unpaired t-</w:t>
      </w:r>
      <w:r w:rsidR="00652434" w:rsidRPr="00123003">
        <w:rPr>
          <w:rFonts w:cs="Times New Roman"/>
          <w:sz w:val="24"/>
          <w:szCs w:val="24"/>
          <w:lang w:val="en-US"/>
        </w:rPr>
        <w:lastRenderedPageBreak/>
        <w:t>test (</w:t>
      </w:r>
      <w:r w:rsidR="00065021" w:rsidRPr="00123003">
        <w:rPr>
          <w:rFonts w:cs="Times New Roman"/>
          <w:sz w:val="24"/>
          <w:szCs w:val="24"/>
          <w:lang w:val="en-US"/>
        </w:rPr>
        <w:t>data normally distributed) or non-parametric Mann-Whitney</w:t>
      </w:r>
      <w:r w:rsidR="00AA00E6" w:rsidRPr="00123003">
        <w:rPr>
          <w:rFonts w:cs="Times New Roman"/>
          <w:sz w:val="24"/>
          <w:szCs w:val="24"/>
          <w:lang w:val="en-US"/>
        </w:rPr>
        <w:t>-U-</w:t>
      </w:r>
      <w:r w:rsidR="00065021" w:rsidRPr="00123003">
        <w:rPr>
          <w:rFonts w:cs="Times New Roman"/>
          <w:sz w:val="24"/>
          <w:szCs w:val="24"/>
          <w:lang w:val="en-US"/>
        </w:rPr>
        <w:t>test (data not normally distributed) using Prism 7.0 software (</w:t>
      </w:r>
      <w:proofErr w:type="spellStart"/>
      <w:r w:rsidR="00065021" w:rsidRPr="00123003">
        <w:rPr>
          <w:rFonts w:cs="Times New Roman"/>
          <w:sz w:val="24"/>
          <w:szCs w:val="24"/>
          <w:lang w:val="en-US"/>
        </w:rPr>
        <w:t>GraphPad</w:t>
      </w:r>
      <w:proofErr w:type="spellEnd"/>
      <w:r w:rsidR="00065021" w:rsidRPr="00123003">
        <w:rPr>
          <w:rFonts w:cs="Times New Roman"/>
          <w:sz w:val="24"/>
          <w:szCs w:val="24"/>
          <w:lang w:val="en-US"/>
        </w:rPr>
        <w:t xml:space="preserve"> software Inc.</w:t>
      </w:r>
      <w:r w:rsidR="00C14501" w:rsidRPr="00123003">
        <w:rPr>
          <w:rFonts w:cs="Times New Roman"/>
          <w:sz w:val="24"/>
          <w:szCs w:val="24"/>
          <w:lang w:val="en-US"/>
        </w:rPr>
        <w:t>, San Diego, CA, USA</w:t>
      </w:r>
      <w:r w:rsidR="00065021" w:rsidRPr="00123003">
        <w:rPr>
          <w:rFonts w:cs="Times New Roman"/>
          <w:sz w:val="24"/>
          <w:szCs w:val="24"/>
          <w:lang w:val="en-US"/>
        </w:rPr>
        <w:t>).</w:t>
      </w:r>
      <w:r w:rsidR="008A5619" w:rsidRPr="00123003">
        <w:rPr>
          <w:rFonts w:cs="Times New Roman"/>
          <w:sz w:val="24"/>
          <w:szCs w:val="24"/>
          <w:lang w:val="en-US"/>
        </w:rPr>
        <w:t xml:space="preserve"> Data </w:t>
      </w:r>
      <w:r w:rsidR="00B021C7" w:rsidRPr="00123003">
        <w:rPr>
          <w:rFonts w:cs="Times New Roman"/>
          <w:sz w:val="24"/>
          <w:szCs w:val="24"/>
          <w:lang w:val="en-US"/>
        </w:rPr>
        <w:t>for</w:t>
      </w:r>
      <w:r w:rsidR="008A5619" w:rsidRPr="00123003">
        <w:rPr>
          <w:rFonts w:cs="Times New Roman"/>
          <w:sz w:val="24"/>
          <w:szCs w:val="24"/>
          <w:lang w:val="en-US"/>
        </w:rPr>
        <w:t xml:space="preserve"> </w:t>
      </w:r>
      <w:r w:rsidR="00795B28" w:rsidRPr="00123003">
        <w:rPr>
          <w:rFonts w:cs="Times New Roman"/>
          <w:sz w:val="24"/>
          <w:szCs w:val="24"/>
          <w:lang w:val="en-US"/>
        </w:rPr>
        <w:t>SCFA, bile acids</w:t>
      </w:r>
      <w:r w:rsidR="00135735" w:rsidRPr="00123003">
        <w:rPr>
          <w:rFonts w:cs="Times New Roman"/>
          <w:sz w:val="24"/>
          <w:szCs w:val="24"/>
          <w:lang w:val="en-US"/>
        </w:rPr>
        <w:t>,</w:t>
      </w:r>
      <w:r w:rsidR="00795B28" w:rsidRPr="00123003">
        <w:rPr>
          <w:rFonts w:cs="Times New Roman"/>
          <w:sz w:val="24"/>
          <w:szCs w:val="24"/>
          <w:lang w:val="en-US"/>
        </w:rPr>
        <w:t xml:space="preserve"> </w:t>
      </w:r>
      <w:r w:rsidR="00A32F00" w:rsidRPr="00123003">
        <w:rPr>
          <w:rFonts w:cs="Times New Roman"/>
          <w:sz w:val="24"/>
          <w:szCs w:val="24"/>
          <w:lang w:val="en-US"/>
        </w:rPr>
        <w:t>functional microbial genes</w:t>
      </w:r>
      <w:r w:rsidR="00795B28" w:rsidRPr="00123003">
        <w:rPr>
          <w:rFonts w:cs="Times New Roman"/>
          <w:sz w:val="24"/>
          <w:szCs w:val="24"/>
          <w:lang w:val="en-US"/>
        </w:rPr>
        <w:t xml:space="preserve"> </w:t>
      </w:r>
      <w:r w:rsidR="00135735" w:rsidRPr="00123003">
        <w:rPr>
          <w:rFonts w:cs="Times New Roman"/>
          <w:sz w:val="24"/>
          <w:szCs w:val="24"/>
          <w:lang w:val="en-US"/>
        </w:rPr>
        <w:t xml:space="preserve">and </w:t>
      </w:r>
      <w:r w:rsidR="00777A06" w:rsidRPr="00123003">
        <w:rPr>
          <w:rFonts w:cs="Times New Roman"/>
          <w:sz w:val="24"/>
          <w:szCs w:val="24"/>
          <w:lang w:val="en-US"/>
        </w:rPr>
        <w:t>relative taxonomic abundances</w:t>
      </w:r>
      <w:r w:rsidR="00135735" w:rsidRPr="00123003">
        <w:rPr>
          <w:rFonts w:cs="Times New Roman"/>
          <w:sz w:val="24"/>
          <w:szCs w:val="24"/>
          <w:lang w:val="en-US"/>
        </w:rPr>
        <w:t xml:space="preserve"> </w:t>
      </w:r>
      <w:r w:rsidR="00795B28" w:rsidRPr="00123003">
        <w:rPr>
          <w:rFonts w:cs="Times New Roman"/>
          <w:sz w:val="24"/>
          <w:szCs w:val="24"/>
          <w:lang w:val="en-US"/>
        </w:rPr>
        <w:t>is shown as box-and-whisker plot</w:t>
      </w:r>
      <w:r w:rsidR="00DE7703" w:rsidRPr="00123003">
        <w:rPr>
          <w:rFonts w:cs="Times New Roman"/>
          <w:sz w:val="24"/>
          <w:szCs w:val="24"/>
          <w:lang w:val="en-US"/>
        </w:rPr>
        <w:t>s</w:t>
      </w:r>
      <w:r w:rsidR="004D076A" w:rsidRPr="00123003">
        <w:rPr>
          <w:rFonts w:cs="Times New Roman"/>
          <w:sz w:val="24"/>
          <w:szCs w:val="24"/>
          <w:lang w:val="en-US"/>
        </w:rPr>
        <w:t xml:space="preserve"> according to Tukey</w:t>
      </w:r>
      <w:r w:rsidR="00847588" w:rsidRPr="00123003">
        <w:rPr>
          <w:rFonts w:cs="Times New Roman"/>
          <w:sz w:val="24"/>
          <w:szCs w:val="24"/>
          <w:lang w:val="en-US"/>
        </w:rPr>
        <w:t xml:space="preserve"> unless stated otherwise</w:t>
      </w:r>
      <w:r w:rsidR="004D076A" w:rsidRPr="00123003">
        <w:rPr>
          <w:rFonts w:cs="Times New Roman"/>
          <w:sz w:val="24"/>
          <w:szCs w:val="24"/>
          <w:lang w:val="en-US"/>
        </w:rPr>
        <w:t xml:space="preserve">. </w:t>
      </w:r>
      <w:r w:rsidR="00777A06" w:rsidRPr="00123003">
        <w:rPr>
          <w:rFonts w:cs="Calibri"/>
          <w:sz w:val="24"/>
          <w:szCs w:val="24"/>
          <w:lang w:val="en-US"/>
        </w:rPr>
        <w:t xml:space="preserve">16S </w:t>
      </w:r>
      <w:proofErr w:type="spellStart"/>
      <w:r w:rsidR="00777A06" w:rsidRPr="00123003">
        <w:rPr>
          <w:rFonts w:cs="Calibri"/>
          <w:sz w:val="24"/>
          <w:szCs w:val="24"/>
          <w:lang w:val="en-US"/>
        </w:rPr>
        <w:t>rRNA</w:t>
      </w:r>
      <w:proofErr w:type="spellEnd"/>
      <w:r w:rsidR="00777A06" w:rsidRPr="00123003">
        <w:rPr>
          <w:rFonts w:cs="Calibri"/>
          <w:sz w:val="24"/>
          <w:szCs w:val="24"/>
          <w:lang w:val="en-US"/>
        </w:rPr>
        <w:t xml:space="preserve"> gene sequencing data was analyzed using Mann-Whitney-U-test</w:t>
      </w:r>
      <w:r w:rsidR="00777A06" w:rsidRPr="00123003">
        <w:rPr>
          <w:sz w:val="24"/>
          <w:szCs w:val="24"/>
          <w:lang w:val="en-US"/>
        </w:rPr>
        <w:t xml:space="preserve"> and corrected for multiple testing by the </w:t>
      </w:r>
      <w:proofErr w:type="spellStart"/>
      <w:r w:rsidR="00777A06" w:rsidRPr="00123003">
        <w:rPr>
          <w:sz w:val="24"/>
          <w:szCs w:val="24"/>
          <w:lang w:val="en-US"/>
        </w:rPr>
        <w:t>Benjamini</w:t>
      </w:r>
      <w:proofErr w:type="spellEnd"/>
      <w:r w:rsidR="00777A06" w:rsidRPr="00123003">
        <w:rPr>
          <w:sz w:val="24"/>
          <w:szCs w:val="24"/>
          <w:lang w:val="en-US"/>
        </w:rPr>
        <w:t xml:space="preserve">-Hochberg method using the R pipeline Rhea </w:t>
      </w:r>
      <w:r w:rsidR="00777A06" w:rsidRPr="00123003">
        <w:rPr>
          <w:sz w:val="24"/>
          <w:szCs w:val="24"/>
          <w:lang w:val="en-US"/>
        </w:rPr>
        <w:fldChar w:fldCharType="begin"/>
      </w:r>
      <w:r w:rsidR="00F61B70">
        <w:rPr>
          <w:sz w:val="24"/>
          <w:szCs w:val="24"/>
          <w:lang w:val="en-US"/>
        </w:rPr>
        <w:instrText xml:space="preserve"> ADDIN ZOTERO_ITEM CSL_CITATION {"citationID":"a1vuatsrtvs","properties":{"formattedCitation":"(20)","plainCitation":"(20)","noteIndex":0},"citationItems":[{"id":4135,"uris":["http://zotero.org/users/46719/items/M59FIZMU"],"uri":["http://zotero.org/users/46719/items/M59FIZMU"],"itemData":{"id":4135,"type":"article-journal","title":"Rhea: a transparent and modular R pipeline for microbial profiling based on 16S rRNA gene amplicons","container-title":"PeerJ","page":"e2836","volume":"5","source":"peerj.com","abstract":"The importance of 16S rRNA gene amplicon profiles for understanding the influence of microbes in a variety of environments coupled with the steep reduction in sequencing costs led to a surge of microbial sequencing projects. The expanding crowd of scientists and clinicians wanting to make use of sequencing datasets can choose among a range of multipurpose software platforms, the use of which can be intimidating for non-expert users. Among available pipeline options for high-throughput 16S rRNA gene analysis, the R programming language and software environment for statistical computing stands out for its power and increased flexibility, and the possibility to adhere to most recent best practices and to adjust to individual project needs. Here we present the Rhea pipeline, a set of R scripts that encode a series of well-documented choices for the downstream analysis of Operational Taxonomic Units (OTUs) tables, including normalization steps, alpha- and beta-diversity analysis, taxonomic composition, statistical comparisons, and calculation of correlations. Rhea is primarily a straightforward starting point for beginners, but can also be a framework for advanced users who can modify and expand the tool. As the community standards evolve, Rhea will adapt to always represent the current state-of-the-art in microbial profiles analysis in the clear and comprehensive way allowed by the R language. Rhea scripts and documentation are freely available at https://lagkouvardos.github.io/Rhea.","DOI":"10.7717/peerj.2836","ISSN":"2167-8359","title-short":"Rhea","journalAbbreviation":"PeerJ","language":"en","author":[{"family":"Lagkouvardos","given":"Ilias"},{"family":"Fischer","given":"Sandra"},{"family":"Kumar","given":"Neeraj"},{"family":"Clavel","given":"Thomas"}],"issued":{"date-parts":[["2017",1,11]]}}}],"schema":"https://github.com/citation-style-language/schema/raw/master/csl-citation.json"} </w:instrText>
      </w:r>
      <w:r w:rsidR="00777A06" w:rsidRPr="00123003">
        <w:rPr>
          <w:sz w:val="24"/>
          <w:szCs w:val="24"/>
          <w:lang w:val="en-US"/>
        </w:rPr>
        <w:fldChar w:fldCharType="separate"/>
      </w:r>
      <w:r w:rsidR="00836220" w:rsidRPr="00836220">
        <w:rPr>
          <w:rFonts w:ascii="Calibri" w:hAnsi="Calibri" w:cs="Calibri"/>
          <w:sz w:val="24"/>
          <w:lang w:val="en-US"/>
        </w:rPr>
        <w:t>(20)</w:t>
      </w:r>
      <w:r w:rsidR="00777A06" w:rsidRPr="00123003">
        <w:rPr>
          <w:sz w:val="24"/>
          <w:szCs w:val="24"/>
          <w:lang w:val="en-US"/>
        </w:rPr>
        <w:fldChar w:fldCharType="end"/>
      </w:r>
      <w:r w:rsidR="00777A06" w:rsidRPr="00123003">
        <w:rPr>
          <w:sz w:val="24"/>
          <w:szCs w:val="24"/>
          <w:lang w:val="en-US"/>
        </w:rPr>
        <w:t xml:space="preserve">. </w:t>
      </w:r>
      <w:r w:rsidR="00442F01" w:rsidRPr="00123003">
        <w:rPr>
          <w:rFonts w:cs="Times New Roman"/>
          <w:sz w:val="24"/>
          <w:szCs w:val="24"/>
          <w:vertAlign w:val="superscript"/>
          <w:lang w:val="en-US"/>
        </w:rPr>
        <w:t>1</w:t>
      </w:r>
      <w:r w:rsidR="00442F01" w:rsidRPr="00123003">
        <w:rPr>
          <w:rFonts w:cs="Times New Roman"/>
          <w:sz w:val="24"/>
          <w:szCs w:val="24"/>
          <w:lang w:val="en-US"/>
        </w:rPr>
        <w:t xml:space="preserve">H-NMR data was analyzed using Monte-Carlo Cross-Validated Projections to Latent Structures </w:t>
      </w:r>
      <w:r w:rsidR="00442F01" w:rsidRPr="00123003">
        <w:rPr>
          <w:rFonts w:cs="Times New Roman"/>
          <w:sz w:val="24"/>
          <w:szCs w:val="24"/>
          <w:lang w:val="en-US"/>
        </w:rPr>
        <w:fldChar w:fldCharType="begin"/>
      </w:r>
      <w:r w:rsidR="00836220">
        <w:rPr>
          <w:rFonts w:cs="Times New Roman"/>
          <w:sz w:val="24"/>
          <w:szCs w:val="24"/>
          <w:lang w:val="en-US"/>
        </w:rPr>
        <w:instrText xml:space="preserve"> ADDIN ZOTERO_ITEM CSL_CITATION {"citationID":"a1sb867ruh3","properties":{"formattedCitation":"(21)","plainCitation":"(21)","noteIndex":0},"citationItems":[{"id":4017,"uris":["http://zotero.org/users/46719/items/ZN3YLS59"],"uri":["http://zotero.org/users/46719/items/ZN3YLS59"],"itemData":{"id":4017,"type":"article-journal","title":"Optimized Phenotypic Biomarker Discovery and Confounder Elimination via Covariate-Adjusted Projection to Latent Structures from Metabolic Spectroscopy Data","container-title":"Journal of Proteome Research","page":"1586-1595","volume":"17","issue":"4","source":"PubMed","abstract":"Metabolism is altered by genetics, diet, disease status, environment, and many other factors. Modeling either one of these is often done without considering the effects of the other covariates. Attributing differences in metabolic profile to one of these factors needs to be done while controlling for the metabolic influence of the rest. We describe here a data analysis framework and novel confounder-adjustment algorithm for multivariate analysis of metabolic profiling data. Using simulated data, we show that similar numbers of true associations and significantly less false positives are found compared to other commonly used methods. Covariate-adjusted projections to latent structures (CA-PLS) are exemplified here using a large-scale metabolic phenotyping study of two Chinese populations at different risks for cardiovascular disease. Using CA-PLS, we find that some previously reported differences are actually associated with external factors and discover a number of previously unreported biomarkers linked to different metabolic pathways. CA-PLS can be applied to any multivariate data where confounding may be an issue and the confounder-adjustment procedure is translatable to other multivariate regression techniques.","DOI":"10.1021/acs.jproteome.7b00879","ISSN":"1535-3907","note":"PMID: 29457906\nPMCID: PMC5891819","journalAbbreviation":"J. Proteome Res.","language":"eng","author":[{"family":"Posma","given":"Joram M."},{"family":"Garcia-Perez","given":"Isabel"},{"family":"Ebbels","given":"Timothy M. D."},{"family":"Lindon","given":"John C."},{"family":"Stamler","given":"Jeremiah"},{"family":"Elliott","given":"Paul"},{"family":"Holmes","given":"Elaine"},{"family":"Nicholson","given":"Jeremy K."}],"issued":{"date-parts":[["2018",4,6]]}}}],"schema":"https://github.com/citation-style-language/schema/raw/master/csl-citation.json"} </w:instrText>
      </w:r>
      <w:r w:rsidR="00442F01" w:rsidRPr="00123003">
        <w:rPr>
          <w:rFonts w:cs="Times New Roman"/>
          <w:sz w:val="24"/>
          <w:szCs w:val="24"/>
          <w:lang w:val="en-US"/>
        </w:rPr>
        <w:fldChar w:fldCharType="separate"/>
      </w:r>
      <w:r w:rsidR="00836220" w:rsidRPr="00665C18">
        <w:rPr>
          <w:rFonts w:ascii="Calibri" w:hAnsi="Calibri" w:cs="Calibri"/>
          <w:sz w:val="24"/>
          <w:lang w:val="en-US"/>
        </w:rPr>
        <w:t>(21)</w:t>
      </w:r>
      <w:r w:rsidR="00442F01" w:rsidRPr="00123003">
        <w:rPr>
          <w:rFonts w:cs="Times New Roman"/>
          <w:sz w:val="24"/>
          <w:szCs w:val="24"/>
          <w:lang w:val="en-US"/>
        </w:rPr>
        <w:fldChar w:fldCharType="end"/>
      </w:r>
      <w:r w:rsidR="00442F01" w:rsidRPr="00123003">
        <w:rPr>
          <w:sz w:val="24"/>
          <w:szCs w:val="24"/>
          <w:lang w:val="en-GB"/>
        </w:rPr>
        <w:t xml:space="preserve"> and metabolic reactions networks using </w:t>
      </w:r>
      <w:proofErr w:type="spellStart"/>
      <w:r w:rsidR="00442F01" w:rsidRPr="00123003">
        <w:rPr>
          <w:sz w:val="24"/>
          <w:szCs w:val="24"/>
          <w:lang w:val="en-GB"/>
        </w:rPr>
        <w:t>MetaboNetworks</w:t>
      </w:r>
      <w:proofErr w:type="spellEnd"/>
      <w:r w:rsidR="00442F01" w:rsidRPr="00123003">
        <w:rPr>
          <w:sz w:val="24"/>
          <w:szCs w:val="24"/>
          <w:lang w:val="en-GB"/>
        </w:rPr>
        <w:t xml:space="preserve"> </w:t>
      </w:r>
      <w:r w:rsidR="00442F01" w:rsidRPr="00123003">
        <w:rPr>
          <w:sz w:val="24"/>
          <w:szCs w:val="24"/>
          <w:lang w:val="en-GB"/>
        </w:rPr>
        <w:fldChar w:fldCharType="begin"/>
      </w:r>
      <w:r w:rsidR="00F61B70">
        <w:rPr>
          <w:sz w:val="24"/>
          <w:szCs w:val="24"/>
          <w:lang w:val="en-GB"/>
        </w:rPr>
        <w:instrText xml:space="preserve"> ADDIN ZOTERO_ITEM CSL_CITATION {"citationID":"a26e57blibj","properties":{"formattedCitation":"(22)","plainCitation":"(22)","noteIndex":0},"citationItems":[{"id":4013,"uris":["http://zotero.org/users/46719/items/B28MV7XU"],"uri":["http://zotero.org/users/46719/items/B28MV7XU"],"itemData":{"id":4013,"type":"article-journal","title":"MetaboNetworks, an interactive Matlab-based toolbox for creating, customizing and exploring sub-networks from KEGG","container-title":"Bioinformatics (Oxford, England)","page":"893-895","volume":"30","issue":"6","source":"PubMed","abstract":"SUMMARY: MetaboNetworks is a tool to create custom sub-networks in Matlab using main reaction pairs as defined by the Kyoto Encyclopaedia of Genes and Genomes and can be used to explore transgenomic interactions, for example mammalian and bacterial associations. It calculates the shortest path between a set of metabolites (e.g. biomarkers from a metabonomic study) and plots the connectivity between metabolites as links in a network graph. The resulting graph can be edited and explored interactively. Furthermore, nodes and edges in the graph are linked to the Kyoto Encyclopaedia of Genes and Genomes compound and reaction pair web pages.\nAVAILABILITY AND IMPLEMENTATION: MetaboNetworks is available from http://www.mathworks.com/matlabcentral/fileexchange/42684.\nCONTACT: jmp111@ic.ac.uk or j.nicholson@imperial.ac.uk\nSUPPLEMENTARY INFORMATION: Supplementary data are available at Bioinformatics online.","DOI":"10.1093/bioinformatics/btt612","ISSN":"1367-4811","note":"PMID: 24177720\nPMCID: PMC3957072","journalAbbreviation":"Bioinformatics","language":"eng","author":[{"family":"Posma","given":"Joram M."},{"family":"Robinette","given":"Steven L."},{"family":"Holmes","given":"Elaine"},{"family":"Nicholson","given":"Jeremy K."}],"issued":{"date-parts":[["2014",3,15]]}}}],"schema":"https://github.com/citation-style-language/schema/raw/master/csl-citation.json"} </w:instrText>
      </w:r>
      <w:r w:rsidR="00442F01" w:rsidRPr="00123003">
        <w:rPr>
          <w:sz w:val="24"/>
          <w:szCs w:val="24"/>
          <w:lang w:val="en-GB"/>
        </w:rPr>
        <w:fldChar w:fldCharType="separate"/>
      </w:r>
      <w:r w:rsidR="00836220" w:rsidRPr="00665C18">
        <w:rPr>
          <w:rFonts w:ascii="Calibri" w:hAnsi="Calibri" w:cs="Calibri"/>
          <w:sz w:val="24"/>
          <w:lang w:val="en-US"/>
        </w:rPr>
        <w:t>(22)</w:t>
      </w:r>
      <w:r w:rsidR="00442F01" w:rsidRPr="00123003">
        <w:rPr>
          <w:sz w:val="24"/>
          <w:szCs w:val="24"/>
          <w:lang w:val="en-GB"/>
        </w:rPr>
        <w:fldChar w:fldCharType="end"/>
      </w:r>
      <w:r w:rsidR="003B1C96" w:rsidRPr="00123003">
        <w:rPr>
          <w:sz w:val="24"/>
          <w:szCs w:val="24"/>
          <w:lang w:val="en-GB"/>
        </w:rPr>
        <w:t>.</w:t>
      </w:r>
      <w:r w:rsidR="00442F01" w:rsidRPr="00123003">
        <w:rPr>
          <w:sz w:val="24"/>
          <w:szCs w:val="24"/>
          <w:lang w:val="en-GB"/>
        </w:rPr>
        <w:t xml:space="preserve"> </w:t>
      </w:r>
      <w:r w:rsidR="003B1C96" w:rsidRPr="00123003">
        <w:rPr>
          <w:sz w:val="24"/>
          <w:szCs w:val="24"/>
          <w:lang w:val="en-GB"/>
        </w:rPr>
        <w:t>S</w:t>
      </w:r>
      <w:r w:rsidR="00442F01" w:rsidRPr="00123003">
        <w:rPr>
          <w:sz w:val="24"/>
          <w:szCs w:val="24"/>
          <w:lang w:val="en-GB"/>
        </w:rPr>
        <w:t xml:space="preserve">ee </w:t>
      </w:r>
      <w:r w:rsidR="00442F01" w:rsidRPr="00123003">
        <w:rPr>
          <w:rFonts w:cs="Times New Roman"/>
          <w:sz w:val="24"/>
          <w:szCs w:val="24"/>
          <w:lang w:val="en-US"/>
        </w:rPr>
        <w:t>online supplementary file for details.</w:t>
      </w:r>
    </w:p>
    <w:p w:rsidR="005748B6" w:rsidRPr="00123003" w:rsidRDefault="00DA3D4B" w:rsidP="00123003">
      <w:pPr>
        <w:pStyle w:val="KeinLeerraum"/>
        <w:spacing w:line="480" w:lineRule="auto"/>
        <w:jc w:val="both"/>
        <w:rPr>
          <w:b/>
          <w:sz w:val="24"/>
          <w:szCs w:val="24"/>
          <w:lang w:val="en-US"/>
        </w:rPr>
      </w:pPr>
      <w:r w:rsidRPr="00123003">
        <w:rPr>
          <w:b/>
          <w:sz w:val="24"/>
          <w:szCs w:val="24"/>
          <w:lang w:val="en-US"/>
        </w:rPr>
        <w:t>RESULTS</w:t>
      </w:r>
    </w:p>
    <w:p w:rsidR="00CB6434" w:rsidRPr="00123003" w:rsidRDefault="00E032A9" w:rsidP="00123003">
      <w:pPr>
        <w:pStyle w:val="KeinLeerraum"/>
        <w:spacing w:line="480" w:lineRule="auto"/>
        <w:jc w:val="both"/>
        <w:rPr>
          <w:b/>
          <w:sz w:val="24"/>
          <w:szCs w:val="24"/>
          <w:lang w:val="en-US"/>
        </w:rPr>
      </w:pPr>
      <w:r w:rsidRPr="00123003">
        <w:rPr>
          <w:b/>
          <w:sz w:val="24"/>
          <w:szCs w:val="24"/>
          <w:lang w:val="en-US"/>
        </w:rPr>
        <w:t>D</w:t>
      </w:r>
      <w:r w:rsidR="00E07571" w:rsidRPr="00123003">
        <w:rPr>
          <w:b/>
          <w:sz w:val="24"/>
          <w:szCs w:val="24"/>
          <w:lang w:val="en-US"/>
        </w:rPr>
        <w:t>iets</w:t>
      </w:r>
      <w:r w:rsidRPr="00123003">
        <w:rPr>
          <w:b/>
          <w:sz w:val="24"/>
          <w:szCs w:val="24"/>
          <w:lang w:val="en-US"/>
        </w:rPr>
        <w:t xml:space="preserve"> of</w:t>
      </w:r>
      <w:r w:rsidR="00E07571" w:rsidRPr="00123003">
        <w:rPr>
          <w:b/>
          <w:sz w:val="24"/>
          <w:szCs w:val="24"/>
          <w:lang w:val="en-US"/>
        </w:rPr>
        <w:t xml:space="preserve"> </w:t>
      </w:r>
      <w:r w:rsidRPr="00123003">
        <w:rPr>
          <w:b/>
          <w:sz w:val="24"/>
          <w:szCs w:val="24"/>
          <w:lang w:val="en-US"/>
        </w:rPr>
        <w:t xml:space="preserve">AN and RA </w:t>
      </w:r>
      <w:r w:rsidR="00AB7C4E" w:rsidRPr="00123003">
        <w:rPr>
          <w:b/>
          <w:sz w:val="24"/>
          <w:szCs w:val="24"/>
          <w:lang w:val="en-US"/>
        </w:rPr>
        <w:t>participants</w:t>
      </w:r>
      <w:r w:rsidRPr="00123003">
        <w:rPr>
          <w:b/>
          <w:sz w:val="24"/>
          <w:szCs w:val="24"/>
          <w:lang w:val="en-US"/>
        </w:rPr>
        <w:t xml:space="preserve"> </w:t>
      </w:r>
      <w:r w:rsidR="002332B1" w:rsidRPr="00123003">
        <w:rPr>
          <w:b/>
          <w:sz w:val="24"/>
          <w:szCs w:val="24"/>
          <w:lang w:val="en-US"/>
        </w:rPr>
        <w:t>are associated with</w:t>
      </w:r>
      <w:r w:rsidR="00E07571" w:rsidRPr="00123003">
        <w:rPr>
          <w:b/>
          <w:sz w:val="24"/>
          <w:szCs w:val="24"/>
          <w:lang w:val="en-US"/>
        </w:rPr>
        <w:t xml:space="preserve"> </w:t>
      </w:r>
      <w:r w:rsidR="005F540A" w:rsidRPr="00123003">
        <w:rPr>
          <w:b/>
          <w:sz w:val="24"/>
          <w:szCs w:val="24"/>
          <w:lang w:val="en-US"/>
        </w:rPr>
        <w:t>diverse</w:t>
      </w:r>
      <w:r w:rsidR="00E07571" w:rsidRPr="00123003">
        <w:rPr>
          <w:b/>
          <w:sz w:val="24"/>
          <w:szCs w:val="24"/>
          <w:lang w:val="en-US"/>
        </w:rPr>
        <w:t xml:space="preserve"> </w:t>
      </w:r>
      <w:r w:rsidR="005F540A" w:rsidRPr="00123003">
        <w:rPr>
          <w:b/>
          <w:sz w:val="24"/>
          <w:szCs w:val="24"/>
          <w:lang w:val="en-US"/>
        </w:rPr>
        <w:t>composition</w:t>
      </w:r>
      <w:r w:rsidRPr="00123003">
        <w:rPr>
          <w:b/>
          <w:sz w:val="24"/>
          <w:szCs w:val="24"/>
          <w:lang w:val="en-US"/>
        </w:rPr>
        <w:t>s</w:t>
      </w:r>
      <w:r w:rsidR="005F540A" w:rsidRPr="00123003">
        <w:rPr>
          <w:b/>
          <w:sz w:val="24"/>
          <w:szCs w:val="24"/>
          <w:lang w:val="en-US"/>
        </w:rPr>
        <w:t xml:space="preserve"> of the gut microbiota</w:t>
      </w:r>
    </w:p>
    <w:p w:rsidR="00C251AD" w:rsidRPr="00123003" w:rsidRDefault="004D36D7" w:rsidP="00123003">
      <w:pPr>
        <w:spacing w:line="480" w:lineRule="auto"/>
        <w:jc w:val="both"/>
        <w:rPr>
          <w:sz w:val="24"/>
          <w:szCs w:val="24"/>
          <w:lang w:val="en-US"/>
        </w:rPr>
      </w:pPr>
      <w:r w:rsidRPr="00123003">
        <w:rPr>
          <w:sz w:val="24"/>
          <w:szCs w:val="24"/>
          <w:lang w:val="en-US"/>
        </w:rPr>
        <w:t>A total of</w:t>
      </w:r>
      <w:r w:rsidR="00FC05E4" w:rsidRPr="00123003">
        <w:rPr>
          <w:sz w:val="24"/>
          <w:szCs w:val="24"/>
          <w:lang w:val="en-US"/>
        </w:rPr>
        <w:t xml:space="preserve"> 32 </w:t>
      </w:r>
      <w:proofErr w:type="gramStart"/>
      <w:r w:rsidR="00C251AD" w:rsidRPr="00123003">
        <w:rPr>
          <w:sz w:val="24"/>
          <w:szCs w:val="24"/>
          <w:lang w:val="en-US"/>
        </w:rPr>
        <w:t>AN</w:t>
      </w:r>
      <w:proofErr w:type="gramEnd"/>
      <w:r w:rsidR="00C251AD" w:rsidRPr="00123003">
        <w:rPr>
          <w:sz w:val="24"/>
          <w:szCs w:val="24"/>
          <w:lang w:val="en-US"/>
        </w:rPr>
        <w:t xml:space="preserve"> </w:t>
      </w:r>
      <w:r w:rsidR="00FC05E4" w:rsidRPr="00123003">
        <w:rPr>
          <w:sz w:val="24"/>
          <w:szCs w:val="24"/>
          <w:lang w:val="en-US"/>
        </w:rPr>
        <w:t>participants</w:t>
      </w:r>
      <w:r w:rsidRPr="00123003">
        <w:rPr>
          <w:sz w:val="24"/>
          <w:szCs w:val="24"/>
          <w:lang w:val="en-US"/>
        </w:rPr>
        <w:t xml:space="preserve"> </w:t>
      </w:r>
      <w:r w:rsidR="00C251AD" w:rsidRPr="00123003">
        <w:rPr>
          <w:sz w:val="24"/>
          <w:szCs w:val="24"/>
          <w:lang w:val="en-US"/>
        </w:rPr>
        <w:t>and 21 heathy RA individuals were recruited</w:t>
      </w:r>
      <w:r w:rsidR="00B31B9A" w:rsidRPr="00123003">
        <w:rPr>
          <w:sz w:val="24"/>
          <w:szCs w:val="24"/>
          <w:lang w:val="en-US"/>
        </w:rPr>
        <w:t xml:space="preserve"> (Table 1)</w:t>
      </w:r>
      <w:r w:rsidR="00C251AD" w:rsidRPr="00123003">
        <w:rPr>
          <w:sz w:val="24"/>
          <w:szCs w:val="24"/>
          <w:lang w:val="en-US"/>
        </w:rPr>
        <w:t xml:space="preserve">. Among the AN participants, </w:t>
      </w:r>
      <w:r w:rsidR="00FC05E4" w:rsidRPr="00123003">
        <w:rPr>
          <w:sz w:val="24"/>
          <w:szCs w:val="24"/>
          <w:lang w:val="en-US"/>
        </w:rPr>
        <w:t>the majority</w:t>
      </w:r>
      <w:r w:rsidR="00C251AD" w:rsidRPr="00123003">
        <w:rPr>
          <w:sz w:val="24"/>
          <w:szCs w:val="24"/>
          <w:lang w:val="en-US"/>
        </w:rPr>
        <w:t xml:space="preserve"> </w:t>
      </w:r>
      <w:r w:rsidR="00937BB0" w:rsidRPr="00123003">
        <w:rPr>
          <w:sz w:val="24"/>
          <w:szCs w:val="24"/>
          <w:lang w:val="en-US"/>
        </w:rPr>
        <w:t xml:space="preserve">(n=22) </w:t>
      </w:r>
      <w:r w:rsidR="00C251AD" w:rsidRPr="00123003">
        <w:rPr>
          <w:sz w:val="24"/>
          <w:szCs w:val="24"/>
          <w:lang w:val="en-US"/>
        </w:rPr>
        <w:t xml:space="preserve">were from the largest concentration of AN people who live in the city of Anchorage (Alaska, USA) and </w:t>
      </w:r>
      <w:r w:rsidR="00937BB0" w:rsidRPr="00123003">
        <w:rPr>
          <w:sz w:val="24"/>
          <w:szCs w:val="24"/>
          <w:lang w:val="en-US"/>
        </w:rPr>
        <w:t>remaining</w:t>
      </w:r>
      <w:r w:rsidR="00B31B9A" w:rsidRPr="00123003">
        <w:rPr>
          <w:sz w:val="24"/>
          <w:szCs w:val="24"/>
          <w:lang w:val="en-US"/>
        </w:rPr>
        <w:t xml:space="preserve"> </w:t>
      </w:r>
      <w:r w:rsidR="00C251AD" w:rsidRPr="00123003">
        <w:rPr>
          <w:sz w:val="24"/>
          <w:szCs w:val="24"/>
          <w:lang w:val="en-US"/>
        </w:rPr>
        <w:t>volunteers</w:t>
      </w:r>
      <w:r w:rsidR="00937BB0" w:rsidRPr="00123003">
        <w:rPr>
          <w:sz w:val="24"/>
          <w:szCs w:val="24"/>
          <w:lang w:val="en-US"/>
        </w:rPr>
        <w:t xml:space="preserve"> (n=10)</w:t>
      </w:r>
      <w:r w:rsidR="00C251AD" w:rsidRPr="00123003">
        <w:rPr>
          <w:sz w:val="24"/>
          <w:szCs w:val="24"/>
          <w:lang w:val="en-US"/>
        </w:rPr>
        <w:t xml:space="preserve"> </w:t>
      </w:r>
      <w:r w:rsidR="00B83CB4">
        <w:rPr>
          <w:sz w:val="24"/>
          <w:szCs w:val="24"/>
          <w:lang w:val="en-US"/>
        </w:rPr>
        <w:t xml:space="preserve">were </w:t>
      </w:r>
      <w:r w:rsidR="00C251AD" w:rsidRPr="00123003">
        <w:rPr>
          <w:sz w:val="24"/>
          <w:szCs w:val="24"/>
          <w:lang w:val="en-US"/>
        </w:rPr>
        <w:t xml:space="preserve">from </w:t>
      </w:r>
      <w:proofErr w:type="spellStart"/>
      <w:r w:rsidR="00C251AD" w:rsidRPr="00123003">
        <w:rPr>
          <w:sz w:val="24"/>
          <w:szCs w:val="24"/>
          <w:lang w:val="en-US"/>
        </w:rPr>
        <w:t>Utqiagvik</w:t>
      </w:r>
      <w:proofErr w:type="spellEnd"/>
      <w:r w:rsidR="00C251AD" w:rsidRPr="00123003">
        <w:rPr>
          <w:sz w:val="24"/>
          <w:szCs w:val="24"/>
          <w:lang w:val="en-US"/>
        </w:rPr>
        <w:t xml:space="preserve"> (formerly called Barrow, located in Alaska’s Arctic North Slope Borough). All RA participants </w:t>
      </w:r>
      <w:r w:rsidR="00C41BB2" w:rsidRPr="00123003">
        <w:rPr>
          <w:sz w:val="24"/>
          <w:szCs w:val="24"/>
          <w:lang w:val="en-US"/>
        </w:rPr>
        <w:t xml:space="preserve">(n=21) </w:t>
      </w:r>
      <w:r w:rsidR="00C251AD" w:rsidRPr="00123003">
        <w:rPr>
          <w:sz w:val="24"/>
          <w:szCs w:val="24"/>
          <w:lang w:val="en-US"/>
        </w:rPr>
        <w:t>were recruited in rural KwaZulu-Natal, loc</w:t>
      </w:r>
      <w:r w:rsidR="00672CBD" w:rsidRPr="00123003">
        <w:rPr>
          <w:sz w:val="24"/>
          <w:szCs w:val="24"/>
          <w:lang w:val="en-US"/>
        </w:rPr>
        <w:t xml:space="preserve">ated in the North-East of South </w:t>
      </w:r>
      <w:r w:rsidR="00C251AD" w:rsidRPr="00123003">
        <w:rPr>
          <w:sz w:val="24"/>
          <w:szCs w:val="24"/>
          <w:lang w:val="en-US"/>
        </w:rPr>
        <w:t xml:space="preserve">Africa. </w:t>
      </w:r>
      <w:r w:rsidR="00081E7F" w:rsidRPr="00123003">
        <w:rPr>
          <w:sz w:val="24"/>
          <w:szCs w:val="24"/>
          <w:lang w:val="en-US"/>
        </w:rPr>
        <w:t xml:space="preserve">In </w:t>
      </w:r>
      <w:r w:rsidR="00C24FA7" w:rsidRPr="00123003">
        <w:rPr>
          <w:sz w:val="24"/>
          <w:szCs w:val="24"/>
          <w:lang w:val="en-US"/>
        </w:rPr>
        <w:t xml:space="preserve">16 </w:t>
      </w:r>
      <w:r w:rsidR="00FB1F72" w:rsidRPr="00123003">
        <w:rPr>
          <w:sz w:val="24"/>
          <w:szCs w:val="24"/>
          <w:lang w:val="en-US"/>
        </w:rPr>
        <w:t xml:space="preserve">of </w:t>
      </w:r>
      <w:r w:rsidR="00C24FA7" w:rsidRPr="00123003">
        <w:rPr>
          <w:sz w:val="24"/>
          <w:szCs w:val="24"/>
          <w:lang w:val="en-US"/>
        </w:rPr>
        <w:t xml:space="preserve">32 </w:t>
      </w:r>
      <w:r w:rsidR="00FB1F72" w:rsidRPr="00123003">
        <w:rPr>
          <w:sz w:val="24"/>
          <w:szCs w:val="24"/>
          <w:lang w:val="en-US"/>
        </w:rPr>
        <w:t>AN participants polyps were detected during colonoscopy, while no polyps were observed in RA individuals</w:t>
      </w:r>
      <w:r w:rsidR="004153C8" w:rsidRPr="00123003">
        <w:rPr>
          <w:sz w:val="24"/>
          <w:szCs w:val="24"/>
          <w:lang w:val="en-US"/>
        </w:rPr>
        <w:t xml:space="preserve">, </w:t>
      </w:r>
      <w:r w:rsidR="00081E7F" w:rsidRPr="00123003">
        <w:rPr>
          <w:sz w:val="24"/>
          <w:szCs w:val="24"/>
          <w:lang w:val="en-US"/>
        </w:rPr>
        <w:t>reflec</w:t>
      </w:r>
      <w:r w:rsidR="00092DC4" w:rsidRPr="00123003">
        <w:rPr>
          <w:sz w:val="24"/>
          <w:szCs w:val="24"/>
          <w:lang w:val="en-US"/>
        </w:rPr>
        <w:t xml:space="preserve">ting the </w:t>
      </w:r>
      <w:r w:rsidR="00C24FA7" w:rsidRPr="00123003">
        <w:rPr>
          <w:sz w:val="24"/>
          <w:szCs w:val="24"/>
          <w:lang w:val="en-US"/>
        </w:rPr>
        <w:t>known</w:t>
      </w:r>
      <w:r w:rsidR="00092DC4" w:rsidRPr="00123003">
        <w:rPr>
          <w:sz w:val="24"/>
          <w:szCs w:val="24"/>
          <w:lang w:val="en-US"/>
        </w:rPr>
        <w:t xml:space="preserve"> difference in CRC risk</w:t>
      </w:r>
      <w:r w:rsidR="00081E7F" w:rsidRPr="00123003">
        <w:rPr>
          <w:sz w:val="24"/>
          <w:szCs w:val="24"/>
          <w:lang w:val="en-US"/>
        </w:rPr>
        <w:t xml:space="preserve">. </w:t>
      </w:r>
    </w:p>
    <w:p w:rsidR="008864CD" w:rsidRPr="00123003" w:rsidRDefault="00192627" w:rsidP="00123003">
      <w:pPr>
        <w:spacing w:line="480" w:lineRule="auto"/>
        <w:jc w:val="both"/>
        <w:rPr>
          <w:sz w:val="24"/>
          <w:szCs w:val="24"/>
          <w:lang w:val="en-US"/>
        </w:rPr>
      </w:pPr>
      <w:proofErr w:type="gramStart"/>
      <w:r w:rsidRPr="00123003">
        <w:rPr>
          <w:sz w:val="24"/>
          <w:szCs w:val="24"/>
          <w:lang w:val="en-US"/>
        </w:rPr>
        <w:t>AN</w:t>
      </w:r>
      <w:proofErr w:type="gramEnd"/>
      <w:r w:rsidRPr="00123003">
        <w:rPr>
          <w:sz w:val="24"/>
          <w:szCs w:val="24"/>
          <w:lang w:val="en-US"/>
        </w:rPr>
        <w:t xml:space="preserve"> </w:t>
      </w:r>
      <w:r w:rsidR="00B021C7" w:rsidRPr="00123003">
        <w:rPr>
          <w:sz w:val="24"/>
          <w:szCs w:val="24"/>
          <w:lang w:val="en-US"/>
        </w:rPr>
        <w:t>participants</w:t>
      </w:r>
      <w:r w:rsidR="000D6934" w:rsidRPr="00123003">
        <w:rPr>
          <w:sz w:val="24"/>
          <w:szCs w:val="24"/>
          <w:lang w:val="en-US"/>
        </w:rPr>
        <w:t xml:space="preserve"> in this study consumed a diet that</w:t>
      </w:r>
      <w:r w:rsidRPr="00123003">
        <w:rPr>
          <w:sz w:val="24"/>
          <w:szCs w:val="24"/>
          <w:lang w:val="en-US"/>
        </w:rPr>
        <w:t xml:space="preserve"> significantly</w:t>
      </w:r>
      <w:r w:rsidR="000D6934" w:rsidRPr="00123003">
        <w:rPr>
          <w:sz w:val="24"/>
          <w:szCs w:val="24"/>
          <w:lang w:val="en-US"/>
        </w:rPr>
        <w:t xml:space="preserve"> differed</w:t>
      </w:r>
      <w:r w:rsidR="00FC05E4" w:rsidRPr="00123003">
        <w:rPr>
          <w:sz w:val="24"/>
          <w:szCs w:val="24"/>
          <w:lang w:val="en-US"/>
        </w:rPr>
        <w:t xml:space="preserve"> from the diet of </w:t>
      </w:r>
      <w:r w:rsidR="000D6934" w:rsidRPr="00123003">
        <w:rPr>
          <w:sz w:val="24"/>
          <w:szCs w:val="24"/>
          <w:lang w:val="en-US"/>
        </w:rPr>
        <w:t>RA participants</w:t>
      </w:r>
      <w:r w:rsidR="00BF5869" w:rsidRPr="00123003">
        <w:rPr>
          <w:sz w:val="24"/>
          <w:szCs w:val="24"/>
          <w:lang w:val="en-US"/>
        </w:rPr>
        <w:t xml:space="preserve"> </w:t>
      </w:r>
      <w:r w:rsidR="006B5064" w:rsidRPr="00123003">
        <w:rPr>
          <w:sz w:val="24"/>
          <w:szCs w:val="24"/>
          <w:lang w:val="en-US"/>
        </w:rPr>
        <w:t xml:space="preserve">with </w:t>
      </w:r>
      <w:r w:rsidR="000D6934" w:rsidRPr="00123003">
        <w:rPr>
          <w:sz w:val="24"/>
          <w:szCs w:val="24"/>
          <w:lang w:val="en-US"/>
        </w:rPr>
        <w:t>greater</w:t>
      </w:r>
      <w:r w:rsidR="00214227" w:rsidRPr="00123003">
        <w:rPr>
          <w:sz w:val="24"/>
          <w:szCs w:val="24"/>
          <w:lang w:val="en-US"/>
        </w:rPr>
        <w:t xml:space="preserve"> total intake of fat</w:t>
      </w:r>
      <w:r w:rsidR="00583845" w:rsidRPr="00123003">
        <w:rPr>
          <w:sz w:val="24"/>
          <w:szCs w:val="24"/>
          <w:lang w:val="en-US"/>
        </w:rPr>
        <w:t>,</w:t>
      </w:r>
      <w:r w:rsidR="00214227" w:rsidRPr="00123003">
        <w:rPr>
          <w:sz w:val="24"/>
          <w:szCs w:val="24"/>
          <w:lang w:val="en-US"/>
        </w:rPr>
        <w:t xml:space="preserve"> protein, </w:t>
      </w:r>
      <w:r w:rsidR="00583845" w:rsidRPr="00123003">
        <w:rPr>
          <w:sz w:val="24"/>
          <w:szCs w:val="24"/>
          <w:lang w:val="en-US"/>
        </w:rPr>
        <w:t xml:space="preserve">calcium, β-carotene, calciferol and ascorbic acid (Table </w:t>
      </w:r>
      <w:r w:rsidR="00B31B9A" w:rsidRPr="00123003">
        <w:rPr>
          <w:sz w:val="24"/>
          <w:szCs w:val="24"/>
          <w:lang w:val="en-US"/>
        </w:rPr>
        <w:t>2</w:t>
      </w:r>
      <w:r w:rsidR="000D6934" w:rsidRPr="00123003">
        <w:rPr>
          <w:sz w:val="24"/>
          <w:szCs w:val="24"/>
          <w:lang w:val="en-US"/>
        </w:rPr>
        <w:t xml:space="preserve">). The </w:t>
      </w:r>
      <w:proofErr w:type="gramStart"/>
      <w:r w:rsidR="00583845" w:rsidRPr="00123003">
        <w:rPr>
          <w:sz w:val="24"/>
          <w:szCs w:val="24"/>
          <w:lang w:val="en-US"/>
        </w:rPr>
        <w:t>AN</w:t>
      </w:r>
      <w:proofErr w:type="gramEnd"/>
      <w:r w:rsidR="00583845" w:rsidRPr="00123003">
        <w:rPr>
          <w:sz w:val="24"/>
          <w:szCs w:val="24"/>
          <w:lang w:val="en-US"/>
        </w:rPr>
        <w:t xml:space="preserve"> </w:t>
      </w:r>
      <w:r w:rsidR="000D6934" w:rsidRPr="00123003">
        <w:rPr>
          <w:sz w:val="24"/>
          <w:szCs w:val="24"/>
          <w:lang w:val="en-US"/>
        </w:rPr>
        <w:t>diet</w:t>
      </w:r>
      <w:r w:rsidR="00583845" w:rsidRPr="00123003">
        <w:rPr>
          <w:sz w:val="24"/>
          <w:szCs w:val="24"/>
          <w:lang w:val="en-US"/>
        </w:rPr>
        <w:t xml:space="preserve"> contained </w:t>
      </w:r>
      <w:r w:rsidR="00CA7C83" w:rsidRPr="00123003">
        <w:rPr>
          <w:sz w:val="24"/>
          <w:szCs w:val="24"/>
          <w:lang w:val="en-US"/>
        </w:rPr>
        <w:t>significantly</w:t>
      </w:r>
      <w:r w:rsidR="00583845" w:rsidRPr="00123003">
        <w:rPr>
          <w:sz w:val="24"/>
          <w:szCs w:val="24"/>
          <w:lang w:val="en-US"/>
        </w:rPr>
        <w:t xml:space="preserve"> high</w:t>
      </w:r>
      <w:r w:rsidR="00110AB6" w:rsidRPr="00123003">
        <w:rPr>
          <w:sz w:val="24"/>
          <w:szCs w:val="24"/>
          <w:lang w:val="en-US"/>
        </w:rPr>
        <w:t>er</w:t>
      </w:r>
      <w:r w:rsidR="00583845" w:rsidRPr="00123003">
        <w:rPr>
          <w:sz w:val="24"/>
          <w:szCs w:val="24"/>
          <w:lang w:val="en-US"/>
        </w:rPr>
        <w:t xml:space="preserve"> amounts of animal-derived protein and r</w:t>
      </w:r>
      <w:r w:rsidR="00BE6A07" w:rsidRPr="00123003">
        <w:rPr>
          <w:sz w:val="24"/>
          <w:szCs w:val="24"/>
          <w:lang w:val="en-US"/>
        </w:rPr>
        <w:t>etinol, likely reflecting a diet rich in meat,</w:t>
      </w:r>
      <w:r w:rsidR="00583845" w:rsidRPr="00123003">
        <w:rPr>
          <w:sz w:val="24"/>
          <w:szCs w:val="24"/>
          <w:lang w:val="en-US"/>
        </w:rPr>
        <w:t xml:space="preserve"> fish and seafood.</w:t>
      </w:r>
      <w:r w:rsidR="000D6934" w:rsidRPr="00123003">
        <w:rPr>
          <w:sz w:val="24"/>
          <w:szCs w:val="24"/>
          <w:lang w:val="en-US"/>
        </w:rPr>
        <w:t xml:space="preserve"> I</w:t>
      </w:r>
      <w:r w:rsidR="00214227" w:rsidRPr="00123003">
        <w:rPr>
          <w:sz w:val="24"/>
          <w:szCs w:val="24"/>
          <w:lang w:val="en-US"/>
        </w:rPr>
        <w:t xml:space="preserve">n contrast, </w:t>
      </w:r>
      <w:r w:rsidR="006B5064" w:rsidRPr="00123003">
        <w:rPr>
          <w:sz w:val="24"/>
          <w:szCs w:val="24"/>
          <w:lang w:val="en-US"/>
        </w:rPr>
        <w:t xml:space="preserve">RA </w:t>
      </w:r>
      <w:r w:rsidR="000D6934" w:rsidRPr="00123003">
        <w:rPr>
          <w:sz w:val="24"/>
          <w:szCs w:val="24"/>
          <w:lang w:val="en-US"/>
        </w:rPr>
        <w:t>diets</w:t>
      </w:r>
      <w:r w:rsidR="006B5064" w:rsidRPr="00123003">
        <w:rPr>
          <w:sz w:val="24"/>
          <w:szCs w:val="24"/>
          <w:lang w:val="en-US"/>
        </w:rPr>
        <w:t xml:space="preserve"> had a </w:t>
      </w:r>
      <w:r w:rsidR="00214227" w:rsidRPr="00123003">
        <w:rPr>
          <w:sz w:val="24"/>
          <w:szCs w:val="24"/>
          <w:lang w:val="en-US"/>
        </w:rPr>
        <w:t xml:space="preserve">significantly </w:t>
      </w:r>
      <w:r w:rsidR="000D6934" w:rsidRPr="00123003">
        <w:rPr>
          <w:sz w:val="24"/>
          <w:szCs w:val="24"/>
          <w:lang w:val="en-US"/>
        </w:rPr>
        <w:t>greater</w:t>
      </w:r>
      <w:r w:rsidR="006B5064" w:rsidRPr="00123003">
        <w:rPr>
          <w:sz w:val="24"/>
          <w:szCs w:val="24"/>
          <w:lang w:val="en-US"/>
        </w:rPr>
        <w:t xml:space="preserve"> intake of total carbohydrates</w:t>
      </w:r>
      <w:r w:rsidR="00583845" w:rsidRPr="00123003">
        <w:rPr>
          <w:sz w:val="24"/>
          <w:szCs w:val="24"/>
          <w:lang w:val="en-US"/>
        </w:rPr>
        <w:t xml:space="preserve">, dietary fiber and vegetable-derived </w:t>
      </w:r>
      <w:r w:rsidR="00583845" w:rsidRPr="00123003">
        <w:rPr>
          <w:sz w:val="24"/>
          <w:szCs w:val="24"/>
          <w:lang w:val="en-US"/>
        </w:rPr>
        <w:lastRenderedPageBreak/>
        <w:t>protein, indicating</w:t>
      </w:r>
      <w:r w:rsidR="005B56F4" w:rsidRPr="00123003">
        <w:rPr>
          <w:sz w:val="24"/>
          <w:szCs w:val="24"/>
          <w:lang w:val="en-US"/>
        </w:rPr>
        <w:t xml:space="preserve"> a plant-based diet (Table </w:t>
      </w:r>
      <w:r w:rsidR="00B31B9A" w:rsidRPr="00123003">
        <w:rPr>
          <w:sz w:val="24"/>
          <w:szCs w:val="24"/>
          <w:lang w:val="en-US"/>
        </w:rPr>
        <w:t>2</w:t>
      </w:r>
      <w:r w:rsidR="005B56F4" w:rsidRPr="00123003">
        <w:rPr>
          <w:sz w:val="24"/>
          <w:szCs w:val="24"/>
          <w:lang w:val="en-US"/>
        </w:rPr>
        <w:t>).</w:t>
      </w:r>
      <w:r w:rsidR="00CF4619" w:rsidRPr="00123003">
        <w:rPr>
          <w:sz w:val="24"/>
          <w:szCs w:val="24"/>
          <w:lang w:val="en-US"/>
        </w:rPr>
        <w:t xml:space="preserve"> The RA diet </w:t>
      </w:r>
      <w:r w:rsidR="000D6934" w:rsidRPr="00123003">
        <w:rPr>
          <w:sz w:val="24"/>
          <w:szCs w:val="24"/>
          <w:lang w:val="en-US"/>
        </w:rPr>
        <w:t>wa</w:t>
      </w:r>
      <w:r w:rsidR="00CF4619" w:rsidRPr="00123003">
        <w:rPr>
          <w:sz w:val="24"/>
          <w:szCs w:val="24"/>
          <w:lang w:val="en-US"/>
        </w:rPr>
        <w:t xml:space="preserve">s also characterized by a </w:t>
      </w:r>
      <w:r w:rsidR="009879BB">
        <w:rPr>
          <w:sz w:val="24"/>
          <w:szCs w:val="24"/>
          <w:lang w:val="en-US"/>
        </w:rPr>
        <w:t>low</w:t>
      </w:r>
      <w:r w:rsidR="009879BB" w:rsidRPr="00123003">
        <w:rPr>
          <w:sz w:val="24"/>
          <w:szCs w:val="24"/>
          <w:lang w:val="en-US"/>
        </w:rPr>
        <w:t xml:space="preserve"> </w:t>
      </w:r>
      <w:r w:rsidR="00CF4619" w:rsidRPr="00123003">
        <w:rPr>
          <w:sz w:val="24"/>
          <w:szCs w:val="24"/>
          <w:lang w:val="en-US"/>
        </w:rPr>
        <w:t xml:space="preserve">consumption of retinol, reflecting </w:t>
      </w:r>
      <w:r w:rsidR="00317474" w:rsidRPr="00123003">
        <w:rPr>
          <w:sz w:val="24"/>
          <w:szCs w:val="24"/>
          <w:lang w:val="en-US"/>
        </w:rPr>
        <w:t>the</w:t>
      </w:r>
      <w:r w:rsidR="00CF4619" w:rsidRPr="00123003">
        <w:rPr>
          <w:sz w:val="24"/>
          <w:szCs w:val="24"/>
          <w:lang w:val="en-US"/>
        </w:rPr>
        <w:t xml:space="preserve"> vitamin A deficiency </w:t>
      </w:r>
      <w:r w:rsidR="006D330D" w:rsidRPr="00123003">
        <w:rPr>
          <w:sz w:val="24"/>
          <w:szCs w:val="24"/>
          <w:lang w:val="en-US"/>
        </w:rPr>
        <w:t>prevalent</w:t>
      </w:r>
      <w:r w:rsidR="00CF4619" w:rsidRPr="00123003">
        <w:rPr>
          <w:sz w:val="24"/>
          <w:szCs w:val="24"/>
          <w:lang w:val="en-US"/>
        </w:rPr>
        <w:t xml:space="preserve"> in </w:t>
      </w:r>
      <w:r w:rsidR="006D330D" w:rsidRPr="00123003">
        <w:rPr>
          <w:sz w:val="24"/>
          <w:szCs w:val="24"/>
          <w:lang w:val="en-US"/>
        </w:rPr>
        <w:t>South</w:t>
      </w:r>
      <w:r w:rsidR="00672CBD" w:rsidRPr="00123003">
        <w:rPr>
          <w:sz w:val="24"/>
          <w:szCs w:val="24"/>
          <w:lang w:val="en-US"/>
        </w:rPr>
        <w:t xml:space="preserve"> </w:t>
      </w:r>
      <w:r w:rsidR="006D330D" w:rsidRPr="00123003">
        <w:rPr>
          <w:sz w:val="24"/>
          <w:szCs w:val="24"/>
          <w:lang w:val="en-US"/>
        </w:rPr>
        <w:t>Africa</w:t>
      </w:r>
      <w:r w:rsidR="00317474" w:rsidRPr="00123003">
        <w:rPr>
          <w:sz w:val="24"/>
          <w:szCs w:val="24"/>
          <w:lang w:val="en-US"/>
        </w:rPr>
        <w:t>n population</w:t>
      </w:r>
      <w:r w:rsidR="00EC3069" w:rsidRPr="00123003">
        <w:rPr>
          <w:sz w:val="24"/>
          <w:szCs w:val="24"/>
          <w:lang w:val="en-US"/>
        </w:rPr>
        <w:t>s</w:t>
      </w:r>
      <w:r w:rsidR="006D330D" w:rsidRPr="00123003">
        <w:rPr>
          <w:sz w:val="24"/>
          <w:szCs w:val="24"/>
          <w:lang w:val="en-US"/>
        </w:rPr>
        <w:t xml:space="preserve"> </w:t>
      </w:r>
      <w:r w:rsidR="006D330D" w:rsidRPr="00123003">
        <w:rPr>
          <w:sz w:val="24"/>
          <w:szCs w:val="24"/>
          <w:lang w:val="en-US"/>
        </w:rPr>
        <w:fldChar w:fldCharType="begin"/>
      </w:r>
      <w:r w:rsidR="00F61B70">
        <w:rPr>
          <w:sz w:val="24"/>
          <w:szCs w:val="24"/>
          <w:lang w:val="en-US"/>
        </w:rPr>
        <w:instrText xml:space="preserve"> ADDIN ZOTERO_ITEM CSL_CITATION {"citationID":"atags9b986","properties":{"formattedCitation":"(23)","plainCitation":"(23)","noteIndex":0},"citationItems":[{"id":4134,"uris":["http://zotero.org/users/46719/items/8X8UUSMQ"],"uri":["http://zotero.org/users/46719/items/8X8UUSMQ"],"itemData":{"id":4134,"type":"article-journal","title":"Vitamin A Supplementation Programs and Country-Level Evidence of Vitamin A Deficiency","container-title":"Nutrients","volume":"9","issue":"3","source":"PubMed Central","abstract":"Vitamin A supplementation (VAS) programs targeted at children aged 6–59 months are implemented in many countries. By improving immune function, vitamin A (VA) reduces mortality associated with measles, diarrhea, and other illnesses. There is currently a debate regarding the relevance of VAS, but amidst the debate, researchers acknowledge that the majority of nationally-representative data on VA status is outdated. To address this data gap and contribute to the debate, we examined data from 82 countries implementing VAS programs, identified other VA programs, and assessed the recentness of national VA deficiency (VAD) data. We found that two-thirds of the countries explored either have no VAD data or data that were &gt;10 years old (i.e., measured before 2006), which included twenty countries with VAS coverage ≥70%. Fifty-one VAS programs were implemented in parallel with at least one other VA intervention, and of these, 27 countries either had no VAD data or data collected in 2005 or earlier. To fill these gaps in VAD data, countries implementing VAS and other VA interventions should measure VA status in children at least every 10 years. At the same time, the coverage of VA interventions can also be measured. We identified three countries that have scaled down VAS, but given the lack of VA deficiency data, this would be a premature undertaking in most countries without appropriate status assessment. While the global debate about VAS is important, more attention should be directed towards individual countries where programmatic decisions are made.","URL":"https://www.ncbi.nlm.nih.gov/pmc/articles/PMC5372853/","DOI":"10.3390/nu9030190","ISSN":"2072-6643","note":"PMID: 28245571\nPMCID: PMC5372853","journalAbbreviation":"Nutrients","author":[{"family":"Wirth","given":"James P."},{"family":"Petry","given":"Nicolai"},{"family":"Tanumihardjo","given":"Sherry A."},{"family":"Rogers","given":"Lisa M."},{"family":"McLean","given":"Erin"},{"family":"Greig","given":"Alison"},{"family":"Garrett","given":"Greg S."},{"family":"Klemm","given":"Rolf D. W."},{"family":"Rohner","given":"Fabian"}],"issued":{"date-parts":[["2017",2,24]]},"accessed":{"date-parts":[["2018",10,15]]}}}],"schema":"https://github.com/citation-style-language/schema/raw/master/csl-citation.json"} </w:instrText>
      </w:r>
      <w:r w:rsidR="006D330D" w:rsidRPr="00123003">
        <w:rPr>
          <w:sz w:val="24"/>
          <w:szCs w:val="24"/>
          <w:lang w:val="en-US"/>
        </w:rPr>
        <w:fldChar w:fldCharType="separate"/>
      </w:r>
      <w:r w:rsidR="00836220" w:rsidRPr="00F61B70">
        <w:rPr>
          <w:rFonts w:ascii="Calibri" w:hAnsi="Calibri" w:cs="Calibri"/>
          <w:sz w:val="24"/>
          <w:lang w:val="en-US"/>
        </w:rPr>
        <w:t>(23)</w:t>
      </w:r>
      <w:r w:rsidR="006D330D" w:rsidRPr="00123003">
        <w:rPr>
          <w:sz w:val="24"/>
          <w:szCs w:val="24"/>
          <w:lang w:val="en-US"/>
        </w:rPr>
        <w:fldChar w:fldCharType="end"/>
      </w:r>
      <w:r w:rsidR="00CF4619" w:rsidRPr="00123003">
        <w:rPr>
          <w:sz w:val="24"/>
          <w:szCs w:val="24"/>
          <w:lang w:val="en-US"/>
        </w:rPr>
        <w:t>.</w:t>
      </w:r>
    </w:p>
    <w:p w:rsidR="00834456" w:rsidRPr="00123003" w:rsidRDefault="00C92EB0" w:rsidP="00123003">
      <w:pPr>
        <w:spacing w:line="480" w:lineRule="auto"/>
        <w:jc w:val="both"/>
        <w:rPr>
          <w:sz w:val="24"/>
          <w:szCs w:val="24"/>
          <w:lang w:val="en-US"/>
        </w:rPr>
      </w:pPr>
      <w:r w:rsidRPr="00123003">
        <w:rPr>
          <w:sz w:val="24"/>
          <w:szCs w:val="24"/>
          <w:lang w:val="en-US"/>
        </w:rPr>
        <w:t xml:space="preserve">The </w:t>
      </w:r>
      <w:r w:rsidR="005F540A" w:rsidRPr="00123003">
        <w:rPr>
          <w:sz w:val="24"/>
          <w:szCs w:val="24"/>
          <w:lang w:val="en-US"/>
        </w:rPr>
        <w:t>analysis of AN fecal microbiota</w:t>
      </w:r>
      <w:r w:rsidRPr="00123003">
        <w:rPr>
          <w:sz w:val="24"/>
          <w:szCs w:val="24"/>
          <w:lang w:val="en-US"/>
        </w:rPr>
        <w:t xml:space="preserve"> by 16S </w:t>
      </w:r>
      <w:proofErr w:type="spellStart"/>
      <w:r w:rsidRPr="00123003">
        <w:rPr>
          <w:sz w:val="24"/>
          <w:szCs w:val="24"/>
          <w:lang w:val="en-US"/>
        </w:rPr>
        <w:t>rRNA</w:t>
      </w:r>
      <w:proofErr w:type="spellEnd"/>
      <w:r w:rsidRPr="00123003">
        <w:rPr>
          <w:sz w:val="24"/>
          <w:szCs w:val="24"/>
          <w:lang w:val="en-US"/>
        </w:rPr>
        <w:t xml:space="preserve"> gene sequencing revealed a significantly lower </w:t>
      </w:r>
      <w:r w:rsidR="00B90884" w:rsidRPr="00123003">
        <w:rPr>
          <w:sz w:val="24"/>
          <w:szCs w:val="24"/>
          <w:lang w:val="en-US"/>
        </w:rPr>
        <w:t>α</w:t>
      </w:r>
      <w:r w:rsidRPr="00123003">
        <w:rPr>
          <w:sz w:val="24"/>
          <w:szCs w:val="24"/>
          <w:lang w:val="en-US"/>
        </w:rPr>
        <w:t xml:space="preserve">-diversity and a </w:t>
      </w:r>
      <w:r w:rsidR="000D6934" w:rsidRPr="00123003">
        <w:rPr>
          <w:sz w:val="24"/>
          <w:szCs w:val="24"/>
          <w:lang w:val="en-US"/>
        </w:rPr>
        <w:t>discrete</w:t>
      </w:r>
      <w:r w:rsidRPr="00123003">
        <w:rPr>
          <w:sz w:val="24"/>
          <w:szCs w:val="24"/>
          <w:lang w:val="en-US"/>
        </w:rPr>
        <w:t xml:space="preserve"> clustering compared to the RA fecal microbio</w:t>
      </w:r>
      <w:r w:rsidR="005F540A" w:rsidRPr="00123003">
        <w:rPr>
          <w:sz w:val="24"/>
          <w:szCs w:val="24"/>
          <w:lang w:val="en-US"/>
        </w:rPr>
        <w:t>ta</w:t>
      </w:r>
      <w:r w:rsidRPr="00123003">
        <w:rPr>
          <w:sz w:val="24"/>
          <w:szCs w:val="24"/>
          <w:lang w:val="en-US"/>
        </w:rPr>
        <w:t xml:space="preserve"> </w:t>
      </w:r>
      <w:r w:rsidR="000D6934" w:rsidRPr="00123003">
        <w:rPr>
          <w:sz w:val="24"/>
          <w:szCs w:val="24"/>
          <w:lang w:val="en-US"/>
        </w:rPr>
        <w:t xml:space="preserve">on the supervised multidimensional scaling plot </w:t>
      </w:r>
      <w:r w:rsidR="002364CD" w:rsidRPr="00123003">
        <w:rPr>
          <w:sz w:val="24"/>
          <w:szCs w:val="24"/>
          <w:lang w:val="en-US"/>
        </w:rPr>
        <w:t>(</w:t>
      </w:r>
      <w:r w:rsidR="002364CD" w:rsidRPr="00123003">
        <w:rPr>
          <w:b/>
          <w:sz w:val="24"/>
          <w:szCs w:val="24"/>
          <w:lang w:val="en-US"/>
        </w:rPr>
        <w:t>Fig</w:t>
      </w:r>
      <w:r w:rsidR="007C193D" w:rsidRPr="00123003">
        <w:rPr>
          <w:b/>
          <w:sz w:val="24"/>
          <w:szCs w:val="24"/>
          <w:lang w:val="en-US"/>
        </w:rPr>
        <w:t>ure</w:t>
      </w:r>
      <w:r w:rsidR="002364CD" w:rsidRPr="00123003">
        <w:rPr>
          <w:b/>
          <w:sz w:val="24"/>
          <w:szCs w:val="24"/>
          <w:lang w:val="en-US"/>
        </w:rPr>
        <w:t xml:space="preserve"> 1</w:t>
      </w:r>
      <w:r w:rsidR="007C193D" w:rsidRPr="00123003">
        <w:rPr>
          <w:b/>
          <w:sz w:val="24"/>
          <w:szCs w:val="24"/>
          <w:lang w:val="en-US"/>
        </w:rPr>
        <w:t>A</w:t>
      </w:r>
      <w:proofErr w:type="gramStart"/>
      <w:r w:rsidRPr="00123003">
        <w:rPr>
          <w:b/>
          <w:sz w:val="24"/>
          <w:szCs w:val="24"/>
          <w:lang w:val="en-US"/>
        </w:rPr>
        <w:t>,</w:t>
      </w:r>
      <w:r w:rsidR="007C193D" w:rsidRPr="00123003">
        <w:rPr>
          <w:b/>
          <w:sz w:val="24"/>
          <w:szCs w:val="24"/>
          <w:lang w:val="en-US"/>
        </w:rPr>
        <w:t>B</w:t>
      </w:r>
      <w:proofErr w:type="gramEnd"/>
      <w:r w:rsidRPr="00123003">
        <w:rPr>
          <w:sz w:val="24"/>
          <w:szCs w:val="24"/>
          <w:lang w:val="en-US"/>
        </w:rPr>
        <w:t>). A</w:t>
      </w:r>
      <w:r w:rsidR="005F540A" w:rsidRPr="00123003">
        <w:rPr>
          <w:sz w:val="24"/>
          <w:szCs w:val="24"/>
          <w:lang w:val="en-US"/>
        </w:rPr>
        <w:t xml:space="preserve">mong the </w:t>
      </w:r>
      <w:r w:rsidR="004B3475" w:rsidRPr="00123003">
        <w:rPr>
          <w:sz w:val="24"/>
          <w:szCs w:val="24"/>
          <w:lang w:val="en-US"/>
        </w:rPr>
        <w:t>dominant</w:t>
      </w:r>
      <w:r w:rsidR="005F540A" w:rsidRPr="00123003">
        <w:rPr>
          <w:sz w:val="24"/>
          <w:szCs w:val="24"/>
          <w:lang w:val="en-US"/>
        </w:rPr>
        <w:t xml:space="preserve"> gut-related </w:t>
      </w:r>
      <w:r w:rsidRPr="00123003">
        <w:rPr>
          <w:sz w:val="24"/>
          <w:szCs w:val="24"/>
          <w:lang w:val="en-US"/>
        </w:rPr>
        <w:t>phyl</w:t>
      </w:r>
      <w:r w:rsidR="005F540A" w:rsidRPr="00123003">
        <w:rPr>
          <w:sz w:val="24"/>
          <w:szCs w:val="24"/>
          <w:lang w:val="en-US"/>
        </w:rPr>
        <w:t>a</w:t>
      </w:r>
      <w:r w:rsidRPr="00123003">
        <w:rPr>
          <w:sz w:val="24"/>
          <w:szCs w:val="24"/>
          <w:lang w:val="en-US"/>
        </w:rPr>
        <w:t xml:space="preserve">, </w:t>
      </w:r>
      <w:r w:rsidR="004B3475" w:rsidRPr="00123003">
        <w:rPr>
          <w:sz w:val="24"/>
          <w:szCs w:val="24"/>
          <w:lang w:val="en-US"/>
        </w:rPr>
        <w:t>le</w:t>
      </w:r>
      <w:r w:rsidR="005F540A" w:rsidRPr="00123003">
        <w:rPr>
          <w:sz w:val="24"/>
          <w:szCs w:val="24"/>
          <w:lang w:val="en-US"/>
        </w:rPr>
        <w:t>vels</w:t>
      </w:r>
      <w:r w:rsidRPr="00123003">
        <w:rPr>
          <w:sz w:val="24"/>
          <w:szCs w:val="24"/>
          <w:lang w:val="en-US"/>
        </w:rPr>
        <w:t xml:space="preserve"> of </w:t>
      </w:r>
      <w:r w:rsidR="00135735" w:rsidRPr="00123003">
        <w:rPr>
          <w:sz w:val="24"/>
          <w:szCs w:val="24"/>
          <w:lang w:val="en-US"/>
        </w:rPr>
        <w:t>operational taxonomic units (O</w:t>
      </w:r>
      <w:r w:rsidR="007509A5" w:rsidRPr="00123003">
        <w:rPr>
          <w:sz w:val="24"/>
          <w:szCs w:val="24"/>
          <w:lang w:val="en-US"/>
        </w:rPr>
        <w:t>T</w:t>
      </w:r>
      <w:r w:rsidR="00135735" w:rsidRPr="00123003">
        <w:rPr>
          <w:sz w:val="24"/>
          <w:szCs w:val="24"/>
          <w:lang w:val="en-US"/>
        </w:rPr>
        <w:t>U</w:t>
      </w:r>
      <w:r w:rsidR="007509A5" w:rsidRPr="00123003">
        <w:rPr>
          <w:sz w:val="24"/>
          <w:szCs w:val="24"/>
          <w:lang w:val="en-US"/>
        </w:rPr>
        <w:t>)</w:t>
      </w:r>
      <w:r w:rsidR="00A55DF2" w:rsidRPr="00123003">
        <w:rPr>
          <w:sz w:val="24"/>
          <w:szCs w:val="24"/>
          <w:lang w:val="en-US"/>
        </w:rPr>
        <w:t xml:space="preserve"> belonging to </w:t>
      </w:r>
      <w:proofErr w:type="spellStart"/>
      <w:r w:rsidRPr="00123003">
        <w:rPr>
          <w:i/>
          <w:sz w:val="24"/>
          <w:szCs w:val="24"/>
          <w:lang w:val="en-US"/>
        </w:rPr>
        <w:t>Actinobacteria</w:t>
      </w:r>
      <w:proofErr w:type="spellEnd"/>
      <w:r w:rsidRPr="00123003">
        <w:rPr>
          <w:sz w:val="24"/>
          <w:szCs w:val="24"/>
          <w:lang w:val="en-US"/>
        </w:rPr>
        <w:t xml:space="preserve"> </w:t>
      </w:r>
      <w:r w:rsidR="00135735" w:rsidRPr="00123003">
        <w:rPr>
          <w:sz w:val="24"/>
          <w:szCs w:val="24"/>
          <w:lang w:val="en-US"/>
        </w:rPr>
        <w:t xml:space="preserve">and </w:t>
      </w:r>
      <w:proofErr w:type="spellStart"/>
      <w:r w:rsidR="004B3475" w:rsidRPr="00123003">
        <w:rPr>
          <w:i/>
          <w:sz w:val="24"/>
          <w:szCs w:val="24"/>
          <w:lang w:val="en-US"/>
        </w:rPr>
        <w:t>Verrucomicrobia</w:t>
      </w:r>
      <w:proofErr w:type="spellEnd"/>
      <w:r w:rsidR="004B3475" w:rsidRPr="00123003">
        <w:rPr>
          <w:sz w:val="24"/>
          <w:szCs w:val="24"/>
          <w:lang w:val="en-US"/>
        </w:rPr>
        <w:t xml:space="preserve"> </w:t>
      </w:r>
      <w:r w:rsidR="00135735" w:rsidRPr="00123003">
        <w:rPr>
          <w:sz w:val="24"/>
          <w:szCs w:val="24"/>
          <w:lang w:val="en-US"/>
        </w:rPr>
        <w:t xml:space="preserve">were </w:t>
      </w:r>
      <w:r w:rsidR="000C5FF8" w:rsidRPr="00123003">
        <w:rPr>
          <w:sz w:val="24"/>
          <w:szCs w:val="24"/>
          <w:lang w:val="en-US"/>
        </w:rPr>
        <w:t>enriched</w:t>
      </w:r>
      <w:r w:rsidR="004B3475" w:rsidRPr="00123003">
        <w:rPr>
          <w:sz w:val="24"/>
          <w:szCs w:val="24"/>
          <w:lang w:val="en-US"/>
        </w:rPr>
        <w:t xml:space="preserve"> </w:t>
      </w:r>
      <w:r w:rsidR="000C5FF8" w:rsidRPr="00123003">
        <w:rPr>
          <w:sz w:val="24"/>
          <w:szCs w:val="24"/>
          <w:lang w:val="en-US"/>
        </w:rPr>
        <w:t xml:space="preserve">in </w:t>
      </w:r>
      <w:r w:rsidR="00A55DF2" w:rsidRPr="00123003">
        <w:rPr>
          <w:sz w:val="24"/>
          <w:szCs w:val="24"/>
          <w:lang w:val="en-US"/>
        </w:rPr>
        <w:t>the</w:t>
      </w:r>
      <w:r w:rsidR="000D6934" w:rsidRPr="00123003">
        <w:rPr>
          <w:sz w:val="24"/>
          <w:szCs w:val="24"/>
          <w:lang w:val="en-US"/>
        </w:rPr>
        <w:t xml:space="preserve"> </w:t>
      </w:r>
      <w:proofErr w:type="gramStart"/>
      <w:r w:rsidR="000D6934" w:rsidRPr="00123003">
        <w:rPr>
          <w:sz w:val="24"/>
          <w:szCs w:val="24"/>
          <w:lang w:val="en-US"/>
        </w:rPr>
        <w:t>AN</w:t>
      </w:r>
      <w:proofErr w:type="gramEnd"/>
      <w:r w:rsidR="00A55DF2" w:rsidRPr="00123003">
        <w:rPr>
          <w:sz w:val="24"/>
          <w:szCs w:val="24"/>
          <w:lang w:val="en-US"/>
        </w:rPr>
        <w:t xml:space="preserve"> fecal</w:t>
      </w:r>
      <w:r w:rsidR="000C5FF8" w:rsidRPr="00123003">
        <w:rPr>
          <w:sz w:val="24"/>
          <w:szCs w:val="24"/>
          <w:lang w:val="en-US"/>
        </w:rPr>
        <w:t xml:space="preserve"> microbiota</w:t>
      </w:r>
      <w:r w:rsidR="001A18B6" w:rsidRPr="00123003">
        <w:rPr>
          <w:sz w:val="24"/>
          <w:szCs w:val="24"/>
          <w:lang w:val="en-US"/>
        </w:rPr>
        <w:t xml:space="preserve"> (</w:t>
      </w:r>
      <w:r w:rsidR="001A18B6" w:rsidRPr="00123003">
        <w:rPr>
          <w:b/>
          <w:sz w:val="24"/>
          <w:szCs w:val="24"/>
          <w:lang w:val="en-US"/>
        </w:rPr>
        <w:t>Fig</w:t>
      </w:r>
      <w:r w:rsidR="007C193D" w:rsidRPr="00123003">
        <w:rPr>
          <w:b/>
          <w:sz w:val="24"/>
          <w:szCs w:val="24"/>
          <w:lang w:val="en-US"/>
        </w:rPr>
        <w:t>ure</w:t>
      </w:r>
      <w:r w:rsidR="001A18B6" w:rsidRPr="00123003">
        <w:rPr>
          <w:b/>
          <w:sz w:val="24"/>
          <w:szCs w:val="24"/>
          <w:lang w:val="en-US"/>
        </w:rPr>
        <w:t xml:space="preserve"> 1</w:t>
      </w:r>
      <w:r w:rsidR="007C193D" w:rsidRPr="00123003">
        <w:rPr>
          <w:b/>
          <w:sz w:val="24"/>
          <w:szCs w:val="24"/>
          <w:lang w:val="en-US"/>
        </w:rPr>
        <w:t>C</w:t>
      </w:r>
      <w:r w:rsidR="001A18B6" w:rsidRPr="00123003">
        <w:rPr>
          <w:sz w:val="24"/>
          <w:szCs w:val="24"/>
          <w:lang w:val="en-US"/>
        </w:rPr>
        <w:t xml:space="preserve"> and </w:t>
      </w:r>
      <w:r w:rsidR="001A18B6" w:rsidRPr="00123003">
        <w:rPr>
          <w:b/>
          <w:sz w:val="24"/>
          <w:szCs w:val="24"/>
          <w:lang w:val="en-US"/>
        </w:rPr>
        <w:t>Suppl</w:t>
      </w:r>
      <w:r w:rsidR="007C193D" w:rsidRPr="00123003">
        <w:rPr>
          <w:b/>
          <w:sz w:val="24"/>
          <w:szCs w:val="24"/>
          <w:lang w:val="en-US"/>
        </w:rPr>
        <w:t>emental</w:t>
      </w:r>
      <w:r w:rsidR="001A18B6" w:rsidRPr="00123003">
        <w:rPr>
          <w:b/>
          <w:sz w:val="24"/>
          <w:szCs w:val="24"/>
          <w:lang w:val="en-US"/>
        </w:rPr>
        <w:t xml:space="preserve"> Fig</w:t>
      </w:r>
      <w:r w:rsidR="007C193D" w:rsidRPr="00123003">
        <w:rPr>
          <w:b/>
          <w:sz w:val="24"/>
          <w:szCs w:val="24"/>
          <w:lang w:val="en-US"/>
        </w:rPr>
        <w:t>ure</w:t>
      </w:r>
      <w:r w:rsidR="001A18B6" w:rsidRPr="00123003">
        <w:rPr>
          <w:b/>
          <w:sz w:val="24"/>
          <w:szCs w:val="24"/>
          <w:lang w:val="en-US"/>
        </w:rPr>
        <w:t xml:space="preserve"> </w:t>
      </w:r>
      <w:r w:rsidR="003C039D">
        <w:rPr>
          <w:b/>
          <w:sz w:val="24"/>
          <w:szCs w:val="24"/>
          <w:lang w:val="en-US"/>
        </w:rPr>
        <w:t>2</w:t>
      </w:r>
      <w:r w:rsidR="007C193D" w:rsidRPr="00123003">
        <w:rPr>
          <w:b/>
          <w:sz w:val="24"/>
          <w:szCs w:val="24"/>
          <w:lang w:val="en-US"/>
        </w:rPr>
        <w:t>A</w:t>
      </w:r>
      <w:r w:rsidRPr="00123003">
        <w:rPr>
          <w:sz w:val="24"/>
          <w:szCs w:val="24"/>
          <w:lang w:val="en-US"/>
        </w:rPr>
        <w:t xml:space="preserve">). </w:t>
      </w:r>
      <w:bookmarkStart w:id="1" w:name="OLE_LINK1"/>
      <w:r w:rsidR="002172AF" w:rsidRPr="00123003">
        <w:rPr>
          <w:sz w:val="24"/>
          <w:szCs w:val="24"/>
          <w:lang w:val="en-US"/>
        </w:rPr>
        <w:t xml:space="preserve">At family level, </w:t>
      </w:r>
      <w:proofErr w:type="spellStart"/>
      <w:r w:rsidR="002172AF" w:rsidRPr="00123003">
        <w:rPr>
          <w:i/>
          <w:sz w:val="24"/>
          <w:szCs w:val="24"/>
          <w:lang w:val="en-US"/>
        </w:rPr>
        <w:t>Ruminococcaceae</w:t>
      </w:r>
      <w:proofErr w:type="spellEnd"/>
      <w:r w:rsidR="002172AF" w:rsidRPr="00123003">
        <w:rPr>
          <w:sz w:val="24"/>
          <w:szCs w:val="24"/>
          <w:lang w:val="en-US"/>
        </w:rPr>
        <w:t xml:space="preserve"> and </w:t>
      </w:r>
      <w:proofErr w:type="spellStart"/>
      <w:r w:rsidR="002172AF" w:rsidRPr="00123003">
        <w:rPr>
          <w:i/>
          <w:sz w:val="24"/>
          <w:szCs w:val="24"/>
          <w:lang w:val="en-US"/>
        </w:rPr>
        <w:t>Prevotellaceae</w:t>
      </w:r>
      <w:proofErr w:type="spellEnd"/>
      <w:r w:rsidR="002172AF" w:rsidRPr="00123003">
        <w:rPr>
          <w:sz w:val="24"/>
          <w:szCs w:val="24"/>
          <w:lang w:val="en-US"/>
        </w:rPr>
        <w:t xml:space="preserve">, both </w:t>
      </w:r>
      <w:r w:rsidR="00443C77" w:rsidRPr="00123003">
        <w:rPr>
          <w:sz w:val="24"/>
          <w:szCs w:val="24"/>
          <w:lang w:val="en-US"/>
        </w:rPr>
        <w:t>covering</w:t>
      </w:r>
      <w:r w:rsidR="002172AF" w:rsidRPr="00123003">
        <w:rPr>
          <w:sz w:val="24"/>
          <w:szCs w:val="24"/>
          <w:lang w:val="en-US"/>
        </w:rPr>
        <w:t xml:space="preserve"> major genera involved in saccharolytic fermentat</w:t>
      </w:r>
      <w:r w:rsidR="000D6934" w:rsidRPr="00123003">
        <w:rPr>
          <w:sz w:val="24"/>
          <w:szCs w:val="24"/>
          <w:lang w:val="en-US"/>
        </w:rPr>
        <w:t xml:space="preserve">ion and </w:t>
      </w:r>
      <w:r w:rsidR="002172AF" w:rsidRPr="00123003">
        <w:rPr>
          <w:sz w:val="24"/>
          <w:szCs w:val="24"/>
          <w:lang w:val="en-US"/>
        </w:rPr>
        <w:t xml:space="preserve">SCFA synthesis, showed significantly </w:t>
      </w:r>
      <w:r w:rsidR="00FD337A" w:rsidRPr="00123003">
        <w:rPr>
          <w:sz w:val="24"/>
          <w:szCs w:val="24"/>
          <w:lang w:val="en-US"/>
        </w:rPr>
        <w:t>lower</w:t>
      </w:r>
      <w:r w:rsidR="002172AF" w:rsidRPr="00123003">
        <w:rPr>
          <w:sz w:val="24"/>
          <w:szCs w:val="24"/>
          <w:lang w:val="en-US"/>
        </w:rPr>
        <w:t xml:space="preserve"> abundance in the AN fecal microbiota (</w:t>
      </w:r>
      <w:r w:rsidR="002172AF" w:rsidRPr="00123003">
        <w:rPr>
          <w:b/>
          <w:sz w:val="24"/>
          <w:szCs w:val="24"/>
          <w:lang w:val="en-US"/>
        </w:rPr>
        <w:t>Suppl</w:t>
      </w:r>
      <w:r w:rsidR="007C193D" w:rsidRPr="00123003">
        <w:rPr>
          <w:b/>
          <w:sz w:val="24"/>
          <w:szCs w:val="24"/>
          <w:lang w:val="en-US"/>
        </w:rPr>
        <w:t>emental</w:t>
      </w:r>
      <w:r w:rsidR="002172AF" w:rsidRPr="00123003">
        <w:rPr>
          <w:b/>
          <w:sz w:val="24"/>
          <w:szCs w:val="24"/>
          <w:lang w:val="en-US"/>
        </w:rPr>
        <w:t xml:space="preserve"> Fig</w:t>
      </w:r>
      <w:r w:rsidR="007C193D" w:rsidRPr="00123003">
        <w:rPr>
          <w:b/>
          <w:sz w:val="24"/>
          <w:szCs w:val="24"/>
          <w:lang w:val="en-US"/>
        </w:rPr>
        <w:t>ure</w:t>
      </w:r>
      <w:r w:rsidR="002172AF" w:rsidRPr="00123003">
        <w:rPr>
          <w:b/>
          <w:sz w:val="24"/>
          <w:szCs w:val="24"/>
          <w:lang w:val="en-US"/>
        </w:rPr>
        <w:t xml:space="preserve"> </w:t>
      </w:r>
      <w:r w:rsidR="003C039D">
        <w:rPr>
          <w:b/>
          <w:sz w:val="24"/>
          <w:szCs w:val="24"/>
          <w:lang w:val="en-US"/>
        </w:rPr>
        <w:t>2</w:t>
      </w:r>
      <w:r w:rsidR="007C193D" w:rsidRPr="00123003">
        <w:rPr>
          <w:b/>
          <w:sz w:val="24"/>
          <w:szCs w:val="24"/>
          <w:lang w:val="en-US"/>
        </w:rPr>
        <w:t>B</w:t>
      </w:r>
      <w:r w:rsidR="002172AF" w:rsidRPr="00123003">
        <w:rPr>
          <w:sz w:val="24"/>
          <w:szCs w:val="24"/>
          <w:lang w:val="en-US"/>
        </w:rPr>
        <w:t xml:space="preserve">). Surprisingly, OTU belonging to the family </w:t>
      </w:r>
      <w:r w:rsidR="002172AF" w:rsidRPr="00123003">
        <w:rPr>
          <w:i/>
          <w:sz w:val="24"/>
          <w:szCs w:val="24"/>
          <w:lang w:val="en-US"/>
        </w:rPr>
        <w:t>Lachnospiraceae</w:t>
      </w:r>
      <w:r w:rsidR="002172AF" w:rsidRPr="00123003">
        <w:rPr>
          <w:sz w:val="24"/>
          <w:szCs w:val="24"/>
          <w:lang w:val="en-US"/>
        </w:rPr>
        <w:t xml:space="preserve">, which includes butyrate-producing species from the </w:t>
      </w:r>
      <w:r w:rsidR="002172AF" w:rsidRPr="00123003">
        <w:rPr>
          <w:i/>
          <w:sz w:val="24"/>
          <w:szCs w:val="24"/>
          <w:lang w:val="en-US"/>
        </w:rPr>
        <w:t>Clostridium</w:t>
      </w:r>
      <w:r w:rsidR="002172AF" w:rsidRPr="00123003">
        <w:rPr>
          <w:sz w:val="24"/>
          <w:szCs w:val="24"/>
          <w:lang w:val="en-US"/>
        </w:rPr>
        <w:t xml:space="preserve"> </w:t>
      </w:r>
      <w:proofErr w:type="spellStart"/>
      <w:r w:rsidR="002172AF" w:rsidRPr="00123003">
        <w:rPr>
          <w:sz w:val="24"/>
          <w:szCs w:val="24"/>
          <w:lang w:val="en-US"/>
        </w:rPr>
        <w:t>XIVa</w:t>
      </w:r>
      <w:proofErr w:type="spellEnd"/>
      <w:r w:rsidR="002172AF" w:rsidRPr="00123003">
        <w:rPr>
          <w:sz w:val="24"/>
          <w:szCs w:val="24"/>
          <w:lang w:val="en-US"/>
        </w:rPr>
        <w:t xml:space="preserve"> cluster, were more </w:t>
      </w:r>
      <w:r w:rsidR="000D6934" w:rsidRPr="00123003">
        <w:rPr>
          <w:sz w:val="24"/>
          <w:szCs w:val="24"/>
          <w:lang w:val="en-US"/>
        </w:rPr>
        <w:t>abundant</w:t>
      </w:r>
      <w:r w:rsidR="002172AF" w:rsidRPr="00123003">
        <w:rPr>
          <w:sz w:val="24"/>
          <w:szCs w:val="24"/>
          <w:lang w:val="en-US"/>
        </w:rPr>
        <w:t xml:space="preserve"> in</w:t>
      </w:r>
      <w:r w:rsidR="000D6934" w:rsidRPr="00123003">
        <w:rPr>
          <w:sz w:val="24"/>
          <w:szCs w:val="24"/>
          <w:lang w:val="en-US"/>
        </w:rPr>
        <w:t xml:space="preserve"> the</w:t>
      </w:r>
      <w:r w:rsidR="002172AF" w:rsidRPr="00123003">
        <w:rPr>
          <w:sz w:val="24"/>
          <w:szCs w:val="24"/>
          <w:lang w:val="en-US"/>
        </w:rPr>
        <w:t xml:space="preserve"> </w:t>
      </w:r>
      <w:proofErr w:type="gramStart"/>
      <w:r w:rsidR="002172AF" w:rsidRPr="00123003">
        <w:rPr>
          <w:sz w:val="24"/>
          <w:szCs w:val="24"/>
          <w:lang w:val="en-US"/>
        </w:rPr>
        <w:t>AN</w:t>
      </w:r>
      <w:proofErr w:type="gramEnd"/>
      <w:r w:rsidR="002172AF" w:rsidRPr="00123003">
        <w:rPr>
          <w:sz w:val="24"/>
          <w:szCs w:val="24"/>
          <w:lang w:val="en-US"/>
        </w:rPr>
        <w:t xml:space="preserve"> </w:t>
      </w:r>
      <w:r w:rsidR="000D6934" w:rsidRPr="00123003">
        <w:rPr>
          <w:sz w:val="24"/>
          <w:szCs w:val="24"/>
          <w:lang w:val="en-US"/>
        </w:rPr>
        <w:t>samples</w:t>
      </w:r>
      <w:r w:rsidR="007C193D" w:rsidRPr="00123003">
        <w:rPr>
          <w:sz w:val="24"/>
          <w:szCs w:val="24"/>
          <w:lang w:val="en-US"/>
        </w:rPr>
        <w:t xml:space="preserve"> (Supplemental</w:t>
      </w:r>
      <w:r w:rsidR="002172AF" w:rsidRPr="00123003">
        <w:rPr>
          <w:sz w:val="24"/>
          <w:szCs w:val="24"/>
          <w:lang w:val="en-US"/>
        </w:rPr>
        <w:t xml:space="preserve"> Fig</w:t>
      </w:r>
      <w:r w:rsidR="007C193D" w:rsidRPr="00123003">
        <w:rPr>
          <w:sz w:val="24"/>
          <w:szCs w:val="24"/>
          <w:lang w:val="en-US"/>
        </w:rPr>
        <w:t>ure</w:t>
      </w:r>
      <w:r w:rsidR="002172AF" w:rsidRPr="00123003">
        <w:rPr>
          <w:sz w:val="24"/>
          <w:szCs w:val="24"/>
          <w:lang w:val="en-US"/>
        </w:rPr>
        <w:t xml:space="preserve"> </w:t>
      </w:r>
      <w:r w:rsidR="003C039D">
        <w:rPr>
          <w:sz w:val="24"/>
          <w:szCs w:val="24"/>
          <w:lang w:val="en-US"/>
        </w:rPr>
        <w:t>2</w:t>
      </w:r>
      <w:r w:rsidR="007C193D" w:rsidRPr="00123003">
        <w:rPr>
          <w:sz w:val="24"/>
          <w:szCs w:val="24"/>
          <w:lang w:val="en-US"/>
        </w:rPr>
        <w:t>B</w:t>
      </w:r>
      <w:r w:rsidR="002172AF" w:rsidRPr="00123003">
        <w:rPr>
          <w:sz w:val="24"/>
          <w:szCs w:val="24"/>
          <w:lang w:val="en-US"/>
        </w:rPr>
        <w:t xml:space="preserve">). This </w:t>
      </w:r>
      <w:r w:rsidR="002332B1" w:rsidRPr="00123003">
        <w:rPr>
          <w:sz w:val="24"/>
          <w:szCs w:val="24"/>
          <w:lang w:val="en-US"/>
        </w:rPr>
        <w:t>may</w:t>
      </w:r>
      <w:r w:rsidR="0030634A" w:rsidRPr="00123003">
        <w:rPr>
          <w:sz w:val="24"/>
          <w:szCs w:val="24"/>
          <w:lang w:val="en-US"/>
        </w:rPr>
        <w:t xml:space="preserve"> be explained by the </w:t>
      </w:r>
      <w:r w:rsidR="000D6934" w:rsidRPr="00123003">
        <w:rPr>
          <w:sz w:val="24"/>
          <w:szCs w:val="24"/>
          <w:lang w:val="en-US"/>
        </w:rPr>
        <w:t>large</w:t>
      </w:r>
      <w:r w:rsidR="0030634A" w:rsidRPr="00123003">
        <w:rPr>
          <w:sz w:val="24"/>
          <w:szCs w:val="24"/>
          <w:lang w:val="en-US"/>
        </w:rPr>
        <w:t xml:space="preserve"> abundance </w:t>
      </w:r>
      <w:r w:rsidR="002172AF" w:rsidRPr="00123003">
        <w:rPr>
          <w:sz w:val="24"/>
          <w:szCs w:val="24"/>
          <w:lang w:val="en-US"/>
        </w:rPr>
        <w:t xml:space="preserve">of OTU related to </w:t>
      </w:r>
      <w:proofErr w:type="spellStart"/>
      <w:r w:rsidR="002172AF" w:rsidRPr="00123003">
        <w:rPr>
          <w:i/>
          <w:sz w:val="24"/>
          <w:szCs w:val="24"/>
          <w:lang w:val="en-US"/>
        </w:rPr>
        <w:t>Blautia</w:t>
      </w:r>
      <w:proofErr w:type="spellEnd"/>
      <w:r w:rsidR="002172AF" w:rsidRPr="00123003">
        <w:rPr>
          <w:sz w:val="24"/>
          <w:szCs w:val="24"/>
          <w:lang w:val="en-US"/>
        </w:rPr>
        <w:t xml:space="preserve"> and </w:t>
      </w:r>
      <w:proofErr w:type="spellStart"/>
      <w:r w:rsidR="002172AF" w:rsidRPr="00123003">
        <w:rPr>
          <w:i/>
          <w:sz w:val="24"/>
          <w:szCs w:val="24"/>
          <w:lang w:val="en-US"/>
        </w:rPr>
        <w:t>Lachnoclostridium</w:t>
      </w:r>
      <w:proofErr w:type="spellEnd"/>
      <w:r w:rsidR="003B0EAD" w:rsidRPr="00123003">
        <w:rPr>
          <w:sz w:val="24"/>
          <w:szCs w:val="24"/>
          <w:lang w:val="en-US"/>
        </w:rPr>
        <w:t>,</w:t>
      </w:r>
      <w:r w:rsidR="002172AF" w:rsidRPr="00123003">
        <w:rPr>
          <w:sz w:val="24"/>
          <w:szCs w:val="24"/>
          <w:lang w:val="en-US"/>
        </w:rPr>
        <w:t xml:space="preserve"> </w:t>
      </w:r>
      <w:r w:rsidR="003B0EAD" w:rsidRPr="00123003">
        <w:rPr>
          <w:sz w:val="24"/>
          <w:szCs w:val="24"/>
          <w:lang w:val="en-US"/>
        </w:rPr>
        <w:t>which</w:t>
      </w:r>
      <w:r w:rsidR="002172AF" w:rsidRPr="00123003">
        <w:rPr>
          <w:sz w:val="24"/>
          <w:szCs w:val="24"/>
          <w:lang w:val="en-US"/>
        </w:rPr>
        <w:t xml:space="preserve"> belong to </w:t>
      </w:r>
      <w:r w:rsidR="002172AF" w:rsidRPr="00123003">
        <w:rPr>
          <w:i/>
          <w:sz w:val="24"/>
          <w:szCs w:val="24"/>
          <w:lang w:val="en-US"/>
        </w:rPr>
        <w:t>Lachnospiraceae</w:t>
      </w:r>
      <w:r w:rsidR="00197072" w:rsidRPr="00123003">
        <w:rPr>
          <w:sz w:val="24"/>
          <w:szCs w:val="24"/>
          <w:lang w:val="en-US"/>
        </w:rPr>
        <w:t xml:space="preserve"> </w:t>
      </w:r>
      <w:r w:rsidR="000D6934" w:rsidRPr="00123003">
        <w:rPr>
          <w:sz w:val="24"/>
          <w:szCs w:val="24"/>
          <w:lang w:val="en-US"/>
        </w:rPr>
        <w:t xml:space="preserve">family </w:t>
      </w:r>
      <w:r w:rsidR="002172AF" w:rsidRPr="00123003">
        <w:rPr>
          <w:sz w:val="24"/>
          <w:szCs w:val="24"/>
          <w:lang w:val="en-US"/>
        </w:rPr>
        <w:t>(</w:t>
      </w:r>
      <w:r w:rsidR="002172AF" w:rsidRPr="00123003">
        <w:rPr>
          <w:b/>
          <w:sz w:val="24"/>
          <w:szCs w:val="24"/>
          <w:lang w:val="en-US"/>
        </w:rPr>
        <w:t>Fig</w:t>
      </w:r>
      <w:r w:rsidR="007C193D" w:rsidRPr="00123003">
        <w:rPr>
          <w:b/>
          <w:sz w:val="24"/>
          <w:szCs w:val="24"/>
          <w:lang w:val="en-US"/>
        </w:rPr>
        <w:t>ure</w:t>
      </w:r>
      <w:r w:rsidR="002172AF" w:rsidRPr="00123003">
        <w:rPr>
          <w:b/>
          <w:sz w:val="24"/>
          <w:szCs w:val="24"/>
          <w:lang w:val="en-US"/>
        </w:rPr>
        <w:t xml:space="preserve"> 1</w:t>
      </w:r>
      <w:r w:rsidR="007C193D" w:rsidRPr="00123003">
        <w:rPr>
          <w:b/>
          <w:sz w:val="24"/>
          <w:szCs w:val="24"/>
          <w:lang w:val="en-US"/>
        </w:rPr>
        <w:t>D</w:t>
      </w:r>
      <w:r w:rsidR="002172AF" w:rsidRPr="00123003">
        <w:rPr>
          <w:sz w:val="24"/>
          <w:szCs w:val="24"/>
          <w:lang w:val="en-US"/>
        </w:rPr>
        <w:t xml:space="preserve">). </w:t>
      </w:r>
      <w:r w:rsidR="000366A8" w:rsidRPr="00123003">
        <w:rPr>
          <w:sz w:val="24"/>
          <w:szCs w:val="24"/>
          <w:lang w:val="en-US"/>
        </w:rPr>
        <w:t xml:space="preserve">Within other </w:t>
      </w:r>
      <w:r w:rsidR="000003EB" w:rsidRPr="00123003">
        <w:rPr>
          <w:sz w:val="24"/>
          <w:szCs w:val="24"/>
          <w:lang w:val="en-US"/>
        </w:rPr>
        <w:t xml:space="preserve">most </w:t>
      </w:r>
      <w:r w:rsidR="000366A8" w:rsidRPr="00123003">
        <w:rPr>
          <w:sz w:val="24"/>
          <w:szCs w:val="24"/>
          <w:lang w:val="en-US"/>
        </w:rPr>
        <w:t>abundant genera,</w:t>
      </w:r>
      <w:r w:rsidRPr="00123003">
        <w:rPr>
          <w:sz w:val="24"/>
          <w:szCs w:val="24"/>
          <w:lang w:val="en-US"/>
        </w:rPr>
        <w:t xml:space="preserve"> the </w:t>
      </w:r>
      <w:proofErr w:type="gramStart"/>
      <w:r w:rsidR="000D6934" w:rsidRPr="00123003">
        <w:rPr>
          <w:sz w:val="24"/>
          <w:szCs w:val="24"/>
          <w:lang w:val="en-US"/>
        </w:rPr>
        <w:t>AN</w:t>
      </w:r>
      <w:proofErr w:type="gramEnd"/>
      <w:r w:rsidR="000D6934" w:rsidRPr="00123003">
        <w:rPr>
          <w:sz w:val="24"/>
          <w:szCs w:val="24"/>
          <w:lang w:val="en-US"/>
        </w:rPr>
        <w:t xml:space="preserve"> </w:t>
      </w:r>
      <w:r w:rsidRPr="00123003">
        <w:rPr>
          <w:sz w:val="24"/>
          <w:szCs w:val="24"/>
          <w:lang w:val="en-US"/>
        </w:rPr>
        <w:t>fecal microbio</w:t>
      </w:r>
      <w:r w:rsidR="000C5FF8" w:rsidRPr="00123003">
        <w:rPr>
          <w:sz w:val="24"/>
          <w:szCs w:val="24"/>
          <w:lang w:val="en-US"/>
        </w:rPr>
        <w:t>ta</w:t>
      </w:r>
      <w:r w:rsidRPr="00123003">
        <w:rPr>
          <w:sz w:val="24"/>
          <w:szCs w:val="24"/>
          <w:lang w:val="en-US"/>
        </w:rPr>
        <w:t xml:space="preserve"> exhibited</w:t>
      </w:r>
      <w:r w:rsidR="002172AF" w:rsidRPr="00123003">
        <w:rPr>
          <w:sz w:val="24"/>
          <w:szCs w:val="24"/>
          <w:lang w:val="en-US"/>
        </w:rPr>
        <w:t xml:space="preserve"> </w:t>
      </w:r>
      <w:r w:rsidRPr="00123003">
        <w:rPr>
          <w:sz w:val="24"/>
          <w:szCs w:val="24"/>
          <w:lang w:val="en-US"/>
        </w:rPr>
        <w:t xml:space="preserve">significantly </w:t>
      </w:r>
      <w:r w:rsidR="000D6934" w:rsidRPr="00123003">
        <w:rPr>
          <w:sz w:val="24"/>
          <w:szCs w:val="24"/>
          <w:lang w:val="en-US"/>
        </w:rPr>
        <w:t>greater</w:t>
      </w:r>
      <w:r w:rsidRPr="00123003">
        <w:rPr>
          <w:sz w:val="24"/>
          <w:szCs w:val="24"/>
          <w:lang w:val="en-US"/>
        </w:rPr>
        <w:t xml:space="preserve"> numbers of </w:t>
      </w:r>
      <w:r w:rsidR="002172AF" w:rsidRPr="00123003">
        <w:rPr>
          <w:sz w:val="24"/>
          <w:szCs w:val="24"/>
          <w:lang w:val="en-US"/>
        </w:rPr>
        <w:t xml:space="preserve">OTU belonging to </w:t>
      </w:r>
      <w:r w:rsidRPr="00123003">
        <w:rPr>
          <w:i/>
          <w:sz w:val="24"/>
          <w:szCs w:val="24"/>
          <w:lang w:val="en-US"/>
        </w:rPr>
        <w:t>Bifidobacterium</w:t>
      </w:r>
      <w:r w:rsidRPr="00123003">
        <w:rPr>
          <w:sz w:val="24"/>
          <w:szCs w:val="24"/>
          <w:lang w:val="en-US"/>
        </w:rPr>
        <w:t xml:space="preserve"> and </w:t>
      </w:r>
      <w:r w:rsidRPr="00123003">
        <w:rPr>
          <w:i/>
          <w:sz w:val="24"/>
          <w:szCs w:val="24"/>
          <w:lang w:val="en-US"/>
        </w:rPr>
        <w:t>Escherichia-</w:t>
      </w:r>
      <w:proofErr w:type="spellStart"/>
      <w:r w:rsidRPr="00123003">
        <w:rPr>
          <w:i/>
          <w:sz w:val="24"/>
          <w:szCs w:val="24"/>
          <w:lang w:val="en-US"/>
        </w:rPr>
        <w:t>Shigella</w:t>
      </w:r>
      <w:proofErr w:type="spellEnd"/>
      <w:r w:rsidR="007C193D" w:rsidRPr="00123003">
        <w:rPr>
          <w:sz w:val="24"/>
          <w:szCs w:val="24"/>
          <w:lang w:val="en-US"/>
        </w:rPr>
        <w:t xml:space="preserve"> (Figure</w:t>
      </w:r>
      <w:r w:rsidRPr="00123003">
        <w:rPr>
          <w:sz w:val="24"/>
          <w:szCs w:val="24"/>
          <w:lang w:val="en-US"/>
        </w:rPr>
        <w:t xml:space="preserve"> 1</w:t>
      </w:r>
      <w:r w:rsidR="007C193D" w:rsidRPr="00123003">
        <w:rPr>
          <w:sz w:val="24"/>
          <w:szCs w:val="24"/>
          <w:lang w:val="en-US"/>
        </w:rPr>
        <w:t>D</w:t>
      </w:r>
      <w:r w:rsidRPr="00123003">
        <w:rPr>
          <w:sz w:val="24"/>
          <w:szCs w:val="24"/>
          <w:lang w:val="en-US"/>
        </w:rPr>
        <w:t xml:space="preserve">). </w:t>
      </w:r>
      <w:r w:rsidR="007D0CD8" w:rsidRPr="00123003">
        <w:rPr>
          <w:sz w:val="24"/>
          <w:szCs w:val="24"/>
          <w:lang w:val="en-US"/>
        </w:rPr>
        <w:t xml:space="preserve">In contrast, the </w:t>
      </w:r>
      <w:r w:rsidR="000D6934" w:rsidRPr="00123003">
        <w:rPr>
          <w:sz w:val="24"/>
          <w:szCs w:val="24"/>
          <w:lang w:val="en-US"/>
        </w:rPr>
        <w:t xml:space="preserve">RA </w:t>
      </w:r>
      <w:r w:rsidR="007D0CD8" w:rsidRPr="00123003">
        <w:rPr>
          <w:sz w:val="24"/>
          <w:szCs w:val="24"/>
          <w:lang w:val="en-US"/>
        </w:rPr>
        <w:t xml:space="preserve">fecal microbiota had significantly </w:t>
      </w:r>
      <w:r w:rsidR="000D6934" w:rsidRPr="00123003">
        <w:rPr>
          <w:sz w:val="24"/>
          <w:szCs w:val="24"/>
          <w:lang w:val="en-US"/>
        </w:rPr>
        <w:t>greater</w:t>
      </w:r>
      <w:r w:rsidR="007D0CD8" w:rsidRPr="00123003">
        <w:rPr>
          <w:sz w:val="24"/>
          <w:szCs w:val="24"/>
          <w:lang w:val="en-US"/>
        </w:rPr>
        <w:t xml:space="preserve"> abundance </w:t>
      </w:r>
      <w:r w:rsidR="00BE6A07" w:rsidRPr="00123003">
        <w:rPr>
          <w:sz w:val="24"/>
          <w:szCs w:val="24"/>
          <w:lang w:val="en-US"/>
        </w:rPr>
        <w:t xml:space="preserve">of </w:t>
      </w:r>
      <w:r w:rsidR="007D0CD8" w:rsidRPr="00123003">
        <w:rPr>
          <w:sz w:val="24"/>
          <w:szCs w:val="24"/>
          <w:lang w:val="en-US"/>
        </w:rPr>
        <w:t xml:space="preserve">OTU related to </w:t>
      </w:r>
      <w:proofErr w:type="spellStart"/>
      <w:r w:rsidR="007D0CD8" w:rsidRPr="00123003">
        <w:rPr>
          <w:i/>
          <w:sz w:val="24"/>
          <w:szCs w:val="24"/>
          <w:lang w:val="en-US"/>
        </w:rPr>
        <w:t>Prevotella</w:t>
      </w:r>
      <w:proofErr w:type="spellEnd"/>
      <w:r w:rsidR="007D0CD8" w:rsidRPr="00123003">
        <w:rPr>
          <w:i/>
          <w:sz w:val="24"/>
          <w:szCs w:val="24"/>
          <w:lang w:val="en-US"/>
        </w:rPr>
        <w:t xml:space="preserve"> 9</w:t>
      </w:r>
      <w:r w:rsidR="007D0CD8" w:rsidRPr="00123003">
        <w:rPr>
          <w:sz w:val="24"/>
          <w:szCs w:val="24"/>
          <w:lang w:val="en-US"/>
        </w:rPr>
        <w:t xml:space="preserve">, </w:t>
      </w:r>
      <w:proofErr w:type="spellStart"/>
      <w:r w:rsidR="007D0CD8" w:rsidRPr="00123003">
        <w:rPr>
          <w:i/>
          <w:sz w:val="24"/>
          <w:szCs w:val="24"/>
          <w:lang w:val="en-US"/>
        </w:rPr>
        <w:t>Ruminococcaceae</w:t>
      </w:r>
      <w:proofErr w:type="spellEnd"/>
      <w:r w:rsidR="007D0CD8" w:rsidRPr="00123003">
        <w:rPr>
          <w:sz w:val="24"/>
          <w:szCs w:val="24"/>
          <w:lang w:val="en-US"/>
        </w:rPr>
        <w:t xml:space="preserve">, </w:t>
      </w:r>
      <w:proofErr w:type="spellStart"/>
      <w:r w:rsidR="007D0CD8" w:rsidRPr="00123003">
        <w:rPr>
          <w:i/>
          <w:sz w:val="24"/>
          <w:szCs w:val="24"/>
          <w:lang w:val="en-US"/>
        </w:rPr>
        <w:t>Succinivibrio</w:t>
      </w:r>
      <w:proofErr w:type="spellEnd"/>
      <w:r w:rsidR="007D0CD8" w:rsidRPr="00123003">
        <w:rPr>
          <w:sz w:val="24"/>
          <w:szCs w:val="24"/>
          <w:lang w:val="en-US"/>
        </w:rPr>
        <w:t xml:space="preserve"> and the </w:t>
      </w:r>
      <w:proofErr w:type="spellStart"/>
      <w:r w:rsidR="007D0CD8" w:rsidRPr="00123003">
        <w:rPr>
          <w:i/>
          <w:sz w:val="24"/>
          <w:szCs w:val="24"/>
          <w:lang w:val="en-US"/>
        </w:rPr>
        <w:t>Eubacterium</w:t>
      </w:r>
      <w:proofErr w:type="spellEnd"/>
      <w:r w:rsidR="007D0CD8" w:rsidRPr="00123003">
        <w:rPr>
          <w:i/>
          <w:sz w:val="24"/>
          <w:szCs w:val="24"/>
          <w:lang w:val="en-US"/>
        </w:rPr>
        <w:t xml:space="preserve"> </w:t>
      </w:r>
      <w:proofErr w:type="spellStart"/>
      <w:r w:rsidR="007D0CD8" w:rsidRPr="00123003">
        <w:rPr>
          <w:i/>
          <w:sz w:val="24"/>
          <w:szCs w:val="24"/>
          <w:lang w:val="en-US"/>
        </w:rPr>
        <w:t>coprostanoligenes</w:t>
      </w:r>
      <w:proofErr w:type="spellEnd"/>
      <w:r w:rsidR="007D0CD8" w:rsidRPr="00123003">
        <w:rPr>
          <w:sz w:val="24"/>
          <w:szCs w:val="24"/>
          <w:lang w:val="en-US"/>
        </w:rPr>
        <w:t xml:space="preserve"> group (Fig</w:t>
      </w:r>
      <w:r w:rsidR="007C193D" w:rsidRPr="00123003">
        <w:rPr>
          <w:sz w:val="24"/>
          <w:szCs w:val="24"/>
          <w:lang w:val="en-US"/>
        </w:rPr>
        <w:t>ure</w:t>
      </w:r>
      <w:r w:rsidR="007D0CD8" w:rsidRPr="00123003">
        <w:rPr>
          <w:sz w:val="24"/>
          <w:szCs w:val="24"/>
          <w:lang w:val="en-US"/>
        </w:rPr>
        <w:t xml:space="preserve"> 1</w:t>
      </w:r>
      <w:r w:rsidR="007C193D" w:rsidRPr="00123003">
        <w:rPr>
          <w:sz w:val="24"/>
          <w:szCs w:val="24"/>
          <w:lang w:val="en-US"/>
        </w:rPr>
        <w:t>D</w:t>
      </w:r>
      <w:r w:rsidR="007D0CD8" w:rsidRPr="00123003">
        <w:rPr>
          <w:sz w:val="24"/>
          <w:szCs w:val="24"/>
          <w:lang w:val="en-US"/>
        </w:rPr>
        <w:t xml:space="preserve">), covering complex carbohydrate-fermenting and butyrogenic species. </w:t>
      </w:r>
      <w:bookmarkEnd w:id="1"/>
      <w:r w:rsidR="000946AA" w:rsidRPr="00123003">
        <w:rPr>
          <w:sz w:val="24"/>
          <w:szCs w:val="24"/>
          <w:lang w:val="en-US"/>
        </w:rPr>
        <w:t xml:space="preserve">OTU related to </w:t>
      </w:r>
      <w:proofErr w:type="spellStart"/>
      <w:r w:rsidRPr="00123003">
        <w:rPr>
          <w:i/>
          <w:sz w:val="24"/>
          <w:szCs w:val="24"/>
          <w:lang w:val="en-US"/>
        </w:rPr>
        <w:t>Bilophila</w:t>
      </w:r>
      <w:proofErr w:type="spellEnd"/>
      <w:r w:rsidR="00317474" w:rsidRPr="00123003">
        <w:rPr>
          <w:i/>
          <w:sz w:val="24"/>
          <w:szCs w:val="24"/>
          <w:lang w:val="en-US"/>
        </w:rPr>
        <w:t xml:space="preserve"> </w:t>
      </w:r>
      <w:r w:rsidRPr="00123003">
        <w:rPr>
          <w:sz w:val="24"/>
          <w:szCs w:val="24"/>
          <w:lang w:val="en-US"/>
        </w:rPr>
        <w:t>w</w:t>
      </w:r>
      <w:r w:rsidR="000946AA" w:rsidRPr="00123003">
        <w:rPr>
          <w:sz w:val="24"/>
          <w:szCs w:val="24"/>
          <w:lang w:val="en-US"/>
        </w:rPr>
        <w:t>ere</w:t>
      </w:r>
      <w:r w:rsidRPr="00123003">
        <w:rPr>
          <w:sz w:val="24"/>
          <w:szCs w:val="24"/>
          <w:lang w:val="en-US"/>
        </w:rPr>
        <w:t xml:space="preserve"> </w:t>
      </w:r>
      <w:r w:rsidR="00F60453" w:rsidRPr="00123003">
        <w:rPr>
          <w:sz w:val="24"/>
          <w:szCs w:val="24"/>
          <w:lang w:val="en-US"/>
        </w:rPr>
        <w:t xml:space="preserve">significantly </w:t>
      </w:r>
      <w:r w:rsidRPr="00123003">
        <w:rPr>
          <w:sz w:val="24"/>
          <w:szCs w:val="24"/>
          <w:lang w:val="en-US"/>
        </w:rPr>
        <w:t xml:space="preserve">more </w:t>
      </w:r>
      <w:r w:rsidR="00A55DF2" w:rsidRPr="00123003">
        <w:rPr>
          <w:sz w:val="24"/>
          <w:szCs w:val="24"/>
          <w:lang w:val="en-US"/>
        </w:rPr>
        <w:t xml:space="preserve">abundant in the </w:t>
      </w:r>
      <w:proofErr w:type="gramStart"/>
      <w:r w:rsidR="000D6934" w:rsidRPr="00123003">
        <w:rPr>
          <w:sz w:val="24"/>
          <w:szCs w:val="24"/>
          <w:lang w:val="en-US"/>
        </w:rPr>
        <w:t>AN</w:t>
      </w:r>
      <w:proofErr w:type="gramEnd"/>
      <w:r w:rsidR="000D6934" w:rsidRPr="00123003">
        <w:rPr>
          <w:sz w:val="24"/>
          <w:szCs w:val="24"/>
          <w:lang w:val="en-US"/>
        </w:rPr>
        <w:t xml:space="preserve"> samples</w:t>
      </w:r>
      <w:r w:rsidR="009D7EBC">
        <w:rPr>
          <w:sz w:val="24"/>
          <w:szCs w:val="24"/>
          <w:lang w:val="en-US"/>
        </w:rPr>
        <w:t>, but this did not correlate with higher levels of</w:t>
      </w:r>
      <w:r w:rsidR="007509A5" w:rsidRPr="00123003">
        <w:rPr>
          <w:sz w:val="24"/>
          <w:szCs w:val="24"/>
          <w:lang w:val="en-US"/>
        </w:rPr>
        <w:t xml:space="preserve"> </w:t>
      </w:r>
      <w:proofErr w:type="spellStart"/>
      <w:r w:rsidR="009D7EBC" w:rsidRPr="00123003">
        <w:rPr>
          <w:i/>
          <w:sz w:val="24"/>
          <w:szCs w:val="24"/>
          <w:lang w:val="en-US"/>
        </w:rPr>
        <w:t>Bilophila</w:t>
      </w:r>
      <w:proofErr w:type="spellEnd"/>
      <w:r w:rsidR="009D7EBC" w:rsidRPr="00123003">
        <w:rPr>
          <w:i/>
          <w:sz w:val="24"/>
          <w:szCs w:val="24"/>
          <w:lang w:val="en-US"/>
        </w:rPr>
        <w:t xml:space="preserve"> </w:t>
      </w:r>
      <w:proofErr w:type="spellStart"/>
      <w:r w:rsidR="009D7EBC" w:rsidRPr="00123003">
        <w:rPr>
          <w:i/>
          <w:sz w:val="24"/>
          <w:szCs w:val="24"/>
          <w:lang w:val="en-US"/>
        </w:rPr>
        <w:t>wadsworthia</w:t>
      </w:r>
      <w:proofErr w:type="spellEnd"/>
      <w:r w:rsidR="009D7EBC" w:rsidRPr="009D7EBC">
        <w:rPr>
          <w:sz w:val="24"/>
          <w:szCs w:val="24"/>
          <w:lang w:val="en-US"/>
        </w:rPr>
        <w:t xml:space="preserve"> in feces</w:t>
      </w:r>
      <w:r w:rsidR="009D7EBC">
        <w:rPr>
          <w:sz w:val="24"/>
          <w:szCs w:val="24"/>
          <w:lang w:val="en-US"/>
        </w:rPr>
        <w:t xml:space="preserve"> from AN participants</w:t>
      </w:r>
      <w:r w:rsidR="009D7EBC" w:rsidRPr="00123003">
        <w:rPr>
          <w:sz w:val="24"/>
          <w:szCs w:val="24"/>
          <w:lang w:val="en-US"/>
        </w:rPr>
        <w:t xml:space="preserve"> </w:t>
      </w:r>
      <w:r w:rsidR="007509A5" w:rsidRPr="00123003">
        <w:rPr>
          <w:sz w:val="24"/>
          <w:szCs w:val="24"/>
          <w:lang w:val="en-US"/>
        </w:rPr>
        <w:t>(</w:t>
      </w:r>
      <w:r w:rsidR="007509A5" w:rsidRPr="00123003">
        <w:rPr>
          <w:b/>
          <w:sz w:val="24"/>
          <w:szCs w:val="24"/>
          <w:lang w:val="en-US"/>
        </w:rPr>
        <w:t>Suppl</w:t>
      </w:r>
      <w:r w:rsidR="007C193D" w:rsidRPr="00123003">
        <w:rPr>
          <w:b/>
          <w:sz w:val="24"/>
          <w:szCs w:val="24"/>
          <w:lang w:val="en-US"/>
        </w:rPr>
        <w:t>emental</w:t>
      </w:r>
      <w:r w:rsidR="007509A5" w:rsidRPr="00123003">
        <w:rPr>
          <w:b/>
          <w:sz w:val="24"/>
          <w:szCs w:val="24"/>
          <w:lang w:val="en-US"/>
        </w:rPr>
        <w:t xml:space="preserve"> Fig</w:t>
      </w:r>
      <w:r w:rsidR="007C193D" w:rsidRPr="00123003">
        <w:rPr>
          <w:b/>
          <w:sz w:val="24"/>
          <w:szCs w:val="24"/>
          <w:lang w:val="en-US"/>
        </w:rPr>
        <w:t>ure</w:t>
      </w:r>
      <w:r w:rsidR="007509A5" w:rsidRPr="00123003">
        <w:rPr>
          <w:b/>
          <w:sz w:val="24"/>
          <w:szCs w:val="24"/>
          <w:lang w:val="en-US"/>
        </w:rPr>
        <w:t xml:space="preserve"> </w:t>
      </w:r>
      <w:r w:rsidR="003C039D">
        <w:rPr>
          <w:b/>
          <w:sz w:val="24"/>
          <w:szCs w:val="24"/>
          <w:lang w:val="en-US"/>
        </w:rPr>
        <w:t>2</w:t>
      </w:r>
      <w:r w:rsidR="007C193D" w:rsidRPr="00123003">
        <w:rPr>
          <w:b/>
          <w:sz w:val="24"/>
          <w:szCs w:val="24"/>
          <w:lang w:val="en-US"/>
        </w:rPr>
        <w:t>C</w:t>
      </w:r>
      <w:r w:rsidR="009D7EBC">
        <w:rPr>
          <w:b/>
          <w:sz w:val="24"/>
          <w:szCs w:val="24"/>
          <w:lang w:val="en-US"/>
        </w:rPr>
        <w:t>, D</w:t>
      </w:r>
      <w:r w:rsidR="007509A5" w:rsidRPr="00123003">
        <w:rPr>
          <w:sz w:val="24"/>
          <w:szCs w:val="24"/>
          <w:lang w:val="en-US"/>
        </w:rPr>
        <w:t>)</w:t>
      </w:r>
      <w:r w:rsidRPr="00123003">
        <w:rPr>
          <w:sz w:val="24"/>
          <w:szCs w:val="24"/>
          <w:lang w:val="en-US"/>
        </w:rPr>
        <w:t xml:space="preserve">. </w:t>
      </w:r>
      <w:r w:rsidR="002B3D19" w:rsidRPr="00123003">
        <w:rPr>
          <w:sz w:val="24"/>
          <w:szCs w:val="24"/>
          <w:lang w:val="en-US"/>
        </w:rPr>
        <w:t>Similarly,</w:t>
      </w:r>
      <w:r w:rsidR="00AB7C4E" w:rsidRPr="00123003">
        <w:rPr>
          <w:sz w:val="24"/>
          <w:szCs w:val="24"/>
          <w:lang w:val="en-US"/>
        </w:rPr>
        <w:t xml:space="preserve"> no difference was detected in</w:t>
      </w:r>
      <w:r w:rsidR="002B3D19" w:rsidRPr="00123003">
        <w:rPr>
          <w:sz w:val="24"/>
          <w:szCs w:val="24"/>
          <w:lang w:val="en-US"/>
        </w:rPr>
        <w:t xml:space="preserve"> the relative abundance of </w:t>
      </w:r>
      <w:r w:rsidR="002B3D19" w:rsidRPr="00123003">
        <w:rPr>
          <w:i/>
          <w:sz w:val="24"/>
          <w:szCs w:val="24"/>
          <w:lang w:val="en-US"/>
        </w:rPr>
        <w:t>Fusobacteria</w:t>
      </w:r>
      <w:r w:rsidR="009D7EBC">
        <w:rPr>
          <w:sz w:val="24"/>
          <w:szCs w:val="24"/>
          <w:lang w:val="en-US"/>
        </w:rPr>
        <w:t xml:space="preserve"> in feces</w:t>
      </w:r>
      <w:r w:rsidR="00F61B70">
        <w:rPr>
          <w:sz w:val="24"/>
          <w:szCs w:val="24"/>
          <w:lang w:val="en-US"/>
        </w:rPr>
        <w:t xml:space="preserve"> </w:t>
      </w:r>
      <w:r w:rsidR="0078665E" w:rsidRPr="00123003">
        <w:rPr>
          <w:sz w:val="24"/>
          <w:szCs w:val="24"/>
          <w:lang w:val="en-US"/>
        </w:rPr>
        <w:t>(</w:t>
      </w:r>
      <w:r w:rsidR="0078665E" w:rsidRPr="00123003">
        <w:rPr>
          <w:b/>
          <w:sz w:val="24"/>
          <w:szCs w:val="24"/>
          <w:lang w:val="en-US"/>
        </w:rPr>
        <w:t>Suppl</w:t>
      </w:r>
      <w:r w:rsidR="007C193D" w:rsidRPr="00123003">
        <w:rPr>
          <w:b/>
          <w:sz w:val="24"/>
          <w:szCs w:val="24"/>
          <w:lang w:val="en-US"/>
        </w:rPr>
        <w:t>emental</w:t>
      </w:r>
      <w:r w:rsidR="0078665E" w:rsidRPr="00123003">
        <w:rPr>
          <w:b/>
          <w:sz w:val="24"/>
          <w:szCs w:val="24"/>
          <w:lang w:val="en-US"/>
        </w:rPr>
        <w:t xml:space="preserve"> Fig</w:t>
      </w:r>
      <w:r w:rsidR="007C193D" w:rsidRPr="00123003">
        <w:rPr>
          <w:b/>
          <w:sz w:val="24"/>
          <w:szCs w:val="24"/>
          <w:lang w:val="en-US"/>
        </w:rPr>
        <w:t>ure</w:t>
      </w:r>
      <w:r w:rsidR="0078665E" w:rsidRPr="00123003">
        <w:rPr>
          <w:b/>
          <w:sz w:val="24"/>
          <w:szCs w:val="24"/>
          <w:lang w:val="en-US"/>
        </w:rPr>
        <w:t xml:space="preserve"> </w:t>
      </w:r>
      <w:r w:rsidR="003C039D">
        <w:rPr>
          <w:b/>
          <w:sz w:val="24"/>
          <w:szCs w:val="24"/>
          <w:lang w:val="en-US"/>
        </w:rPr>
        <w:t>2</w:t>
      </w:r>
      <w:r w:rsidR="007C193D" w:rsidRPr="00123003">
        <w:rPr>
          <w:b/>
          <w:sz w:val="24"/>
          <w:szCs w:val="24"/>
          <w:lang w:val="en-US"/>
        </w:rPr>
        <w:t>E</w:t>
      </w:r>
      <w:r w:rsidRPr="00123003">
        <w:rPr>
          <w:sz w:val="24"/>
          <w:szCs w:val="24"/>
          <w:lang w:val="en-US"/>
        </w:rPr>
        <w:t>)</w:t>
      </w:r>
      <w:r w:rsidR="00834456" w:rsidRPr="00123003">
        <w:rPr>
          <w:sz w:val="24"/>
          <w:szCs w:val="24"/>
          <w:lang w:val="en-US"/>
        </w:rPr>
        <w:t>.</w:t>
      </w:r>
    </w:p>
    <w:p w:rsidR="008D4A86" w:rsidRPr="00123003" w:rsidRDefault="001E4FE8" w:rsidP="00123003">
      <w:pPr>
        <w:pStyle w:val="KeinLeerraum"/>
        <w:spacing w:line="480" w:lineRule="auto"/>
        <w:jc w:val="both"/>
        <w:rPr>
          <w:b/>
          <w:sz w:val="24"/>
          <w:szCs w:val="24"/>
          <w:lang w:val="en-US"/>
        </w:rPr>
      </w:pPr>
      <w:proofErr w:type="gramStart"/>
      <w:r w:rsidRPr="00123003">
        <w:rPr>
          <w:b/>
          <w:sz w:val="24"/>
          <w:szCs w:val="24"/>
          <w:lang w:val="en-US"/>
        </w:rPr>
        <w:lastRenderedPageBreak/>
        <w:t>AN</w:t>
      </w:r>
      <w:proofErr w:type="gramEnd"/>
      <w:r w:rsidRPr="00123003">
        <w:rPr>
          <w:b/>
          <w:sz w:val="24"/>
          <w:szCs w:val="24"/>
          <w:lang w:val="en-US"/>
        </w:rPr>
        <w:t xml:space="preserve"> </w:t>
      </w:r>
      <w:r w:rsidR="00AB7C4E" w:rsidRPr="00123003">
        <w:rPr>
          <w:b/>
          <w:sz w:val="24"/>
          <w:szCs w:val="24"/>
          <w:lang w:val="en-US"/>
        </w:rPr>
        <w:t>participants</w:t>
      </w:r>
      <w:r w:rsidRPr="00123003">
        <w:rPr>
          <w:b/>
          <w:sz w:val="24"/>
          <w:szCs w:val="24"/>
          <w:lang w:val="en-US"/>
        </w:rPr>
        <w:t xml:space="preserve"> exhibit different </w:t>
      </w:r>
      <w:r w:rsidR="00340183" w:rsidRPr="00123003">
        <w:rPr>
          <w:b/>
          <w:sz w:val="24"/>
          <w:szCs w:val="24"/>
          <w:lang w:val="en-US"/>
        </w:rPr>
        <w:t>metabolite</w:t>
      </w:r>
      <w:r w:rsidRPr="00123003">
        <w:rPr>
          <w:b/>
          <w:sz w:val="24"/>
          <w:szCs w:val="24"/>
          <w:lang w:val="en-US"/>
        </w:rPr>
        <w:t xml:space="preserve"> profile</w:t>
      </w:r>
      <w:r w:rsidR="00935E85" w:rsidRPr="00123003">
        <w:rPr>
          <w:b/>
          <w:sz w:val="24"/>
          <w:szCs w:val="24"/>
          <w:lang w:val="en-US"/>
        </w:rPr>
        <w:t>s</w:t>
      </w:r>
      <w:r w:rsidRPr="00123003">
        <w:rPr>
          <w:b/>
          <w:sz w:val="24"/>
          <w:szCs w:val="24"/>
          <w:lang w:val="en-US"/>
        </w:rPr>
        <w:t xml:space="preserve"> in feces </w:t>
      </w:r>
      <w:r w:rsidR="001066AB" w:rsidRPr="00123003">
        <w:rPr>
          <w:b/>
          <w:sz w:val="24"/>
          <w:szCs w:val="24"/>
          <w:lang w:val="en-US"/>
        </w:rPr>
        <w:t xml:space="preserve">and urine compared to RA </w:t>
      </w:r>
      <w:r w:rsidR="00AB7C4E" w:rsidRPr="00123003">
        <w:rPr>
          <w:b/>
          <w:sz w:val="24"/>
          <w:szCs w:val="24"/>
          <w:lang w:val="en-US"/>
        </w:rPr>
        <w:t>subjects</w:t>
      </w:r>
    </w:p>
    <w:p w:rsidR="008D4A86" w:rsidRPr="00123003" w:rsidRDefault="001E4FE8" w:rsidP="00123003">
      <w:pPr>
        <w:spacing w:line="480" w:lineRule="auto"/>
        <w:jc w:val="both"/>
        <w:rPr>
          <w:sz w:val="24"/>
          <w:szCs w:val="24"/>
          <w:lang w:val="en-US"/>
        </w:rPr>
      </w:pPr>
      <w:r w:rsidRPr="00123003">
        <w:rPr>
          <w:sz w:val="24"/>
          <w:szCs w:val="24"/>
          <w:lang w:val="en-US"/>
        </w:rPr>
        <w:t>C</w:t>
      </w:r>
      <w:r w:rsidR="00413530" w:rsidRPr="00123003">
        <w:rPr>
          <w:sz w:val="24"/>
          <w:szCs w:val="24"/>
          <w:lang w:val="en-US"/>
        </w:rPr>
        <w:t>onsistent with the significant</w:t>
      </w:r>
      <w:r w:rsidRPr="00123003">
        <w:rPr>
          <w:sz w:val="24"/>
          <w:szCs w:val="24"/>
          <w:lang w:val="en-US"/>
        </w:rPr>
        <w:t xml:space="preserve"> </w:t>
      </w:r>
      <w:r w:rsidR="004068EB" w:rsidRPr="00123003">
        <w:rPr>
          <w:sz w:val="24"/>
          <w:szCs w:val="24"/>
          <w:lang w:val="en-US"/>
        </w:rPr>
        <w:t xml:space="preserve">compositional </w:t>
      </w:r>
      <w:r w:rsidRPr="00123003">
        <w:rPr>
          <w:sz w:val="24"/>
          <w:szCs w:val="24"/>
          <w:lang w:val="en-US"/>
        </w:rPr>
        <w:t>differences in die</w:t>
      </w:r>
      <w:r w:rsidR="00A55DF2" w:rsidRPr="00123003">
        <w:rPr>
          <w:sz w:val="24"/>
          <w:szCs w:val="24"/>
          <w:lang w:val="en-US"/>
        </w:rPr>
        <w:t>t and fecal microbiota</w:t>
      </w:r>
      <w:r w:rsidRPr="00123003">
        <w:rPr>
          <w:sz w:val="24"/>
          <w:szCs w:val="24"/>
          <w:lang w:val="en-US"/>
        </w:rPr>
        <w:t xml:space="preserve">, we detected </w:t>
      </w:r>
      <w:r w:rsidR="009279C0" w:rsidRPr="00123003">
        <w:rPr>
          <w:sz w:val="24"/>
          <w:szCs w:val="24"/>
          <w:lang w:val="en-US"/>
        </w:rPr>
        <w:t>distinct</w:t>
      </w:r>
      <w:r w:rsidRPr="00123003">
        <w:rPr>
          <w:sz w:val="24"/>
          <w:szCs w:val="24"/>
          <w:lang w:val="en-US"/>
        </w:rPr>
        <w:t xml:space="preserve"> metabolite profiles </w:t>
      </w:r>
      <w:r w:rsidR="00413530" w:rsidRPr="00123003">
        <w:rPr>
          <w:sz w:val="24"/>
          <w:szCs w:val="24"/>
          <w:lang w:val="en-US"/>
        </w:rPr>
        <w:t xml:space="preserve">in </w:t>
      </w:r>
      <w:r w:rsidR="00AB7C4E" w:rsidRPr="00123003">
        <w:rPr>
          <w:sz w:val="24"/>
          <w:szCs w:val="24"/>
          <w:lang w:val="en-US"/>
        </w:rPr>
        <w:t xml:space="preserve">AN and RA </w:t>
      </w:r>
      <w:r w:rsidR="00413530" w:rsidRPr="00123003">
        <w:rPr>
          <w:sz w:val="24"/>
          <w:szCs w:val="24"/>
          <w:lang w:val="en-US"/>
        </w:rPr>
        <w:t xml:space="preserve">feces and urine </w:t>
      </w:r>
      <w:r w:rsidRPr="00123003">
        <w:rPr>
          <w:sz w:val="24"/>
          <w:szCs w:val="24"/>
          <w:lang w:val="en-US"/>
        </w:rPr>
        <w:t xml:space="preserve">using </w:t>
      </w:r>
      <w:r w:rsidRPr="00123003">
        <w:rPr>
          <w:sz w:val="24"/>
          <w:szCs w:val="24"/>
          <w:vertAlign w:val="superscript"/>
          <w:lang w:val="en-US"/>
        </w:rPr>
        <w:t>1</w:t>
      </w:r>
      <w:r w:rsidRPr="00123003">
        <w:rPr>
          <w:sz w:val="24"/>
          <w:szCs w:val="24"/>
          <w:lang w:val="en-US"/>
        </w:rPr>
        <w:t>H</w:t>
      </w:r>
      <w:r w:rsidR="00A01A44" w:rsidRPr="00123003">
        <w:rPr>
          <w:sz w:val="24"/>
          <w:szCs w:val="24"/>
          <w:lang w:val="en-US"/>
        </w:rPr>
        <w:t>-NMR</w:t>
      </w:r>
      <w:r w:rsidR="007509A5" w:rsidRPr="00123003">
        <w:rPr>
          <w:sz w:val="24"/>
          <w:szCs w:val="24"/>
          <w:lang w:val="en-US"/>
        </w:rPr>
        <w:t xml:space="preserve"> </w:t>
      </w:r>
      <w:r w:rsidRPr="00123003">
        <w:rPr>
          <w:sz w:val="24"/>
          <w:szCs w:val="24"/>
          <w:lang w:val="en-US"/>
        </w:rPr>
        <w:t>spectroscopy</w:t>
      </w:r>
      <w:r w:rsidR="007C193D" w:rsidRPr="00123003">
        <w:rPr>
          <w:sz w:val="24"/>
          <w:szCs w:val="24"/>
          <w:lang w:val="en-US"/>
        </w:rPr>
        <w:t xml:space="preserve"> (</w:t>
      </w:r>
      <w:r w:rsidR="007C193D" w:rsidRPr="00123003">
        <w:rPr>
          <w:b/>
          <w:sz w:val="24"/>
          <w:szCs w:val="24"/>
          <w:lang w:val="en-US"/>
        </w:rPr>
        <w:t>Figure</w:t>
      </w:r>
      <w:r w:rsidR="00A01A44" w:rsidRPr="00123003">
        <w:rPr>
          <w:b/>
          <w:sz w:val="24"/>
          <w:szCs w:val="24"/>
          <w:lang w:val="en-US"/>
        </w:rPr>
        <w:t xml:space="preserve"> 2</w:t>
      </w:r>
      <w:r w:rsidR="007C193D" w:rsidRPr="00123003">
        <w:rPr>
          <w:b/>
          <w:sz w:val="24"/>
          <w:szCs w:val="24"/>
          <w:lang w:val="en-US"/>
        </w:rPr>
        <w:t>A</w:t>
      </w:r>
      <w:proofErr w:type="gramStart"/>
      <w:r w:rsidR="00A01A44" w:rsidRPr="00123003">
        <w:rPr>
          <w:b/>
          <w:sz w:val="24"/>
          <w:szCs w:val="24"/>
          <w:lang w:val="en-US"/>
        </w:rPr>
        <w:t>,</w:t>
      </w:r>
      <w:r w:rsidR="007C193D" w:rsidRPr="00123003">
        <w:rPr>
          <w:b/>
          <w:sz w:val="24"/>
          <w:szCs w:val="24"/>
          <w:lang w:val="en-US"/>
        </w:rPr>
        <w:t>B</w:t>
      </w:r>
      <w:proofErr w:type="gramEnd"/>
      <w:r w:rsidR="00A01A44" w:rsidRPr="00123003">
        <w:rPr>
          <w:sz w:val="24"/>
          <w:szCs w:val="24"/>
          <w:lang w:val="en-US"/>
        </w:rPr>
        <w:t>)</w:t>
      </w:r>
      <w:r w:rsidRPr="00123003">
        <w:rPr>
          <w:sz w:val="24"/>
          <w:szCs w:val="24"/>
          <w:lang w:val="en-US"/>
        </w:rPr>
        <w:t>.</w:t>
      </w:r>
      <w:r w:rsidR="00AB7C4E" w:rsidRPr="00123003">
        <w:rPr>
          <w:sz w:val="24"/>
          <w:szCs w:val="24"/>
          <w:lang w:val="en-US"/>
        </w:rPr>
        <w:t xml:space="preserve"> These differences were significant and can be clearly visualized in t</w:t>
      </w:r>
      <w:r w:rsidR="00A01A44" w:rsidRPr="00123003">
        <w:rPr>
          <w:sz w:val="24"/>
          <w:szCs w:val="24"/>
          <w:lang w:val="en-US"/>
        </w:rPr>
        <w:t xml:space="preserve">he scores plots </w:t>
      </w:r>
      <w:r w:rsidR="00AB7C4E" w:rsidRPr="00123003">
        <w:rPr>
          <w:sz w:val="24"/>
          <w:szCs w:val="24"/>
          <w:lang w:val="en-US"/>
        </w:rPr>
        <w:t>and the</w:t>
      </w:r>
      <w:r w:rsidR="00A01A44" w:rsidRPr="00123003">
        <w:rPr>
          <w:sz w:val="24"/>
          <w:szCs w:val="24"/>
          <w:lang w:val="en-US"/>
        </w:rPr>
        <w:t xml:space="preserve"> corresponding kernel density estimates of the predictions</w:t>
      </w:r>
      <w:r w:rsidR="00E16F58" w:rsidRPr="00123003">
        <w:rPr>
          <w:sz w:val="24"/>
          <w:szCs w:val="24"/>
          <w:lang w:val="en-US"/>
        </w:rPr>
        <w:t xml:space="preserve"> </w:t>
      </w:r>
      <w:r w:rsidR="00E16F58" w:rsidRPr="00123003">
        <w:rPr>
          <w:sz w:val="24"/>
          <w:szCs w:val="24"/>
          <w:lang w:val="en-US"/>
        </w:rPr>
        <w:fldChar w:fldCharType="begin"/>
      </w:r>
      <w:r w:rsidR="00836220">
        <w:rPr>
          <w:sz w:val="24"/>
          <w:szCs w:val="24"/>
          <w:lang w:val="en-US"/>
        </w:rPr>
        <w:instrText xml:space="preserve"> ADDIN ZOTERO_ITEM CSL_CITATION {"citationID":"a1opqkevho","properties":{"formattedCitation":"(21)","plainCitation":"(21)","noteIndex":0},"citationItems":[{"id":4017,"uris":["http://zotero.org/users/46719/items/ZN3YLS59"],"uri":["http://zotero.org/users/46719/items/ZN3YLS59"],"itemData":{"id":4017,"type":"article-journal","title":"Optimized Phenotypic Biomarker Discovery and Confounder Elimination via Covariate-Adjusted Projection to Latent Structures from Metabolic Spectroscopy Data","container-title":"Journal of Proteome Research","page":"1586-1595","volume":"17","issue":"4","source":"PubMed","abstract":"Metabolism is altered by genetics, diet, disease status, environment, and many other factors. Modeling either one of these is often done without considering the effects of the other covariates. Attributing differences in metabolic profile to one of these factors needs to be done while controlling for the metabolic influence of the rest. We describe here a data analysis framework and novel confounder-adjustment algorithm for multivariate analysis of metabolic profiling data. Using simulated data, we show that similar numbers of true associations and significantly less false positives are found compared to other commonly used methods. Covariate-adjusted projections to latent structures (CA-PLS) are exemplified here using a large-scale metabolic phenotyping study of two Chinese populations at different risks for cardiovascular disease. Using CA-PLS, we find that some previously reported differences are actually associated with external factors and discover a number of previously unreported biomarkers linked to different metabolic pathways. CA-PLS can be applied to any multivariate data where confounding may be an issue and the confounder-adjustment procedure is translatable to other multivariate regression techniques.","DOI":"10.1021/acs.jproteome.7b00879","ISSN":"1535-3907","note":"PMID: 29457906\nPMCID: PMC5891819","journalAbbreviation":"J. Proteome Res.","language":"eng","author":[{"family":"Posma","given":"Joram M."},{"family":"Garcia-Perez","given":"Isabel"},{"family":"Ebbels","given":"Timothy M. D."},{"family":"Lindon","given":"John C."},{"family":"Stamler","given":"Jeremiah"},{"family":"Elliott","given":"Paul"},{"family":"Holmes","given":"Elaine"},{"family":"Nicholson","given":"Jeremy K."}],"issued":{"date-parts":[["2018",4,6]]}}}],"schema":"https://github.com/citation-style-language/schema/raw/master/csl-citation.json"} </w:instrText>
      </w:r>
      <w:r w:rsidR="00E16F58" w:rsidRPr="00123003">
        <w:rPr>
          <w:sz w:val="24"/>
          <w:szCs w:val="24"/>
          <w:lang w:val="en-US"/>
        </w:rPr>
        <w:fldChar w:fldCharType="separate"/>
      </w:r>
      <w:r w:rsidR="00836220" w:rsidRPr="00836220">
        <w:rPr>
          <w:rFonts w:ascii="Calibri" w:hAnsi="Calibri" w:cs="Calibri"/>
          <w:sz w:val="24"/>
          <w:lang w:val="en-US"/>
        </w:rPr>
        <w:t>(21)</w:t>
      </w:r>
      <w:r w:rsidR="00E16F58" w:rsidRPr="00123003">
        <w:rPr>
          <w:sz w:val="24"/>
          <w:szCs w:val="24"/>
          <w:lang w:val="en-US"/>
        </w:rPr>
        <w:fldChar w:fldCharType="end"/>
      </w:r>
      <w:r w:rsidR="00E16F58" w:rsidRPr="00123003">
        <w:rPr>
          <w:sz w:val="24"/>
          <w:szCs w:val="24"/>
          <w:lang w:val="en-US"/>
        </w:rPr>
        <w:t xml:space="preserve"> </w:t>
      </w:r>
      <w:r w:rsidR="007C193D" w:rsidRPr="00123003">
        <w:rPr>
          <w:sz w:val="24"/>
          <w:szCs w:val="24"/>
          <w:lang w:val="en-US"/>
        </w:rPr>
        <w:t>(</w:t>
      </w:r>
      <w:r w:rsidR="007C193D" w:rsidRPr="00123003">
        <w:rPr>
          <w:b/>
          <w:sz w:val="24"/>
          <w:szCs w:val="24"/>
          <w:lang w:val="en-US"/>
        </w:rPr>
        <w:t>Figure</w:t>
      </w:r>
      <w:r w:rsidR="00A01A44" w:rsidRPr="00123003">
        <w:rPr>
          <w:b/>
          <w:sz w:val="24"/>
          <w:szCs w:val="24"/>
          <w:lang w:val="en-US"/>
        </w:rPr>
        <w:t xml:space="preserve"> 2</w:t>
      </w:r>
      <w:r w:rsidR="007C193D" w:rsidRPr="00123003">
        <w:rPr>
          <w:b/>
          <w:sz w:val="24"/>
          <w:szCs w:val="24"/>
          <w:lang w:val="en-US"/>
        </w:rPr>
        <w:t>C</w:t>
      </w:r>
      <w:r w:rsidR="00A01A44" w:rsidRPr="00123003">
        <w:rPr>
          <w:b/>
          <w:sz w:val="24"/>
          <w:szCs w:val="24"/>
          <w:lang w:val="en-US"/>
        </w:rPr>
        <w:t>,</w:t>
      </w:r>
      <w:r w:rsidR="007C193D" w:rsidRPr="00123003">
        <w:rPr>
          <w:b/>
          <w:sz w:val="24"/>
          <w:szCs w:val="24"/>
          <w:lang w:val="en-US"/>
        </w:rPr>
        <w:t>D</w:t>
      </w:r>
      <w:r w:rsidR="00A01A44" w:rsidRPr="00123003">
        <w:rPr>
          <w:sz w:val="24"/>
          <w:szCs w:val="24"/>
          <w:lang w:val="en-US"/>
        </w:rPr>
        <w:t>)</w:t>
      </w:r>
      <w:r w:rsidR="00AB7C4E" w:rsidRPr="00123003">
        <w:rPr>
          <w:sz w:val="24"/>
          <w:szCs w:val="24"/>
          <w:lang w:val="en-US"/>
        </w:rPr>
        <w:t>,</w:t>
      </w:r>
      <w:r w:rsidR="00A01A44" w:rsidRPr="00123003">
        <w:rPr>
          <w:sz w:val="24"/>
          <w:szCs w:val="24"/>
          <w:lang w:val="en-US"/>
        </w:rPr>
        <w:t xml:space="preserve"> </w:t>
      </w:r>
      <w:r w:rsidR="00AB7C4E" w:rsidRPr="00123003">
        <w:rPr>
          <w:sz w:val="24"/>
          <w:szCs w:val="24"/>
          <w:lang w:val="en-US"/>
        </w:rPr>
        <w:t xml:space="preserve">which </w:t>
      </w:r>
      <w:r w:rsidR="00A01A44" w:rsidRPr="00123003">
        <w:rPr>
          <w:sz w:val="24"/>
          <w:szCs w:val="24"/>
          <w:lang w:val="en-US"/>
        </w:rPr>
        <w:t>show</w:t>
      </w:r>
      <w:r w:rsidR="00AB7C4E" w:rsidRPr="00123003">
        <w:rPr>
          <w:sz w:val="24"/>
          <w:szCs w:val="24"/>
          <w:lang w:val="en-US"/>
        </w:rPr>
        <w:t>ed</w:t>
      </w:r>
      <w:r w:rsidR="00A01A44" w:rsidRPr="00123003">
        <w:rPr>
          <w:sz w:val="24"/>
          <w:szCs w:val="24"/>
          <w:lang w:val="en-US"/>
        </w:rPr>
        <w:t xml:space="preserve"> </w:t>
      </w:r>
      <w:r w:rsidR="00AB7C4E" w:rsidRPr="00123003">
        <w:rPr>
          <w:sz w:val="24"/>
          <w:szCs w:val="24"/>
          <w:lang w:val="en-US"/>
        </w:rPr>
        <w:t>a distinct</w:t>
      </w:r>
      <w:r w:rsidR="00A01A44" w:rsidRPr="00123003">
        <w:rPr>
          <w:sz w:val="24"/>
          <w:szCs w:val="24"/>
          <w:lang w:val="en-US"/>
        </w:rPr>
        <w:t xml:space="preserve"> separation</w:t>
      </w:r>
      <w:r w:rsidR="00AB7C4E" w:rsidRPr="00123003">
        <w:rPr>
          <w:sz w:val="24"/>
          <w:szCs w:val="24"/>
          <w:lang w:val="en-US"/>
        </w:rPr>
        <w:t xml:space="preserve"> between AN and RA</w:t>
      </w:r>
      <w:r w:rsidR="00A01A44" w:rsidRPr="00123003">
        <w:rPr>
          <w:sz w:val="24"/>
          <w:szCs w:val="24"/>
          <w:lang w:val="en-US"/>
        </w:rPr>
        <w:t xml:space="preserve"> </w:t>
      </w:r>
      <w:r w:rsidR="00AB7C4E" w:rsidRPr="00123003">
        <w:rPr>
          <w:sz w:val="24"/>
          <w:szCs w:val="24"/>
          <w:lang w:val="en-US"/>
        </w:rPr>
        <w:t>samples in</w:t>
      </w:r>
      <w:r w:rsidR="00A01A44" w:rsidRPr="00123003">
        <w:rPr>
          <w:sz w:val="24"/>
          <w:szCs w:val="24"/>
          <w:lang w:val="en-US"/>
        </w:rPr>
        <w:t xml:space="preserve"> fecal and urinary metabolic profile</w:t>
      </w:r>
      <w:r w:rsidR="00AB7C4E" w:rsidRPr="00123003">
        <w:rPr>
          <w:sz w:val="24"/>
          <w:szCs w:val="24"/>
          <w:lang w:val="en-US"/>
        </w:rPr>
        <w:t>s (Q</w:t>
      </w:r>
      <w:r w:rsidR="00AB7C4E" w:rsidRPr="00123003">
        <w:rPr>
          <w:sz w:val="24"/>
          <w:szCs w:val="24"/>
          <w:vertAlign w:val="superscript"/>
          <w:lang w:val="en-US"/>
        </w:rPr>
        <w:t>2</w:t>
      </w:r>
      <w:r w:rsidR="00AB7C4E" w:rsidRPr="00123003">
        <w:rPr>
          <w:sz w:val="24"/>
          <w:szCs w:val="24"/>
          <w:vertAlign w:val="subscript"/>
          <w:lang w:val="en-US"/>
        </w:rPr>
        <w:t>Y</w:t>
      </w:r>
      <w:r w:rsidR="00AB7C4E" w:rsidRPr="00123003">
        <w:rPr>
          <w:sz w:val="24"/>
          <w:szCs w:val="24"/>
          <w:lang w:val="en-US"/>
        </w:rPr>
        <w:t>=0.65 and 0.56, respectively)</w:t>
      </w:r>
      <w:r w:rsidR="00A01A44" w:rsidRPr="00123003">
        <w:rPr>
          <w:sz w:val="24"/>
          <w:szCs w:val="24"/>
          <w:lang w:val="en-US"/>
        </w:rPr>
        <w:t xml:space="preserve">. </w:t>
      </w:r>
      <w:r w:rsidR="00D472EA" w:rsidRPr="00123003">
        <w:rPr>
          <w:sz w:val="24"/>
          <w:szCs w:val="24"/>
          <w:lang w:val="en-US"/>
        </w:rPr>
        <w:t xml:space="preserve">The only colonic metabolites present in greater quantities in </w:t>
      </w:r>
      <w:proofErr w:type="gramStart"/>
      <w:r w:rsidR="00D472EA" w:rsidRPr="00123003">
        <w:rPr>
          <w:sz w:val="24"/>
          <w:szCs w:val="24"/>
          <w:lang w:val="en-US"/>
        </w:rPr>
        <w:t>AN</w:t>
      </w:r>
      <w:proofErr w:type="gramEnd"/>
      <w:r w:rsidR="00D472EA" w:rsidRPr="00123003">
        <w:rPr>
          <w:sz w:val="24"/>
          <w:szCs w:val="24"/>
          <w:lang w:val="en-US"/>
        </w:rPr>
        <w:t xml:space="preserve"> participants were </w:t>
      </w:r>
      <w:r w:rsidR="0041325C" w:rsidRPr="00123003">
        <w:rPr>
          <w:sz w:val="24"/>
          <w:szCs w:val="24"/>
          <w:lang w:val="en-US"/>
        </w:rPr>
        <w:t>choline</w:t>
      </w:r>
      <w:r w:rsidR="0006748B" w:rsidRPr="00123003">
        <w:rPr>
          <w:sz w:val="24"/>
          <w:szCs w:val="24"/>
          <w:lang w:val="en-US"/>
        </w:rPr>
        <w:t xml:space="preserve"> </w:t>
      </w:r>
      <w:r w:rsidR="00094505" w:rsidRPr="00123003">
        <w:rPr>
          <w:sz w:val="24"/>
          <w:szCs w:val="24"/>
          <w:lang w:val="en-US"/>
        </w:rPr>
        <w:t>a</w:t>
      </w:r>
      <w:r w:rsidR="0041325C" w:rsidRPr="00123003">
        <w:rPr>
          <w:sz w:val="24"/>
          <w:szCs w:val="24"/>
          <w:lang w:val="en-US"/>
        </w:rPr>
        <w:t xml:space="preserve">nd formate (Table </w:t>
      </w:r>
      <w:r w:rsidR="00B31B9A" w:rsidRPr="00123003">
        <w:rPr>
          <w:sz w:val="24"/>
          <w:szCs w:val="24"/>
          <w:lang w:val="en-US"/>
        </w:rPr>
        <w:t>3</w:t>
      </w:r>
      <w:r w:rsidR="0041325C" w:rsidRPr="00123003">
        <w:rPr>
          <w:sz w:val="24"/>
          <w:szCs w:val="24"/>
          <w:lang w:val="en-US"/>
        </w:rPr>
        <w:t>)</w:t>
      </w:r>
      <w:r w:rsidR="00A9324A" w:rsidRPr="00123003">
        <w:rPr>
          <w:sz w:val="24"/>
          <w:szCs w:val="24"/>
          <w:lang w:val="en-US"/>
        </w:rPr>
        <w:t xml:space="preserve">. </w:t>
      </w:r>
      <w:r w:rsidR="003E3EA7" w:rsidRPr="00123003">
        <w:rPr>
          <w:sz w:val="24"/>
          <w:szCs w:val="24"/>
          <w:lang w:val="en-US"/>
        </w:rPr>
        <w:t xml:space="preserve">In </w:t>
      </w:r>
      <w:r w:rsidR="00AB7C4E" w:rsidRPr="00123003">
        <w:rPr>
          <w:sz w:val="24"/>
          <w:szCs w:val="24"/>
          <w:lang w:val="en-US"/>
        </w:rPr>
        <w:t xml:space="preserve">the </w:t>
      </w:r>
      <w:r w:rsidR="00660875" w:rsidRPr="00123003">
        <w:rPr>
          <w:sz w:val="24"/>
          <w:szCs w:val="24"/>
          <w:lang w:val="en-US"/>
        </w:rPr>
        <w:t xml:space="preserve">RA </w:t>
      </w:r>
      <w:r w:rsidR="00AB7C4E" w:rsidRPr="00123003">
        <w:rPr>
          <w:sz w:val="24"/>
          <w:szCs w:val="24"/>
          <w:lang w:val="en-US"/>
        </w:rPr>
        <w:t>fecal samples</w:t>
      </w:r>
      <w:r w:rsidR="003E3EA7" w:rsidRPr="00123003">
        <w:rPr>
          <w:sz w:val="24"/>
          <w:szCs w:val="24"/>
          <w:lang w:val="en-US"/>
        </w:rPr>
        <w:t xml:space="preserve">, we detected significantly higher </w:t>
      </w:r>
      <w:r w:rsidR="00BC35B6" w:rsidRPr="00123003">
        <w:rPr>
          <w:sz w:val="24"/>
          <w:szCs w:val="24"/>
          <w:lang w:val="en-US"/>
        </w:rPr>
        <w:t>relative concentrations</w:t>
      </w:r>
      <w:r w:rsidR="003E3EA7" w:rsidRPr="00123003">
        <w:rPr>
          <w:sz w:val="24"/>
          <w:szCs w:val="24"/>
          <w:lang w:val="en-US"/>
        </w:rPr>
        <w:t xml:space="preserve"> of </w:t>
      </w:r>
      <w:r w:rsidR="00A77862" w:rsidRPr="00123003">
        <w:rPr>
          <w:sz w:val="24"/>
          <w:szCs w:val="24"/>
          <w:lang w:val="en-US"/>
        </w:rPr>
        <w:t xml:space="preserve">amino acids, purine and pyrimidine derivatives </w:t>
      </w:r>
      <w:r w:rsidR="007509A5" w:rsidRPr="00123003">
        <w:rPr>
          <w:sz w:val="24"/>
          <w:szCs w:val="24"/>
          <w:lang w:val="en-US"/>
        </w:rPr>
        <w:t xml:space="preserve">and </w:t>
      </w:r>
      <w:r w:rsidR="00881F52" w:rsidRPr="00123003">
        <w:rPr>
          <w:sz w:val="24"/>
          <w:szCs w:val="24"/>
          <w:lang w:val="en-US"/>
        </w:rPr>
        <w:t>SCFA</w:t>
      </w:r>
      <w:r w:rsidR="00E05E6B" w:rsidRPr="00123003">
        <w:rPr>
          <w:sz w:val="24"/>
          <w:szCs w:val="24"/>
          <w:lang w:val="en-US"/>
        </w:rPr>
        <w:t xml:space="preserve"> </w:t>
      </w:r>
      <w:r w:rsidR="00B31B9A" w:rsidRPr="00123003">
        <w:rPr>
          <w:sz w:val="24"/>
          <w:szCs w:val="24"/>
          <w:lang w:val="en-US"/>
        </w:rPr>
        <w:t>(Table 3)</w:t>
      </w:r>
      <w:r w:rsidR="007071B6">
        <w:rPr>
          <w:sz w:val="24"/>
          <w:szCs w:val="24"/>
          <w:lang w:val="en-US"/>
        </w:rPr>
        <w:t>,</w:t>
      </w:r>
      <w:r w:rsidR="006E52D8" w:rsidRPr="00123003">
        <w:rPr>
          <w:sz w:val="24"/>
          <w:szCs w:val="24"/>
          <w:lang w:val="en-US"/>
        </w:rPr>
        <w:t xml:space="preserve"> </w:t>
      </w:r>
      <w:r w:rsidR="003969AD" w:rsidRPr="00123003">
        <w:rPr>
          <w:sz w:val="24"/>
          <w:szCs w:val="24"/>
          <w:lang w:val="en-US"/>
        </w:rPr>
        <w:t>indicat</w:t>
      </w:r>
      <w:r w:rsidR="007071B6">
        <w:rPr>
          <w:sz w:val="24"/>
          <w:szCs w:val="24"/>
          <w:lang w:val="en-US"/>
        </w:rPr>
        <w:t>ing</w:t>
      </w:r>
      <w:r w:rsidR="00881F52" w:rsidRPr="00123003">
        <w:rPr>
          <w:sz w:val="24"/>
          <w:szCs w:val="24"/>
          <w:lang w:val="en-US"/>
        </w:rPr>
        <w:t xml:space="preserve"> a </w:t>
      </w:r>
      <w:r w:rsidR="000E3477">
        <w:rPr>
          <w:sz w:val="24"/>
          <w:szCs w:val="24"/>
          <w:lang w:val="en-US"/>
        </w:rPr>
        <w:t xml:space="preserve">high </w:t>
      </w:r>
      <w:r w:rsidR="009A3375" w:rsidRPr="00123003">
        <w:rPr>
          <w:sz w:val="24"/>
          <w:szCs w:val="24"/>
          <w:lang w:val="en-US"/>
        </w:rPr>
        <w:t xml:space="preserve">functional </w:t>
      </w:r>
      <w:r w:rsidR="00881F52" w:rsidRPr="00123003">
        <w:rPr>
          <w:sz w:val="24"/>
          <w:szCs w:val="24"/>
          <w:lang w:val="en-US"/>
        </w:rPr>
        <w:t>div</w:t>
      </w:r>
      <w:r w:rsidR="009A3375" w:rsidRPr="00123003">
        <w:rPr>
          <w:sz w:val="24"/>
          <w:szCs w:val="24"/>
          <w:lang w:val="en-US"/>
        </w:rPr>
        <w:t xml:space="preserve">ersity </w:t>
      </w:r>
      <w:r w:rsidR="00BC35B6" w:rsidRPr="00123003">
        <w:rPr>
          <w:sz w:val="24"/>
          <w:szCs w:val="24"/>
          <w:lang w:val="en-US"/>
        </w:rPr>
        <w:t>of</w:t>
      </w:r>
      <w:r w:rsidR="009A3375" w:rsidRPr="00123003">
        <w:rPr>
          <w:sz w:val="24"/>
          <w:szCs w:val="24"/>
          <w:lang w:val="en-US"/>
        </w:rPr>
        <w:t xml:space="preserve"> the</w:t>
      </w:r>
      <w:r w:rsidR="00881F52" w:rsidRPr="00123003">
        <w:rPr>
          <w:sz w:val="24"/>
          <w:szCs w:val="24"/>
          <w:lang w:val="en-US"/>
        </w:rPr>
        <w:t xml:space="preserve"> gut microbiota </w:t>
      </w:r>
      <w:r w:rsidR="003969AD" w:rsidRPr="00123003">
        <w:rPr>
          <w:sz w:val="24"/>
          <w:szCs w:val="24"/>
          <w:lang w:val="en-US"/>
        </w:rPr>
        <w:fldChar w:fldCharType="begin"/>
      </w:r>
      <w:r w:rsidR="00F61B70">
        <w:rPr>
          <w:sz w:val="24"/>
          <w:szCs w:val="24"/>
          <w:lang w:val="en-US"/>
        </w:rPr>
        <w:instrText xml:space="preserve"> ADDIN ZOTERO_ITEM CSL_CITATION {"citationID":"a2kha0cm4nn","properties":{"formattedCitation":"(24)","plainCitation":"(24)","noteIndex":0},"citationItems":[{"id":4169,"uris":["http://zotero.org/users/46719/items/7LBF7NFG"],"uri":["http://zotero.org/users/46719/items/7LBF7NFG"],"itemData":{"id":4169,"type":"article-journal","title":"Metabonomic and microbiological analysis of the dynamic effect of vancomycin-induced gut microbiota modification in the mouse","container-title":"Journal of Proteome Research","page":"3718-3728","volume":"7","issue":"9","source":"PubMed","abstract":"The effects of the antibiotic vancomycin (2 x 100 mg/kg/day) on the gut microbiota of female mice (outbred NMRI strain) were studied, in order to assess the relative contribution of the gut microbiome to host metabolism. The host's metabolic phenotype was characterized using (1)H NMR spectroscopy of urine and fecal extract samples. Time-course changes in the gut microbiotal community after administration of vancomycin were monitored using 16S rRNA gene PCR and denaturing gradient gel electrophoresis (PCR-DGGE) analysis and showed a strong effect on several species, mostly within the Firmicutes. Vancomycin treatment was associated with fecal excretion of uracil, amino acids and short chain fatty acids (SCFAs), highlighting the contribution of the gut microbiota to the production and metabolism of these dietary compounds. Clear differences in gut microbial communities between control and antibiotic-treated mice were observed in the current study. Reduced urinary excretion of gut microbial co-metabolites phenylacetylglycine and hippurate was also observed. Regression of urinary hippurate and phenylacetylglycine concentrations against the fecal metabolite profile showed a strong association between these urinary metabolites and a wide range of fecal metabolites, including amino acids and SCFAs. Fecal choline was inversely correlated with urinary hippurate. Metabolic profiling, coupled with the metagenomic study of this antibiotic model, illustrates the close inter-relationship between the host and microbial \"metabotypes\", and will provide a basis for further experiments probing the understanding of the microbial-mammalian metabolic axis.","DOI":"10.1021/pr700864x","ISSN":"1535-3893","note":"PMID: 18698804","journalAbbreviation":"J. Proteome Res.","language":"eng","author":[{"family":"Yap","given":"Ivan K. S."},{"family":"Li","given":"Jia V."},{"family":"Saric","given":"Jasmina"},{"family":"Martin","given":"Francois-Pierre"},{"family":"Davies","given":"Huw"},{"family":"Wang","given":"Yulan"},{"family":"Wilson","given":"Ian D."},{"family":"Nicholson","given":"Jeremy K."},{"family":"Utzinger","given":"Jürg"},{"family":"Marchesi","given":"Julian R."},{"family":"Holmes","given":"Elaine"}],"issued":{"date-parts":[["2008",9]]}}}],"schema":"https://github.com/citation-style-language/schema/raw/master/csl-citation.json"} </w:instrText>
      </w:r>
      <w:r w:rsidR="003969AD" w:rsidRPr="00123003">
        <w:rPr>
          <w:sz w:val="24"/>
          <w:szCs w:val="24"/>
          <w:lang w:val="en-US"/>
        </w:rPr>
        <w:fldChar w:fldCharType="separate"/>
      </w:r>
      <w:r w:rsidR="00F61B70" w:rsidRPr="00F61B70">
        <w:rPr>
          <w:rFonts w:ascii="Calibri" w:hAnsi="Calibri" w:cs="Calibri"/>
          <w:sz w:val="24"/>
          <w:lang w:val="en-US"/>
        </w:rPr>
        <w:t>(24)</w:t>
      </w:r>
      <w:r w:rsidR="003969AD" w:rsidRPr="00123003">
        <w:rPr>
          <w:sz w:val="24"/>
          <w:szCs w:val="24"/>
          <w:lang w:val="en-US"/>
        </w:rPr>
        <w:fldChar w:fldCharType="end"/>
      </w:r>
      <w:r w:rsidR="00547411" w:rsidRPr="00123003">
        <w:rPr>
          <w:sz w:val="24"/>
          <w:szCs w:val="24"/>
          <w:lang w:val="en-US"/>
        </w:rPr>
        <w:t xml:space="preserve">. </w:t>
      </w:r>
      <w:r w:rsidR="00C52338" w:rsidRPr="00123003">
        <w:rPr>
          <w:sz w:val="24"/>
          <w:szCs w:val="24"/>
          <w:lang w:val="en-US"/>
        </w:rPr>
        <w:t xml:space="preserve">With regard to urinary metabolites, </w:t>
      </w:r>
      <w:r w:rsidR="00172F9B" w:rsidRPr="00123003">
        <w:rPr>
          <w:sz w:val="24"/>
          <w:szCs w:val="24"/>
          <w:lang w:val="en-US"/>
        </w:rPr>
        <w:t>bile acid</w:t>
      </w:r>
      <w:r w:rsidR="00547411" w:rsidRPr="00123003">
        <w:rPr>
          <w:sz w:val="24"/>
          <w:szCs w:val="24"/>
          <w:lang w:val="en-US"/>
        </w:rPr>
        <w:t>s</w:t>
      </w:r>
      <w:r w:rsidR="003969AD" w:rsidRPr="00123003">
        <w:rPr>
          <w:sz w:val="24"/>
          <w:szCs w:val="24"/>
          <w:lang w:val="en-US"/>
        </w:rPr>
        <w:t xml:space="preserve"> and </w:t>
      </w:r>
      <w:r w:rsidR="002C3D2B" w:rsidRPr="00123003">
        <w:rPr>
          <w:sz w:val="24"/>
          <w:szCs w:val="24"/>
          <w:lang w:val="en-US" w:eastAsia="de-DE"/>
        </w:rPr>
        <w:t>compounds</w:t>
      </w:r>
      <w:r w:rsidR="00172F9B" w:rsidRPr="00123003">
        <w:rPr>
          <w:sz w:val="24"/>
          <w:szCs w:val="24"/>
          <w:lang w:val="en-US" w:eastAsia="de-DE"/>
        </w:rPr>
        <w:t xml:space="preserve"> involved in nicotinamid</w:t>
      </w:r>
      <w:r w:rsidR="00D91227" w:rsidRPr="00123003">
        <w:rPr>
          <w:sz w:val="24"/>
          <w:szCs w:val="24"/>
          <w:lang w:val="en-US" w:eastAsia="de-DE"/>
        </w:rPr>
        <w:t>e/niacin</w:t>
      </w:r>
      <w:r w:rsidR="002C3D2B" w:rsidRPr="00123003">
        <w:rPr>
          <w:sz w:val="24"/>
          <w:szCs w:val="24"/>
          <w:lang w:val="en-US" w:eastAsia="de-DE"/>
        </w:rPr>
        <w:t xml:space="preserve"> metabolism</w:t>
      </w:r>
      <w:r w:rsidR="00B1409C" w:rsidRPr="00123003">
        <w:rPr>
          <w:sz w:val="24"/>
          <w:szCs w:val="24"/>
          <w:lang w:val="en-US"/>
        </w:rPr>
        <w:t xml:space="preserve"> </w:t>
      </w:r>
      <w:r w:rsidR="008E7D77" w:rsidRPr="00123003">
        <w:rPr>
          <w:sz w:val="24"/>
          <w:szCs w:val="24"/>
          <w:lang w:val="en-US"/>
        </w:rPr>
        <w:t xml:space="preserve">were detected in significantly </w:t>
      </w:r>
      <w:r w:rsidR="009A3375" w:rsidRPr="00123003">
        <w:rPr>
          <w:sz w:val="24"/>
          <w:szCs w:val="24"/>
          <w:lang w:val="en-US"/>
        </w:rPr>
        <w:t>greater</w:t>
      </w:r>
      <w:r w:rsidR="008E7D77" w:rsidRPr="00123003">
        <w:rPr>
          <w:sz w:val="24"/>
          <w:szCs w:val="24"/>
          <w:lang w:val="en-US"/>
        </w:rPr>
        <w:t xml:space="preserve"> amounts </w:t>
      </w:r>
      <w:r w:rsidR="00C52338" w:rsidRPr="00123003">
        <w:rPr>
          <w:sz w:val="24"/>
          <w:szCs w:val="24"/>
          <w:lang w:val="en-US"/>
        </w:rPr>
        <w:t>in</w:t>
      </w:r>
      <w:r w:rsidR="008E7D77" w:rsidRPr="00123003">
        <w:rPr>
          <w:sz w:val="24"/>
          <w:szCs w:val="24"/>
          <w:lang w:val="en-US"/>
        </w:rPr>
        <w:t xml:space="preserve"> AN </w:t>
      </w:r>
      <w:r w:rsidR="009A3375" w:rsidRPr="00123003">
        <w:rPr>
          <w:sz w:val="24"/>
          <w:szCs w:val="24"/>
          <w:lang w:val="en-US"/>
        </w:rPr>
        <w:t>samples</w:t>
      </w:r>
      <w:r w:rsidR="00441E6C" w:rsidRPr="00123003">
        <w:rPr>
          <w:sz w:val="24"/>
          <w:szCs w:val="24"/>
          <w:lang w:val="en-US"/>
        </w:rPr>
        <w:t xml:space="preserve"> (Table </w:t>
      </w:r>
      <w:r w:rsidR="00B31B9A" w:rsidRPr="00123003">
        <w:rPr>
          <w:sz w:val="24"/>
          <w:szCs w:val="24"/>
          <w:lang w:val="en-US"/>
        </w:rPr>
        <w:t>3</w:t>
      </w:r>
      <w:r w:rsidR="00441E6C" w:rsidRPr="00123003">
        <w:rPr>
          <w:sz w:val="24"/>
          <w:szCs w:val="24"/>
          <w:lang w:val="en-US"/>
        </w:rPr>
        <w:t>)</w:t>
      </w:r>
      <w:r w:rsidR="002C3D2B" w:rsidRPr="00123003">
        <w:rPr>
          <w:sz w:val="24"/>
          <w:szCs w:val="24"/>
          <w:lang w:val="en-US"/>
        </w:rPr>
        <w:t>,</w:t>
      </w:r>
      <w:r w:rsidR="00DF475E" w:rsidRPr="00123003">
        <w:rPr>
          <w:sz w:val="24"/>
          <w:szCs w:val="24"/>
          <w:lang w:val="en-US"/>
        </w:rPr>
        <w:t xml:space="preserve"> </w:t>
      </w:r>
      <w:r w:rsidR="00317474" w:rsidRPr="00123003">
        <w:rPr>
          <w:sz w:val="24"/>
          <w:szCs w:val="24"/>
          <w:lang w:val="en-US"/>
        </w:rPr>
        <w:t>likely</w:t>
      </w:r>
      <w:r w:rsidR="00C721A0" w:rsidRPr="00123003">
        <w:rPr>
          <w:sz w:val="24"/>
          <w:szCs w:val="24"/>
          <w:lang w:val="en-US"/>
        </w:rPr>
        <w:t xml:space="preserve"> indicating</w:t>
      </w:r>
      <w:r w:rsidR="00DF475E" w:rsidRPr="00123003">
        <w:rPr>
          <w:sz w:val="24"/>
          <w:szCs w:val="24"/>
          <w:lang w:val="en-US"/>
        </w:rPr>
        <w:t xml:space="preserve"> a diet </w:t>
      </w:r>
      <w:r w:rsidR="00C721A0" w:rsidRPr="00123003">
        <w:rPr>
          <w:sz w:val="24"/>
          <w:szCs w:val="24"/>
          <w:lang w:val="en-US"/>
        </w:rPr>
        <w:t>r</w:t>
      </w:r>
      <w:r w:rsidR="00A53BF7" w:rsidRPr="00123003">
        <w:rPr>
          <w:sz w:val="24"/>
          <w:szCs w:val="24"/>
          <w:lang w:val="en-US"/>
        </w:rPr>
        <w:t>ich</w:t>
      </w:r>
      <w:r w:rsidR="00DF475E" w:rsidRPr="00123003">
        <w:rPr>
          <w:sz w:val="24"/>
          <w:szCs w:val="24"/>
          <w:lang w:val="en-US"/>
        </w:rPr>
        <w:t xml:space="preserve"> in </w:t>
      </w:r>
      <w:r w:rsidR="00C721A0" w:rsidRPr="00123003">
        <w:rPr>
          <w:sz w:val="24"/>
          <w:szCs w:val="24"/>
          <w:lang w:val="en-US"/>
        </w:rPr>
        <w:t>f</w:t>
      </w:r>
      <w:r w:rsidR="002C3D2B" w:rsidRPr="00123003">
        <w:rPr>
          <w:sz w:val="24"/>
          <w:szCs w:val="24"/>
          <w:lang w:val="en-US"/>
        </w:rPr>
        <w:t xml:space="preserve">at and </w:t>
      </w:r>
      <w:r w:rsidR="00A53BF7" w:rsidRPr="00123003">
        <w:rPr>
          <w:sz w:val="24"/>
          <w:szCs w:val="24"/>
          <w:lang w:val="en-US"/>
        </w:rPr>
        <w:t>meat</w:t>
      </w:r>
      <w:r w:rsidR="003742B2" w:rsidRPr="00123003">
        <w:rPr>
          <w:sz w:val="24"/>
          <w:szCs w:val="24"/>
          <w:lang w:val="en-US"/>
        </w:rPr>
        <w:t xml:space="preserve"> or </w:t>
      </w:r>
      <w:r w:rsidR="002C3D2B" w:rsidRPr="00123003">
        <w:rPr>
          <w:sz w:val="24"/>
          <w:szCs w:val="24"/>
          <w:lang w:val="en-US"/>
        </w:rPr>
        <w:t>fish</w:t>
      </w:r>
      <w:r w:rsidR="008C56D7" w:rsidRPr="00123003">
        <w:rPr>
          <w:sz w:val="24"/>
          <w:szCs w:val="24"/>
          <w:lang w:val="en-US"/>
        </w:rPr>
        <w:t xml:space="preserve">. </w:t>
      </w:r>
      <w:r w:rsidR="002C3D2B" w:rsidRPr="00123003">
        <w:rPr>
          <w:sz w:val="24"/>
          <w:szCs w:val="24"/>
          <w:lang w:val="en-US"/>
        </w:rPr>
        <w:t xml:space="preserve">AN </w:t>
      </w:r>
      <w:r w:rsidR="009A3375" w:rsidRPr="00123003">
        <w:rPr>
          <w:sz w:val="24"/>
          <w:szCs w:val="24"/>
          <w:lang w:val="en-US"/>
        </w:rPr>
        <w:t>urine samples</w:t>
      </w:r>
      <w:r w:rsidR="002C3D2B" w:rsidRPr="00123003">
        <w:rPr>
          <w:sz w:val="24"/>
          <w:szCs w:val="24"/>
          <w:lang w:val="en-US"/>
        </w:rPr>
        <w:t xml:space="preserve"> </w:t>
      </w:r>
      <w:r w:rsidR="009A3375" w:rsidRPr="00123003">
        <w:rPr>
          <w:sz w:val="24"/>
          <w:szCs w:val="24"/>
          <w:lang w:val="en-US"/>
        </w:rPr>
        <w:t>contained</w:t>
      </w:r>
      <w:r w:rsidR="002C3D2B" w:rsidRPr="00123003">
        <w:rPr>
          <w:sz w:val="24"/>
          <w:szCs w:val="24"/>
          <w:lang w:val="en-US"/>
        </w:rPr>
        <w:t xml:space="preserve"> higher levels of </w:t>
      </w:r>
      <w:r w:rsidR="005F0CD0" w:rsidRPr="00123003">
        <w:rPr>
          <w:sz w:val="24"/>
          <w:szCs w:val="24"/>
          <w:lang w:val="en-US" w:eastAsia="de-DE"/>
        </w:rPr>
        <w:t xml:space="preserve">2-furoylglycine, </w:t>
      </w:r>
      <w:r w:rsidR="005F0CD0" w:rsidRPr="00123003">
        <w:rPr>
          <w:i/>
          <w:iCs/>
          <w:sz w:val="24"/>
          <w:szCs w:val="24"/>
          <w:lang w:val="en-US" w:eastAsia="de-DE"/>
        </w:rPr>
        <w:t>N</w:t>
      </w:r>
      <w:r w:rsidR="005F0CD0" w:rsidRPr="00123003">
        <w:rPr>
          <w:sz w:val="24"/>
          <w:szCs w:val="24"/>
          <w:lang w:val="en-US" w:eastAsia="de-DE"/>
        </w:rPr>
        <w:t>-</w:t>
      </w:r>
      <w:proofErr w:type="spellStart"/>
      <w:r w:rsidR="005F0CD0" w:rsidRPr="00123003">
        <w:rPr>
          <w:sz w:val="24"/>
          <w:szCs w:val="24"/>
          <w:lang w:val="en-US" w:eastAsia="de-DE"/>
        </w:rPr>
        <w:t>methylpyridinium</w:t>
      </w:r>
      <w:proofErr w:type="spellEnd"/>
      <w:r w:rsidR="005F0CD0" w:rsidRPr="00123003">
        <w:rPr>
          <w:sz w:val="24"/>
          <w:szCs w:val="24"/>
          <w:lang w:val="en-US"/>
        </w:rPr>
        <w:t xml:space="preserve">, both </w:t>
      </w:r>
      <w:r w:rsidR="009A3375" w:rsidRPr="00123003">
        <w:rPr>
          <w:sz w:val="24"/>
          <w:szCs w:val="24"/>
          <w:lang w:val="en-US"/>
        </w:rPr>
        <w:t>associated with</w:t>
      </w:r>
      <w:r w:rsidR="002C3D2B" w:rsidRPr="00123003">
        <w:rPr>
          <w:sz w:val="24"/>
          <w:szCs w:val="24"/>
          <w:lang w:val="en-US"/>
        </w:rPr>
        <w:t xml:space="preserve"> coffee intake</w:t>
      </w:r>
      <w:r w:rsidR="009A3375" w:rsidRPr="00123003">
        <w:rPr>
          <w:sz w:val="24"/>
          <w:szCs w:val="24"/>
          <w:lang w:val="en-US" w:eastAsia="de-DE"/>
        </w:rPr>
        <w:t>, while</w:t>
      </w:r>
      <w:r w:rsidR="008C56D7" w:rsidRPr="00123003">
        <w:rPr>
          <w:sz w:val="24"/>
          <w:szCs w:val="24"/>
          <w:lang w:val="en-US"/>
        </w:rPr>
        <w:t xml:space="preserve"> </w:t>
      </w:r>
      <w:r w:rsidR="009A3375" w:rsidRPr="00123003">
        <w:rPr>
          <w:sz w:val="24"/>
          <w:szCs w:val="24"/>
          <w:lang w:val="en-US" w:eastAsia="de-DE"/>
        </w:rPr>
        <w:t xml:space="preserve">RA samples </w:t>
      </w:r>
      <w:r w:rsidR="008E7D77" w:rsidRPr="00123003">
        <w:rPr>
          <w:sz w:val="24"/>
          <w:szCs w:val="24"/>
          <w:lang w:val="en-US" w:eastAsia="de-DE"/>
        </w:rPr>
        <w:t xml:space="preserve">had significantly higher levels of </w:t>
      </w:r>
      <w:r w:rsidR="00697739" w:rsidRPr="00123003">
        <w:rPr>
          <w:sz w:val="24"/>
          <w:szCs w:val="24"/>
          <w:lang w:val="en-US" w:eastAsia="de-DE"/>
        </w:rPr>
        <w:t xml:space="preserve">compounds </w:t>
      </w:r>
      <w:r w:rsidR="009A3375" w:rsidRPr="00123003">
        <w:rPr>
          <w:sz w:val="24"/>
          <w:szCs w:val="24"/>
          <w:lang w:val="en-US" w:eastAsia="de-DE"/>
        </w:rPr>
        <w:t>associated with</w:t>
      </w:r>
      <w:r w:rsidR="008C56D7" w:rsidRPr="00123003">
        <w:rPr>
          <w:sz w:val="24"/>
          <w:szCs w:val="24"/>
          <w:lang w:val="en-US" w:eastAsia="de-DE"/>
        </w:rPr>
        <w:t xml:space="preserve"> amino acid metabolism</w:t>
      </w:r>
      <w:r w:rsidR="008C56D7" w:rsidRPr="00123003">
        <w:rPr>
          <w:color w:val="000000"/>
          <w:sz w:val="24"/>
          <w:szCs w:val="24"/>
          <w:lang w:val="en-US" w:eastAsia="de-DE"/>
        </w:rPr>
        <w:t>,</w:t>
      </w:r>
      <w:r w:rsidR="00697739" w:rsidRPr="00123003">
        <w:rPr>
          <w:sz w:val="24"/>
          <w:szCs w:val="24"/>
          <w:lang w:val="en-US" w:eastAsia="de-DE"/>
        </w:rPr>
        <w:t xml:space="preserve"> consumption of cruciferous vegetables (</w:t>
      </w:r>
      <w:r w:rsidR="00697739" w:rsidRPr="00123003">
        <w:rPr>
          <w:i/>
          <w:iCs/>
          <w:color w:val="000000"/>
          <w:sz w:val="24"/>
          <w:szCs w:val="24"/>
          <w:lang w:val="en-US" w:eastAsia="de-DE"/>
        </w:rPr>
        <w:t>S</w:t>
      </w:r>
      <w:r w:rsidR="00697739" w:rsidRPr="00123003">
        <w:rPr>
          <w:color w:val="000000"/>
          <w:sz w:val="24"/>
          <w:szCs w:val="24"/>
          <w:lang w:val="en-US" w:eastAsia="de-DE"/>
        </w:rPr>
        <w:t>-methy</w:t>
      </w:r>
      <w:r w:rsidR="00441E6C" w:rsidRPr="00123003">
        <w:rPr>
          <w:color w:val="000000"/>
          <w:sz w:val="24"/>
          <w:szCs w:val="24"/>
          <w:lang w:val="en-US" w:eastAsia="de-DE"/>
        </w:rPr>
        <w:t xml:space="preserve">l-cysteine sulfoxide </w:t>
      </w:r>
      <w:r w:rsidR="0067648B" w:rsidRPr="00123003">
        <w:rPr>
          <w:color w:val="000000"/>
          <w:sz w:val="24"/>
          <w:szCs w:val="24"/>
          <w:lang w:val="en-US" w:eastAsia="de-DE"/>
        </w:rPr>
        <w:t xml:space="preserve">and related </w:t>
      </w:r>
      <w:r w:rsidR="00441E6C" w:rsidRPr="00123003">
        <w:rPr>
          <w:color w:val="000000"/>
          <w:sz w:val="24"/>
          <w:szCs w:val="24"/>
          <w:lang w:val="en-US" w:eastAsia="de-DE"/>
        </w:rPr>
        <w:t>metabolite</w:t>
      </w:r>
      <w:r w:rsidR="0067648B" w:rsidRPr="00123003">
        <w:rPr>
          <w:color w:val="000000"/>
          <w:sz w:val="24"/>
          <w:szCs w:val="24"/>
          <w:lang w:val="en-US" w:eastAsia="de-DE"/>
        </w:rPr>
        <w:t>s</w:t>
      </w:r>
      <w:r w:rsidR="00697739" w:rsidRPr="00123003">
        <w:rPr>
          <w:color w:val="000000"/>
          <w:sz w:val="24"/>
          <w:szCs w:val="24"/>
          <w:lang w:val="en-US" w:eastAsia="de-DE"/>
        </w:rPr>
        <w:t>)</w:t>
      </w:r>
      <w:r w:rsidR="00B1409C" w:rsidRPr="00123003">
        <w:rPr>
          <w:color w:val="000000"/>
          <w:sz w:val="24"/>
          <w:szCs w:val="24"/>
          <w:lang w:val="en-US" w:eastAsia="de-DE"/>
        </w:rPr>
        <w:t xml:space="preserve"> </w:t>
      </w:r>
      <w:r w:rsidR="008C56D7" w:rsidRPr="00123003">
        <w:rPr>
          <w:color w:val="000000"/>
          <w:sz w:val="24"/>
          <w:szCs w:val="24"/>
          <w:lang w:val="en-US" w:eastAsia="de-DE"/>
        </w:rPr>
        <w:t>and legumes (</w:t>
      </w:r>
      <w:r w:rsidR="00D91227" w:rsidRPr="00123003">
        <w:rPr>
          <w:color w:val="000000"/>
          <w:sz w:val="24"/>
          <w:szCs w:val="24"/>
          <w:lang w:val="en-US" w:eastAsia="de-DE"/>
        </w:rPr>
        <w:t>d</w:t>
      </w:r>
      <w:r w:rsidR="008C56D7" w:rsidRPr="00123003">
        <w:rPr>
          <w:color w:val="000000"/>
          <w:sz w:val="24"/>
          <w:szCs w:val="24"/>
          <w:lang w:val="en-US" w:eastAsia="de-DE"/>
        </w:rPr>
        <w:t>imethylglycine)</w:t>
      </w:r>
      <w:r w:rsidR="002C3D2B" w:rsidRPr="00123003">
        <w:rPr>
          <w:color w:val="000000"/>
          <w:sz w:val="24"/>
          <w:szCs w:val="24"/>
          <w:lang w:val="en-US" w:eastAsia="de-DE"/>
        </w:rPr>
        <w:t xml:space="preserve"> </w:t>
      </w:r>
      <w:r w:rsidR="001F2380" w:rsidRPr="00123003">
        <w:rPr>
          <w:color w:val="000000"/>
          <w:sz w:val="24"/>
          <w:szCs w:val="24"/>
          <w:lang w:val="en-US" w:eastAsia="de-DE"/>
        </w:rPr>
        <w:fldChar w:fldCharType="begin"/>
      </w:r>
      <w:r w:rsidR="00F61B70">
        <w:rPr>
          <w:color w:val="000000"/>
          <w:sz w:val="24"/>
          <w:szCs w:val="24"/>
          <w:lang w:val="en-US" w:eastAsia="de-DE"/>
        </w:rPr>
        <w:instrText xml:space="preserve"> ADDIN ZOTERO_ITEM CSL_CITATION {"citationID":"a1bm9v9uvlp","properties":{"formattedCitation":"(25)","plainCitation":"(25)","noteIndex":0},"citationItems":[{"id":4158,"uris":["http://zotero.org/users/46719/items/FFQJE7PN"],"uri":["http://zotero.org/users/46719/items/FFQJE7PN"],"itemData":{"id":4158,"type":"article-journal","title":"Untargeted 1H NMR-Based Metabolomics Analysis of Urine and Serum Profiles after Consumption of Lentils, Chickpeas, and Beans: An Extended Meal Study To Discover Dietary Biomarkers of Pulses","container-title":"Journal of Agricultural and Food Chemistry","page":"6997-7005","volume":"66","issue":"27","source":"ACS Publications","abstract":"High legume intake has been shown to have beneficial effects on the health of humans. The use of nutritional biomarkers, as a complement to self-reported questionnaires, could assist in evaluating dietary intake and downstream effects on human health. The aim of this study was to investigate potential biomarkers of the consumption of pulses (i.e., white beans, chickpeas, and lentils) by using untargeted NMR-based metabolomics. Meals rich in pulses were consumed by a total of 11 participants in a randomized crossover study and multilevel partial least-squares regression was employed for paired comparisons. Metabolomics analysis indicated that trigonelline, 3-methylhistidine, dimethylglycine, trimethylamine, and lysine were potential, though not highly specific, biomarkers of pulse intake. Furthermore, monitoring of these metabolites for a period of 48 h after intake revealed a range of different excretion patterns among pulses. Following the consumption of pulses, a metabolomic profiling revealed that the concentration ratios of trigonelline, choline, lysine, and histidine were similar to those found in urine. In conclusion, this study identified potential urinary biomarkers of exposure to dietary pulses and provided valuable information about the time-response effect of these putative biomarkers.","DOI":"10.1021/acs.jafc.8b00047","ISSN":"0021-8561","title-short":"Untargeted 1H NMR-Based Metabolomics Analysis of Urine and Serum Profiles after Consumption of Lentils, Chickpeas, and Beans","journalAbbreviation":"J. Agric. Food Chem.","author":[{"family":"Madrid-Gambin","given":"Francisco"},{"family":"Brunius","given":"Carl"},{"family":"Garcia-Aloy","given":"Mar"},{"family":"Estruel-Amades","given":"Sheila"},{"family":"Landberg","given":"Rikard"},{"family":"Andres-Lacueva","given":"Cristina"}],"issued":{"date-parts":[["2018",7,11]]}}}],"schema":"https://github.com/citation-style-language/schema/raw/master/csl-citation.json"} </w:instrText>
      </w:r>
      <w:r w:rsidR="001F2380" w:rsidRPr="00123003">
        <w:rPr>
          <w:color w:val="000000"/>
          <w:sz w:val="24"/>
          <w:szCs w:val="24"/>
          <w:lang w:val="en-US" w:eastAsia="de-DE"/>
        </w:rPr>
        <w:fldChar w:fldCharType="separate"/>
      </w:r>
      <w:r w:rsidR="00F61B70" w:rsidRPr="00F61B70">
        <w:rPr>
          <w:rFonts w:ascii="Calibri" w:hAnsi="Calibri" w:cs="Calibri"/>
          <w:sz w:val="24"/>
          <w:lang w:val="en-US"/>
        </w:rPr>
        <w:t>(25)</w:t>
      </w:r>
      <w:r w:rsidR="001F2380" w:rsidRPr="00123003">
        <w:rPr>
          <w:color w:val="000000"/>
          <w:sz w:val="24"/>
          <w:szCs w:val="24"/>
          <w:lang w:val="en-US" w:eastAsia="de-DE"/>
        </w:rPr>
        <w:fldChar w:fldCharType="end"/>
      </w:r>
      <w:r w:rsidR="004068EB" w:rsidRPr="00123003">
        <w:rPr>
          <w:color w:val="000000"/>
          <w:sz w:val="24"/>
          <w:szCs w:val="24"/>
          <w:lang w:val="en-US" w:eastAsia="de-DE"/>
        </w:rPr>
        <w:t>.</w:t>
      </w:r>
    </w:p>
    <w:p w:rsidR="001616FC" w:rsidRPr="00123003" w:rsidRDefault="00A55DF2" w:rsidP="00123003">
      <w:pPr>
        <w:pStyle w:val="KeinLeerraum"/>
        <w:spacing w:line="480" w:lineRule="auto"/>
        <w:jc w:val="both"/>
        <w:rPr>
          <w:b/>
          <w:sz w:val="24"/>
          <w:szCs w:val="24"/>
          <w:lang w:val="en-US" w:eastAsia="de-DE"/>
        </w:rPr>
      </w:pPr>
      <w:r w:rsidRPr="00123003">
        <w:rPr>
          <w:b/>
          <w:sz w:val="24"/>
          <w:szCs w:val="24"/>
          <w:lang w:val="en-US" w:eastAsia="de-DE"/>
        </w:rPr>
        <w:t xml:space="preserve">Differences in </w:t>
      </w:r>
      <w:r w:rsidR="002332B1" w:rsidRPr="00123003">
        <w:rPr>
          <w:b/>
          <w:sz w:val="24"/>
          <w:szCs w:val="24"/>
          <w:lang w:val="en-US" w:eastAsia="de-DE"/>
        </w:rPr>
        <w:t xml:space="preserve">colonic </w:t>
      </w:r>
      <w:r w:rsidRPr="00123003">
        <w:rPr>
          <w:b/>
          <w:sz w:val="24"/>
          <w:szCs w:val="24"/>
          <w:lang w:val="en-US" w:eastAsia="de-DE"/>
        </w:rPr>
        <w:t xml:space="preserve">metabolism </w:t>
      </w:r>
      <w:r w:rsidR="009A3375" w:rsidRPr="00123003">
        <w:rPr>
          <w:b/>
          <w:sz w:val="24"/>
          <w:szCs w:val="24"/>
          <w:lang w:val="en-US" w:eastAsia="de-DE"/>
        </w:rPr>
        <w:t>among healthy</w:t>
      </w:r>
      <w:r w:rsidRPr="00123003">
        <w:rPr>
          <w:b/>
          <w:sz w:val="24"/>
          <w:szCs w:val="24"/>
          <w:lang w:val="en-US" w:eastAsia="de-DE"/>
        </w:rPr>
        <w:t xml:space="preserve"> AN and RA </w:t>
      </w:r>
      <w:r w:rsidR="009A3375" w:rsidRPr="00123003">
        <w:rPr>
          <w:b/>
          <w:sz w:val="24"/>
          <w:szCs w:val="24"/>
          <w:lang w:val="en-US" w:eastAsia="de-DE"/>
        </w:rPr>
        <w:t>participants</w:t>
      </w:r>
      <w:r w:rsidRPr="00123003">
        <w:rPr>
          <w:b/>
          <w:sz w:val="24"/>
          <w:szCs w:val="24"/>
          <w:lang w:val="en-US" w:eastAsia="de-DE"/>
        </w:rPr>
        <w:t xml:space="preserve"> </w:t>
      </w:r>
      <w:r w:rsidR="00C422EF" w:rsidRPr="00123003">
        <w:rPr>
          <w:b/>
          <w:sz w:val="24"/>
          <w:szCs w:val="24"/>
          <w:lang w:val="en-US" w:eastAsia="de-DE"/>
        </w:rPr>
        <w:t xml:space="preserve">are </w:t>
      </w:r>
      <w:r w:rsidRPr="00123003">
        <w:rPr>
          <w:b/>
          <w:sz w:val="24"/>
          <w:szCs w:val="24"/>
          <w:lang w:val="en-US" w:eastAsia="de-DE"/>
        </w:rPr>
        <w:t>closely linked to</w:t>
      </w:r>
      <w:r w:rsidR="001616FC" w:rsidRPr="00123003">
        <w:rPr>
          <w:b/>
          <w:sz w:val="24"/>
          <w:szCs w:val="24"/>
          <w:lang w:val="en-US" w:eastAsia="de-DE"/>
        </w:rPr>
        <w:t xml:space="preserve"> </w:t>
      </w:r>
      <w:r w:rsidRPr="00123003">
        <w:rPr>
          <w:b/>
          <w:sz w:val="24"/>
          <w:szCs w:val="24"/>
          <w:lang w:val="en-US" w:eastAsia="de-DE"/>
        </w:rPr>
        <w:t>diverging abundance</w:t>
      </w:r>
      <w:r w:rsidR="001616FC" w:rsidRPr="00123003">
        <w:rPr>
          <w:b/>
          <w:sz w:val="24"/>
          <w:szCs w:val="24"/>
          <w:lang w:val="en-US" w:eastAsia="de-DE"/>
        </w:rPr>
        <w:t xml:space="preserve"> </w:t>
      </w:r>
      <w:r w:rsidRPr="00123003">
        <w:rPr>
          <w:b/>
          <w:sz w:val="24"/>
          <w:szCs w:val="24"/>
          <w:lang w:val="en-US" w:eastAsia="de-DE"/>
        </w:rPr>
        <w:t>of microbial genera</w:t>
      </w:r>
    </w:p>
    <w:p w:rsidR="001616FC" w:rsidRPr="00123003" w:rsidRDefault="00FF7940" w:rsidP="00123003">
      <w:pPr>
        <w:spacing w:line="480" w:lineRule="auto"/>
        <w:jc w:val="both"/>
        <w:rPr>
          <w:sz w:val="24"/>
          <w:szCs w:val="24"/>
          <w:highlight w:val="cyan"/>
          <w:lang w:val="en-US" w:eastAsia="de-DE"/>
        </w:rPr>
      </w:pPr>
      <w:r w:rsidRPr="00123003">
        <w:rPr>
          <w:sz w:val="24"/>
          <w:szCs w:val="24"/>
          <w:lang w:val="en-US" w:eastAsia="de-DE"/>
        </w:rPr>
        <w:t>W</w:t>
      </w:r>
      <w:r w:rsidR="00834456" w:rsidRPr="00123003">
        <w:rPr>
          <w:sz w:val="24"/>
          <w:szCs w:val="24"/>
          <w:lang w:val="en-US" w:eastAsia="de-DE"/>
        </w:rPr>
        <w:t xml:space="preserve">e plotted the </w:t>
      </w:r>
      <w:r w:rsidR="00730D1C" w:rsidRPr="00123003">
        <w:rPr>
          <w:sz w:val="24"/>
          <w:szCs w:val="24"/>
          <w:lang w:val="en-US" w:eastAsia="de-DE"/>
        </w:rPr>
        <w:t xml:space="preserve">fecal/urinary </w:t>
      </w:r>
      <w:r w:rsidR="00834456" w:rsidRPr="00123003">
        <w:rPr>
          <w:sz w:val="24"/>
          <w:szCs w:val="24"/>
          <w:lang w:val="en-US" w:eastAsia="de-DE"/>
        </w:rPr>
        <w:t xml:space="preserve">metabolites </w:t>
      </w:r>
      <w:r w:rsidR="00BC35B6" w:rsidRPr="00123003">
        <w:rPr>
          <w:sz w:val="24"/>
          <w:szCs w:val="24"/>
          <w:lang w:val="en-US" w:eastAsia="de-DE"/>
        </w:rPr>
        <w:t>that showed significantly different concentrations between</w:t>
      </w:r>
      <w:r w:rsidR="00A43070" w:rsidRPr="00123003">
        <w:rPr>
          <w:sz w:val="24"/>
          <w:szCs w:val="24"/>
          <w:lang w:val="en-US" w:eastAsia="de-DE"/>
        </w:rPr>
        <w:t xml:space="preserve"> the</w:t>
      </w:r>
      <w:r w:rsidR="00834456" w:rsidRPr="00123003">
        <w:rPr>
          <w:sz w:val="24"/>
          <w:szCs w:val="24"/>
          <w:lang w:val="en-US" w:eastAsia="de-DE"/>
        </w:rPr>
        <w:t xml:space="preserve"> AN and RA </w:t>
      </w:r>
      <w:r w:rsidR="00A43070" w:rsidRPr="00123003">
        <w:rPr>
          <w:sz w:val="24"/>
          <w:szCs w:val="24"/>
          <w:lang w:val="en-US" w:eastAsia="de-DE"/>
        </w:rPr>
        <w:t>samples</w:t>
      </w:r>
      <w:r w:rsidR="00834456" w:rsidRPr="00123003">
        <w:rPr>
          <w:sz w:val="24"/>
          <w:szCs w:val="24"/>
          <w:lang w:val="en-US" w:eastAsia="de-DE"/>
        </w:rPr>
        <w:t xml:space="preserve"> in a metabolic reaction network to </w:t>
      </w:r>
      <w:r w:rsidR="00A43070" w:rsidRPr="00123003">
        <w:rPr>
          <w:sz w:val="24"/>
          <w:szCs w:val="24"/>
          <w:lang w:val="en-US" w:eastAsia="de-DE"/>
        </w:rPr>
        <w:t>analyze</w:t>
      </w:r>
      <w:r w:rsidR="00834456" w:rsidRPr="00123003">
        <w:rPr>
          <w:sz w:val="24"/>
          <w:szCs w:val="24"/>
          <w:lang w:val="en-US" w:eastAsia="de-DE"/>
        </w:rPr>
        <w:t xml:space="preserve"> their interdependence linked to </w:t>
      </w:r>
      <w:r w:rsidR="00730D1C" w:rsidRPr="00123003">
        <w:rPr>
          <w:sz w:val="24"/>
          <w:szCs w:val="24"/>
          <w:lang w:val="en-US" w:eastAsia="de-DE"/>
        </w:rPr>
        <w:t xml:space="preserve">host and microbial </w:t>
      </w:r>
      <w:r w:rsidR="00834456" w:rsidRPr="00123003">
        <w:rPr>
          <w:sz w:val="24"/>
          <w:szCs w:val="24"/>
          <w:lang w:val="en-US" w:eastAsia="de-DE"/>
        </w:rPr>
        <w:t>metabolic pathways</w:t>
      </w:r>
      <w:r w:rsidR="00D91227" w:rsidRPr="00123003">
        <w:rPr>
          <w:sz w:val="24"/>
          <w:szCs w:val="24"/>
          <w:lang w:val="en-US" w:eastAsia="de-DE"/>
        </w:rPr>
        <w:t xml:space="preserve"> </w:t>
      </w:r>
      <w:r w:rsidR="00D91227" w:rsidRPr="00123003">
        <w:rPr>
          <w:sz w:val="24"/>
          <w:szCs w:val="24"/>
          <w:lang w:val="en-US" w:eastAsia="de-DE"/>
        </w:rPr>
        <w:fldChar w:fldCharType="begin"/>
      </w:r>
      <w:r w:rsidR="00F61B70">
        <w:rPr>
          <w:sz w:val="24"/>
          <w:szCs w:val="24"/>
          <w:lang w:val="en-US" w:eastAsia="de-DE"/>
        </w:rPr>
        <w:instrText xml:space="preserve"> ADDIN ZOTERO_ITEM CSL_CITATION {"citationID":"a1s2bsn48ut","properties":{"formattedCitation":"(22)","plainCitation":"(22)","noteIndex":0},"citationItems":[{"id":4013,"uris":["http://zotero.org/users/46719/items/B28MV7XU"],"uri":["http://zotero.org/users/46719/items/B28MV7XU"],"itemData":{"id":4013,"type":"article-journal","title":"MetaboNetworks, an interactive Matlab-based toolbox for creating, customizing and exploring sub-networks from KEGG","container-title":"Bioinformatics (Oxford, England)","page":"893-895","volume":"30","issue":"6","source":"PubMed","abstract":"SUMMARY: MetaboNetworks is a tool to create custom sub-networks in Matlab using main reaction pairs as defined by the Kyoto Encyclopaedia of Genes and Genomes and can be used to explore transgenomic interactions, for example mammalian and bacterial associations. It calculates the shortest path between a set of metabolites (e.g. biomarkers from a metabonomic study) and plots the connectivity between metabolites as links in a network graph. The resulting graph can be edited and explored interactively. Furthermore, nodes and edges in the graph are linked to the Kyoto Encyclopaedia of Genes and Genomes compound and reaction pair web pages.\nAVAILABILITY AND IMPLEMENTATION: MetaboNetworks is available from http://www.mathworks.com/matlabcentral/fileexchange/42684.\nCONTACT: jmp111@ic.ac.uk or j.nicholson@imperial.ac.uk\nSUPPLEMENTARY INFORMATION: Supplementary data are available at Bioinformatics online.","DOI":"10.1093/bioinformatics/btt612","ISSN":"1367-4811","note":"PMID: 24177720\nPMCID: PMC3957072","journalAbbreviation":"Bioinformatics","language":"eng","author":[{"family":"Posma","given":"Joram M."},{"family":"Robinette","given":"Steven L."},{"family":"Holmes","given":"Elaine"},{"family":"Nicholson","given":"Jeremy K."}],"issued":{"date-parts":[["2014",3,15]]}}}],"schema":"https://github.com/citation-style-language/schema/raw/master/csl-citation.json"} </w:instrText>
      </w:r>
      <w:r w:rsidR="00D91227" w:rsidRPr="00123003">
        <w:rPr>
          <w:sz w:val="24"/>
          <w:szCs w:val="24"/>
          <w:lang w:val="en-US" w:eastAsia="de-DE"/>
        </w:rPr>
        <w:fldChar w:fldCharType="separate"/>
      </w:r>
      <w:r w:rsidR="00836220" w:rsidRPr="00836220">
        <w:rPr>
          <w:rFonts w:ascii="Calibri" w:hAnsi="Calibri" w:cs="Calibri"/>
          <w:sz w:val="24"/>
          <w:lang w:val="en-US"/>
        </w:rPr>
        <w:t>(22)</w:t>
      </w:r>
      <w:r w:rsidR="00D91227" w:rsidRPr="00123003">
        <w:rPr>
          <w:sz w:val="24"/>
          <w:szCs w:val="24"/>
          <w:lang w:val="en-US" w:eastAsia="de-DE"/>
        </w:rPr>
        <w:fldChar w:fldCharType="end"/>
      </w:r>
      <w:r w:rsidR="00B63225" w:rsidRPr="00123003">
        <w:rPr>
          <w:sz w:val="24"/>
          <w:szCs w:val="24"/>
          <w:lang w:val="en-US" w:eastAsia="de-DE"/>
        </w:rPr>
        <w:t>.</w:t>
      </w:r>
      <w:r w:rsidR="00730D1C" w:rsidRPr="00123003">
        <w:rPr>
          <w:sz w:val="24"/>
          <w:szCs w:val="24"/>
          <w:lang w:val="en-US" w:eastAsia="de-DE"/>
        </w:rPr>
        <w:t xml:space="preserve"> </w:t>
      </w:r>
      <w:r w:rsidR="00A43070" w:rsidRPr="00123003">
        <w:rPr>
          <w:sz w:val="24"/>
          <w:szCs w:val="24"/>
          <w:lang w:val="en-US" w:eastAsia="de-DE"/>
        </w:rPr>
        <w:t xml:space="preserve">The </w:t>
      </w:r>
      <w:proofErr w:type="gramStart"/>
      <w:r w:rsidR="00A43070" w:rsidRPr="00123003">
        <w:rPr>
          <w:sz w:val="24"/>
          <w:szCs w:val="24"/>
          <w:lang w:val="en-US" w:eastAsia="de-DE"/>
        </w:rPr>
        <w:t>AN</w:t>
      </w:r>
      <w:proofErr w:type="gramEnd"/>
      <w:r w:rsidR="00A43070" w:rsidRPr="00123003">
        <w:rPr>
          <w:sz w:val="24"/>
          <w:szCs w:val="24"/>
          <w:lang w:val="en-US" w:eastAsia="de-DE"/>
        </w:rPr>
        <w:t xml:space="preserve"> samples demonstrated</w:t>
      </w:r>
      <w:r w:rsidR="00834456" w:rsidRPr="00123003">
        <w:rPr>
          <w:sz w:val="24"/>
          <w:szCs w:val="24"/>
          <w:lang w:val="en-US" w:eastAsia="de-DE"/>
        </w:rPr>
        <w:t xml:space="preserve"> </w:t>
      </w:r>
      <w:r w:rsidR="00537B85" w:rsidRPr="00123003">
        <w:rPr>
          <w:sz w:val="24"/>
          <w:szCs w:val="24"/>
          <w:lang w:val="en-US" w:eastAsia="de-DE"/>
        </w:rPr>
        <w:t xml:space="preserve">a </w:t>
      </w:r>
      <w:r w:rsidR="00937BB0" w:rsidRPr="00123003">
        <w:rPr>
          <w:sz w:val="24"/>
          <w:szCs w:val="24"/>
          <w:lang w:val="en-US" w:eastAsia="de-DE"/>
        </w:rPr>
        <w:t>fecal/urinary metabolite</w:t>
      </w:r>
      <w:r w:rsidR="00537B85" w:rsidRPr="00123003">
        <w:rPr>
          <w:sz w:val="24"/>
          <w:szCs w:val="24"/>
          <w:lang w:val="en-US" w:eastAsia="de-DE"/>
        </w:rPr>
        <w:t xml:space="preserve"> profile suggestive of </w:t>
      </w:r>
      <w:r w:rsidR="00834456" w:rsidRPr="00123003">
        <w:rPr>
          <w:sz w:val="24"/>
          <w:szCs w:val="24"/>
          <w:lang w:val="en-US" w:eastAsia="de-DE"/>
        </w:rPr>
        <w:t xml:space="preserve">an increased turnover in </w:t>
      </w:r>
      <w:r w:rsidR="00834456" w:rsidRPr="00123003">
        <w:rPr>
          <w:sz w:val="24"/>
          <w:szCs w:val="24"/>
          <w:lang w:val="en-US" w:eastAsia="de-DE"/>
        </w:rPr>
        <w:lastRenderedPageBreak/>
        <w:t>nicotin</w:t>
      </w:r>
      <w:r w:rsidR="00730D1C" w:rsidRPr="00123003">
        <w:rPr>
          <w:sz w:val="24"/>
          <w:szCs w:val="24"/>
          <w:lang w:val="en-US" w:eastAsia="de-DE"/>
        </w:rPr>
        <w:t>amide metabolism</w:t>
      </w:r>
      <w:r w:rsidR="007C193D" w:rsidRPr="00123003">
        <w:rPr>
          <w:sz w:val="24"/>
          <w:szCs w:val="24"/>
          <w:lang w:val="en-US" w:eastAsia="de-DE"/>
        </w:rPr>
        <w:t xml:space="preserve"> (</w:t>
      </w:r>
      <w:r w:rsidR="007C193D" w:rsidRPr="00123003">
        <w:rPr>
          <w:b/>
          <w:sz w:val="24"/>
          <w:szCs w:val="24"/>
          <w:lang w:val="en-US" w:eastAsia="de-DE"/>
        </w:rPr>
        <w:t>Figure</w:t>
      </w:r>
      <w:r w:rsidR="00B63225" w:rsidRPr="00123003">
        <w:rPr>
          <w:b/>
          <w:sz w:val="24"/>
          <w:szCs w:val="24"/>
          <w:lang w:val="en-US" w:eastAsia="de-DE"/>
        </w:rPr>
        <w:t xml:space="preserve"> 3</w:t>
      </w:r>
      <w:r w:rsidR="007C193D" w:rsidRPr="00123003">
        <w:rPr>
          <w:b/>
          <w:sz w:val="24"/>
          <w:szCs w:val="24"/>
          <w:lang w:val="en-US" w:eastAsia="de-DE"/>
        </w:rPr>
        <w:t>A</w:t>
      </w:r>
      <w:r w:rsidR="00B63225" w:rsidRPr="00123003">
        <w:rPr>
          <w:sz w:val="24"/>
          <w:szCs w:val="24"/>
          <w:lang w:val="en-US" w:eastAsia="de-DE"/>
        </w:rPr>
        <w:t>)</w:t>
      </w:r>
      <w:r w:rsidR="00730D1C" w:rsidRPr="00123003">
        <w:rPr>
          <w:sz w:val="24"/>
          <w:szCs w:val="24"/>
          <w:lang w:val="en-US" w:eastAsia="de-DE"/>
        </w:rPr>
        <w:t xml:space="preserve">. In contrast, RA </w:t>
      </w:r>
      <w:r w:rsidR="00A43070" w:rsidRPr="00123003">
        <w:rPr>
          <w:sz w:val="24"/>
          <w:szCs w:val="24"/>
          <w:lang w:val="en-US" w:eastAsia="de-DE"/>
        </w:rPr>
        <w:t>samples</w:t>
      </w:r>
      <w:r w:rsidR="00730D1C" w:rsidRPr="00123003">
        <w:rPr>
          <w:sz w:val="24"/>
          <w:szCs w:val="24"/>
          <w:lang w:val="en-US" w:eastAsia="de-DE"/>
        </w:rPr>
        <w:t xml:space="preserve"> exhibit</w:t>
      </w:r>
      <w:r w:rsidR="00A43070" w:rsidRPr="00123003">
        <w:rPr>
          <w:sz w:val="24"/>
          <w:szCs w:val="24"/>
          <w:lang w:val="en-US" w:eastAsia="de-DE"/>
        </w:rPr>
        <w:t>ed</w:t>
      </w:r>
      <w:r w:rsidR="00834456" w:rsidRPr="00123003">
        <w:rPr>
          <w:sz w:val="24"/>
          <w:szCs w:val="24"/>
          <w:lang w:val="en-US" w:eastAsia="de-DE"/>
        </w:rPr>
        <w:t xml:space="preserve"> </w:t>
      </w:r>
      <w:r w:rsidR="00A43070" w:rsidRPr="00123003">
        <w:rPr>
          <w:sz w:val="24"/>
          <w:szCs w:val="24"/>
          <w:lang w:val="en-US" w:eastAsia="de-DE"/>
        </w:rPr>
        <w:t>greater</w:t>
      </w:r>
      <w:r w:rsidR="00834456" w:rsidRPr="00123003">
        <w:rPr>
          <w:sz w:val="24"/>
          <w:szCs w:val="24"/>
          <w:lang w:val="en-US" w:eastAsia="de-DE"/>
        </w:rPr>
        <w:t xml:space="preserve"> metab</w:t>
      </w:r>
      <w:r w:rsidR="00D91227" w:rsidRPr="00123003">
        <w:rPr>
          <w:sz w:val="24"/>
          <w:szCs w:val="24"/>
          <w:lang w:val="en-US" w:eastAsia="de-DE"/>
        </w:rPr>
        <w:t>olic activity related to SCFA, sulf</w:t>
      </w:r>
      <w:r w:rsidR="00834456" w:rsidRPr="00123003">
        <w:rPr>
          <w:sz w:val="24"/>
          <w:szCs w:val="24"/>
          <w:lang w:val="en-US" w:eastAsia="de-DE"/>
        </w:rPr>
        <w:t xml:space="preserve">ur, purine and pyrimidine, </w:t>
      </w:r>
      <w:r w:rsidR="00A43070" w:rsidRPr="00123003">
        <w:rPr>
          <w:sz w:val="24"/>
          <w:szCs w:val="24"/>
          <w:lang w:val="en-US" w:eastAsia="de-DE"/>
        </w:rPr>
        <w:t xml:space="preserve">and </w:t>
      </w:r>
      <w:r w:rsidR="00834456" w:rsidRPr="00123003">
        <w:rPr>
          <w:sz w:val="24"/>
          <w:szCs w:val="24"/>
          <w:lang w:val="en-US" w:eastAsia="de-DE"/>
        </w:rPr>
        <w:t>aromatic and indole compounds</w:t>
      </w:r>
      <w:r w:rsidR="00730D1C" w:rsidRPr="00123003">
        <w:rPr>
          <w:sz w:val="24"/>
          <w:szCs w:val="24"/>
          <w:lang w:val="en-US" w:eastAsia="de-DE"/>
        </w:rPr>
        <w:t>, indicating the high diversity of metabolic reaction networks in that cohort</w:t>
      </w:r>
      <w:r w:rsidR="000946AA" w:rsidRPr="00123003">
        <w:rPr>
          <w:sz w:val="24"/>
          <w:szCs w:val="24"/>
          <w:lang w:val="en-US" w:eastAsia="de-DE"/>
        </w:rPr>
        <w:t xml:space="preserve"> (Fig</w:t>
      </w:r>
      <w:r w:rsidR="007C193D" w:rsidRPr="00123003">
        <w:rPr>
          <w:sz w:val="24"/>
          <w:szCs w:val="24"/>
          <w:lang w:val="en-US" w:eastAsia="de-DE"/>
        </w:rPr>
        <w:t>ure</w:t>
      </w:r>
      <w:r w:rsidR="000946AA" w:rsidRPr="00123003">
        <w:rPr>
          <w:sz w:val="24"/>
          <w:szCs w:val="24"/>
          <w:lang w:val="en-US" w:eastAsia="de-DE"/>
        </w:rPr>
        <w:t xml:space="preserve"> 3</w:t>
      </w:r>
      <w:r w:rsidR="007C193D" w:rsidRPr="00123003">
        <w:rPr>
          <w:sz w:val="24"/>
          <w:szCs w:val="24"/>
          <w:lang w:val="en-US" w:eastAsia="de-DE"/>
        </w:rPr>
        <w:t>A</w:t>
      </w:r>
      <w:r w:rsidR="000946AA" w:rsidRPr="00123003">
        <w:rPr>
          <w:sz w:val="24"/>
          <w:szCs w:val="24"/>
          <w:lang w:val="en-US" w:eastAsia="de-DE"/>
        </w:rPr>
        <w:t>)</w:t>
      </w:r>
      <w:r w:rsidR="00834456" w:rsidRPr="00123003">
        <w:rPr>
          <w:sz w:val="24"/>
          <w:szCs w:val="24"/>
          <w:lang w:val="en-US" w:eastAsia="de-DE"/>
        </w:rPr>
        <w:t>.</w:t>
      </w:r>
      <w:r w:rsidR="00AE4559" w:rsidRPr="00123003">
        <w:rPr>
          <w:sz w:val="24"/>
          <w:szCs w:val="24"/>
          <w:lang w:val="en-US" w:eastAsia="de-DE"/>
        </w:rPr>
        <w:t xml:space="preserve"> </w:t>
      </w:r>
      <w:r w:rsidR="00A43070" w:rsidRPr="00123003">
        <w:rPr>
          <w:sz w:val="24"/>
          <w:szCs w:val="24"/>
          <w:lang w:val="en-US" w:eastAsia="de-DE"/>
        </w:rPr>
        <w:t>W</w:t>
      </w:r>
      <w:r w:rsidR="001616FC" w:rsidRPr="00123003">
        <w:rPr>
          <w:sz w:val="24"/>
          <w:szCs w:val="24"/>
          <w:lang w:val="en-US" w:eastAsia="de-DE"/>
        </w:rPr>
        <w:t xml:space="preserve">e performed a correlation analysis </w:t>
      </w:r>
      <w:r w:rsidR="00BC35B6" w:rsidRPr="00123003">
        <w:rPr>
          <w:sz w:val="24"/>
          <w:szCs w:val="24"/>
          <w:lang w:val="en-US" w:eastAsia="de-DE"/>
        </w:rPr>
        <w:t>between</w:t>
      </w:r>
      <w:r w:rsidR="001616FC" w:rsidRPr="00123003">
        <w:rPr>
          <w:sz w:val="24"/>
          <w:szCs w:val="24"/>
          <w:lang w:val="en-US" w:eastAsia="de-DE"/>
        </w:rPr>
        <w:t xml:space="preserve"> </w:t>
      </w:r>
      <w:r w:rsidR="005F0663" w:rsidRPr="00123003">
        <w:rPr>
          <w:sz w:val="24"/>
          <w:szCs w:val="24"/>
          <w:lang w:val="en-US" w:eastAsia="de-DE"/>
        </w:rPr>
        <w:t xml:space="preserve">all </w:t>
      </w:r>
      <w:r w:rsidR="001616FC" w:rsidRPr="00123003">
        <w:rPr>
          <w:sz w:val="24"/>
          <w:szCs w:val="24"/>
          <w:lang w:val="en-US" w:eastAsia="de-DE"/>
        </w:rPr>
        <w:t xml:space="preserve">significantly </w:t>
      </w:r>
      <w:r w:rsidR="00BC35B6" w:rsidRPr="00123003">
        <w:rPr>
          <w:sz w:val="24"/>
          <w:szCs w:val="24"/>
          <w:lang w:val="en-US" w:eastAsia="de-DE"/>
        </w:rPr>
        <w:t>changed</w:t>
      </w:r>
      <w:r w:rsidR="001616FC" w:rsidRPr="00123003">
        <w:rPr>
          <w:sz w:val="24"/>
          <w:szCs w:val="24"/>
          <w:lang w:val="en-US" w:eastAsia="de-DE"/>
        </w:rPr>
        <w:t xml:space="preserve"> meta</w:t>
      </w:r>
      <w:r w:rsidR="00BC35B6" w:rsidRPr="00123003">
        <w:rPr>
          <w:sz w:val="24"/>
          <w:szCs w:val="24"/>
          <w:lang w:val="en-US" w:eastAsia="de-DE"/>
        </w:rPr>
        <w:t>bolites in urine or fecal water and the abundance of</w:t>
      </w:r>
      <w:r w:rsidR="00925992" w:rsidRPr="00123003">
        <w:rPr>
          <w:sz w:val="24"/>
          <w:szCs w:val="24"/>
          <w:lang w:val="en-US" w:eastAsia="de-DE"/>
        </w:rPr>
        <w:t xml:space="preserve"> </w:t>
      </w:r>
      <w:r w:rsidR="00A56C67" w:rsidRPr="00123003">
        <w:rPr>
          <w:sz w:val="24"/>
          <w:szCs w:val="24"/>
          <w:lang w:val="en-US" w:eastAsia="de-DE"/>
        </w:rPr>
        <w:t xml:space="preserve">the </w:t>
      </w:r>
      <w:r w:rsidR="001616FC" w:rsidRPr="00123003">
        <w:rPr>
          <w:sz w:val="24"/>
          <w:szCs w:val="24"/>
          <w:lang w:val="en-US" w:eastAsia="de-DE"/>
        </w:rPr>
        <w:t xml:space="preserve">microbial genera detected by 16S </w:t>
      </w:r>
      <w:proofErr w:type="spellStart"/>
      <w:r w:rsidR="001616FC" w:rsidRPr="00123003">
        <w:rPr>
          <w:sz w:val="24"/>
          <w:szCs w:val="24"/>
          <w:lang w:val="en-US" w:eastAsia="de-DE"/>
        </w:rPr>
        <w:t>rRNA</w:t>
      </w:r>
      <w:proofErr w:type="spellEnd"/>
      <w:r w:rsidR="001616FC" w:rsidRPr="00123003">
        <w:rPr>
          <w:sz w:val="24"/>
          <w:szCs w:val="24"/>
          <w:lang w:val="en-US" w:eastAsia="de-DE"/>
        </w:rPr>
        <w:t xml:space="preserve"> gene sequencing</w:t>
      </w:r>
      <w:r w:rsidR="00A43070" w:rsidRPr="00123003">
        <w:rPr>
          <w:sz w:val="24"/>
          <w:szCs w:val="24"/>
          <w:lang w:val="en-US" w:eastAsia="de-DE"/>
        </w:rPr>
        <w:t xml:space="preserve"> to </w:t>
      </w:r>
      <w:r w:rsidR="00BC35B6" w:rsidRPr="00123003">
        <w:rPr>
          <w:sz w:val="24"/>
          <w:szCs w:val="24"/>
          <w:lang w:val="en-US" w:eastAsia="de-DE"/>
        </w:rPr>
        <w:t>explore potential assoc</w:t>
      </w:r>
      <w:r w:rsidR="003459D6" w:rsidRPr="00123003">
        <w:rPr>
          <w:sz w:val="24"/>
          <w:szCs w:val="24"/>
          <w:lang w:val="en-US" w:eastAsia="de-DE"/>
        </w:rPr>
        <w:t>iations of metabolites and</w:t>
      </w:r>
      <w:r w:rsidR="00A43070" w:rsidRPr="00123003">
        <w:rPr>
          <w:sz w:val="24"/>
          <w:szCs w:val="24"/>
          <w:lang w:val="en-US" w:eastAsia="de-DE"/>
        </w:rPr>
        <w:t xml:space="preserve"> specific microbial genera in the gut</w:t>
      </w:r>
      <w:r w:rsidR="007C193D" w:rsidRPr="00123003">
        <w:rPr>
          <w:sz w:val="24"/>
          <w:szCs w:val="24"/>
          <w:lang w:val="en-US" w:eastAsia="de-DE"/>
        </w:rPr>
        <w:t xml:space="preserve"> (</w:t>
      </w:r>
      <w:r w:rsidR="007C193D" w:rsidRPr="00123003">
        <w:rPr>
          <w:b/>
          <w:sz w:val="24"/>
          <w:szCs w:val="24"/>
          <w:lang w:val="en-US" w:eastAsia="de-DE"/>
        </w:rPr>
        <w:t>Figure 3B</w:t>
      </w:r>
      <w:r w:rsidR="005F0CD0" w:rsidRPr="00123003">
        <w:rPr>
          <w:sz w:val="24"/>
          <w:szCs w:val="24"/>
          <w:lang w:val="en-US" w:eastAsia="de-DE"/>
        </w:rPr>
        <w:t>)</w:t>
      </w:r>
      <w:r w:rsidR="001616FC" w:rsidRPr="00123003">
        <w:rPr>
          <w:sz w:val="24"/>
          <w:szCs w:val="24"/>
          <w:lang w:val="en-US" w:eastAsia="de-DE"/>
        </w:rPr>
        <w:t xml:space="preserve">. </w:t>
      </w:r>
      <w:r w:rsidR="005F0663" w:rsidRPr="00123003">
        <w:rPr>
          <w:sz w:val="24"/>
          <w:szCs w:val="24"/>
          <w:lang w:val="en-US" w:eastAsia="de-DE"/>
        </w:rPr>
        <w:t>With regard to</w:t>
      </w:r>
      <w:r w:rsidR="00925992" w:rsidRPr="00123003">
        <w:rPr>
          <w:sz w:val="24"/>
          <w:szCs w:val="24"/>
          <w:lang w:val="en-US" w:eastAsia="de-DE"/>
        </w:rPr>
        <w:t xml:space="preserve"> CRC risk,</w:t>
      </w:r>
      <w:r w:rsidR="001616FC" w:rsidRPr="00123003">
        <w:rPr>
          <w:sz w:val="24"/>
          <w:szCs w:val="24"/>
          <w:lang w:val="en-US" w:eastAsia="de-DE"/>
        </w:rPr>
        <w:t xml:space="preserve"> SCFA</w:t>
      </w:r>
      <w:r w:rsidR="00925992" w:rsidRPr="00123003">
        <w:rPr>
          <w:sz w:val="24"/>
          <w:szCs w:val="24"/>
          <w:lang w:val="en-US" w:eastAsia="de-DE"/>
        </w:rPr>
        <w:t>, which were present in higher levels in RA feces,</w:t>
      </w:r>
      <w:r w:rsidR="001616FC" w:rsidRPr="00123003">
        <w:rPr>
          <w:sz w:val="24"/>
          <w:szCs w:val="24"/>
          <w:lang w:val="en-US" w:eastAsia="de-DE"/>
        </w:rPr>
        <w:t xml:space="preserve"> </w:t>
      </w:r>
      <w:r w:rsidR="00925992" w:rsidRPr="00123003">
        <w:rPr>
          <w:sz w:val="24"/>
          <w:szCs w:val="24"/>
          <w:lang w:val="en-US" w:eastAsia="de-DE"/>
        </w:rPr>
        <w:t>show</w:t>
      </w:r>
      <w:r w:rsidR="00A43070" w:rsidRPr="00123003">
        <w:rPr>
          <w:sz w:val="24"/>
          <w:szCs w:val="24"/>
          <w:lang w:val="en-US" w:eastAsia="de-DE"/>
        </w:rPr>
        <w:t>ed</w:t>
      </w:r>
      <w:r w:rsidR="00925992" w:rsidRPr="00123003">
        <w:rPr>
          <w:sz w:val="24"/>
          <w:szCs w:val="24"/>
          <w:lang w:val="en-US" w:eastAsia="de-DE"/>
        </w:rPr>
        <w:t xml:space="preserve"> a significant correlation</w:t>
      </w:r>
      <w:r w:rsidR="001616FC" w:rsidRPr="00123003">
        <w:rPr>
          <w:sz w:val="24"/>
          <w:szCs w:val="24"/>
          <w:lang w:val="en-US" w:eastAsia="de-DE"/>
        </w:rPr>
        <w:t xml:space="preserve"> with </w:t>
      </w:r>
      <w:r w:rsidR="00925992" w:rsidRPr="00123003">
        <w:rPr>
          <w:sz w:val="24"/>
          <w:szCs w:val="24"/>
          <w:lang w:val="en-US" w:eastAsia="de-DE"/>
        </w:rPr>
        <w:t>the</w:t>
      </w:r>
      <w:r w:rsidR="001616FC" w:rsidRPr="00123003">
        <w:rPr>
          <w:sz w:val="24"/>
          <w:szCs w:val="24"/>
          <w:lang w:val="en-US" w:eastAsia="de-DE"/>
        </w:rPr>
        <w:t xml:space="preserve"> abundance of various genera that cover SCFA producers or </w:t>
      </w:r>
      <w:r w:rsidR="00925992" w:rsidRPr="00123003">
        <w:rPr>
          <w:sz w:val="24"/>
          <w:szCs w:val="24"/>
          <w:lang w:val="en-US" w:eastAsia="de-DE"/>
        </w:rPr>
        <w:t xml:space="preserve">microbes </w:t>
      </w:r>
      <w:r w:rsidR="00441E6C" w:rsidRPr="00123003">
        <w:rPr>
          <w:sz w:val="24"/>
          <w:szCs w:val="24"/>
          <w:lang w:val="en-US" w:eastAsia="de-DE"/>
        </w:rPr>
        <w:t xml:space="preserve">(potentially) </w:t>
      </w:r>
      <w:r w:rsidR="00925992" w:rsidRPr="00123003">
        <w:rPr>
          <w:sz w:val="24"/>
          <w:szCs w:val="24"/>
          <w:lang w:val="en-US" w:eastAsia="de-DE"/>
        </w:rPr>
        <w:t>involved in fermentation</w:t>
      </w:r>
      <w:r w:rsidR="001616FC" w:rsidRPr="00123003">
        <w:rPr>
          <w:sz w:val="24"/>
          <w:szCs w:val="24"/>
          <w:lang w:val="en-US" w:eastAsia="de-DE"/>
        </w:rPr>
        <w:t xml:space="preserve"> of </w:t>
      </w:r>
      <w:r w:rsidR="00937BB0" w:rsidRPr="00123003">
        <w:rPr>
          <w:sz w:val="24"/>
          <w:szCs w:val="24"/>
          <w:lang w:val="en-US" w:eastAsia="de-DE"/>
        </w:rPr>
        <w:t>fiber</w:t>
      </w:r>
      <w:r w:rsidR="001616FC" w:rsidRPr="00123003">
        <w:rPr>
          <w:i/>
          <w:sz w:val="24"/>
          <w:szCs w:val="24"/>
          <w:lang w:val="en-US" w:eastAsia="de-DE"/>
        </w:rPr>
        <w:t xml:space="preserve"> </w:t>
      </w:r>
      <w:r w:rsidR="001616FC" w:rsidRPr="00123003">
        <w:rPr>
          <w:sz w:val="24"/>
          <w:szCs w:val="24"/>
          <w:lang w:val="en-US" w:eastAsia="de-DE"/>
        </w:rPr>
        <w:t>(</w:t>
      </w:r>
      <w:r w:rsidR="00BC35B6" w:rsidRPr="00123003">
        <w:rPr>
          <w:sz w:val="24"/>
          <w:szCs w:val="24"/>
          <w:lang w:val="en-US" w:eastAsia="de-DE"/>
        </w:rPr>
        <w:t xml:space="preserve">e.g., </w:t>
      </w:r>
      <w:proofErr w:type="spellStart"/>
      <w:r w:rsidR="001616FC" w:rsidRPr="00123003">
        <w:rPr>
          <w:i/>
          <w:sz w:val="24"/>
          <w:szCs w:val="24"/>
          <w:lang w:val="en-US" w:eastAsia="de-DE"/>
        </w:rPr>
        <w:t>Prevotella</w:t>
      </w:r>
      <w:proofErr w:type="spellEnd"/>
      <w:r w:rsidR="001616FC" w:rsidRPr="00123003">
        <w:rPr>
          <w:sz w:val="24"/>
          <w:szCs w:val="24"/>
          <w:lang w:val="en-US" w:eastAsia="de-DE"/>
        </w:rPr>
        <w:t xml:space="preserve"> </w:t>
      </w:r>
      <w:r w:rsidR="00B55E5D" w:rsidRPr="00123003">
        <w:rPr>
          <w:sz w:val="24"/>
          <w:szCs w:val="24"/>
          <w:lang w:val="en-US" w:eastAsia="de-DE"/>
        </w:rPr>
        <w:t>genera</w:t>
      </w:r>
      <w:r w:rsidR="001616FC" w:rsidRPr="00123003">
        <w:rPr>
          <w:sz w:val="24"/>
          <w:szCs w:val="24"/>
          <w:lang w:val="en-US" w:eastAsia="de-DE"/>
        </w:rPr>
        <w:t xml:space="preserve"> </w:t>
      </w:r>
      <w:r w:rsidR="000946AA" w:rsidRPr="00123003">
        <w:rPr>
          <w:sz w:val="24"/>
          <w:szCs w:val="24"/>
          <w:lang w:val="en-US" w:eastAsia="de-DE"/>
        </w:rPr>
        <w:t xml:space="preserve">and </w:t>
      </w:r>
      <w:proofErr w:type="spellStart"/>
      <w:r w:rsidR="001616FC" w:rsidRPr="00123003">
        <w:rPr>
          <w:i/>
          <w:sz w:val="24"/>
          <w:szCs w:val="24"/>
          <w:lang w:val="en-US" w:eastAsia="de-DE"/>
        </w:rPr>
        <w:t>Buty</w:t>
      </w:r>
      <w:r w:rsidR="00BC35B6" w:rsidRPr="00123003">
        <w:rPr>
          <w:i/>
          <w:sz w:val="24"/>
          <w:szCs w:val="24"/>
          <w:lang w:val="en-US" w:eastAsia="de-DE"/>
        </w:rPr>
        <w:t>ri</w:t>
      </w:r>
      <w:r w:rsidR="001616FC" w:rsidRPr="00123003">
        <w:rPr>
          <w:i/>
          <w:sz w:val="24"/>
          <w:szCs w:val="24"/>
          <w:lang w:val="en-US" w:eastAsia="de-DE"/>
        </w:rPr>
        <w:t>vibrio</w:t>
      </w:r>
      <w:proofErr w:type="spellEnd"/>
      <w:r w:rsidR="000946AA" w:rsidRPr="00123003">
        <w:rPr>
          <w:sz w:val="24"/>
          <w:szCs w:val="24"/>
          <w:lang w:val="en-US" w:eastAsia="de-DE"/>
        </w:rPr>
        <w:t>)</w:t>
      </w:r>
      <w:r w:rsidR="00A43070" w:rsidRPr="00123003">
        <w:rPr>
          <w:sz w:val="24"/>
          <w:szCs w:val="24"/>
          <w:lang w:val="en-US" w:eastAsia="de-DE"/>
        </w:rPr>
        <w:t>. These genera were</w:t>
      </w:r>
      <w:r w:rsidR="001616FC" w:rsidRPr="00123003">
        <w:rPr>
          <w:sz w:val="24"/>
          <w:szCs w:val="24"/>
          <w:lang w:val="en-US" w:eastAsia="de-DE"/>
        </w:rPr>
        <w:t xml:space="preserve"> also significantly more abu</w:t>
      </w:r>
      <w:r w:rsidR="00925992" w:rsidRPr="00123003">
        <w:rPr>
          <w:sz w:val="24"/>
          <w:szCs w:val="24"/>
          <w:lang w:val="en-US" w:eastAsia="de-DE"/>
        </w:rPr>
        <w:t>ndant in the RA fecal microbiota</w:t>
      </w:r>
      <w:r w:rsidR="004A5BCB" w:rsidRPr="00123003">
        <w:rPr>
          <w:sz w:val="24"/>
          <w:szCs w:val="24"/>
          <w:lang w:val="en-US" w:eastAsia="de-DE"/>
        </w:rPr>
        <w:t xml:space="preserve"> (Figure</w:t>
      </w:r>
      <w:r w:rsidR="001616FC" w:rsidRPr="00123003">
        <w:rPr>
          <w:sz w:val="24"/>
          <w:szCs w:val="24"/>
          <w:lang w:val="en-US" w:eastAsia="de-DE"/>
        </w:rPr>
        <w:t xml:space="preserve"> 3</w:t>
      </w:r>
      <w:r w:rsidR="004A5BCB" w:rsidRPr="00123003">
        <w:rPr>
          <w:sz w:val="24"/>
          <w:szCs w:val="24"/>
          <w:lang w:val="en-US" w:eastAsia="de-DE"/>
        </w:rPr>
        <w:t>B</w:t>
      </w:r>
      <w:r w:rsidR="001616FC" w:rsidRPr="00123003">
        <w:rPr>
          <w:sz w:val="24"/>
          <w:szCs w:val="24"/>
          <w:lang w:val="en-US" w:eastAsia="de-DE"/>
        </w:rPr>
        <w:t xml:space="preserve">). The high fecal SCFA levels </w:t>
      </w:r>
      <w:r w:rsidR="00925992" w:rsidRPr="00123003">
        <w:rPr>
          <w:sz w:val="24"/>
          <w:szCs w:val="24"/>
          <w:lang w:val="en-US" w:eastAsia="de-DE"/>
        </w:rPr>
        <w:t xml:space="preserve">detected </w:t>
      </w:r>
      <w:r w:rsidR="001616FC" w:rsidRPr="00123003">
        <w:rPr>
          <w:sz w:val="24"/>
          <w:szCs w:val="24"/>
          <w:lang w:val="en-US" w:eastAsia="de-DE"/>
        </w:rPr>
        <w:t xml:space="preserve">in RA </w:t>
      </w:r>
      <w:r w:rsidR="00A43070" w:rsidRPr="00123003">
        <w:rPr>
          <w:sz w:val="24"/>
          <w:szCs w:val="24"/>
          <w:lang w:val="en-US" w:eastAsia="de-DE"/>
        </w:rPr>
        <w:t>feces</w:t>
      </w:r>
      <w:r w:rsidR="001616FC" w:rsidRPr="00123003">
        <w:rPr>
          <w:sz w:val="24"/>
          <w:szCs w:val="24"/>
          <w:lang w:val="en-US" w:eastAsia="de-DE"/>
        </w:rPr>
        <w:t xml:space="preserve"> also show a significant negative correlation </w:t>
      </w:r>
      <w:r w:rsidR="000946AA" w:rsidRPr="00123003">
        <w:rPr>
          <w:sz w:val="24"/>
          <w:szCs w:val="24"/>
          <w:lang w:val="en-US" w:eastAsia="de-DE"/>
        </w:rPr>
        <w:t>with genera</w:t>
      </w:r>
      <w:r w:rsidR="001616FC" w:rsidRPr="00123003">
        <w:rPr>
          <w:sz w:val="24"/>
          <w:szCs w:val="24"/>
          <w:lang w:val="en-US" w:eastAsia="de-DE"/>
        </w:rPr>
        <w:t xml:space="preserve"> significantly enriched in the AN fecal microbio</w:t>
      </w:r>
      <w:r w:rsidR="00AC7914" w:rsidRPr="00123003">
        <w:rPr>
          <w:sz w:val="24"/>
          <w:szCs w:val="24"/>
          <w:lang w:val="en-US" w:eastAsia="de-DE"/>
        </w:rPr>
        <w:t>ta</w:t>
      </w:r>
      <w:r w:rsidR="000946AA" w:rsidRPr="00123003">
        <w:rPr>
          <w:sz w:val="24"/>
          <w:szCs w:val="24"/>
          <w:lang w:val="en-US" w:eastAsia="de-DE"/>
        </w:rPr>
        <w:t xml:space="preserve"> (</w:t>
      </w:r>
      <w:r w:rsidR="00BC35B6" w:rsidRPr="00123003">
        <w:rPr>
          <w:sz w:val="24"/>
          <w:szCs w:val="24"/>
          <w:lang w:val="en-US" w:eastAsia="de-DE"/>
        </w:rPr>
        <w:t xml:space="preserve">e.g., </w:t>
      </w:r>
      <w:proofErr w:type="spellStart"/>
      <w:r w:rsidR="000946AA" w:rsidRPr="00123003">
        <w:rPr>
          <w:i/>
          <w:sz w:val="24"/>
          <w:szCs w:val="24"/>
          <w:lang w:val="en-US" w:eastAsia="de-DE"/>
        </w:rPr>
        <w:t>Blautia</w:t>
      </w:r>
      <w:proofErr w:type="spellEnd"/>
      <w:r w:rsidR="000946AA" w:rsidRPr="00123003">
        <w:rPr>
          <w:sz w:val="24"/>
          <w:szCs w:val="24"/>
          <w:lang w:val="en-US" w:eastAsia="de-DE"/>
        </w:rPr>
        <w:t>)</w:t>
      </w:r>
      <w:r w:rsidR="00AC7914" w:rsidRPr="00123003">
        <w:rPr>
          <w:sz w:val="24"/>
          <w:szCs w:val="24"/>
          <w:lang w:val="en-US" w:eastAsia="de-DE"/>
        </w:rPr>
        <w:t>, suggesting a distinct assembly of the fecal microbiota with respect to metabolic function (SCFA</w:t>
      </w:r>
      <w:r w:rsidR="005F0663" w:rsidRPr="00123003">
        <w:rPr>
          <w:sz w:val="24"/>
          <w:szCs w:val="24"/>
          <w:lang w:val="en-US" w:eastAsia="de-DE"/>
        </w:rPr>
        <w:t xml:space="preserve"> synthesis</w:t>
      </w:r>
      <w:r w:rsidR="00AC7914" w:rsidRPr="00123003">
        <w:rPr>
          <w:sz w:val="24"/>
          <w:szCs w:val="24"/>
          <w:lang w:val="en-US" w:eastAsia="de-DE"/>
        </w:rPr>
        <w:t>) and substrate (dietary fiber)</w:t>
      </w:r>
      <w:r w:rsidR="001616FC" w:rsidRPr="00123003">
        <w:rPr>
          <w:sz w:val="24"/>
          <w:szCs w:val="24"/>
          <w:lang w:val="en-US" w:eastAsia="de-DE"/>
        </w:rPr>
        <w:t xml:space="preserve">. </w:t>
      </w:r>
      <w:r w:rsidR="0044413A" w:rsidRPr="00123003">
        <w:rPr>
          <w:sz w:val="24"/>
          <w:szCs w:val="24"/>
          <w:lang w:val="en-US" w:eastAsia="de-DE"/>
        </w:rPr>
        <w:t xml:space="preserve">In contrast, choline and formate, </w:t>
      </w:r>
      <w:r w:rsidR="001616FC" w:rsidRPr="00123003">
        <w:rPr>
          <w:sz w:val="24"/>
          <w:szCs w:val="24"/>
          <w:lang w:val="en-US" w:eastAsia="de-DE"/>
        </w:rPr>
        <w:t xml:space="preserve">identified to be </w:t>
      </w:r>
      <w:r w:rsidR="00AC7914" w:rsidRPr="00123003">
        <w:rPr>
          <w:sz w:val="24"/>
          <w:szCs w:val="24"/>
          <w:lang w:val="en-US" w:eastAsia="de-DE"/>
        </w:rPr>
        <w:t>more abundant</w:t>
      </w:r>
      <w:r w:rsidR="001616FC" w:rsidRPr="00123003">
        <w:rPr>
          <w:sz w:val="24"/>
          <w:szCs w:val="24"/>
          <w:lang w:val="en-US" w:eastAsia="de-DE"/>
        </w:rPr>
        <w:t xml:space="preserve"> in </w:t>
      </w:r>
      <w:proofErr w:type="gramStart"/>
      <w:r w:rsidR="001616FC" w:rsidRPr="00123003">
        <w:rPr>
          <w:sz w:val="24"/>
          <w:szCs w:val="24"/>
          <w:lang w:val="en-US" w:eastAsia="de-DE"/>
        </w:rPr>
        <w:t>AN</w:t>
      </w:r>
      <w:proofErr w:type="gramEnd"/>
      <w:r w:rsidR="001616FC" w:rsidRPr="00123003">
        <w:rPr>
          <w:sz w:val="24"/>
          <w:szCs w:val="24"/>
          <w:lang w:val="en-US" w:eastAsia="de-DE"/>
        </w:rPr>
        <w:t xml:space="preserve"> fecal water,</w:t>
      </w:r>
      <w:r w:rsidR="0044413A" w:rsidRPr="00123003">
        <w:rPr>
          <w:sz w:val="24"/>
          <w:szCs w:val="24"/>
          <w:lang w:val="en-US" w:eastAsia="de-DE"/>
        </w:rPr>
        <w:t xml:space="preserve"> exhibit fewer significant correlations with microbial genera</w:t>
      </w:r>
      <w:r w:rsidR="00A43070" w:rsidRPr="00123003">
        <w:rPr>
          <w:sz w:val="24"/>
          <w:szCs w:val="24"/>
          <w:lang w:val="en-US" w:eastAsia="de-DE"/>
        </w:rPr>
        <w:t xml:space="preserve">, </w:t>
      </w:r>
      <w:r w:rsidR="001616FC" w:rsidRPr="00123003">
        <w:rPr>
          <w:sz w:val="24"/>
          <w:szCs w:val="24"/>
          <w:lang w:val="en-US" w:eastAsia="de-DE"/>
        </w:rPr>
        <w:t>suggesting</w:t>
      </w:r>
      <w:r w:rsidR="002C65BD" w:rsidRPr="00123003">
        <w:rPr>
          <w:sz w:val="24"/>
          <w:szCs w:val="24"/>
          <w:lang w:val="en-US" w:eastAsia="de-DE"/>
        </w:rPr>
        <w:t xml:space="preserve"> </w:t>
      </w:r>
      <w:r w:rsidR="003459D6" w:rsidRPr="00123003">
        <w:rPr>
          <w:sz w:val="24"/>
          <w:szCs w:val="24"/>
          <w:lang w:val="en-US" w:eastAsia="de-DE"/>
        </w:rPr>
        <w:t xml:space="preserve">that the presence </w:t>
      </w:r>
      <w:r w:rsidR="00E30F0E" w:rsidRPr="00123003">
        <w:rPr>
          <w:sz w:val="24"/>
          <w:szCs w:val="24"/>
          <w:lang w:val="en-US" w:eastAsia="de-DE"/>
        </w:rPr>
        <w:t>of these two metabolites</w:t>
      </w:r>
      <w:r w:rsidR="002C65BD" w:rsidRPr="00123003">
        <w:rPr>
          <w:sz w:val="24"/>
          <w:szCs w:val="24"/>
          <w:lang w:val="en-US" w:eastAsia="de-DE"/>
        </w:rPr>
        <w:t xml:space="preserve"> </w:t>
      </w:r>
      <w:r w:rsidR="003459D6" w:rsidRPr="00123003">
        <w:rPr>
          <w:sz w:val="24"/>
          <w:szCs w:val="24"/>
          <w:lang w:val="en-US" w:eastAsia="de-DE"/>
        </w:rPr>
        <w:t>may be linked to multiple factors in addition to bacterial metabolism, e.g. dietary intake</w:t>
      </w:r>
      <w:r w:rsidR="002C65BD" w:rsidRPr="00123003">
        <w:rPr>
          <w:sz w:val="24"/>
          <w:szCs w:val="24"/>
          <w:lang w:val="en-US" w:eastAsia="de-DE"/>
        </w:rPr>
        <w:t>.</w:t>
      </w:r>
      <w:r w:rsidR="005F0663" w:rsidRPr="00123003">
        <w:rPr>
          <w:sz w:val="24"/>
          <w:szCs w:val="24"/>
          <w:lang w:val="en-US" w:eastAsia="de-DE"/>
        </w:rPr>
        <w:t xml:space="preserve"> </w:t>
      </w:r>
      <w:r w:rsidR="002C65BD" w:rsidRPr="00123003">
        <w:rPr>
          <w:sz w:val="24"/>
          <w:szCs w:val="24"/>
          <w:lang w:val="en-US" w:eastAsia="de-DE"/>
        </w:rPr>
        <w:t xml:space="preserve">As expected, there </w:t>
      </w:r>
      <w:r w:rsidR="00C422EF" w:rsidRPr="00123003">
        <w:rPr>
          <w:sz w:val="24"/>
          <w:szCs w:val="24"/>
          <w:lang w:val="en-US" w:eastAsia="de-DE"/>
        </w:rPr>
        <w:t xml:space="preserve">were </w:t>
      </w:r>
      <w:r w:rsidR="00A43070" w:rsidRPr="00123003">
        <w:rPr>
          <w:sz w:val="24"/>
          <w:szCs w:val="24"/>
          <w:lang w:val="en-US" w:eastAsia="de-DE"/>
        </w:rPr>
        <w:t>fewer</w:t>
      </w:r>
      <w:r w:rsidR="002C65BD" w:rsidRPr="00123003">
        <w:rPr>
          <w:sz w:val="24"/>
          <w:szCs w:val="24"/>
          <w:lang w:val="en-US" w:eastAsia="de-DE"/>
        </w:rPr>
        <w:t xml:space="preserve"> significant correlation</w:t>
      </w:r>
      <w:r w:rsidR="005822A5" w:rsidRPr="00123003">
        <w:rPr>
          <w:sz w:val="24"/>
          <w:szCs w:val="24"/>
          <w:lang w:val="en-US" w:eastAsia="de-DE"/>
        </w:rPr>
        <w:t>s</w:t>
      </w:r>
      <w:r w:rsidR="002C65BD" w:rsidRPr="00123003">
        <w:rPr>
          <w:sz w:val="24"/>
          <w:szCs w:val="24"/>
          <w:lang w:val="en-US" w:eastAsia="de-DE"/>
        </w:rPr>
        <w:t xml:space="preserve"> </w:t>
      </w:r>
      <w:r w:rsidR="00A43070" w:rsidRPr="00123003">
        <w:rPr>
          <w:sz w:val="24"/>
          <w:szCs w:val="24"/>
          <w:lang w:val="en-US" w:eastAsia="de-DE"/>
        </w:rPr>
        <w:t xml:space="preserve">detected </w:t>
      </w:r>
      <w:r w:rsidR="002C65BD" w:rsidRPr="00123003">
        <w:rPr>
          <w:sz w:val="24"/>
          <w:szCs w:val="24"/>
          <w:lang w:val="en-US" w:eastAsia="de-DE"/>
        </w:rPr>
        <w:t>between</w:t>
      </w:r>
      <w:r w:rsidR="00834080" w:rsidRPr="00123003">
        <w:rPr>
          <w:sz w:val="24"/>
          <w:szCs w:val="24"/>
          <w:lang w:val="en-US" w:eastAsia="de-DE"/>
        </w:rPr>
        <w:t xml:space="preserve"> </w:t>
      </w:r>
      <w:r w:rsidR="001616FC" w:rsidRPr="00123003">
        <w:rPr>
          <w:sz w:val="24"/>
          <w:szCs w:val="24"/>
          <w:lang w:val="en-US" w:eastAsia="de-DE"/>
        </w:rPr>
        <w:t xml:space="preserve">urinary metabolites </w:t>
      </w:r>
      <w:r w:rsidR="002C65BD" w:rsidRPr="00123003">
        <w:rPr>
          <w:sz w:val="24"/>
          <w:szCs w:val="24"/>
          <w:lang w:val="en-US" w:eastAsia="de-DE"/>
        </w:rPr>
        <w:t xml:space="preserve">and </w:t>
      </w:r>
      <w:r w:rsidR="005F0CD0" w:rsidRPr="00123003">
        <w:rPr>
          <w:sz w:val="24"/>
          <w:szCs w:val="24"/>
          <w:lang w:val="en-US" w:eastAsia="de-DE"/>
        </w:rPr>
        <w:t xml:space="preserve">fecal </w:t>
      </w:r>
      <w:r w:rsidR="002C65BD" w:rsidRPr="00123003">
        <w:rPr>
          <w:sz w:val="24"/>
          <w:szCs w:val="24"/>
          <w:lang w:val="en-US" w:eastAsia="de-DE"/>
        </w:rPr>
        <w:t>microbial genera</w:t>
      </w:r>
      <w:r w:rsidR="00A43070" w:rsidRPr="00123003">
        <w:rPr>
          <w:sz w:val="24"/>
          <w:szCs w:val="24"/>
          <w:lang w:val="en-US" w:eastAsia="de-DE"/>
        </w:rPr>
        <w:t xml:space="preserve"> than</w:t>
      </w:r>
      <w:r w:rsidR="002C65BD" w:rsidRPr="00123003">
        <w:rPr>
          <w:sz w:val="24"/>
          <w:szCs w:val="24"/>
          <w:lang w:val="en-US" w:eastAsia="de-DE"/>
        </w:rPr>
        <w:t xml:space="preserve"> for fecal samples. </w:t>
      </w:r>
      <w:r w:rsidR="00497B99" w:rsidRPr="00123003">
        <w:rPr>
          <w:sz w:val="24"/>
          <w:szCs w:val="24"/>
          <w:lang w:val="en-US" w:eastAsia="de-DE"/>
        </w:rPr>
        <w:t>The</w:t>
      </w:r>
      <w:r w:rsidR="001616FC" w:rsidRPr="00123003">
        <w:rPr>
          <w:sz w:val="24"/>
          <w:szCs w:val="24"/>
          <w:lang w:val="en-US" w:eastAsia="de-DE"/>
        </w:rPr>
        <w:t xml:space="preserve"> bile acids </w:t>
      </w:r>
      <w:r w:rsidR="00497B99" w:rsidRPr="00123003">
        <w:rPr>
          <w:sz w:val="24"/>
          <w:szCs w:val="24"/>
          <w:lang w:val="en-US" w:eastAsia="de-DE"/>
        </w:rPr>
        <w:t xml:space="preserve">detected in </w:t>
      </w:r>
      <w:r w:rsidR="00A43070" w:rsidRPr="00123003">
        <w:rPr>
          <w:sz w:val="24"/>
          <w:szCs w:val="24"/>
          <w:lang w:val="en-US" w:eastAsia="de-DE"/>
        </w:rPr>
        <w:t>greater</w:t>
      </w:r>
      <w:r w:rsidR="00497B99" w:rsidRPr="00123003">
        <w:rPr>
          <w:sz w:val="24"/>
          <w:szCs w:val="24"/>
          <w:lang w:val="en-US" w:eastAsia="de-DE"/>
        </w:rPr>
        <w:t xml:space="preserve"> amounts in</w:t>
      </w:r>
      <w:r w:rsidR="00A43070" w:rsidRPr="00123003">
        <w:rPr>
          <w:sz w:val="24"/>
          <w:szCs w:val="24"/>
          <w:lang w:val="en-US" w:eastAsia="de-DE"/>
        </w:rPr>
        <w:t xml:space="preserve"> AN</w:t>
      </w:r>
      <w:r w:rsidR="00497B99" w:rsidRPr="00123003">
        <w:rPr>
          <w:sz w:val="24"/>
          <w:szCs w:val="24"/>
          <w:lang w:val="en-US" w:eastAsia="de-DE"/>
        </w:rPr>
        <w:t xml:space="preserve"> urine </w:t>
      </w:r>
      <w:r w:rsidR="00A43070" w:rsidRPr="00123003">
        <w:rPr>
          <w:sz w:val="24"/>
          <w:szCs w:val="24"/>
          <w:lang w:val="en-US" w:eastAsia="de-DE"/>
        </w:rPr>
        <w:t xml:space="preserve">samples </w:t>
      </w:r>
      <w:r w:rsidR="00497B99" w:rsidRPr="00123003">
        <w:rPr>
          <w:sz w:val="24"/>
          <w:szCs w:val="24"/>
          <w:lang w:val="en-US" w:eastAsia="de-DE"/>
        </w:rPr>
        <w:t xml:space="preserve">correlated significantly with </w:t>
      </w:r>
      <w:r w:rsidR="009E55B1" w:rsidRPr="00123003">
        <w:rPr>
          <w:sz w:val="24"/>
          <w:szCs w:val="24"/>
          <w:lang w:val="en-US" w:eastAsia="de-DE"/>
        </w:rPr>
        <w:t>high abundance of genera involved in bile acid biotransformation</w:t>
      </w:r>
      <w:r w:rsidR="00497B99" w:rsidRPr="00123003">
        <w:rPr>
          <w:sz w:val="24"/>
          <w:szCs w:val="24"/>
          <w:lang w:val="en-US" w:eastAsia="de-DE"/>
        </w:rPr>
        <w:t xml:space="preserve"> </w:t>
      </w:r>
      <w:r w:rsidR="009E55B1" w:rsidRPr="00123003">
        <w:rPr>
          <w:sz w:val="24"/>
          <w:szCs w:val="24"/>
          <w:lang w:val="en-US" w:eastAsia="de-DE"/>
        </w:rPr>
        <w:t>(</w:t>
      </w:r>
      <w:proofErr w:type="spellStart"/>
      <w:r w:rsidR="001616FC" w:rsidRPr="00123003">
        <w:rPr>
          <w:i/>
          <w:sz w:val="24"/>
          <w:szCs w:val="24"/>
          <w:lang w:val="en-US" w:eastAsia="de-DE"/>
        </w:rPr>
        <w:t>Blautia</w:t>
      </w:r>
      <w:proofErr w:type="spellEnd"/>
      <w:r w:rsidR="009E55B1" w:rsidRPr="00123003">
        <w:rPr>
          <w:sz w:val="24"/>
          <w:szCs w:val="24"/>
          <w:lang w:val="en-US" w:eastAsia="de-DE"/>
        </w:rPr>
        <w:t xml:space="preserve">, </w:t>
      </w:r>
      <w:proofErr w:type="spellStart"/>
      <w:r w:rsidR="009E55B1" w:rsidRPr="00123003">
        <w:rPr>
          <w:i/>
          <w:sz w:val="24"/>
          <w:szCs w:val="24"/>
          <w:lang w:val="en-US" w:eastAsia="de-DE"/>
        </w:rPr>
        <w:t>Lachnoclostridium</w:t>
      </w:r>
      <w:proofErr w:type="spellEnd"/>
      <w:r w:rsidR="001616FC" w:rsidRPr="00123003">
        <w:rPr>
          <w:sz w:val="24"/>
          <w:szCs w:val="24"/>
          <w:lang w:val="en-US" w:eastAsia="de-DE"/>
        </w:rPr>
        <w:t xml:space="preserve">) and </w:t>
      </w:r>
      <w:r w:rsidR="009E55B1" w:rsidRPr="00123003">
        <w:rPr>
          <w:sz w:val="24"/>
          <w:szCs w:val="24"/>
          <w:lang w:val="en-US" w:eastAsia="de-DE"/>
        </w:rPr>
        <w:t>low presence of saccharolytic bacteria (</w:t>
      </w:r>
      <w:proofErr w:type="spellStart"/>
      <w:r w:rsidR="001616FC" w:rsidRPr="00123003">
        <w:rPr>
          <w:i/>
          <w:sz w:val="24"/>
          <w:szCs w:val="24"/>
          <w:lang w:val="en-US" w:eastAsia="de-DE"/>
        </w:rPr>
        <w:t>Prevotella</w:t>
      </w:r>
      <w:r w:rsidR="009E55B1" w:rsidRPr="00123003">
        <w:rPr>
          <w:i/>
          <w:sz w:val="24"/>
          <w:szCs w:val="24"/>
          <w:lang w:val="en-US" w:eastAsia="de-DE"/>
        </w:rPr>
        <w:t>ceae</w:t>
      </w:r>
      <w:proofErr w:type="spellEnd"/>
      <w:r w:rsidR="00F415E2" w:rsidRPr="00123003">
        <w:rPr>
          <w:sz w:val="24"/>
          <w:szCs w:val="24"/>
          <w:lang w:val="en-US" w:eastAsia="de-DE"/>
        </w:rPr>
        <w:t xml:space="preserve">, </w:t>
      </w:r>
      <w:proofErr w:type="spellStart"/>
      <w:r w:rsidR="001616FC" w:rsidRPr="00123003">
        <w:rPr>
          <w:i/>
          <w:sz w:val="24"/>
          <w:szCs w:val="24"/>
          <w:lang w:val="en-US" w:eastAsia="de-DE"/>
        </w:rPr>
        <w:t>Ruminococcaceae</w:t>
      </w:r>
      <w:proofErr w:type="spellEnd"/>
      <w:r w:rsidR="001616FC" w:rsidRPr="00123003">
        <w:rPr>
          <w:sz w:val="24"/>
          <w:szCs w:val="24"/>
          <w:lang w:val="en-US" w:eastAsia="de-DE"/>
        </w:rPr>
        <w:t>)</w:t>
      </w:r>
      <w:r w:rsidR="00497B99" w:rsidRPr="00123003">
        <w:rPr>
          <w:sz w:val="24"/>
          <w:szCs w:val="24"/>
          <w:lang w:val="en-US" w:eastAsia="de-DE"/>
        </w:rPr>
        <w:t xml:space="preserve">, suggesting an inverse </w:t>
      </w:r>
      <w:r w:rsidR="003459D6" w:rsidRPr="00123003">
        <w:rPr>
          <w:sz w:val="24"/>
          <w:szCs w:val="24"/>
          <w:lang w:val="en-US" w:eastAsia="de-DE"/>
        </w:rPr>
        <w:t>correlation</w:t>
      </w:r>
      <w:r w:rsidR="00497B99" w:rsidRPr="00123003">
        <w:rPr>
          <w:sz w:val="24"/>
          <w:szCs w:val="24"/>
          <w:lang w:val="en-US" w:eastAsia="de-DE"/>
        </w:rPr>
        <w:t xml:space="preserve"> </w:t>
      </w:r>
      <w:r w:rsidR="005822A5" w:rsidRPr="00123003">
        <w:rPr>
          <w:sz w:val="24"/>
          <w:szCs w:val="24"/>
          <w:lang w:val="en-US" w:eastAsia="de-DE"/>
        </w:rPr>
        <w:t>of</w:t>
      </w:r>
      <w:r w:rsidR="00497B99" w:rsidRPr="00123003">
        <w:rPr>
          <w:sz w:val="24"/>
          <w:szCs w:val="24"/>
          <w:lang w:val="en-US" w:eastAsia="de-DE"/>
        </w:rPr>
        <w:t xml:space="preserve"> bile acid </w:t>
      </w:r>
      <w:r w:rsidR="005822A5" w:rsidRPr="00123003">
        <w:rPr>
          <w:sz w:val="24"/>
          <w:szCs w:val="24"/>
          <w:lang w:val="en-US" w:eastAsia="de-DE"/>
        </w:rPr>
        <w:t>biotransformation</w:t>
      </w:r>
      <w:r w:rsidR="00497B99" w:rsidRPr="00123003">
        <w:rPr>
          <w:sz w:val="24"/>
          <w:szCs w:val="24"/>
          <w:lang w:val="en-US" w:eastAsia="de-DE"/>
        </w:rPr>
        <w:t xml:space="preserve"> and SCFA synthesis</w:t>
      </w:r>
      <w:r w:rsidR="005822A5" w:rsidRPr="00123003">
        <w:rPr>
          <w:sz w:val="24"/>
          <w:szCs w:val="24"/>
          <w:lang w:val="en-US" w:eastAsia="de-DE"/>
        </w:rPr>
        <w:t xml:space="preserve"> at </w:t>
      </w:r>
      <w:r w:rsidR="00B83CB4">
        <w:rPr>
          <w:sz w:val="24"/>
          <w:szCs w:val="24"/>
          <w:lang w:val="en-US" w:eastAsia="de-DE"/>
        </w:rPr>
        <w:t xml:space="preserve">the </w:t>
      </w:r>
      <w:r w:rsidR="005822A5" w:rsidRPr="00123003">
        <w:rPr>
          <w:sz w:val="24"/>
          <w:szCs w:val="24"/>
          <w:lang w:val="en-US" w:eastAsia="de-DE"/>
        </w:rPr>
        <w:t>microbial metabolism</w:t>
      </w:r>
      <w:r w:rsidR="00A43070" w:rsidRPr="00123003">
        <w:rPr>
          <w:sz w:val="24"/>
          <w:szCs w:val="24"/>
          <w:lang w:val="en-US" w:eastAsia="de-DE"/>
        </w:rPr>
        <w:t xml:space="preserve"> level</w:t>
      </w:r>
      <w:r w:rsidR="001616FC" w:rsidRPr="00123003">
        <w:rPr>
          <w:sz w:val="24"/>
          <w:szCs w:val="24"/>
          <w:lang w:val="en-US" w:eastAsia="de-DE"/>
        </w:rPr>
        <w:t xml:space="preserve">. </w:t>
      </w:r>
    </w:p>
    <w:p w:rsidR="00E25FC7" w:rsidRPr="00123003" w:rsidRDefault="00935E85" w:rsidP="00123003">
      <w:pPr>
        <w:pStyle w:val="KeinLeerraum"/>
        <w:spacing w:line="480" w:lineRule="auto"/>
        <w:jc w:val="both"/>
        <w:rPr>
          <w:b/>
          <w:sz w:val="24"/>
          <w:szCs w:val="24"/>
          <w:lang w:val="en-US"/>
        </w:rPr>
      </w:pPr>
      <w:r w:rsidRPr="00123003">
        <w:rPr>
          <w:b/>
          <w:sz w:val="24"/>
          <w:szCs w:val="24"/>
          <w:lang w:val="en-US"/>
        </w:rPr>
        <w:t>L</w:t>
      </w:r>
      <w:r w:rsidR="00AA36EB" w:rsidRPr="00123003">
        <w:rPr>
          <w:b/>
          <w:sz w:val="24"/>
          <w:szCs w:val="24"/>
          <w:lang w:val="en-US"/>
        </w:rPr>
        <w:t>ower l</w:t>
      </w:r>
      <w:r w:rsidRPr="00123003">
        <w:rPr>
          <w:b/>
          <w:sz w:val="24"/>
          <w:szCs w:val="24"/>
          <w:lang w:val="en-US"/>
        </w:rPr>
        <w:t xml:space="preserve">evels of SCFA, but not </w:t>
      </w:r>
      <w:r w:rsidR="00CB6434" w:rsidRPr="00123003">
        <w:rPr>
          <w:b/>
          <w:sz w:val="24"/>
          <w:szCs w:val="24"/>
          <w:lang w:val="en-US"/>
        </w:rPr>
        <w:t>butyrogenic bacteria</w:t>
      </w:r>
      <w:r w:rsidR="00E25FC7" w:rsidRPr="00123003">
        <w:rPr>
          <w:b/>
          <w:sz w:val="24"/>
          <w:szCs w:val="24"/>
          <w:lang w:val="en-US"/>
        </w:rPr>
        <w:t xml:space="preserve"> </w:t>
      </w:r>
      <w:r w:rsidR="00CE6408" w:rsidRPr="00123003">
        <w:rPr>
          <w:b/>
          <w:sz w:val="24"/>
          <w:szCs w:val="24"/>
          <w:lang w:val="en-US"/>
        </w:rPr>
        <w:t xml:space="preserve">in AN compared to RA </w:t>
      </w:r>
      <w:r w:rsidR="00AA36EB" w:rsidRPr="00123003">
        <w:rPr>
          <w:b/>
          <w:sz w:val="24"/>
          <w:szCs w:val="24"/>
          <w:lang w:val="en-US"/>
        </w:rPr>
        <w:t>fecal samples</w:t>
      </w:r>
    </w:p>
    <w:p w:rsidR="00E051B0" w:rsidRPr="00123003" w:rsidRDefault="004E54E5" w:rsidP="00123003">
      <w:pPr>
        <w:spacing w:line="480" w:lineRule="auto"/>
        <w:jc w:val="both"/>
        <w:rPr>
          <w:sz w:val="24"/>
          <w:szCs w:val="24"/>
          <w:lang w:val="en-US"/>
        </w:rPr>
      </w:pPr>
      <w:r w:rsidRPr="00123003">
        <w:rPr>
          <w:sz w:val="24"/>
          <w:szCs w:val="24"/>
          <w:lang w:val="en-US"/>
        </w:rPr>
        <w:lastRenderedPageBreak/>
        <w:t xml:space="preserve">Since the metabonomic analysis indicated lower levels of SCFA in </w:t>
      </w:r>
      <w:r w:rsidR="00B71A80" w:rsidRPr="00123003">
        <w:rPr>
          <w:sz w:val="24"/>
          <w:szCs w:val="24"/>
          <w:lang w:val="en-US"/>
        </w:rPr>
        <w:t xml:space="preserve">feces of </w:t>
      </w:r>
      <w:proofErr w:type="gramStart"/>
      <w:r w:rsidRPr="00123003">
        <w:rPr>
          <w:sz w:val="24"/>
          <w:szCs w:val="24"/>
          <w:lang w:val="en-US"/>
        </w:rPr>
        <w:t>AN</w:t>
      </w:r>
      <w:proofErr w:type="gramEnd"/>
      <w:r w:rsidRPr="00123003">
        <w:rPr>
          <w:sz w:val="24"/>
          <w:szCs w:val="24"/>
          <w:lang w:val="en-US"/>
        </w:rPr>
        <w:t xml:space="preserve"> people</w:t>
      </w:r>
      <w:r w:rsidR="003D49F7" w:rsidRPr="00123003">
        <w:rPr>
          <w:sz w:val="24"/>
          <w:szCs w:val="24"/>
          <w:lang w:val="en-US"/>
        </w:rPr>
        <w:t xml:space="preserve">, we </w:t>
      </w:r>
      <w:r w:rsidRPr="00123003">
        <w:rPr>
          <w:sz w:val="24"/>
          <w:szCs w:val="24"/>
          <w:lang w:val="en-US"/>
        </w:rPr>
        <w:t>performed a targeted quantification of SCFA</w:t>
      </w:r>
      <w:r w:rsidR="00F01528" w:rsidRPr="00123003">
        <w:rPr>
          <w:sz w:val="24"/>
          <w:szCs w:val="24"/>
          <w:lang w:val="en-US"/>
        </w:rPr>
        <w:t xml:space="preserve"> levels. </w:t>
      </w:r>
      <w:r w:rsidR="00DB5A9E" w:rsidRPr="00123003">
        <w:rPr>
          <w:sz w:val="24"/>
          <w:szCs w:val="24"/>
          <w:lang w:val="en-US"/>
        </w:rPr>
        <w:t>The</w:t>
      </w:r>
      <w:r w:rsidR="003D49F7" w:rsidRPr="00123003">
        <w:rPr>
          <w:sz w:val="24"/>
          <w:szCs w:val="24"/>
          <w:lang w:val="en-US"/>
        </w:rPr>
        <w:t xml:space="preserve"> </w:t>
      </w:r>
      <w:r w:rsidR="00A56D41" w:rsidRPr="00123003">
        <w:rPr>
          <w:sz w:val="24"/>
          <w:szCs w:val="24"/>
          <w:lang w:val="en-US"/>
        </w:rPr>
        <w:t>levels</w:t>
      </w:r>
      <w:r w:rsidR="001826AD" w:rsidRPr="00123003">
        <w:rPr>
          <w:sz w:val="24"/>
          <w:szCs w:val="24"/>
          <w:lang w:val="en-US"/>
        </w:rPr>
        <w:t xml:space="preserve"> of acetate, propi</w:t>
      </w:r>
      <w:r w:rsidR="00F90EB5" w:rsidRPr="00123003">
        <w:rPr>
          <w:sz w:val="24"/>
          <w:szCs w:val="24"/>
          <w:lang w:val="en-US"/>
        </w:rPr>
        <w:t>onate</w:t>
      </w:r>
      <w:r w:rsidR="00A501C2" w:rsidRPr="00123003">
        <w:rPr>
          <w:sz w:val="24"/>
          <w:szCs w:val="24"/>
          <w:lang w:val="en-US"/>
        </w:rPr>
        <w:t xml:space="preserve">, </w:t>
      </w:r>
      <w:r w:rsidR="00B562F9" w:rsidRPr="00123003">
        <w:rPr>
          <w:sz w:val="24"/>
          <w:szCs w:val="24"/>
          <w:lang w:val="en-US"/>
        </w:rPr>
        <w:t xml:space="preserve">butyrate </w:t>
      </w:r>
      <w:r w:rsidR="00A501C2" w:rsidRPr="00123003">
        <w:rPr>
          <w:sz w:val="24"/>
          <w:szCs w:val="24"/>
          <w:lang w:val="en-US"/>
        </w:rPr>
        <w:t xml:space="preserve">and total SCFA </w:t>
      </w:r>
      <w:r w:rsidR="003D49F7" w:rsidRPr="00123003">
        <w:rPr>
          <w:sz w:val="24"/>
          <w:szCs w:val="24"/>
          <w:lang w:val="en-US"/>
        </w:rPr>
        <w:t>w</w:t>
      </w:r>
      <w:r w:rsidR="00A56D41" w:rsidRPr="00123003">
        <w:rPr>
          <w:sz w:val="24"/>
          <w:szCs w:val="24"/>
          <w:lang w:val="en-US"/>
        </w:rPr>
        <w:t>ere</w:t>
      </w:r>
      <w:r w:rsidR="003D49F7" w:rsidRPr="00123003">
        <w:rPr>
          <w:sz w:val="24"/>
          <w:szCs w:val="24"/>
          <w:lang w:val="en-US"/>
        </w:rPr>
        <w:t xml:space="preserve"> significantly</w:t>
      </w:r>
      <w:r w:rsidR="001826AD" w:rsidRPr="00123003">
        <w:rPr>
          <w:sz w:val="24"/>
          <w:szCs w:val="24"/>
          <w:lang w:val="en-US"/>
        </w:rPr>
        <w:t xml:space="preserve"> </w:t>
      </w:r>
      <w:r w:rsidR="00B562F9" w:rsidRPr="00123003">
        <w:rPr>
          <w:sz w:val="24"/>
          <w:szCs w:val="24"/>
          <w:lang w:val="en-US"/>
        </w:rPr>
        <w:t>lower</w:t>
      </w:r>
      <w:r w:rsidR="001826AD" w:rsidRPr="00123003">
        <w:rPr>
          <w:sz w:val="24"/>
          <w:szCs w:val="24"/>
          <w:lang w:val="en-US"/>
        </w:rPr>
        <w:t xml:space="preserve"> in </w:t>
      </w:r>
      <w:proofErr w:type="gramStart"/>
      <w:r w:rsidR="00A56D41" w:rsidRPr="00123003">
        <w:rPr>
          <w:sz w:val="24"/>
          <w:szCs w:val="24"/>
          <w:lang w:val="en-US"/>
        </w:rPr>
        <w:t>AN</w:t>
      </w:r>
      <w:proofErr w:type="gramEnd"/>
      <w:r w:rsidR="00A56D41" w:rsidRPr="00123003">
        <w:rPr>
          <w:sz w:val="24"/>
          <w:szCs w:val="24"/>
          <w:lang w:val="en-US"/>
        </w:rPr>
        <w:t xml:space="preserve"> compared to RA </w:t>
      </w:r>
      <w:r w:rsidR="00AA36EB" w:rsidRPr="00123003">
        <w:rPr>
          <w:sz w:val="24"/>
          <w:szCs w:val="24"/>
          <w:lang w:val="en-US"/>
        </w:rPr>
        <w:t>fecal samples</w:t>
      </w:r>
      <w:r w:rsidR="00A56D41" w:rsidRPr="00123003">
        <w:rPr>
          <w:sz w:val="24"/>
          <w:szCs w:val="24"/>
          <w:lang w:val="en-US"/>
        </w:rPr>
        <w:t xml:space="preserve"> (</w:t>
      </w:r>
      <w:r w:rsidR="00A56D41" w:rsidRPr="00123003">
        <w:rPr>
          <w:b/>
          <w:sz w:val="24"/>
          <w:szCs w:val="24"/>
          <w:lang w:val="en-US"/>
        </w:rPr>
        <w:t>Fig</w:t>
      </w:r>
      <w:r w:rsidR="004A5BCB" w:rsidRPr="00123003">
        <w:rPr>
          <w:b/>
          <w:sz w:val="24"/>
          <w:szCs w:val="24"/>
          <w:lang w:val="en-US"/>
        </w:rPr>
        <w:t>ure</w:t>
      </w:r>
      <w:r w:rsidR="00AC37B3" w:rsidRPr="00123003">
        <w:rPr>
          <w:b/>
          <w:sz w:val="24"/>
          <w:szCs w:val="24"/>
          <w:lang w:val="en-US"/>
        </w:rPr>
        <w:t xml:space="preserve"> </w:t>
      </w:r>
      <w:r w:rsidR="00E5397B" w:rsidRPr="00123003">
        <w:rPr>
          <w:b/>
          <w:sz w:val="24"/>
          <w:szCs w:val="24"/>
          <w:lang w:val="en-US"/>
        </w:rPr>
        <w:t>4</w:t>
      </w:r>
      <w:r w:rsidR="004A5BCB" w:rsidRPr="00123003">
        <w:rPr>
          <w:b/>
          <w:sz w:val="24"/>
          <w:szCs w:val="24"/>
          <w:lang w:val="en-US"/>
        </w:rPr>
        <w:t>A</w:t>
      </w:r>
      <w:r w:rsidR="00A56D41" w:rsidRPr="00123003">
        <w:rPr>
          <w:b/>
          <w:sz w:val="24"/>
          <w:szCs w:val="24"/>
          <w:lang w:val="en-US"/>
        </w:rPr>
        <w:t>-</w:t>
      </w:r>
      <w:r w:rsidR="004A5BCB" w:rsidRPr="00123003">
        <w:rPr>
          <w:b/>
          <w:sz w:val="24"/>
          <w:szCs w:val="24"/>
          <w:lang w:val="en-US"/>
        </w:rPr>
        <w:t>D</w:t>
      </w:r>
      <w:r w:rsidR="00A56D41" w:rsidRPr="00123003">
        <w:rPr>
          <w:sz w:val="24"/>
          <w:szCs w:val="24"/>
          <w:lang w:val="en-US"/>
        </w:rPr>
        <w:t>).</w:t>
      </w:r>
      <w:r w:rsidR="00A501C2" w:rsidRPr="00123003">
        <w:rPr>
          <w:sz w:val="24"/>
          <w:szCs w:val="24"/>
          <w:lang w:val="en-US"/>
        </w:rPr>
        <w:t xml:space="preserve"> T</w:t>
      </w:r>
      <w:r w:rsidR="00F90EB5" w:rsidRPr="00123003">
        <w:rPr>
          <w:sz w:val="24"/>
          <w:szCs w:val="24"/>
          <w:lang w:val="en-US"/>
        </w:rPr>
        <w:t xml:space="preserve">he ratio of </w:t>
      </w:r>
      <w:r w:rsidR="00DB5A9E" w:rsidRPr="00123003">
        <w:rPr>
          <w:sz w:val="24"/>
          <w:szCs w:val="24"/>
          <w:lang w:val="en-US"/>
        </w:rPr>
        <w:t>these three SCFA</w:t>
      </w:r>
      <w:r w:rsidR="00A501C2" w:rsidRPr="00123003">
        <w:rPr>
          <w:sz w:val="24"/>
          <w:szCs w:val="24"/>
          <w:lang w:val="en-US"/>
        </w:rPr>
        <w:t xml:space="preserve"> in feces</w:t>
      </w:r>
      <w:r w:rsidR="00F90EB5" w:rsidRPr="00123003">
        <w:rPr>
          <w:sz w:val="24"/>
          <w:szCs w:val="24"/>
          <w:lang w:val="en-US"/>
        </w:rPr>
        <w:t xml:space="preserve"> remained </w:t>
      </w:r>
      <w:r w:rsidR="00A501C2" w:rsidRPr="00123003">
        <w:rPr>
          <w:sz w:val="24"/>
          <w:szCs w:val="24"/>
          <w:lang w:val="en-US"/>
        </w:rPr>
        <w:t xml:space="preserve">similar between </w:t>
      </w:r>
      <w:proofErr w:type="gramStart"/>
      <w:r w:rsidR="00A501C2" w:rsidRPr="00123003">
        <w:rPr>
          <w:sz w:val="24"/>
          <w:szCs w:val="24"/>
          <w:lang w:val="en-US"/>
        </w:rPr>
        <w:t>AN and</w:t>
      </w:r>
      <w:proofErr w:type="gramEnd"/>
      <w:r w:rsidR="00A501C2" w:rsidRPr="00123003">
        <w:rPr>
          <w:sz w:val="24"/>
          <w:szCs w:val="24"/>
          <w:lang w:val="en-US"/>
        </w:rPr>
        <w:t xml:space="preserve"> RA </w:t>
      </w:r>
      <w:r w:rsidR="00AA36EB" w:rsidRPr="00123003">
        <w:rPr>
          <w:sz w:val="24"/>
          <w:szCs w:val="24"/>
          <w:lang w:val="en-US"/>
        </w:rPr>
        <w:t>samples</w:t>
      </w:r>
      <w:r w:rsidR="00F90EB5" w:rsidRPr="00123003">
        <w:rPr>
          <w:sz w:val="24"/>
          <w:szCs w:val="24"/>
          <w:lang w:val="en-US"/>
        </w:rPr>
        <w:t xml:space="preserve"> (</w:t>
      </w:r>
      <w:r w:rsidR="004A5BCB" w:rsidRPr="00123003">
        <w:rPr>
          <w:b/>
          <w:sz w:val="24"/>
          <w:szCs w:val="24"/>
          <w:lang w:val="en-US"/>
        </w:rPr>
        <w:t>Figure</w:t>
      </w:r>
      <w:r w:rsidR="00E5397B" w:rsidRPr="00123003">
        <w:rPr>
          <w:b/>
          <w:sz w:val="24"/>
          <w:szCs w:val="24"/>
          <w:lang w:val="en-US"/>
        </w:rPr>
        <w:t xml:space="preserve"> 4</w:t>
      </w:r>
      <w:r w:rsidR="004A5BCB" w:rsidRPr="00123003">
        <w:rPr>
          <w:b/>
          <w:sz w:val="24"/>
          <w:szCs w:val="24"/>
          <w:lang w:val="en-US"/>
        </w:rPr>
        <w:t>E</w:t>
      </w:r>
      <w:r w:rsidR="00F90EB5" w:rsidRPr="00123003">
        <w:rPr>
          <w:sz w:val="24"/>
          <w:szCs w:val="24"/>
          <w:lang w:val="en-US"/>
        </w:rPr>
        <w:t>)</w:t>
      </w:r>
      <w:r w:rsidR="0044413A" w:rsidRPr="00123003">
        <w:rPr>
          <w:sz w:val="24"/>
          <w:szCs w:val="24"/>
          <w:lang w:val="en-US"/>
        </w:rPr>
        <w:t xml:space="preserve">. </w:t>
      </w:r>
      <w:r w:rsidR="004F5700" w:rsidRPr="00123003">
        <w:rPr>
          <w:sz w:val="24"/>
          <w:szCs w:val="24"/>
          <w:lang w:val="en-US"/>
        </w:rPr>
        <w:t xml:space="preserve">Consistently, </w:t>
      </w:r>
      <w:proofErr w:type="gramStart"/>
      <w:r w:rsidR="00A501C2" w:rsidRPr="00123003">
        <w:rPr>
          <w:sz w:val="24"/>
          <w:szCs w:val="24"/>
          <w:lang w:val="en-US"/>
        </w:rPr>
        <w:t>AN</w:t>
      </w:r>
      <w:proofErr w:type="gramEnd"/>
      <w:r w:rsidR="00A501C2" w:rsidRPr="00123003">
        <w:rPr>
          <w:sz w:val="24"/>
          <w:szCs w:val="24"/>
          <w:lang w:val="en-US"/>
        </w:rPr>
        <w:t xml:space="preserve"> </w:t>
      </w:r>
      <w:r w:rsidR="00AA36EB" w:rsidRPr="00123003">
        <w:rPr>
          <w:sz w:val="24"/>
          <w:szCs w:val="24"/>
          <w:lang w:val="en-US"/>
        </w:rPr>
        <w:t>fecal samples</w:t>
      </w:r>
      <w:r w:rsidR="004F5700" w:rsidRPr="00123003">
        <w:rPr>
          <w:sz w:val="24"/>
          <w:szCs w:val="24"/>
          <w:lang w:val="en-US"/>
        </w:rPr>
        <w:t xml:space="preserve"> </w:t>
      </w:r>
      <w:r w:rsidR="00A501C2" w:rsidRPr="00123003">
        <w:rPr>
          <w:sz w:val="24"/>
          <w:szCs w:val="24"/>
          <w:lang w:val="en-US"/>
        </w:rPr>
        <w:t>had significantly lower lev</w:t>
      </w:r>
      <w:r w:rsidR="00B26D1D" w:rsidRPr="00123003">
        <w:rPr>
          <w:sz w:val="24"/>
          <w:szCs w:val="24"/>
          <w:lang w:val="en-US"/>
        </w:rPr>
        <w:t xml:space="preserve">els of </w:t>
      </w:r>
      <w:proofErr w:type="spellStart"/>
      <w:r w:rsidR="00B26D1D" w:rsidRPr="00123003">
        <w:rPr>
          <w:sz w:val="24"/>
          <w:szCs w:val="24"/>
          <w:lang w:val="en-US"/>
        </w:rPr>
        <w:t>isobutyrate</w:t>
      </w:r>
      <w:proofErr w:type="spellEnd"/>
      <w:r w:rsidR="00B26D1D" w:rsidRPr="00123003">
        <w:rPr>
          <w:sz w:val="24"/>
          <w:szCs w:val="24"/>
          <w:lang w:val="en-US"/>
        </w:rPr>
        <w:t xml:space="preserve">, </w:t>
      </w:r>
      <w:proofErr w:type="spellStart"/>
      <w:r w:rsidR="00B26D1D" w:rsidRPr="00123003">
        <w:rPr>
          <w:sz w:val="24"/>
          <w:szCs w:val="24"/>
          <w:lang w:val="en-US"/>
        </w:rPr>
        <w:t>isovalerate</w:t>
      </w:r>
      <w:proofErr w:type="spellEnd"/>
      <w:r w:rsidR="00B26D1D" w:rsidRPr="00123003">
        <w:rPr>
          <w:sz w:val="24"/>
          <w:szCs w:val="24"/>
          <w:lang w:val="en-US"/>
        </w:rPr>
        <w:t xml:space="preserve">, </w:t>
      </w:r>
      <w:proofErr w:type="spellStart"/>
      <w:r w:rsidR="00EB0EAC" w:rsidRPr="00123003">
        <w:rPr>
          <w:sz w:val="24"/>
          <w:szCs w:val="24"/>
          <w:lang w:val="en-US"/>
        </w:rPr>
        <w:t>valerate</w:t>
      </w:r>
      <w:proofErr w:type="spellEnd"/>
      <w:r w:rsidR="00EB0EAC" w:rsidRPr="00123003">
        <w:rPr>
          <w:sz w:val="24"/>
          <w:szCs w:val="24"/>
          <w:lang w:val="en-US"/>
        </w:rPr>
        <w:t xml:space="preserve"> </w:t>
      </w:r>
      <w:r w:rsidR="00B26D1D" w:rsidRPr="00123003">
        <w:rPr>
          <w:sz w:val="24"/>
          <w:szCs w:val="24"/>
          <w:lang w:val="en-US"/>
        </w:rPr>
        <w:t xml:space="preserve">and </w:t>
      </w:r>
      <w:proofErr w:type="spellStart"/>
      <w:r w:rsidR="00B26D1D" w:rsidRPr="00123003">
        <w:rPr>
          <w:sz w:val="24"/>
          <w:szCs w:val="24"/>
          <w:lang w:val="en-US"/>
        </w:rPr>
        <w:t>hexanoate</w:t>
      </w:r>
      <w:proofErr w:type="spellEnd"/>
      <w:r w:rsidR="004A5BCB" w:rsidRPr="00123003">
        <w:rPr>
          <w:sz w:val="24"/>
          <w:szCs w:val="24"/>
          <w:lang w:val="en-US"/>
        </w:rPr>
        <w:t xml:space="preserve"> (</w:t>
      </w:r>
      <w:r w:rsidR="004A5BCB" w:rsidRPr="00123003">
        <w:rPr>
          <w:b/>
          <w:sz w:val="24"/>
          <w:szCs w:val="24"/>
          <w:lang w:val="en-US"/>
        </w:rPr>
        <w:t>Supplemental Figure</w:t>
      </w:r>
      <w:r w:rsidR="00EB0EAC" w:rsidRPr="00123003">
        <w:rPr>
          <w:b/>
          <w:sz w:val="24"/>
          <w:szCs w:val="24"/>
          <w:lang w:val="en-US"/>
        </w:rPr>
        <w:t xml:space="preserve"> </w:t>
      </w:r>
      <w:r w:rsidR="003C039D">
        <w:rPr>
          <w:b/>
          <w:sz w:val="24"/>
          <w:szCs w:val="24"/>
          <w:lang w:val="en-US"/>
        </w:rPr>
        <w:t>3</w:t>
      </w:r>
      <w:r w:rsidR="004A5BCB" w:rsidRPr="00123003">
        <w:rPr>
          <w:b/>
          <w:sz w:val="24"/>
          <w:szCs w:val="24"/>
          <w:lang w:val="en-US"/>
        </w:rPr>
        <w:t>A</w:t>
      </w:r>
      <w:r w:rsidR="00B26D1D" w:rsidRPr="00123003">
        <w:rPr>
          <w:b/>
          <w:sz w:val="24"/>
          <w:szCs w:val="24"/>
          <w:lang w:val="en-US"/>
        </w:rPr>
        <w:t>-</w:t>
      </w:r>
      <w:r w:rsidR="004A5BCB" w:rsidRPr="00123003">
        <w:rPr>
          <w:b/>
          <w:sz w:val="24"/>
          <w:szCs w:val="24"/>
          <w:lang w:val="en-US"/>
        </w:rPr>
        <w:t>D</w:t>
      </w:r>
      <w:r w:rsidR="00A501C2" w:rsidRPr="00123003">
        <w:rPr>
          <w:sz w:val="24"/>
          <w:szCs w:val="24"/>
          <w:lang w:val="en-US"/>
        </w:rPr>
        <w:t>).</w:t>
      </w:r>
      <w:r w:rsidR="00CE6408" w:rsidRPr="00123003">
        <w:rPr>
          <w:sz w:val="24"/>
          <w:szCs w:val="24"/>
          <w:lang w:val="en-US"/>
        </w:rPr>
        <w:t xml:space="preserve"> </w:t>
      </w:r>
      <w:r w:rsidR="004F5700" w:rsidRPr="00123003">
        <w:rPr>
          <w:sz w:val="24"/>
          <w:szCs w:val="24"/>
          <w:lang w:val="en-US"/>
        </w:rPr>
        <w:t>T</w:t>
      </w:r>
      <w:r w:rsidRPr="00123003">
        <w:rPr>
          <w:sz w:val="24"/>
          <w:szCs w:val="24"/>
          <w:lang w:val="en-US"/>
        </w:rPr>
        <w:t xml:space="preserve">argeted </w:t>
      </w:r>
      <w:r w:rsidR="00CE6408" w:rsidRPr="00123003">
        <w:rPr>
          <w:sz w:val="24"/>
          <w:szCs w:val="24"/>
          <w:lang w:val="en-US"/>
        </w:rPr>
        <w:t xml:space="preserve">bacterial genes </w:t>
      </w:r>
      <w:r w:rsidR="00B71A80" w:rsidRPr="00123003">
        <w:rPr>
          <w:sz w:val="24"/>
          <w:szCs w:val="24"/>
          <w:lang w:val="en-US"/>
        </w:rPr>
        <w:t xml:space="preserve">that are involved in the main </w:t>
      </w:r>
      <w:r w:rsidR="00EB0EAC" w:rsidRPr="00123003">
        <w:rPr>
          <w:sz w:val="24"/>
          <w:szCs w:val="24"/>
          <w:lang w:val="en-US"/>
        </w:rPr>
        <w:t>pathways</w:t>
      </w:r>
      <w:r w:rsidR="00B71A80" w:rsidRPr="00123003">
        <w:rPr>
          <w:sz w:val="24"/>
          <w:szCs w:val="24"/>
          <w:lang w:val="en-US"/>
        </w:rPr>
        <w:t xml:space="preserve"> of </w:t>
      </w:r>
      <w:r w:rsidR="00CE6408" w:rsidRPr="00123003">
        <w:rPr>
          <w:sz w:val="24"/>
          <w:szCs w:val="24"/>
          <w:lang w:val="en-US"/>
        </w:rPr>
        <w:t xml:space="preserve">butyrate production, </w:t>
      </w:r>
      <w:proofErr w:type="spellStart"/>
      <w:r w:rsidR="00CE6408" w:rsidRPr="00123003">
        <w:rPr>
          <w:sz w:val="24"/>
          <w:szCs w:val="24"/>
          <w:lang w:val="en-US"/>
        </w:rPr>
        <w:t>butyryl</w:t>
      </w:r>
      <w:proofErr w:type="spellEnd"/>
      <w:r w:rsidR="00CE6408" w:rsidRPr="00123003">
        <w:rPr>
          <w:sz w:val="24"/>
          <w:szCs w:val="24"/>
          <w:lang w:val="en-US"/>
        </w:rPr>
        <w:t xml:space="preserve"> coenzyme A (CoA)</w:t>
      </w:r>
      <w:proofErr w:type="gramStart"/>
      <w:r w:rsidR="00CE6408" w:rsidRPr="00123003">
        <w:rPr>
          <w:sz w:val="24"/>
          <w:szCs w:val="24"/>
          <w:lang w:val="en-US"/>
        </w:rPr>
        <w:t>:acetate</w:t>
      </w:r>
      <w:proofErr w:type="gramEnd"/>
      <w:r w:rsidR="00CE6408" w:rsidRPr="00123003">
        <w:rPr>
          <w:sz w:val="24"/>
          <w:szCs w:val="24"/>
          <w:lang w:val="en-US"/>
        </w:rPr>
        <w:t>-CoA transferase (</w:t>
      </w:r>
      <w:proofErr w:type="spellStart"/>
      <w:r w:rsidR="00CE6408" w:rsidRPr="00123003">
        <w:rPr>
          <w:i/>
          <w:iCs/>
          <w:sz w:val="24"/>
          <w:szCs w:val="24"/>
          <w:lang w:val="en-US"/>
        </w:rPr>
        <w:t>bcoA</w:t>
      </w:r>
      <w:proofErr w:type="spellEnd"/>
      <w:r w:rsidR="00CE6408" w:rsidRPr="00123003">
        <w:rPr>
          <w:sz w:val="24"/>
          <w:szCs w:val="24"/>
          <w:lang w:val="en-US"/>
        </w:rPr>
        <w:t>) and butyrate kinase (</w:t>
      </w:r>
      <w:proofErr w:type="spellStart"/>
      <w:r w:rsidR="00CE6408" w:rsidRPr="00123003">
        <w:rPr>
          <w:i/>
          <w:iCs/>
          <w:sz w:val="24"/>
          <w:szCs w:val="24"/>
          <w:lang w:val="en-US"/>
        </w:rPr>
        <w:t>buk</w:t>
      </w:r>
      <w:proofErr w:type="spellEnd"/>
      <w:r w:rsidR="00CE6408" w:rsidRPr="00123003">
        <w:rPr>
          <w:sz w:val="24"/>
          <w:szCs w:val="24"/>
          <w:lang w:val="en-US"/>
        </w:rPr>
        <w:t>)</w:t>
      </w:r>
      <w:r w:rsidR="001826AD" w:rsidRPr="00123003">
        <w:rPr>
          <w:sz w:val="24"/>
          <w:szCs w:val="24"/>
          <w:lang w:val="en-US"/>
        </w:rPr>
        <w:t xml:space="preserve">, were </w:t>
      </w:r>
      <w:r w:rsidR="006211CF" w:rsidRPr="00123003">
        <w:rPr>
          <w:sz w:val="24"/>
          <w:szCs w:val="24"/>
          <w:lang w:val="en-US"/>
        </w:rPr>
        <w:t>present</w:t>
      </w:r>
      <w:r w:rsidR="00CE6408" w:rsidRPr="00123003">
        <w:rPr>
          <w:sz w:val="24"/>
          <w:szCs w:val="24"/>
          <w:lang w:val="en-US"/>
        </w:rPr>
        <w:t xml:space="preserve"> </w:t>
      </w:r>
      <w:r w:rsidR="001826AD" w:rsidRPr="00123003">
        <w:rPr>
          <w:sz w:val="24"/>
          <w:szCs w:val="24"/>
          <w:lang w:val="en-US"/>
        </w:rPr>
        <w:t>at low</w:t>
      </w:r>
      <w:r w:rsidR="006211CF" w:rsidRPr="00123003">
        <w:rPr>
          <w:sz w:val="24"/>
          <w:szCs w:val="24"/>
          <w:lang w:val="en-US"/>
        </w:rPr>
        <w:t>er</w:t>
      </w:r>
      <w:r w:rsidR="001826AD" w:rsidRPr="00123003">
        <w:rPr>
          <w:sz w:val="24"/>
          <w:szCs w:val="24"/>
          <w:lang w:val="en-US"/>
        </w:rPr>
        <w:t xml:space="preserve"> level</w:t>
      </w:r>
      <w:r w:rsidR="00AA36EB" w:rsidRPr="00123003">
        <w:rPr>
          <w:sz w:val="24"/>
          <w:szCs w:val="24"/>
          <w:lang w:val="en-US"/>
        </w:rPr>
        <w:t>s</w:t>
      </w:r>
      <w:r w:rsidR="001826AD" w:rsidRPr="00123003">
        <w:rPr>
          <w:sz w:val="24"/>
          <w:szCs w:val="24"/>
          <w:lang w:val="en-US"/>
        </w:rPr>
        <w:t xml:space="preserve"> in</w:t>
      </w:r>
      <w:r w:rsidR="00CE6408" w:rsidRPr="00123003">
        <w:rPr>
          <w:sz w:val="24"/>
          <w:szCs w:val="24"/>
          <w:lang w:val="en-US"/>
        </w:rPr>
        <w:t xml:space="preserve"> </w:t>
      </w:r>
      <w:r w:rsidR="00AA36EB" w:rsidRPr="00123003">
        <w:rPr>
          <w:sz w:val="24"/>
          <w:szCs w:val="24"/>
          <w:lang w:val="en-US"/>
        </w:rPr>
        <w:t>the</w:t>
      </w:r>
      <w:r w:rsidR="001826AD" w:rsidRPr="00123003">
        <w:rPr>
          <w:sz w:val="24"/>
          <w:szCs w:val="24"/>
          <w:lang w:val="en-US"/>
        </w:rPr>
        <w:t xml:space="preserve"> </w:t>
      </w:r>
      <w:r w:rsidR="00CE6408" w:rsidRPr="00123003">
        <w:rPr>
          <w:sz w:val="24"/>
          <w:szCs w:val="24"/>
          <w:lang w:val="en-US"/>
        </w:rPr>
        <w:t xml:space="preserve">AN </w:t>
      </w:r>
      <w:r w:rsidR="00AA36EB" w:rsidRPr="00123003">
        <w:rPr>
          <w:sz w:val="24"/>
          <w:szCs w:val="24"/>
          <w:lang w:val="en-US"/>
        </w:rPr>
        <w:t>fecal samples</w:t>
      </w:r>
      <w:r w:rsidR="006211CF" w:rsidRPr="00123003">
        <w:rPr>
          <w:sz w:val="24"/>
          <w:szCs w:val="24"/>
          <w:lang w:val="en-US"/>
        </w:rPr>
        <w:t xml:space="preserve"> compared with RA, but not reaching a statistical significant level</w:t>
      </w:r>
      <w:r w:rsidR="00CE6408" w:rsidRPr="00123003">
        <w:rPr>
          <w:sz w:val="24"/>
          <w:szCs w:val="24"/>
          <w:lang w:val="en-US"/>
        </w:rPr>
        <w:t xml:space="preserve"> (</w:t>
      </w:r>
      <w:r w:rsidR="00CE6408" w:rsidRPr="00123003">
        <w:rPr>
          <w:b/>
          <w:sz w:val="24"/>
          <w:szCs w:val="24"/>
          <w:lang w:val="en-US"/>
        </w:rPr>
        <w:t>Fig</w:t>
      </w:r>
      <w:r w:rsidR="004A5BCB" w:rsidRPr="00123003">
        <w:rPr>
          <w:b/>
          <w:sz w:val="24"/>
          <w:szCs w:val="24"/>
          <w:lang w:val="en-US"/>
        </w:rPr>
        <w:t>ure</w:t>
      </w:r>
      <w:r w:rsidR="00E5397B" w:rsidRPr="00123003">
        <w:rPr>
          <w:b/>
          <w:sz w:val="24"/>
          <w:szCs w:val="24"/>
          <w:lang w:val="en-US"/>
        </w:rPr>
        <w:t xml:space="preserve"> 4</w:t>
      </w:r>
      <w:r w:rsidR="004A5BCB" w:rsidRPr="00123003">
        <w:rPr>
          <w:b/>
          <w:sz w:val="24"/>
          <w:szCs w:val="24"/>
          <w:lang w:val="en-US"/>
        </w:rPr>
        <w:t>F</w:t>
      </w:r>
      <w:r w:rsidRPr="00123003">
        <w:rPr>
          <w:b/>
          <w:sz w:val="24"/>
          <w:szCs w:val="24"/>
          <w:lang w:val="en-US"/>
        </w:rPr>
        <w:t xml:space="preserve">, </w:t>
      </w:r>
      <w:r w:rsidR="004A5BCB" w:rsidRPr="00123003">
        <w:rPr>
          <w:b/>
          <w:sz w:val="24"/>
          <w:szCs w:val="24"/>
          <w:lang w:val="en-US"/>
        </w:rPr>
        <w:t>G</w:t>
      </w:r>
      <w:r w:rsidR="00FD5D6F" w:rsidRPr="00123003">
        <w:rPr>
          <w:sz w:val="24"/>
          <w:szCs w:val="24"/>
          <w:lang w:val="en-US"/>
        </w:rPr>
        <w:t xml:space="preserve">). </w:t>
      </w:r>
      <w:r w:rsidR="00C640C7" w:rsidRPr="00123003">
        <w:rPr>
          <w:sz w:val="24"/>
          <w:szCs w:val="24"/>
          <w:lang w:val="en-US"/>
        </w:rPr>
        <w:t>Fu</w:t>
      </w:r>
      <w:r w:rsidR="00106913" w:rsidRPr="00123003">
        <w:rPr>
          <w:sz w:val="24"/>
          <w:szCs w:val="24"/>
          <w:lang w:val="en-US"/>
        </w:rPr>
        <w:t>rther analysis of</w:t>
      </w:r>
      <w:r w:rsidR="00C640C7" w:rsidRPr="00123003">
        <w:rPr>
          <w:sz w:val="24"/>
          <w:szCs w:val="24"/>
          <w:lang w:val="en-US"/>
        </w:rPr>
        <w:t xml:space="preserve"> </w:t>
      </w:r>
      <w:r w:rsidR="00106913" w:rsidRPr="00123003">
        <w:rPr>
          <w:sz w:val="24"/>
          <w:szCs w:val="24"/>
          <w:lang w:val="en-US"/>
        </w:rPr>
        <w:t xml:space="preserve">selected </w:t>
      </w:r>
      <w:r w:rsidR="00C640C7" w:rsidRPr="00123003">
        <w:rPr>
          <w:sz w:val="24"/>
          <w:szCs w:val="24"/>
          <w:lang w:val="en-US"/>
        </w:rPr>
        <w:t>genera</w:t>
      </w:r>
      <w:r w:rsidR="006211CF" w:rsidRPr="00123003">
        <w:rPr>
          <w:sz w:val="24"/>
          <w:szCs w:val="24"/>
          <w:lang w:val="en-US"/>
        </w:rPr>
        <w:t xml:space="preserve"> </w:t>
      </w:r>
      <w:r w:rsidR="001F60AE" w:rsidRPr="00123003">
        <w:rPr>
          <w:sz w:val="24"/>
          <w:szCs w:val="24"/>
          <w:lang w:val="en-US"/>
        </w:rPr>
        <w:t xml:space="preserve">belonging to major groups of butyrogenic bacteria </w:t>
      </w:r>
      <w:r w:rsidR="006211CF" w:rsidRPr="00123003">
        <w:rPr>
          <w:sz w:val="24"/>
          <w:szCs w:val="24"/>
          <w:lang w:val="en-US"/>
        </w:rPr>
        <w:t xml:space="preserve">(e.g. </w:t>
      </w:r>
      <w:proofErr w:type="spellStart"/>
      <w:r w:rsidR="006211CF" w:rsidRPr="00123003">
        <w:rPr>
          <w:i/>
          <w:sz w:val="24"/>
          <w:szCs w:val="24"/>
          <w:lang w:val="en-US"/>
        </w:rPr>
        <w:t>Roseburia</w:t>
      </w:r>
      <w:proofErr w:type="spellEnd"/>
      <w:r w:rsidR="006211CF" w:rsidRPr="00123003">
        <w:rPr>
          <w:sz w:val="24"/>
          <w:szCs w:val="24"/>
          <w:lang w:val="en-US"/>
        </w:rPr>
        <w:t xml:space="preserve">, </w:t>
      </w:r>
      <w:proofErr w:type="spellStart"/>
      <w:r w:rsidR="006211CF" w:rsidRPr="00123003">
        <w:rPr>
          <w:i/>
          <w:sz w:val="24"/>
          <w:szCs w:val="24"/>
          <w:lang w:val="en-US"/>
        </w:rPr>
        <w:t>Faecalibacterium</w:t>
      </w:r>
      <w:proofErr w:type="spellEnd"/>
      <w:r w:rsidR="006211CF" w:rsidRPr="00123003">
        <w:rPr>
          <w:sz w:val="24"/>
          <w:szCs w:val="24"/>
          <w:lang w:val="en-US"/>
        </w:rPr>
        <w:t>)</w:t>
      </w:r>
      <w:r w:rsidR="00106913" w:rsidRPr="00123003">
        <w:rPr>
          <w:sz w:val="24"/>
          <w:szCs w:val="24"/>
          <w:lang w:val="en-US"/>
        </w:rPr>
        <w:t xml:space="preserve"> </w:t>
      </w:r>
      <w:r w:rsidR="00F239A2" w:rsidRPr="00123003">
        <w:rPr>
          <w:sz w:val="24"/>
          <w:szCs w:val="24"/>
          <w:lang w:val="en-US"/>
        </w:rPr>
        <w:fldChar w:fldCharType="begin"/>
      </w:r>
      <w:r w:rsidR="00F61B70">
        <w:rPr>
          <w:sz w:val="24"/>
          <w:szCs w:val="24"/>
          <w:lang w:val="en-US"/>
        </w:rPr>
        <w:instrText xml:space="preserve"> ADDIN ZOTERO_ITEM CSL_CITATION {"citationID":"a2hhmvvijcq","properties":{"formattedCitation":"(26,27)","plainCitation":"(26,27)","noteIndex":0},"citationItems":[{"id":4163,"uris":["http://zotero.org/users/46719/items/RBDH6VLD"],"uri":["http://zotero.org/users/46719/items/RBDH6VLD"],"itemData":{"id":4163,"type":"article-journal","title":"Microbial degradation of complex carbohydrates in the gut","container-title":"Gut Microbes","page":"289-306","volume":"3","issue":"4","source":"PubMed Central","abstract":"Bacteria that colonize the mammalian intestine collectively possess a far larger repertoire of degradative enzymes and metabolic capabilities than their hosts. Microbial fermentation of complex non-digestible dietary carbohydrates and host–derived glycans in the human intestine has important consequences for health. Certain dominant species, notably among the Bacteroidetes, are known to possess very large numbers of genes that encode carbohydrate active enzymes and can switch readily between different energy sources in the gut depending on availability. Nevertheless, more nutritionally specialized bacteria appear to play critical roles in the community by initiating the degradation of complex substrates such as plant cell walls, starch particles and mucin. Examples are emerging from the Firmicutes, Actinobacteria and Verrucomicrobium phyla, but more information is needed on these little studied groups. The impact of dietary carbohydrates, including prebiotics, on human health requires understanding of the complex relationship between diet composition, the gut microbiota and metabolic outputs.","DOI":"10.4161/gmic.19897","ISSN":"1949-0976","note":"PMID: 22572875\nPMCID: PMC3463488","journalAbbreviation":"Gut Microbes","author":[{"family":"Flint","given":"Harry J."},{"family":"Scott","given":"Karen P."},{"family":"Duncan","given":"Sylvia H."},{"family":"Louis","given":"Petra"},{"family":"Forano","given":"Evelyne"}],"issued":{"date-parts":[["2012",7,1]]}}},{"id":4022,"uris":["http://zotero.org/users/46719/items/2K4F5CR9"],"uri":["http://zotero.org/users/46719/items/2K4F5CR9"],"itemData":{"id":4022,"type":"article-journal","title":"Colonic Butyrate-Producing Communities in Humans: an Overview Using Omics Data","container-title":"mSystems","volume":"2","issue":"6","source":"PubMed Central","abstract":"Studies focusing on taxonomic compositions of the gut microbiota are plentiful, whereas its functional capabilities are still poorly understood. Specific key functions deserve detailed investigations, as they regulate microbiota-host interactions and promote host health and disease. The production of butyrate is among the top targets since depletion of this microbe-derived metabolite is linked to several emerging noncommunicable diseases and was shown to facilitate establishment of enteric pathogens by disrupting colonization resistance. In this study, we established a workflow to investigate in detail the composition of the polyphyletic butyrate-producing community from omics data extracting its biochemical and taxonomic diversity. By combining information from various publicly available data sets, we identified universal ecological key features of this functional group and shed light on its role in health and disease. Our results will assist the development of precision medicine to combat functional dysbiosis., Given the key role of butyrate for host health, understanding the ecology of intestinal butyrate-producing communities is a top priority for gut microbiota research. To this end, we performed a pooled analysis on 2,387 metagenomic/transcriptomic samples from 15 publicly available data sets that originated from three continents and encompassed eight diseases as well as specific interventions. For analyses, a gene catalogue was constructed from gene-targeted assemblies of all genes from butyrate synthesis pathways of all samples and from an updated reference database derived from genome screenings. We demonstrate that butyrate producers establish themselves within the first year of life and display high abundances (&gt;20% of total bacterial community) in adults regardless of origin. Various bacteria form this functional group, exhibiting a biochemical diversity including different pathways and terminal enzymes, where one carbohydrate-fueled pathway was dominant with butyryl coenzyme A (CoA):acetate CoA transferase as the main terminal enzyme. Subjects displayed a high richness of butyrate producers, and 17 taxa, primarily members of the Lachnospiraceae and Ruminococcaceae along with some Bacteroidetes, were detected in &gt;70% of individuals, encompassing ~85% of the total butyrate-producing potential. Most of these key taxa were also found to express genes for butyrate formation, indicating that butyrate producers occupy various niches in the gut ecosystem, concurrently synthesizing that compound. Furthermore, results from longitudinal analyses propose that diversity supports functional stability during ordinary life disturbances and during interventions such as antibiotic treatment. A reduction of the butyrate-producing potential along with community alterations was detected in various diseases, where patients suffering from cardiometabolic disorders were particularly affected., IMPORTANCE Studies focusing on taxonomic compositions of the gut microbiota are plentiful, whereas its functional capabilities are still poorly understood. Specific key functions deserve detailed investigations, as they regulate microbiota-host interactions and promote host health and disease. The production of butyrate is among the top targets since depletion of this microbe-derived metabolite is linked to several emerging noncommunicable diseases and was shown to facilitate establishment of enteric pathogens by disrupting colonization resistance. In this study, we established a workflow to investigate in detail the composition of the polyphyletic butyrate-producing community from omics data extracting its biochemical and taxonomic diversity. By combining information from various publicly available data sets, we identified universal ecological key features of this functional group and shed light on its role in health and disease. Our results will assist the development of precision medicine to combat functional dysbiosis.","URL":"https://www.ncbi.nlm.nih.gov/pmc/articles/PMC5715108/","DOI":"10.1128/mSystems.00130-17","ISSN":"2379-5077","note":"PMID: 29238752\nPMCID: PMC5715108","title-short":"Colonic Butyrate-Producing Communities in Humans","journalAbbreviation":"mSystems","author":[{"family":"Vital","given":"Marius"},{"family":"Karch","given":"André"},{"family":"Pieper","given":"Dietmar H."}],"issued":{"date-parts":[["2017",12,5]]},"accessed":{"date-parts":[["2018",8,13]]}}}],"schema":"https://github.com/citation-style-language/schema/raw/master/csl-citation.json"} </w:instrText>
      </w:r>
      <w:r w:rsidR="00F239A2" w:rsidRPr="00123003">
        <w:rPr>
          <w:sz w:val="24"/>
          <w:szCs w:val="24"/>
          <w:lang w:val="en-US"/>
        </w:rPr>
        <w:fldChar w:fldCharType="separate"/>
      </w:r>
      <w:r w:rsidR="00F61B70" w:rsidRPr="00F61B70">
        <w:rPr>
          <w:rFonts w:ascii="Calibri" w:hAnsi="Calibri" w:cs="Calibri"/>
          <w:sz w:val="24"/>
          <w:lang w:val="en-US"/>
        </w:rPr>
        <w:t>(26,27)</w:t>
      </w:r>
      <w:r w:rsidR="00F239A2" w:rsidRPr="00123003">
        <w:rPr>
          <w:sz w:val="24"/>
          <w:szCs w:val="24"/>
          <w:lang w:val="en-US"/>
        </w:rPr>
        <w:fldChar w:fldCharType="end"/>
      </w:r>
      <w:r w:rsidR="00C640C7" w:rsidRPr="00123003">
        <w:rPr>
          <w:sz w:val="24"/>
          <w:szCs w:val="24"/>
          <w:lang w:val="en-US"/>
        </w:rPr>
        <w:t xml:space="preserve"> confirmed that</w:t>
      </w:r>
      <w:r w:rsidR="00106913" w:rsidRPr="00123003">
        <w:rPr>
          <w:sz w:val="24"/>
          <w:szCs w:val="24"/>
          <w:lang w:val="en-US"/>
        </w:rPr>
        <w:t xml:space="preserve"> most</w:t>
      </w:r>
      <w:r w:rsidR="00C640C7" w:rsidRPr="00123003">
        <w:rPr>
          <w:sz w:val="24"/>
          <w:szCs w:val="24"/>
          <w:lang w:val="en-US"/>
        </w:rPr>
        <w:t xml:space="preserve"> levels were not significantly different between AN and RA </w:t>
      </w:r>
      <w:r w:rsidR="00AA36EB" w:rsidRPr="00123003">
        <w:rPr>
          <w:sz w:val="24"/>
          <w:szCs w:val="24"/>
          <w:lang w:val="en-US"/>
        </w:rPr>
        <w:t>samples</w:t>
      </w:r>
      <w:r w:rsidR="004A5BCB" w:rsidRPr="00123003">
        <w:rPr>
          <w:sz w:val="24"/>
          <w:szCs w:val="24"/>
          <w:lang w:val="en-US"/>
        </w:rPr>
        <w:t xml:space="preserve"> (</w:t>
      </w:r>
      <w:r w:rsidR="004A5BCB" w:rsidRPr="00123003">
        <w:rPr>
          <w:b/>
          <w:sz w:val="24"/>
          <w:szCs w:val="24"/>
          <w:lang w:val="en-US"/>
        </w:rPr>
        <w:t>Supplemental Figure</w:t>
      </w:r>
      <w:r w:rsidR="00C640C7" w:rsidRPr="00123003">
        <w:rPr>
          <w:b/>
          <w:sz w:val="24"/>
          <w:szCs w:val="24"/>
          <w:lang w:val="en-US"/>
        </w:rPr>
        <w:t xml:space="preserve"> </w:t>
      </w:r>
      <w:r w:rsidR="003C039D">
        <w:rPr>
          <w:b/>
          <w:sz w:val="24"/>
          <w:szCs w:val="24"/>
          <w:lang w:val="en-US"/>
        </w:rPr>
        <w:t>4</w:t>
      </w:r>
      <w:r w:rsidR="004A5BCB" w:rsidRPr="00123003">
        <w:rPr>
          <w:b/>
          <w:sz w:val="24"/>
          <w:szCs w:val="24"/>
          <w:lang w:val="en-US"/>
        </w:rPr>
        <w:t>A-C</w:t>
      </w:r>
      <w:r w:rsidR="00F228AE" w:rsidRPr="00123003">
        <w:rPr>
          <w:sz w:val="24"/>
          <w:szCs w:val="24"/>
          <w:lang w:val="en-US"/>
        </w:rPr>
        <w:t>; Figure</w:t>
      </w:r>
      <w:r w:rsidR="00DC0E61" w:rsidRPr="00123003">
        <w:rPr>
          <w:sz w:val="24"/>
          <w:szCs w:val="24"/>
          <w:lang w:val="en-US"/>
        </w:rPr>
        <w:t xml:space="preserve"> 1</w:t>
      </w:r>
      <w:r w:rsidR="004A5BCB" w:rsidRPr="00123003">
        <w:rPr>
          <w:sz w:val="24"/>
          <w:szCs w:val="24"/>
          <w:lang w:val="en-US"/>
        </w:rPr>
        <w:t>D</w:t>
      </w:r>
      <w:r w:rsidR="00C640C7" w:rsidRPr="00123003">
        <w:rPr>
          <w:sz w:val="24"/>
          <w:szCs w:val="24"/>
          <w:lang w:val="en-US"/>
        </w:rPr>
        <w:t xml:space="preserve">). </w:t>
      </w:r>
      <w:proofErr w:type="spellStart"/>
      <w:r w:rsidR="00EB0EAC" w:rsidRPr="00123003">
        <w:rPr>
          <w:i/>
          <w:sz w:val="24"/>
          <w:szCs w:val="24"/>
          <w:lang w:val="en-US"/>
        </w:rPr>
        <w:t>Alistipes</w:t>
      </w:r>
      <w:proofErr w:type="spellEnd"/>
      <w:r w:rsidR="009921CF" w:rsidRPr="00123003">
        <w:rPr>
          <w:sz w:val="24"/>
          <w:szCs w:val="24"/>
          <w:lang w:val="en-US"/>
        </w:rPr>
        <w:t xml:space="preserve">, </w:t>
      </w:r>
      <w:proofErr w:type="spellStart"/>
      <w:r w:rsidR="00D43798" w:rsidRPr="00123003">
        <w:rPr>
          <w:i/>
          <w:sz w:val="24"/>
          <w:szCs w:val="24"/>
          <w:lang w:val="en-US"/>
        </w:rPr>
        <w:t>Eubacterium</w:t>
      </w:r>
      <w:proofErr w:type="spellEnd"/>
      <w:r w:rsidR="00D43798" w:rsidRPr="00123003">
        <w:rPr>
          <w:i/>
          <w:sz w:val="24"/>
          <w:szCs w:val="24"/>
          <w:lang w:val="en-US"/>
        </w:rPr>
        <w:t xml:space="preserve"> </w:t>
      </w:r>
      <w:proofErr w:type="spellStart"/>
      <w:r w:rsidR="00D43798" w:rsidRPr="00123003">
        <w:rPr>
          <w:i/>
          <w:sz w:val="24"/>
          <w:szCs w:val="24"/>
          <w:lang w:val="en-US"/>
        </w:rPr>
        <w:t>halli</w:t>
      </w:r>
      <w:proofErr w:type="spellEnd"/>
      <w:r w:rsidR="00D43798" w:rsidRPr="00123003">
        <w:rPr>
          <w:sz w:val="24"/>
          <w:szCs w:val="24"/>
          <w:lang w:val="en-US"/>
        </w:rPr>
        <w:t xml:space="preserve"> </w:t>
      </w:r>
      <w:r w:rsidR="009921CF" w:rsidRPr="00123003">
        <w:rPr>
          <w:sz w:val="24"/>
          <w:szCs w:val="24"/>
          <w:lang w:val="en-US"/>
        </w:rPr>
        <w:t xml:space="preserve">group and </w:t>
      </w:r>
      <w:proofErr w:type="spellStart"/>
      <w:r w:rsidR="009921CF" w:rsidRPr="00123003">
        <w:rPr>
          <w:i/>
          <w:sz w:val="24"/>
          <w:szCs w:val="24"/>
          <w:lang w:val="en-US"/>
        </w:rPr>
        <w:t>Flavonifractor</w:t>
      </w:r>
      <w:proofErr w:type="spellEnd"/>
      <w:r w:rsidR="009921CF" w:rsidRPr="00123003">
        <w:rPr>
          <w:sz w:val="24"/>
          <w:szCs w:val="24"/>
          <w:lang w:val="en-US"/>
        </w:rPr>
        <w:t xml:space="preserve"> </w:t>
      </w:r>
      <w:r w:rsidR="00D43798" w:rsidRPr="00123003">
        <w:rPr>
          <w:sz w:val="24"/>
          <w:szCs w:val="24"/>
          <w:lang w:val="en-US"/>
        </w:rPr>
        <w:t xml:space="preserve">were significantly more abundant in the </w:t>
      </w:r>
      <w:proofErr w:type="gramStart"/>
      <w:r w:rsidR="00AA36EB" w:rsidRPr="00123003">
        <w:rPr>
          <w:sz w:val="24"/>
          <w:szCs w:val="24"/>
          <w:lang w:val="en-US"/>
        </w:rPr>
        <w:t>AN</w:t>
      </w:r>
      <w:proofErr w:type="gramEnd"/>
      <w:r w:rsidR="00AA36EB" w:rsidRPr="00123003">
        <w:rPr>
          <w:sz w:val="24"/>
          <w:szCs w:val="24"/>
          <w:lang w:val="en-US"/>
        </w:rPr>
        <w:t xml:space="preserve"> </w:t>
      </w:r>
      <w:r w:rsidR="00D43798" w:rsidRPr="00123003">
        <w:rPr>
          <w:sz w:val="24"/>
          <w:szCs w:val="24"/>
          <w:lang w:val="en-US"/>
        </w:rPr>
        <w:t>fec</w:t>
      </w:r>
      <w:r w:rsidR="00AA36EB" w:rsidRPr="00123003">
        <w:rPr>
          <w:sz w:val="24"/>
          <w:szCs w:val="24"/>
          <w:lang w:val="en-US"/>
        </w:rPr>
        <w:t>al samples</w:t>
      </w:r>
      <w:r w:rsidR="00D43798" w:rsidRPr="00123003">
        <w:rPr>
          <w:sz w:val="24"/>
          <w:szCs w:val="24"/>
          <w:lang w:val="en-US"/>
        </w:rPr>
        <w:t xml:space="preserve">, while </w:t>
      </w:r>
      <w:proofErr w:type="spellStart"/>
      <w:r w:rsidR="00D43798" w:rsidRPr="00123003">
        <w:rPr>
          <w:i/>
          <w:sz w:val="24"/>
          <w:szCs w:val="24"/>
          <w:lang w:val="en-US"/>
        </w:rPr>
        <w:t>Buty</w:t>
      </w:r>
      <w:r w:rsidR="00362438" w:rsidRPr="00123003">
        <w:rPr>
          <w:i/>
          <w:sz w:val="24"/>
          <w:szCs w:val="24"/>
          <w:lang w:val="en-US"/>
        </w:rPr>
        <w:t>ri</w:t>
      </w:r>
      <w:r w:rsidR="00D43798" w:rsidRPr="00123003">
        <w:rPr>
          <w:i/>
          <w:sz w:val="24"/>
          <w:szCs w:val="24"/>
          <w:lang w:val="en-US"/>
        </w:rPr>
        <w:t>vibrio</w:t>
      </w:r>
      <w:proofErr w:type="spellEnd"/>
      <w:r w:rsidR="00D43798" w:rsidRPr="00123003">
        <w:rPr>
          <w:sz w:val="24"/>
          <w:szCs w:val="24"/>
          <w:lang w:val="en-US"/>
        </w:rPr>
        <w:t xml:space="preserve"> and </w:t>
      </w:r>
      <w:proofErr w:type="spellStart"/>
      <w:r w:rsidR="00D43798" w:rsidRPr="00123003">
        <w:rPr>
          <w:i/>
          <w:sz w:val="24"/>
          <w:szCs w:val="24"/>
          <w:lang w:val="en-US"/>
        </w:rPr>
        <w:t>Oscillibacter</w:t>
      </w:r>
      <w:proofErr w:type="spellEnd"/>
      <w:r w:rsidR="00D43798" w:rsidRPr="00123003">
        <w:rPr>
          <w:sz w:val="24"/>
          <w:szCs w:val="24"/>
          <w:lang w:val="en-US"/>
        </w:rPr>
        <w:t xml:space="preserve"> were present in </w:t>
      </w:r>
      <w:r w:rsidR="00AA36EB" w:rsidRPr="00123003">
        <w:rPr>
          <w:sz w:val="24"/>
          <w:szCs w:val="24"/>
          <w:lang w:val="en-US"/>
        </w:rPr>
        <w:t>greater</w:t>
      </w:r>
      <w:r w:rsidR="00D43798" w:rsidRPr="00123003">
        <w:rPr>
          <w:sz w:val="24"/>
          <w:szCs w:val="24"/>
          <w:lang w:val="en-US"/>
        </w:rPr>
        <w:t xml:space="preserve"> numbers in the </w:t>
      </w:r>
      <w:r w:rsidR="004A5BCB" w:rsidRPr="00123003">
        <w:rPr>
          <w:sz w:val="24"/>
          <w:szCs w:val="24"/>
          <w:lang w:val="en-US"/>
        </w:rPr>
        <w:t>RA fecal microbiota (Supplemental Figure</w:t>
      </w:r>
      <w:r w:rsidR="00D43798" w:rsidRPr="00123003">
        <w:rPr>
          <w:sz w:val="24"/>
          <w:szCs w:val="24"/>
          <w:lang w:val="en-US"/>
        </w:rPr>
        <w:t xml:space="preserve"> </w:t>
      </w:r>
      <w:r w:rsidR="003C039D">
        <w:rPr>
          <w:sz w:val="24"/>
          <w:szCs w:val="24"/>
          <w:lang w:val="en-US"/>
        </w:rPr>
        <w:t>4</w:t>
      </w:r>
      <w:r w:rsidR="004A5BCB" w:rsidRPr="00123003">
        <w:rPr>
          <w:sz w:val="24"/>
          <w:szCs w:val="24"/>
          <w:lang w:val="en-US"/>
        </w:rPr>
        <w:t>A</w:t>
      </w:r>
      <w:r w:rsidR="00D43798" w:rsidRPr="00123003">
        <w:rPr>
          <w:sz w:val="24"/>
          <w:szCs w:val="24"/>
          <w:lang w:val="en-US"/>
        </w:rPr>
        <w:t>-</w:t>
      </w:r>
      <w:r w:rsidR="004A5BCB" w:rsidRPr="00123003">
        <w:rPr>
          <w:sz w:val="24"/>
          <w:szCs w:val="24"/>
          <w:lang w:val="en-US"/>
        </w:rPr>
        <w:t>C</w:t>
      </w:r>
      <w:r w:rsidR="00D43798" w:rsidRPr="00123003">
        <w:rPr>
          <w:sz w:val="24"/>
          <w:szCs w:val="24"/>
          <w:lang w:val="en-US"/>
        </w:rPr>
        <w:t xml:space="preserve">). However, these genera </w:t>
      </w:r>
      <w:r w:rsidR="009921CF" w:rsidRPr="00123003">
        <w:rPr>
          <w:sz w:val="24"/>
          <w:szCs w:val="24"/>
          <w:lang w:val="en-US"/>
        </w:rPr>
        <w:t>tended to be</w:t>
      </w:r>
      <w:r w:rsidR="00362438" w:rsidRPr="00123003">
        <w:rPr>
          <w:sz w:val="24"/>
          <w:szCs w:val="24"/>
          <w:lang w:val="en-US"/>
        </w:rPr>
        <w:t xml:space="preserve"> present</w:t>
      </w:r>
      <w:r w:rsidR="00C0270B" w:rsidRPr="00123003">
        <w:rPr>
          <w:sz w:val="24"/>
          <w:szCs w:val="24"/>
          <w:lang w:val="en-US"/>
        </w:rPr>
        <w:t xml:space="preserve"> </w:t>
      </w:r>
      <w:r w:rsidR="00362438" w:rsidRPr="00123003">
        <w:rPr>
          <w:sz w:val="24"/>
          <w:szCs w:val="24"/>
          <w:lang w:val="en-US"/>
        </w:rPr>
        <w:t xml:space="preserve">at </w:t>
      </w:r>
      <w:r w:rsidR="00C0270B" w:rsidRPr="00123003">
        <w:rPr>
          <w:sz w:val="24"/>
          <w:szCs w:val="24"/>
          <w:lang w:val="en-US"/>
        </w:rPr>
        <w:t>low</w:t>
      </w:r>
      <w:r w:rsidR="00362438" w:rsidRPr="00123003">
        <w:rPr>
          <w:sz w:val="24"/>
          <w:szCs w:val="24"/>
          <w:lang w:val="en-US"/>
        </w:rPr>
        <w:t xml:space="preserve"> levels in both populations</w:t>
      </w:r>
      <w:r w:rsidR="0006748B" w:rsidRPr="00123003">
        <w:rPr>
          <w:sz w:val="24"/>
          <w:szCs w:val="24"/>
          <w:lang w:val="en-US"/>
        </w:rPr>
        <w:t xml:space="preserve">. </w:t>
      </w:r>
      <w:r w:rsidR="00CD08A2" w:rsidRPr="00123003">
        <w:rPr>
          <w:sz w:val="24"/>
          <w:szCs w:val="24"/>
          <w:lang w:val="en-US"/>
        </w:rPr>
        <w:t xml:space="preserve">Being a critical prerequisite for efficient microbial fermentation of fiber, we investigated the metabolic capacity of the fecal microbiota to remove hydrogen from the intestinal lumen </w:t>
      </w:r>
      <w:r w:rsidR="0044413A" w:rsidRPr="00123003">
        <w:rPr>
          <w:sz w:val="24"/>
          <w:szCs w:val="24"/>
          <w:lang w:val="en-US"/>
        </w:rPr>
        <w:t>through</w:t>
      </w:r>
      <w:r w:rsidR="00736819" w:rsidRPr="00123003">
        <w:rPr>
          <w:sz w:val="24"/>
          <w:szCs w:val="24"/>
          <w:lang w:val="en-US"/>
        </w:rPr>
        <w:t xml:space="preserve"> sulfate-reduction and methane synthesis. Gene copies of the dissimilatory sulfite reductase A (</w:t>
      </w:r>
      <w:proofErr w:type="spellStart"/>
      <w:r w:rsidR="00736819" w:rsidRPr="00123003">
        <w:rPr>
          <w:i/>
          <w:sz w:val="24"/>
          <w:szCs w:val="24"/>
          <w:lang w:val="en-US"/>
        </w:rPr>
        <w:t>dsrA</w:t>
      </w:r>
      <w:proofErr w:type="spellEnd"/>
      <w:r w:rsidR="00AA36EB" w:rsidRPr="00123003">
        <w:rPr>
          <w:sz w:val="24"/>
          <w:szCs w:val="24"/>
          <w:lang w:val="en-US"/>
        </w:rPr>
        <w:t xml:space="preserve">), which </w:t>
      </w:r>
      <w:r w:rsidR="00736819" w:rsidRPr="00123003">
        <w:rPr>
          <w:sz w:val="24"/>
          <w:szCs w:val="24"/>
          <w:lang w:val="en-US"/>
        </w:rPr>
        <w:t>represents sulfate-reducing bacteria were significantly less abunda</w:t>
      </w:r>
      <w:r w:rsidR="00E5397B" w:rsidRPr="00123003">
        <w:rPr>
          <w:sz w:val="24"/>
          <w:szCs w:val="24"/>
          <w:lang w:val="en-US"/>
        </w:rPr>
        <w:t xml:space="preserve">nt in </w:t>
      </w:r>
      <w:r w:rsidR="00AA36EB" w:rsidRPr="00123003">
        <w:rPr>
          <w:sz w:val="24"/>
          <w:szCs w:val="24"/>
          <w:lang w:val="en-US"/>
        </w:rPr>
        <w:t xml:space="preserve">the </w:t>
      </w:r>
      <w:proofErr w:type="gramStart"/>
      <w:r w:rsidR="00AA36EB" w:rsidRPr="00123003">
        <w:rPr>
          <w:sz w:val="24"/>
          <w:szCs w:val="24"/>
          <w:lang w:val="en-US"/>
        </w:rPr>
        <w:t>AN</w:t>
      </w:r>
      <w:proofErr w:type="gramEnd"/>
      <w:r w:rsidR="00AA36EB" w:rsidRPr="00123003">
        <w:rPr>
          <w:sz w:val="24"/>
          <w:szCs w:val="24"/>
          <w:lang w:val="en-US"/>
        </w:rPr>
        <w:t xml:space="preserve"> than the RA fecal samples</w:t>
      </w:r>
      <w:r w:rsidR="00E5397B" w:rsidRPr="00123003">
        <w:rPr>
          <w:sz w:val="24"/>
          <w:szCs w:val="24"/>
          <w:lang w:val="en-US"/>
        </w:rPr>
        <w:t xml:space="preserve"> (</w:t>
      </w:r>
      <w:r w:rsidR="00E5397B" w:rsidRPr="00123003">
        <w:rPr>
          <w:b/>
          <w:sz w:val="24"/>
          <w:szCs w:val="24"/>
          <w:lang w:val="en-US"/>
        </w:rPr>
        <w:t>Fig</w:t>
      </w:r>
      <w:r w:rsidR="004A5BCB" w:rsidRPr="00123003">
        <w:rPr>
          <w:b/>
          <w:sz w:val="24"/>
          <w:szCs w:val="24"/>
          <w:lang w:val="en-US"/>
        </w:rPr>
        <w:t>ure</w:t>
      </w:r>
      <w:r w:rsidR="00E5397B" w:rsidRPr="00123003">
        <w:rPr>
          <w:b/>
          <w:sz w:val="24"/>
          <w:szCs w:val="24"/>
          <w:lang w:val="en-US"/>
        </w:rPr>
        <w:t xml:space="preserve"> 4</w:t>
      </w:r>
      <w:r w:rsidR="004A5BCB" w:rsidRPr="00123003">
        <w:rPr>
          <w:b/>
          <w:sz w:val="24"/>
          <w:szCs w:val="24"/>
          <w:lang w:val="en-US"/>
        </w:rPr>
        <w:t>H</w:t>
      </w:r>
      <w:r w:rsidR="00736819" w:rsidRPr="00123003">
        <w:rPr>
          <w:sz w:val="24"/>
          <w:szCs w:val="24"/>
          <w:lang w:val="en-US"/>
        </w:rPr>
        <w:t>). In contrast, gene copy numbers of the methyl coenzyme-M reductase A (</w:t>
      </w:r>
      <w:proofErr w:type="spellStart"/>
      <w:r w:rsidR="00736819" w:rsidRPr="00123003">
        <w:rPr>
          <w:i/>
          <w:sz w:val="24"/>
          <w:szCs w:val="24"/>
          <w:lang w:val="en-US"/>
        </w:rPr>
        <w:t>mcrA</w:t>
      </w:r>
      <w:proofErr w:type="spellEnd"/>
      <w:r w:rsidR="00AA36EB" w:rsidRPr="00123003">
        <w:rPr>
          <w:sz w:val="24"/>
          <w:szCs w:val="24"/>
          <w:lang w:val="en-US"/>
        </w:rPr>
        <w:t>), representative of</w:t>
      </w:r>
      <w:r w:rsidR="00481D20" w:rsidRPr="00123003">
        <w:rPr>
          <w:sz w:val="24"/>
          <w:szCs w:val="24"/>
          <w:lang w:val="en-US"/>
        </w:rPr>
        <w:t xml:space="preserve"> </w:t>
      </w:r>
      <w:proofErr w:type="spellStart"/>
      <w:r w:rsidR="00481D20" w:rsidRPr="00123003">
        <w:rPr>
          <w:sz w:val="24"/>
          <w:szCs w:val="24"/>
          <w:lang w:val="en-US"/>
        </w:rPr>
        <w:t>methanogenesis</w:t>
      </w:r>
      <w:proofErr w:type="spellEnd"/>
      <w:r w:rsidR="00736819" w:rsidRPr="00123003">
        <w:rPr>
          <w:sz w:val="24"/>
          <w:szCs w:val="24"/>
          <w:lang w:val="en-US"/>
        </w:rPr>
        <w:t xml:space="preserve"> </w:t>
      </w:r>
      <w:r w:rsidR="00481D20" w:rsidRPr="00123003">
        <w:rPr>
          <w:sz w:val="24"/>
          <w:szCs w:val="24"/>
          <w:lang w:val="en-US"/>
        </w:rPr>
        <w:t xml:space="preserve">by </w:t>
      </w:r>
      <w:r w:rsidR="00736819" w:rsidRPr="00123003">
        <w:rPr>
          <w:i/>
          <w:sz w:val="24"/>
          <w:szCs w:val="24"/>
          <w:lang w:val="en-US"/>
        </w:rPr>
        <w:t>Archaea</w:t>
      </w:r>
      <w:r w:rsidR="00AA36EB" w:rsidRPr="00123003">
        <w:rPr>
          <w:sz w:val="24"/>
          <w:szCs w:val="24"/>
          <w:lang w:val="en-US"/>
        </w:rPr>
        <w:t>,</w:t>
      </w:r>
      <w:r w:rsidR="00736819" w:rsidRPr="00123003">
        <w:rPr>
          <w:sz w:val="24"/>
          <w:szCs w:val="24"/>
          <w:lang w:val="en-US"/>
        </w:rPr>
        <w:t xml:space="preserve"> were not different between </w:t>
      </w:r>
      <w:proofErr w:type="gramStart"/>
      <w:r w:rsidR="00736819" w:rsidRPr="00123003">
        <w:rPr>
          <w:sz w:val="24"/>
          <w:szCs w:val="24"/>
          <w:lang w:val="en-US"/>
        </w:rPr>
        <w:t>AN and</w:t>
      </w:r>
      <w:proofErr w:type="gramEnd"/>
      <w:r w:rsidR="00736819" w:rsidRPr="00123003">
        <w:rPr>
          <w:sz w:val="24"/>
          <w:szCs w:val="24"/>
          <w:lang w:val="en-US"/>
        </w:rPr>
        <w:t xml:space="preserve"> RA </w:t>
      </w:r>
      <w:r w:rsidR="00AA36EB" w:rsidRPr="00123003">
        <w:rPr>
          <w:sz w:val="24"/>
          <w:szCs w:val="24"/>
          <w:lang w:val="en-US"/>
        </w:rPr>
        <w:t>samples</w:t>
      </w:r>
      <w:r w:rsidR="004A5BCB" w:rsidRPr="00123003">
        <w:rPr>
          <w:sz w:val="24"/>
          <w:szCs w:val="24"/>
          <w:lang w:val="en-US"/>
        </w:rPr>
        <w:t xml:space="preserve"> (</w:t>
      </w:r>
      <w:r w:rsidR="004A5BCB" w:rsidRPr="00123003">
        <w:rPr>
          <w:b/>
          <w:sz w:val="24"/>
          <w:szCs w:val="24"/>
          <w:lang w:val="en-US"/>
        </w:rPr>
        <w:t>Figure</w:t>
      </w:r>
      <w:r w:rsidR="00736819" w:rsidRPr="00123003">
        <w:rPr>
          <w:b/>
          <w:sz w:val="24"/>
          <w:szCs w:val="24"/>
          <w:lang w:val="en-US"/>
        </w:rPr>
        <w:t xml:space="preserve"> </w:t>
      </w:r>
      <w:r w:rsidR="00E441FA" w:rsidRPr="00123003">
        <w:rPr>
          <w:b/>
          <w:sz w:val="24"/>
          <w:szCs w:val="24"/>
          <w:lang w:val="en-US"/>
        </w:rPr>
        <w:t>4</w:t>
      </w:r>
      <w:r w:rsidR="004A5BCB" w:rsidRPr="00123003">
        <w:rPr>
          <w:b/>
          <w:sz w:val="24"/>
          <w:szCs w:val="24"/>
          <w:lang w:val="en-US"/>
        </w:rPr>
        <w:t>I</w:t>
      </w:r>
      <w:r w:rsidR="00736819" w:rsidRPr="00123003">
        <w:rPr>
          <w:sz w:val="24"/>
          <w:szCs w:val="24"/>
          <w:lang w:val="en-US"/>
        </w:rPr>
        <w:t>).</w:t>
      </w:r>
    </w:p>
    <w:p w:rsidR="00AC37B3" w:rsidRPr="00123003" w:rsidRDefault="00AA36EB" w:rsidP="00123003">
      <w:pPr>
        <w:pStyle w:val="KeinLeerraum"/>
        <w:spacing w:line="480" w:lineRule="auto"/>
        <w:jc w:val="both"/>
        <w:rPr>
          <w:b/>
          <w:sz w:val="24"/>
          <w:szCs w:val="24"/>
          <w:lang w:val="en-US"/>
        </w:rPr>
      </w:pPr>
      <w:r w:rsidRPr="00123003">
        <w:rPr>
          <w:b/>
          <w:sz w:val="24"/>
          <w:szCs w:val="24"/>
          <w:lang w:val="en-US"/>
        </w:rPr>
        <w:lastRenderedPageBreak/>
        <w:t>H</w:t>
      </w:r>
      <w:r w:rsidR="001D2CD5" w:rsidRPr="00123003">
        <w:rPr>
          <w:b/>
          <w:sz w:val="24"/>
          <w:szCs w:val="24"/>
          <w:lang w:val="en-US"/>
        </w:rPr>
        <w:t>igh</w:t>
      </w:r>
      <w:r w:rsidR="00041091" w:rsidRPr="00123003">
        <w:rPr>
          <w:b/>
          <w:sz w:val="24"/>
          <w:szCs w:val="24"/>
          <w:lang w:val="en-US"/>
        </w:rPr>
        <w:t xml:space="preserve"> levels of fecal bile acids </w:t>
      </w:r>
      <w:r w:rsidR="00337C43" w:rsidRPr="00123003">
        <w:rPr>
          <w:b/>
          <w:sz w:val="24"/>
          <w:szCs w:val="24"/>
          <w:lang w:val="en-US"/>
        </w:rPr>
        <w:t xml:space="preserve">and </w:t>
      </w:r>
      <w:r w:rsidR="009B612C">
        <w:rPr>
          <w:b/>
          <w:sz w:val="24"/>
          <w:szCs w:val="24"/>
          <w:lang w:val="en-US"/>
        </w:rPr>
        <w:t>a high</w:t>
      </w:r>
      <w:r w:rsidR="009B612C" w:rsidRPr="00123003">
        <w:rPr>
          <w:b/>
          <w:sz w:val="24"/>
          <w:szCs w:val="24"/>
          <w:lang w:val="en-US"/>
        </w:rPr>
        <w:t xml:space="preserve"> </w:t>
      </w:r>
      <w:r w:rsidR="001D2CD5" w:rsidRPr="00123003">
        <w:rPr>
          <w:b/>
          <w:sz w:val="24"/>
          <w:szCs w:val="24"/>
          <w:lang w:val="en-US"/>
        </w:rPr>
        <w:t>capacity</w:t>
      </w:r>
      <w:r w:rsidR="00337C43" w:rsidRPr="00123003">
        <w:rPr>
          <w:b/>
          <w:sz w:val="24"/>
          <w:szCs w:val="24"/>
          <w:lang w:val="en-US"/>
        </w:rPr>
        <w:t xml:space="preserve"> </w:t>
      </w:r>
      <w:r w:rsidR="00935E85" w:rsidRPr="00123003">
        <w:rPr>
          <w:b/>
          <w:sz w:val="24"/>
          <w:szCs w:val="24"/>
          <w:lang w:val="en-US"/>
        </w:rPr>
        <w:t>for bile acid conversion by</w:t>
      </w:r>
      <w:r w:rsidR="00337C43" w:rsidRPr="00123003">
        <w:rPr>
          <w:b/>
          <w:sz w:val="24"/>
          <w:szCs w:val="24"/>
          <w:lang w:val="en-US"/>
        </w:rPr>
        <w:t xml:space="preserve"> the </w:t>
      </w:r>
      <w:r w:rsidRPr="00123003">
        <w:rPr>
          <w:b/>
          <w:sz w:val="24"/>
          <w:szCs w:val="24"/>
          <w:lang w:val="en-US"/>
        </w:rPr>
        <w:t xml:space="preserve">AN </w:t>
      </w:r>
      <w:r w:rsidR="00337C43" w:rsidRPr="00123003">
        <w:rPr>
          <w:b/>
          <w:sz w:val="24"/>
          <w:szCs w:val="24"/>
          <w:lang w:val="en-US"/>
        </w:rPr>
        <w:t>gut microbiota</w:t>
      </w:r>
    </w:p>
    <w:p w:rsidR="00E051B0" w:rsidRPr="00123003" w:rsidRDefault="004068EB" w:rsidP="00123003">
      <w:pPr>
        <w:spacing w:line="480" w:lineRule="auto"/>
        <w:jc w:val="both"/>
        <w:rPr>
          <w:sz w:val="24"/>
          <w:szCs w:val="24"/>
          <w:lang w:val="en-US"/>
        </w:rPr>
      </w:pPr>
      <w:r w:rsidRPr="00123003">
        <w:rPr>
          <w:sz w:val="24"/>
          <w:szCs w:val="24"/>
          <w:lang w:val="en-US"/>
        </w:rPr>
        <w:t>The</w:t>
      </w:r>
      <w:r w:rsidR="00AA36EB" w:rsidRPr="00123003">
        <w:rPr>
          <w:sz w:val="24"/>
          <w:szCs w:val="24"/>
          <w:lang w:val="en-US"/>
        </w:rPr>
        <w:t xml:space="preserve"> </w:t>
      </w:r>
      <w:r w:rsidRPr="00123003">
        <w:rPr>
          <w:sz w:val="24"/>
          <w:szCs w:val="24"/>
          <w:lang w:val="en-US"/>
        </w:rPr>
        <w:t>l</w:t>
      </w:r>
      <w:r w:rsidR="00AC37B3" w:rsidRPr="00123003">
        <w:rPr>
          <w:sz w:val="24"/>
          <w:szCs w:val="24"/>
          <w:lang w:val="en-US"/>
        </w:rPr>
        <w:t xml:space="preserve">evels of the main </w:t>
      </w:r>
      <w:r w:rsidR="00E5397B" w:rsidRPr="00123003">
        <w:rPr>
          <w:sz w:val="24"/>
          <w:szCs w:val="24"/>
          <w:lang w:val="en-US"/>
        </w:rPr>
        <w:t xml:space="preserve">unconjugated </w:t>
      </w:r>
      <w:r w:rsidR="00AC37B3" w:rsidRPr="00123003">
        <w:rPr>
          <w:sz w:val="24"/>
          <w:szCs w:val="24"/>
          <w:lang w:val="en-US"/>
        </w:rPr>
        <w:t xml:space="preserve">primary bile acids, </w:t>
      </w:r>
      <w:proofErr w:type="spellStart"/>
      <w:r w:rsidR="00AC37B3" w:rsidRPr="00123003">
        <w:rPr>
          <w:sz w:val="24"/>
          <w:szCs w:val="24"/>
          <w:lang w:val="en-US"/>
        </w:rPr>
        <w:t>cholic</w:t>
      </w:r>
      <w:proofErr w:type="spellEnd"/>
      <w:r w:rsidR="00AC37B3" w:rsidRPr="00123003">
        <w:rPr>
          <w:sz w:val="24"/>
          <w:szCs w:val="24"/>
          <w:lang w:val="en-US"/>
        </w:rPr>
        <w:t xml:space="preserve"> acid (CA) and </w:t>
      </w:r>
      <w:proofErr w:type="spellStart"/>
      <w:r w:rsidR="00AC37B3" w:rsidRPr="00123003">
        <w:rPr>
          <w:sz w:val="24"/>
          <w:szCs w:val="24"/>
          <w:lang w:val="en-US"/>
        </w:rPr>
        <w:t>chenodeoxycholic</w:t>
      </w:r>
      <w:proofErr w:type="spellEnd"/>
      <w:r w:rsidR="00AC37B3" w:rsidRPr="00123003">
        <w:rPr>
          <w:sz w:val="24"/>
          <w:szCs w:val="24"/>
          <w:lang w:val="en-US"/>
        </w:rPr>
        <w:t xml:space="preserve"> acid (CDCA), were significantly </w:t>
      </w:r>
      <w:r w:rsidR="00A32F00" w:rsidRPr="00123003">
        <w:rPr>
          <w:sz w:val="24"/>
          <w:szCs w:val="24"/>
          <w:lang w:val="en-US"/>
        </w:rPr>
        <w:t>higher</w:t>
      </w:r>
      <w:r w:rsidR="00AC37B3" w:rsidRPr="00123003">
        <w:rPr>
          <w:sz w:val="24"/>
          <w:szCs w:val="24"/>
          <w:lang w:val="en-US"/>
        </w:rPr>
        <w:t xml:space="preserve"> in </w:t>
      </w:r>
      <w:r w:rsidR="00736819" w:rsidRPr="00123003">
        <w:rPr>
          <w:sz w:val="24"/>
          <w:szCs w:val="24"/>
          <w:lang w:val="en-US"/>
        </w:rPr>
        <w:t xml:space="preserve">AN compared to RA </w:t>
      </w:r>
      <w:r w:rsidR="00AA36EB" w:rsidRPr="00123003">
        <w:rPr>
          <w:sz w:val="24"/>
          <w:szCs w:val="24"/>
          <w:lang w:val="en-US"/>
        </w:rPr>
        <w:t>samples</w:t>
      </w:r>
      <w:r w:rsidR="00736819" w:rsidRPr="00123003">
        <w:rPr>
          <w:sz w:val="24"/>
          <w:szCs w:val="24"/>
          <w:lang w:val="en-US"/>
        </w:rPr>
        <w:t xml:space="preserve"> (</w:t>
      </w:r>
      <w:r w:rsidR="00736819" w:rsidRPr="00123003">
        <w:rPr>
          <w:b/>
          <w:sz w:val="24"/>
          <w:szCs w:val="24"/>
          <w:lang w:val="en-US"/>
        </w:rPr>
        <w:t>Fig</w:t>
      </w:r>
      <w:r w:rsidR="004A5BCB" w:rsidRPr="00123003">
        <w:rPr>
          <w:b/>
          <w:sz w:val="24"/>
          <w:szCs w:val="24"/>
          <w:lang w:val="en-US"/>
        </w:rPr>
        <w:t>ure</w:t>
      </w:r>
      <w:r w:rsidR="00736819" w:rsidRPr="00123003">
        <w:rPr>
          <w:b/>
          <w:sz w:val="24"/>
          <w:szCs w:val="24"/>
          <w:lang w:val="en-US"/>
        </w:rPr>
        <w:t xml:space="preserve"> 5</w:t>
      </w:r>
      <w:r w:rsidR="004A5BCB" w:rsidRPr="00123003">
        <w:rPr>
          <w:b/>
          <w:sz w:val="24"/>
          <w:szCs w:val="24"/>
          <w:lang w:val="en-US"/>
        </w:rPr>
        <w:t>A</w:t>
      </w:r>
      <w:proofErr w:type="gramStart"/>
      <w:r w:rsidR="00AC37B3" w:rsidRPr="00123003">
        <w:rPr>
          <w:b/>
          <w:sz w:val="24"/>
          <w:szCs w:val="24"/>
          <w:lang w:val="en-US"/>
        </w:rPr>
        <w:t>,</w:t>
      </w:r>
      <w:r w:rsidR="004A5BCB" w:rsidRPr="00123003">
        <w:rPr>
          <w:b/>
          <w:sz w:val="24"/>
          <w:szCs w:val="24"/>
          <w:lang w:val="en-US"/>
        </w:rPr>
        <w:t>B</w:t>
      </w:r>
      <w:proofErr w:type="gramEnd"/>
      <w:r w:rsidR="00AC37B3" w:rsidRPr="00123003">
        <w:rPr>
          <w:sz w:val="24"/>
          <w:szCs w:val="24"/>
          <w:lang w:val="en-US"/>
        </w:rPr>
        <w:t>).</w:t>
      </w:r>
      <w:r w:rsidR="005F5B98" w:rsidRPr="00123003">
        <w:rPr>
          <w:sz w:val="24"/>
          <w:szCs w:val="24"/>
          <w:lang w:val="en-US"/>
        </w:rPr>
        <w:t xml:space="preserve"> </w:t>
      </w:r>
      <w:r w:rsidR="00FD5D6F" w:rsidRPr="00123003">
        <w:rPr>
          <w:sz w:val="24"/>
          <w:szCs w:val="24"/>
          <w:lang w:val="en-US"/>
        </w:rPr>
        <w:t>F</w:t>
      </w:r>
      <w:r w:rsidR="005F5B98" w:rsidRPr="00123003">
        <w:rPr>
          <w:sz w:val="24"/>
          <w:szCs w:val="24"/>
          <w:lang w:val="en-US"/>
        </w:rPr>
        <w:t xml:space="preserve">ecal levels of the main </w:t>
      </w:r>
      <w:r w:rsidR="00E5397B" w:rsidRPr="00123003">
        <w:rPr>
          <w:sz w:val="24"/>
          <w:szCs w:val="24"/>
          <w:lang w:val="en-US"/>
        </w:rPr>
        <w:t xml:space="preserve">unconjugated </w:t>
      </w:r>
      <w:r w:rsidR="005F5B98" w:rsidRPr="00123003">
        <w:rPr>
          <w:sz w:val="24"/>
          <w:szCs w:val="24"/>
          <w:lang w:val="en-US"/>
        </w:rPr>
        <w:t>secondary bile acid, de</w:t>
      </w:r>
      <w:r w:rsidR="00AA36EB" w:rsidRPr="00123003">
        <w:rPr>
          <w:sz w:val="24"/>
          <w:szCs w:val="24"/>
          <w:lang w:val="en-US"/>
        </w:rPr>
        <w:t xml:space="preserve">oxycholic acid (DCA), </w:t>
      </w:r>
      <w:r w:rsidR="005F5B98" w:rsidRPr="00123003">
        <w:rPr>
          <w:sz w:val="24"/>
          <w:szCs w:val="24"/>
          <w:lang w:val="en-US"/>
        </w:rPr>
        <w:t>were</w:t>
      </w:r>
      <w:r w:rsidR="00AA36EB" w:rsidRPr="00123003">
        <w:rPr>
          <w:sz w:val="24"/>
          <w:szCs w:val="24"/>
          <w:lang w:val="en-US"/>
        </w:rPr>
        <w:t xml:space="preserve"> </w:t>
      </w:r>
      <w:r w:rsidR="005F5B98" w:rsidRPr="00123003">
        <w:rPr>
          <w:sz w:val="24"/>
          <w:szCs w:val="24"/>
          <w:lang w:val="en-US"/>
        </w:rPr>
        <w:t>more than two-fold</w:t>
      </w:r>
      <w:r w:rsidR="00537B85" w:rsidRPr="00123003">
        <w:rPr>
          <w:sz w:val="24"/>
          <w:szCs w:val="24"/>
          <w:lang w:val="en-US"/>
        </w:rPr>
        <w:t xml:space="preserve"> higher</w:t>
      </w:r>
      <w:r w:rsidR="005F5B98" w:rsidRPr="00123003">
        <w:rPr>
          <w:sz w:val="24"/>
          <w:szCs w:val="24"/>
          <w:lang w:val="en-US"/>
        </w:rPr>
        <w:t xml:space="preserve"> in </w:t>
      </w:r>
      <w:r w:rsidR="00F0333B" w:rsidRPr="00123003">
        <w:rPr>
          <w:sz w:val="24"/>
          <w:szCs w:val="24"/>
          <w:lang w:val="en-US"/>
        </w:rPr>
        <w:t xml:space="preserve">AN compared to RA </w:t>
      </w:r>
      <w:r w:rsidR="00AA36EB" w:rsidRPr="00123003">
        <w:rPr>
          <w:sz w:val="24"/>
          <w:szCs w:val="24"/>
          <w:lang w:val="en-US"/>
        </w:rPr>
        <w:t>participants</w:t>
      </w:r>
      <w:r w:rsidR="004A5BCB" w:rsidRPr="00123003">
        <w:rPr>
          <w:sz w:val="24"/>
          <w:szCs w:val="24"/>
          <w:lang w:val="en-US"/>
        </w:rPr>
        <w:t xml:space="preserve"> (</w:t>
      </w:r>
      <w:r w:rsidR="004A5BCB" w:rsidRPr="00123003">
        <w:rPr>
          <w:b/>
          <w:sz w:val="24"/>
          <w:szCs w:val="24"/>
          <w:lang w:val="en-US"/>
        </w:rPr>
        <w:t>Figure</w:t>
      </w:r>
      <w:r w:rsidR="00F0333B" w:rsidRPr="00123003">
        <w:rPr>
          <w:b/>
          <w:sz w:val="24"/>
          <w:szCs w:val="24"/>
          <w:lang w:val="en-US"/>
        </w:rPr>
        <w:t xml:space="preserve"> </w:t>
      </w:r>
      <w:r w:rsidR="00736819" w:rsidRPr="00123003">
        <w:rPr>
          <w:b/>
          <w:sz w:val="24"/>
          <w:szCs w:val="24"/>
          <w:lang w:val="en-US"/>
        </w:rPr>
        <w:t>5</w:t>
      </w:r>
      <w:r w:rsidR="004A5BCB" w:rsidRPr="00123003">
        <w:rPr>
          <w:b/>
          <w:sz w:val="24"/>
          <w:szCs w:val="24"/>
          <w:lang w:val="en-US"/>
        </w:rPr>
        <w:t>C</w:t>
      </w:r>
      <w:r w:rsidR="005F5B98" w:rsidRPr="00123003">
        <w:rPr>
          <w:sz w:val="24"/>
          <w:szCs w:val="24"/>
          <w:lang w:val="en-US"/>
        </w:rPr>
        <w:t xml:space="preserve">). </w:t>
      </w:r>
      <w:r w:rsidR="00425EA2" w:rsidRPr="00123003">
        <w:rPr>
          <w:sz w:val="24"/>
          <w:szCs w:val="24"/>
          <w:lang w:val="en-US"/>
        </w:rPr>
        <w:t>Consistently, the abundance of 7α-dehydroxylating bacteria</w:t>
      </w:r>
      <w:r w:rsidR="004037AE" w:rsidRPr="00123003">
        <w:rPr>
          <w:sz w:val="24"/>
          <w:szCs w:val="24"/>
          <w:lang w:val="en-US"/>
        </w:rPr>
        <w:t xml:space="preserve"> (indicated by gene copy numbers of the </w:t>
      </w:r>
      <w:r w:rsidR="004037AE" w:rsidRPr="00123003">
        <w:rPr>
          <w:i/>
          <w:sz w:val="24"/>
          <w:szCs w:val="24"/>
          <w:lang w:val="en-US"/>
        </w:rPr>
        <w:t>CD</w:t>
      </w:r>
      <w:r w:rsidR="004037AE" w:rsidRPr="00123003">
        <w:rPr>
          <w:sz w:val="24"/>
          <w:szCs w:val="24"/>
          <w:lang w:val="en-US"/>
        </w:rPr>
        <w:t xml:space="preserve"> cluster of the bile acid-inducible operon (</w:t>
      </w:r>
      <w:proofErr w:type="spellStart"/>
      <w:r w:rsidR="004037AE" w:rsidRPr="00123003">
        <w:rPr>
          <w:i/>
          <w:sz w:val="24"/>
          <w:szCs w:val="24"/>
          <w:lang w:val="en-US"/>
        </w:rPr>
        <w:t>baiCD</w:t>
      </w:r>
      <w:proofErr w:type="spellEnd"/>
      <w:r w:rsidR="004037AE" w:rsidRPr="00123003">
        <w:rPr>
          <w:sz w:val="24"/>
          <w:szCs w:val="24"/>
          <w:lang w:val="en-US"/>
        </w:rPr>
        <w:t>)</w:t>
      </w:r>
      <w:r w:rsidR="008169F2" w:rsidRPr="00123003">
        <w:rPr>
          <w:sz w:val="24"/>
          <w:szCs w:val="24"/>
          <w:lang w:val="en-US"/>
        </w:rPr>
        <w:t>)</w:t>
      </w:r>
      <w:r w:rsidR="00555D13" w:rsidRPr="00123003">
        <w:rPr>
          <w:sz w:val="24"/>
          <w:szCs w:val="24"/>
          <w:lang w:val="en-US"/>
        </w:rPr>
        <w:t xml:space="preserve"> </w:t>
      </w:r>
      <w:r w:rsidR="00425EA2" w:rsidRPr="00123003">
        <w:rPr>
          <w:sz w:val="24"/>
          <w:szCs w:val="24"/>
          <w:lang w:val="en-US"/>
        </w:rPr>
        <w:t xml:space="preserve">was significantly </w:t>
      </w:r>
      <w:r w:rsidR="00AA36EB" w:rsidRPr="00123003">
        <w:rPr>
          <w:sz w:val="24"/>
          <w:szCs w:val="24"/>
          <w:lang w:val="en-US"/>
        </w:rPr>
        <w:t>greater</w:t>
      </w:r>
      <w:r w:rsidR="00425EA2" w:rsidRPr="00123003">
        <w:rPr>
          <w:sz w:val="24"/>
          <w:szCs w:val="24"/>
          <w:lang w:val="en-US"/>
        </w:rPr>
        <w:t xml:space="preserve"> in the fecal microbiota of </w:t>
      </w:r>
      <w:proofErr w:type="gramStart"/>
      <w:r w:rsidR="00425EA2" w:rsidRPr="00123003">
        <w:rPr>
          <w:sz w:val="24"/>
          <w:szCs w:val="24"/>
          <w:lang w:val="en-US"/>
        </w:rPr>
        <w:t>AN</w:t>
      </w:r>
      <w:proofErr w:type="gramEnd"/>
      <w:r w:rsidR="00425EA2" w:rsidRPr="00123003">
        <w:rPr>
          <w:sz w:val="24"/>
          <w:szCs w:val="24"/>
          <w:lang w:val="en-US"/>
        </w:rPr>
        <w:t xml:space="preserve"> </w:t>
      </w:r>
      <w:r w:rsidR="001D2CD5" w:rsidRPr="00123003">
        <w:rPr>
          <w:sz w:val="24"/>
          <w:szCs w:val="24"/>
          <w:lang w:val="en-US"/>
        </w:rPr>
        <w:t>than</w:t>
      </w:r>
      <w:r w:rsidR="00736819" w:rsidRPr="00123003">
        <w:rPr>
          <w:sz w:val="24"/>
          <w:szCs w:val="24"/>
          <w:lang w:val="en-US"/>
        </w:rPr>
        <w:t xml:space="preserve"> RA </w:t>
      </w:r>
      <w:r w:rsidR="006C73C9" w:rsidRPr="00123003">
        <w:rPr>
          <w:sz w:val="24"/>
          <w:szCs w:val="24"/>
          <w:lang w:val="en-US"/>
        </w:rPr>
        <w:t>participants</w:t>
      </w:r>
      <w:r w:rsidR="004A5BCB" w:rsidRPr="00123003">
        <w:rPr>
          <w:sz w:val="24"/>
          <w:szCs w:val="24"/>
          <w:lang w:val="en-US"/>
        </w:rPr>
        <w:t xml:space="preserve"> (</w:t>
      </w:r>
      <w:r w:rsidR="004A5BCB" w:rsidRPr="00123003">
        <w:rPr>
          <w:b/>
          <w:sz w:val="24"/>
          <w:szCs w:val="24"/>
          <w:lang w:val="en-US"/>
        </w:rPr>
        <w:t>Figure</w:t>
      </w:r>
      <w:r w:rsidR="00736819" w:rsidRPr="00123003">
        <w:rPr>
          <w:b/>
          <w:sz w:val="24"/>
          <w:szCs w:val="24"/>
          <w:lang w:val="en-US"/>
        </w:rPr>
        <w:t xml:space="preserve"> 5</w:t>
      </w:r>
      <w:r w:rsidR="004A5BCB" w:rsidRPr="00123003">
        <w:rPr>
          <w:b/>
          <w:sz w:val="24"/>
          <w:szCs w:val="24"/>
          <w:lang w:val="en-US"/>
        </w:rPr>
        <w:t>D</w:t>
      </w:r>
      <w:r w:rsidR="00425EA2" w:rsidRPr="00123003">
        <w:rPr>
          <w:sz w:val="24"/>
          <w:szCs w:val="24"/>
          <w:lang w:val="en-US"/>
        </w:rPr>
        <w:t xml:space="preserve">). </w:t>
      </w:r>
      <w:r w:rsidR="006C73C9" w:rsidRPr="00123003">
        <w:rPr>
          <w:sz w:val="24"/>
          <w:szCs w:val="24"/>
          <w:lang w:val="en-US"/>
        </w:rPr>
        <w:t>Fecal l</w:t>
      </w:r>
      <w:r w:rsidR="001D2CD5" w:rsidRPr="00123003">
        <w:rPr>
          <w:sz w:val="24"/>
          <w:szCs w:val="24"/>
          <w:lang w:val="en-US"/>
        </w:rPr>
        <w:t>evels of</w:t>
      </w:r>
      <w:r w:rsidR="005F5B98" w:rsidRPr="00123003">
        <w:rPr>
          <w:sz w:val="24"/>
          <w:szCs w:val="24"/>
          <w:lang w:val="en-US"/>
        </w:rPr>
        <w:t xml:space="preserve"> </w:t>
      </w:r>
      <w:proofErr w:type="spellStart"/>
      <w:r w:rsidR="005F5B98" w:rsidRPr="00123003">
        <w:rPr>
          <w:sz w:val="24"/>
          <w:szCs w:val="24"/>
          <w:lang w:val="en-US"/>
        </w:rPr>
        <w:t>lithocholic</w:t>
      </w:r>
      <w:proofErr w:type="spellEnd"/>
      <w:r w:rsidR="005F5B98" w:rsidRPr="00123003">
        <w:rPr>
          <w:sz w:val="24"/>
          <w:szCs w:val="24"/>
          <w:lang w:val="en-US"/>
        </w:rPr>
        <w:t xml:space="preserve"> acid (LCA) and </w:t>
      </w:r>
      <w:proofErr w:type="spellStart"/>
      <w:r w:rsidR="005F5B98" w:rsidRPr="00123003">
        <w:rPr>
          <w:sz w:val="24"/>
          <w:szCs w:val="24"/>
          <w:lang w:val="en-US"/>
        </w:rPr>
        <w:t>ursodeoxycholic</w:t>
      </w:r>
      <w:proofErr w:type="spellEnd"/>
      <w:r w:rsidR="005F5B98" w:rsidRPr="00123003">
        <w:rPr>
          <w:sz w:val="24"/>
          <w:szCs w:val="24"/>
          <w:lang w:val="en-US"/>
        </w:rPr>
        <w:t xml:space="preserve"> acid (UDCA), both </w:t>
      </w:r>
      <w:r w:rsidR="00FD5D6F" w:rsidRPr="00123003">
        <w:rPr>
          <w:sz w:val="24"/>
          <w:szCs w:val="24"/>
          <w:lang w:val="en-US"/>
        </w:rPr>
        <w:t>showing</w:t>
      </w:r>
      <w:r w:rsidR="005F5B98" w:rsidRPr="00123003">
        <w:rPr>
          <w:sz w:val="24"/>
          <w:szCs w:val="24"/>
          <w:lang w:val="en-US"/>
        </w:rPr>
        <w:t xml:space="preserve"> inconsistent effects </w:t>
      </w:r>
      <w:r w:rsidR="00F0333B" w:rsidRPr="00123003">
        <w:rPr>
          <w:sz w:val="24"/>
          <w:szCs w:val="24"/>
          <w:lang w:val="en-US"/>
        </w:rPr>
        <w:t>on</w:t>
      </w:r>
      <w:r w:rsidR="005F5B98" w:rsidRPr="00123003">
        <w:rPr>
          <w:sz w:val="24"/>
          <w:szCs w:val="24"/>
          <w:lang w:val="en-US"/>
        </w:rPr>
        <w:t xml:space="preserve"> CRC </w:t>
      </w:r>
      <w:r w:rsidR="00F0333B" w:rsidRPr="00123003">
        <w:rPr>
          <w:sz w:val="24"/>
          <w:szCs w:val="24"/>
          <w:lang w:val="en-US"/>
        </w:rPr>
        <w:t>risk</w:t>
      </w:r>
      <w:r w:rsidR="00D43798" w:rsidRPr="00123003">
        <w:rPr>
          <w:sz w:val="24"/>
          <w:szCs w:val="24"/>
          <w:lang w:val="en-US"/>
        </w:rPr>
        <w:t xml:space="preserve">, were similar </w:t>
      </w:r>
      <w:r w:rsidR="005F5B98" w:rsidRPr="00123003">
        <w:rPr>
          <w:sz w:val="24"/>
          <w:szCs w:val="24"/>
          <w:lang w:val="en-US"/>
        </w:rPr>
        <w:t xml:space="preserve">in </w:t>
      </w:r>
      <w:r w:rsidR="006C73C9" w:rsidRPr="00123003">
        <w:rPr>
          <w:sz w:val="24"/>
          <w:szCs w:val="24"/>
          <w:lang w:val="en-US"/>
        </w:rPr>
        <w:t>both groups</w:t>
      </w:r>
      <w:r w:rsidR="00736819" w:rsidRPr="00123003">
        <w:rPr>
          <w:sz w:val="24"/>
          <w:szCs w:val="24"/>
          <w:lang w:val="en-US"/>
        </w:rPr>
        <w:t xml:space="preserve"> (</w:t>
      </w:r>
      <w:r w:rsidR="00736819" w:rsidRPr="00123003">
        <w:rPr>
          <w:b/>
          <w:sz w:val="24"/>
          <w:szCs w:val="24"/>
          <w:lang w:val="en-US"/>
        </w:rPr>
        <w:t>Fig</w:t>
      </w:r>
      <w:r w:rsidR="004A5BCB" w:rsidRPr="00123003">
        <w:rPr>
          <w:b/>
          <w:sz w:val="24"/>
          <w:szCs w:val="24"/>
          <w:lang w:val="en-US"/>
        </w:rPr>
        <w:t>ure</w:t>
      </w:r>
      <w:r w:rsidR="00736819" w:rsidRPr="00123003">
        <w:rPr>
          <w:b/>
          <w:sz w:val="24"/>
          <w:szCs w:val="24"/>
          <w:lang w:val="en-US"/>
        </w:rPr>
        <w:t xml:space="preserve"> 5</w:t>
      </w:r>
      <w:r w:rsidR="004A5BCB" w:rsidRPr="00123003">
        <w:rPr>
          <w:b/>
          <w:sz w:val="24"/>
          <w:szCs w:val="24"/>
          <w:lang w:val="en-US"/>
        </w:rPr>
        <w:t>E</w:t>
      </w:r>
      <w:proofErr w:type="gramStart"/>
      <w:r w:rsidR="00E5397B" w:rsidRPr="00123003">
        <w:rPr>
          <w:b/>
          <w:sz w:val="24"/>
          <w:szCs w:val="24"/>
          <w:lang w:val="en-US"/>
        </w:rPr>
        <w:t>,</w:t>
      </w:r>
      <w:r w:rsidR="004A5BCB" w:rsidRPr="00123003">
        <w:rPr>
          <w:b/>
          <w:sz w:val="24"/>
          <w:szCs w:val="24"/>
          <w:lang w:val="en-US"/>
        </w:rPr>
        <w:t>F</w:t>
      </w:r>
      <w:proofErr w:type="gramEnd"/>
      <w:r w:rsidR="005F5B98" w:rsidRPr="00123003">
        <w:rPr>
          <w:sz w:val="24"/>
          <w:szCs w:val="24"/>
          <w:lang w:val="en-US"/>
        </w:rPr>
        <w:t xml:space="preserve">). </w:t>
      </w:r>
      <w:r w:rsidR="002332B1" w:rsidRPr="00123003">
        <w:rPr>
          <w:sz w:val="24"/>
          <w:szCs w:val="24"/>
          <w:lang w:val="en-US"/>
        </w:rPr>
        <w:t>Alt</w:t>
      </w:r>
      <w:r w:rsidR="00766031" w:rsidRPr="00123003">
        <w:rPr>
          <w:sz w:val="24"/>
          <w:szCs w:val="24"/>
          <w:lang w:val="en-US"/>
        </w:rPr>
        <w:t xml:space="preserve">hough not </w:t>
      </w:r>
      <w:r w:rsidR="00425EA2" w:rsidRPr="00123003">
        <w:rPr>
          <w:sz w:val="24"/>
          <w:szCs w:val="24"/>
          <w:lang w:val="en-US"/>
        </w:rPr>
        <w:t>significant</w:t>
      </w:r>
      <w:r w:rsidR="00E5397B" w:rsidRPr="00123003">
        <w:rPr>
          <w:sz w:val="24"/>
          <w:szCs w:val="24"/>
          <w:lang w:val="en-US"/>
        </w:rPr>
        <w:t xml:space="preserve"> for every single bile acid</w:t>
      </w:r>
      <w:r w:rsidR="00E94707" w:rsidRPr="00123003">
        <w:rPr>
          <w:sz w:val="24"/>
          <w:szCs w:val="24"/>
          <w:lang w:val="en-US"/>
        </w:rPr>
        <w:t>, AN</w:t>
      </w:r>
      <w:r w:rsidR="006C73C9" w:rsidRPr="00123003">
        <w:rPr>
          <w:sz w:val="24"/>
          <w:szCs w:val="24"/>
          <w:lang w:val="en-US"/>
        </w:rPr>
        <w:t xml:space="preserve"> participants</w:t>
      </w:r>
      <w:r w:rsidR="00E94707" w:rsidRPr="00123003">
        <w:rPr>
          <w:sz w:val="24"/>
          <w:szCs w:val="24"/>
          <w:lang w:val="en-US"/>
        </w:rPr>
        <w:t xml:space="preserve"> showed higher amounts of </w:t>
      </w:r>
      <w:r w:rsidR="006C73C9" w:rsidRPr="00123003">
        <w:rPr>
          <w:sz w:val="24"/>
          <w:szCs w:val="24"/>
          <w:lang w:val="en-US"/>
        </w:rPr>
        <w:t xml:space="preserve">fecal </w:t>
      </w:r>
      <w:r w:rsidR="00817C46" w:rsidRPr="00123003">
        <w:rPr>
          <w:sz w:val="24"/>
          <w:szCs w:val="24"/>
          <w:lang w:val="en-US"/>
        </w:rPr>
        <w:t xml:space="preserve">bile acids conjugated with glycine </w:t>
      </w:r>
      <w:r w:rsidR="00E5397B" w:rsidRPr="00123003">
        <w:rPr>
          <w:sz w:val="24"/>
          <w:szCs w:val="24"/>
          <w:lang w:val="en-US"/>
        </w:rPr>
        <w:t xml:space="preserve">compared to </w:t>
      </w:r>
      <w:r w:rsidR="006C73C9" w:rsidRPr="00123003">
        <w:rPr>
          <w:sz w:val="24"/>
          <w:szCs w:val="24"/>
          <w:lang w:val="en-US"/>
        </w:rPr>
        <w:t xml:space="preserve">their </w:t>
      </w:r>
      <w:r w:rsidR="00E5397B" w:rsidRPr="00123003">
        <w:rPr>
          <w:sz w:val="24"/>
          <w:szCs w:val="24"/>
          <w:lang w:val="en-US"/>
        </w:rPr>
        <w:t>RA</w:t>
      </w:r>
      <w:r w:rsidR="006C73C9" w:rsidRPr="00123003">
        <w:rPr>
          <w:sz w:val="24"/>
          <w:szCs w:val="24"/>
          <w:lang w:val="en-US"/>
        </w:rPr>
        <w:t xml:space="preserve"> counterparts</w:t>
      </w:r>
      <w:r w:rsidR="00E5397B" w:rsidRPr="00123003">
        <w:rPr>
          <w:sz w:val="24"/>
          <w:szCs w:val="24"/>
          <w:lang w:val="en-US"/>
        </w:rPr>
        <w:t xml:space="preserve"> (</w:t>
      </w:r>
      <w:r w:rsidR="00E5397B" w:rsidRPr="00123003">
        <w:rPr>
          <w:b/>
          <w:sz w:val="24"/>
          <w:szCs w:val="24"/>
          <w:lang w:val="en-US"/>
        </w:rPr>
        <w:t>Fig</w:t>
      </w:r>
      <w:r w:rsidR="004A5BCB" w:rsidRPr="00123003">
        <w:rPr>
          <w:b/>
          <w:sz w:val="24"/>
          <w:szCs w:val="24"/>
          <w:lang w:val="en-US"/>
        </w:rPr>
        <w:t>ure</w:t>
      </w:r>
      <w:r w:rsidR="00E5397B" w:rsidRPr="00123003">
        <w:rPr>
          <w:b/>
          <w:sz w:val="24"/>
          <w:szCs w:val="24"/>
          <w:lang w:val="en-US"/>
        </w:rPr>
        <w:t xml:space="preserve"> 5</w:t>
      </w:r>
      <w:r w:rsidR="004A5BCB" w:rsidRPr="00123003">
        <w:rPr>
          <w:b/>
          <w:sz w:val="24"/>
          <w:szCs w:val="24"/>
          <w:lang w:val="en-US"/>
        </w:rPr>
        <w:t>G</w:t>
      </w:r>
      <w:r w:rsidR="00E94707" w:rsidRPr="00123003">
        <w:rPr>
          <w:sz w:val="24"/>
          <w:szCs w:val="24"/>
          <w:lang w:val="en-US"/>
        </w:rPr>
        <w:t>). Similarly, taurine-conjugated bile acids were present in higher amounts in the bile</w:t>
      </w:r>
      <w:r w:rsidR="00E5397B" w:rsidRPr="00123003">
        <w:rPr>
          <w:sz w:val="24"/>
          <w:szCs w:val="24"/>
          <w:lang w:val="en-US"/>
        </w:rPr>
        <w:t xml:space="preserve"> acid pool of </w:t>
      </w:r>
      <w:proofErr w:type="gramStart"/>
      <w:r w:rsidR="00E5397B" w:rsidRPr="00123003">
        <w:rPr>
          <w:sz w:val="24"/>
          <w:szCs w:val="24"/>
          <w:lang w:val="en-US"/>
        </w:rPr>
        <w:t>AN</w:t>
      </w:r>
      <w:proofErr w:type="gramEnd"/>
      <w:r w:rsidR="00E5397B" w:rsidRPr="00123003">
        <w:rPr>
          <w:sz w:val="24"/>
          <w:szCs w:val="24"/>
          <w:lang w:val="en-US"/>
        </w:rPr>
        <w:t xml:space="preserve"> </w:t>
      </w:r>
      <w:r w:rsidR="006C73C9" w:rsidRPr="00123003">
        <w:rPr>
          <w:sz w:val="24"/>
          <w:szCs w:val="24"/>
          <w:lang w:val="en-US"/>
        </w:rPr>
        <w:t>participants</w:t>
      </w:r>
      <w:r w:rsidR="004A5BCB" w:rsidRPr="00123003">
        <w:rPr>
          <w:sz w:val="24"/>
          <w:szCs w:val="24"/>
          <w:lang w:val="en-US"/>
        </w:rPr>
        <w:t xml:space="preserve"> (</w:t>
      </w:r>
      <w:r w:rsidR="004A5BCB" w:rsidRPr="00123003">
        <w:rPr>
          <w:b/>
          <w:sz w:val="24"/>
          <w:szCs w:val="24"/>
          <w:lang w:val="en-US"/>
        </w:rPr>
        <w:t>Figure</w:t>
      </w:r>
      <w:r w:rsidR="00E5397B" w:rsidRPr="00123003">
        <w:rPr>
          <w:b/>
          <w:sz w:val="24"/>
          <w:szCs w:val="24"/>
          <w:lang w:val="en-US"/>
        </w:rPr>
        <w:t xml:space="preserve"> 5</w:t>
      </w:r>
      <w:r w:rsidR="004A5BCB" w:rsidRPr="00123003">
        <w:rPr>
          <w:b/>
          <w:sz w:val="24"/>
          <w:szCs w:val="24"/>
          <w:lang w:val="en-US"/>
        </w:rPr>
        <w:t>H</w:t>
      </w:r>
      <w:r w:rsidR="00E94707" w:rsidRPr="00123003">
        <w:rPr>
          <w:sz w:val="24"/>
          <w:szCs w:val="24"/>
          <w:lang w:val="en-US"/>
        </w:rPr>
        <w:t>).</w:t>
      </w:r>
    </w:p>
    <w:p w:rsidR="001359E6" w:rsidRPr="00123003" w:rsidRDefault="00092DC4" w:rsidP="00123003">
      <w:pPr>
        <w:pStyle w:val="KeinLeerraum"/>
        <w:spacing w:line="480" w:lineRule="auto"/>
        <w:jc w:val="both"/>
        <w:rPr>
          <w:b/>
          <w:sz w:val="24"/>
          <w:szCs w:val="24"/>
          <w:lang w:val="en-US"/>
        </w:rPr>
      </w:pPr>
      <w:r w:rsidRPr="00123003">
        <w:rPr>
          <w:b/>
          <w:sz w:val="24"/>
          <w:szCs w:val="24"/>
          <w:lang w:val="en-US"/>
        </w:rPr>
        <w:t>T</w:t>
      </w:r>
      <w:r w:rsidR="001359E6" w:rsidRPr="00123003">
        <w:rPr>
          <w:b/>
          <w:sz w:val="24"/>
          <w:szCs w:val="24"/>
          <w:lang w:val="en-US"/>
        </w:rPr>
        <w:t xml:space="preserve">umor-promoting </w:t>
      </w:r>
      <w:r w:rsidR="00904178" w:rsidRPr="00123003">
        <w:rPr>
          <w:b/>
          <w:sz w:val="24"/>
          <w:szCs w:val="24"/>
          <w:lang w:val="en-US"/>
        </w:rPr>
        <w:t>capacity</w:t>
      </w:r>
      <w:r w:rsidR="001359E6" w:rsidRPr="00123003">
        <w:rPr>
          <w:b/>
          <w:sz w:val="24"/>
          <w:szCs w:val="24"/>
          <w:lang w:val="en-US"/>
        </w:rPr>
        <w:t xml:space="preserve"> </w:t>
      </w:r>
      <w:r w:rsidRPr="00123003">
        <w:rPr>
          <w:b/>
          <w:sz w:val="24"/>
          <w:szCs w:val="24"/>
          <w:lang w:val="en-US"/>
        </w:rPr>
        <w:t>of the AN gut microbiota</w:t>
      </w:r>
      <w:r w:rsidR="001359E6" w:rsidRPr="00123003">
        <w:rPr>
          <w:b/>
          <w:sz w:val="24"/>
          <w:szCs w:val="24"/>
          <w:lang w:val="en-US"/>
        </w:rPr>
        <w:t xml:space="preserve"> </w:t>
      </w:r>
      <w:r w:rsidR="00904178" w:rsidRPr="00123003">
        <w:rPr>
          <w:b/>
          <w:sz w:val="24"/>
          <w:szCs w:val="24"/>
          <w:lang w:val="en-US"/>
        </w:rPr>
        <w:t xml:space="preserve">is not linked to </w:t>
      </w:r>
      <w:r w:rsidR="002749C5" w:rsidRPr="00123003">
        <w:rPr>
          <w:b/>
          <w:sz w:val="24"/>
          <w:szCs w:val="24"/>
          <w:lang w:val="en-US"/>
        </w:rPr>
        <w:t xml:space="preserve">adenomatous </w:t>
      </w:r>
      <w:r w:rsidR="00904178" w:rsidRPr="00123003">
        <w:rPr>
          <w:b/>
          <w:sz w:val="24"/>
          <w:szCs w:val="24"/>
          <w:lang w:val="en-US"/>
        </w:rPr>
        <w:t>polyps</w:t>
      </w:r>
      <w:r w:rsidR="002749C5" w:rsidRPr="00123003">
        <w:rPr>
          <w:b/>
          <w:sz w:val="24"/>
          <w:szCs w:val="24"/>
          <w:lang w:val="en-US"/>
        </w:rPr>
        <w:t xml:space="preserve"> in the colon</w:t>
      </w:r>
    </w:p>
    <w:p w:rsidR="00092DC4" w:rsidRPr="00D61E35" w:rsidRDefault="0095287A" w:rsidP="00123003">
      <w:pPr>
        <w:spacing w:line="480" w:lineRule="auto"/>
        <w:jc w:val="both"/>
        <w:rPr>
          <w:sz w:val="24"/>
          <w:szCs w:val="24"/>
          <w:lang w:val="en-US"/>
        </w:rPr>
      </w:pPr>
      <w:r w:rsidRPr="00123003">
        <w:rPr>
          <w:sz w:val="24"/>
          <w:szCs w:val="24"/>
          <w:lang w:val="en-US"/>
        </w:rPr>
        <w:t>The</w:t>
      </w:r>
      <w:r w:rsidR="002749C5" w:rsidRPr="00123003">
        <w:rPr>
          <w:sz w:val="24"/>
          <w:szCs w:val="24"/>
          <w:lang w:val="en-US"/>
        </w:rPr>
        <w:t xml:space="preserve"> gut microbiota composition of AN individuals with or without adenomatous polyps di</w:t>
      </w:r>
      <w:r w:rsidR="004A5BCB" w:rsidRPr="00123003">
        <w:rPr>
          <w:sz w:val="24"/>
          <w:szCs w:val="24"/>
          <w:lang w:val="en-US"/>
        </w:rPr>
        <w:t>d not differ significantly (</w:t>
      </w:r>
      <w:r w:rsidR="004A5BCB" w:rsidRPr="00123003">
        <w:rPr>
          <w:b/>
          <w:sz w:val="24"/>
          <w:szCs w:val="24"/>
          <w:lang w:val="en-US"/>
        </w:rPr>
        <w:t>Figure</w:t>
      </w:r>
      <w:r w:rsidR="002749C5" w:rsidRPr="00123003">
        <w:rPr>
          <w:b/>
          <w:sz w:val="24"/>
          <w:szCs w:val="24"/>
          <w:lang w:val="en-US"/>
        </w:rPr>
        <w:t xml:space="preserve"> 6</w:t>
      </w:r>
      <w:r w:rsidR="004A5BCB" w:rsidRPr="00123003">
        <w:rPr>
          <w:b/>
          <w:sz w:val="24"/>
          <w:szCs w:val="24"/>
          <w:lang w:val="en-US"/>
        </w:rPr>
        <w:t>A</w:t>
      </w:r>
      <w:r w:rsidR="002749C5" w:rsidRPr="00123003">
        <w:rPr>
          <w:sz w:val="24"/>
          <w:szCs w:val="24"/>
          <w:lang w:val="en-US"/>
        </w:rPr>
        <w:t xml:space="preserve">) and showed only minor alterations at genus level with </w:t>
      </w:r>
      <w:proofErr w:type="spellStart"/>
      <w:r w:rsidR="002749C5" w:rsidRPr="00123003">
        <w:rPr>
          <w:i/>
          <w:sz w:val="24"/>
          <w:szCs w:val="24"/>
          <w:lang w:val="en-US"/>
        </w:rPr>
        <w:t>Erysipelotrichaceae</w:t>
      </w:r>
      <w:proofErr w:type="spellEnd"/>
      <w:r w:rsidR="002749C5" w:rsidRPr="00123003">
        <w:rPr>
          <w:i/>
          <w:sz w:val="24"/>
          <w:szCs w:val="24"/>
          <w:lang w:val="en-US"/>
        </w:rPr>
        <w:t xml:space="preserve"> </w:t>
      </w:r>
      <w:proofErr w:type="spellStart"/>
      <w:r w:rsidR="002749C5" w:rsidRPr="00123003">
        <w:rPr>
          <w:i/>
          <w:sz w:val="24"/>
          <w:szCs w:val="24"/>
          <w:lang w:val="en-US"/>
        </w:rPr>
        <w:t>incertae</w:t>
      </w:r>
      <w:proofErr w:type="spellEnd"/>
      <w:r w:rsidR="002749C5" w:rsidRPr="00123003">
        <w:rPr>
          <w:i/>
          <w:sz w:val="24"/>
          <w:szCs w:val="24"/>
          <w:lang w:val="en-US"/>
        </w:rPr>
        <w:t xml:space="preserve"> </w:t>
      </w:r>
      <w:proofErr w:type="spellStart"/>
      <w:r w:rsidR="002749C5" w:rsidRPr="00123003">
        <w:rPr>
          <w:i/>
          <w:sz w:val="24"/>
          <w:szCs w:val="24"/>
          <w:lang w:val="en-US"/>
        </w:rPr>
        <w:t>sedis</w:t>
      </w:r>
      <w:proofErr w:type="spellEnd"/>
      <w:r w:rsidR="002749C5" w:rsidRPr="00123003">
        <w:rPr>
          <w:sz w:val="24"/>
          <w:szCs w:val="24"/>
          <w:lang w:val="en-US"/>
        </w:rPr>
        <w:t xml:space="preserve"> being significantly more and </w:t>
      </w:r>
      <w:proofErr w:type="spellStart"/>
      <w:r w:rsidR="002749C5" w:rsidRPr="00123003">
        <w:rPr>
          <w:i/>
          <w:sz w:val="24"/>
          <w:szCs w:val="24"/>
          <w:lang w:val="en-US"/>
        </w:rPr>
        <w:t>Fusicatenibacter</w:t>
      </w:r>
      <w:proofErr w:type="spellEnd"/>
      <w:r w:rsidR="002749C5" w:rsidRPr="00123003">
        <w:rPr>
          <w:sz w:val="24"/>
          <w:szCs w:val="24"/>
          <w:lang w:val="en-US"/>
        </w:rPr>
        <w:t xml:space="preserve"> being less abundant in AN participants with </w:t>
      </w:r>
      <w:r w:rsidR="004A5BCB" w:rsidRPr="00123003">
        <w:rPr>
          <w:sz w:val="24"/>
          <w:szCs w:val="24"/>
          <w:lang w:val="en-US"/>
        </w:rPr>
        <w:t>polyps (</w:t>
      </w:r>
      <w:r w:rsidR="004A5BCB" w:rsidRPr="00123003">
        <w:rPr>
          <w:b/>
          <w:sz w:val="24"/>
          <w:szCs w:val="24"/>
          <w:lang w:val="en-US"/>
        </w:rPr>
        <w:t>Figure</w:t>
      </w:r>
      <w:r w:rsidR="002749C5" w:rsidRPr="00123003">
        <w:rPr>
          <w:b/>
          <w:sz w:val="24"/>
          <w:szCs w:val="24"/>
          <w:lang w:val="en-US"/>
        </w:rPr>
        <w:t xml:space="preserve"> 6</w:t>
      </w:r>
      <w:r w:rsidR="004A5BCB" w:rsidRPr="00123003">
        <w:rPr>
          <w:b/>
          <w:sz w:val="24"/>
          <w:szCs w:val="24"/>
          <w:lang w:val="en-US"/>
        </w:rPr>
        <w:t>B</w:t>
      </w:r>
      <w:r w:rsidR="002749C5" w:rsidRPr="00123003">
        <w:rPr>
          <w:b/>
          <w:sz w:val="24"/>
          <w:szCs w:val="24"/>
          <w:lang w:val="en-US"/>
        </w:rPr>
        <w:t>,</w:t>
      </w:r>
      <w:r w:rsidR="00334E39" w:rsidRPr="00123003">
        <w:rPr>
          <w:b/>
          <w:sz w:val="24"/>
          <w:szCs w:val="24"/>
          <w:lang w:val="en-US"/>
        </w:rPr>
        <w:t xml:space="preserve"> </w:t>
      </w:r>
      <w:r w:rsidR="004A5BCB" w:rsidRPr="00123003">
        <w:rPr>
          <w:b/>
          <w:sz w:val="24"/>
          <w:szCs w:val="24"/>
          <w:lang w:val="en-US"/>
        </w:rPr>
        <w:t>C</w:t>
      </w:r>
      <w:r w:rsidR="002749C5" w:rsidRPr="00123003">
        <w:rPr>
          <w:sz w:val="24"/>
          <w:szCs w:val="24"/>
          <w:lang w:val="en-US"/>
        </w:rPr>
        <w:t xml:space="preserve">). All </w:t>
      </w:r>
      <w:r w:rsidR="00C773CD" w:rsidRPr="00123003">
        <w:rPr>
          <w:sz w:val="24"/>
          <w:szCs w:val="24"/>
          <w:lang w:val="en-US"/>
        </w:rPr>
        <w:t xml:space="preserve">quantified </w:t>
      </w:r>
      <w:r w:rsidR="005571A2" w:rsidRPr="00123003">
        <w:rPr>
          <w:sz w:val="24"/>
          <w:szCs w:val="24"/>
          <w:lang w:val="en-US"/>
        </w:rPr>
        <w:t xml:space="preserve">fecal SCFA or bile acids </w:t>
      </w:r>
      <w:r w:rsidR="002749C5" w:rsidRPr="00123003">
        <w:rPr>
          <w:sz w:val="24"/>
          <w:szCs w:val="24"/>
          <w:lang w:val="en-US"/>
        </w:rPr>
        <w:t xml:space="preserve">did not show significant differences </w:t>
      </w:r>
      <w:r w:rsidR="005571A2" w:rsidRPr="00123003">
        <w:rPr>
          <w:sz w:val="24"/>
          <w:szCs w:val="24"/>
          <w:lang w:val="en-US"/>
        </w:rPr>
        <w:t xml:space="preserve">according to polyp status </w:t>
      </w:r>
      <w:proofErr w:type="gramStart"/>
      <w:r w:rsidR="002749C5" w:rsidRPr="00123003">
        <w:rPr>
          <w:sz w:val="24"/>
          <w:szCs w:val="24"/>
          <w:lang w:val="en-US"/>
        </w:rPr>
        <w:t>of</w:t>
      </w:r>
      <w:r w:rsidR="005571A2" w:rsidRPr="00123003">
        <w:rPr>
          <w:sz w:val="24"/>
          <w:szCs w:val="24"/>
          <w:lang w:val="en-US"/>
        </w:rPr>
        <w:t xml:space="preserve"> AN </w:t>
      </w:r>
      <w:proofErr w:type="spellStart"/>
      <w:r w:rsidR="005571A2" w:rsidRPr="00123003">
        <w:rPr>
          <w:sz w:val="24"/>
          <w:szCs w:val="24"/>
          <w:lang w:val="en-US"/>
        </w:rPr>
        <w:t>individuals</w:t>
      </w:r>
      <w:proofErr w:type="spellEnd"/>
      <w:proofErr w:type="gramEnd"/>
      <w:r w:rsidR="004A5BCB" w:rsidRPr="00123003">
        <w:rPr>
          <w:sz w:val="24"/>
          <w:szCs w:val="24"/>
          <w:lang w:val="en-US"/>
        </w:rPr>
        <w:t xml:space="preserve"> (</w:t>
      </w:r>
      <w:r w:rsidR="004A5BCB" w:rsidRPr="00123003">
        <w:rPr>
          <w:b/>
          <w:sz w:val="24"/>
          <w:szCs w:val="24"/>
          <w:lang w:val="en-US"/>
        </w:rPr>
        <w:t>Supplemental</w:t>
      </w:r>
      <w:r w:rsidR="00C773CD" w:rsidRPr="00123003">
        <w:rPr>
          <w:b/>
          <w:sz w:val="24"/>
          <w:szCs w:val="24"/>
          <w:lang w:val="en-US"/>
        </w:rPr>
        <w:t xml:space="preserve"> Fig</w:t>
      </w:r>
      <w:r w:rsidR="004A5BCB" w:rsidRPr="00123003">
        <w:rPr>
          <w:b/>
          <w:sz w:val="24"/>
          <w:szCs w:val="24"/>
          <w:lang w:val="en-US"/>
        </w:rPr>
        <w:t>ure</w:t>
      </w:r>
      <w:r w:rsidR="00C773CD" w:rsidRPr="00123003">
        <w:rPr>
          <w:b/>
          <w:sz w:val="24"/>
          <w:szCs w:val="24"/>
          <w:lang w:val="en-US"/>
        </w:rPr>
        <w:t xml:space="preserve"> </w:t>
      </w:r>
      <w:r w:rsidR="003C039D">
        <w:rPr>
          <w:b/>
          <w:sz w:val="24"/>
          <w:szCs w:val="24"/>
          <w:lang w:val="en-US"/>
        </w:rPr>
        <w:t>5</w:t>
      </w:r>
      <w:r w:rsidR="004A5BCB" w:rsidRPr="00123003">
        <w:rPr>
          <w:b/>
          <w:sz w:val="24"/>
          <w:szCs w:val="24"/>
          <w:lang w:val="en-US"/>
        </w:rPr>
        <w:t>A</w:t>
      </w:r>
      <w:r w:rsidR="00C773CD" w:rsidRPr="00123003">
        <w:rPr>
          <w:b/>
          <w:sz w:val="24"/>
          <w:szCs w:val="24"/>
          <w:lang w:val="en-US"/>
        </w:rPr>
        <w:t>-</w:t>
      </w:r>
      <w:r w:rsidR="004A5BCB" w:rsidRPr="00123003">
        <w:rPr>
          <w:b/>
          <w:sz w:val="24"/>
          <w:szCs w:val="24"/>
          <w:lang w:val="en-US"/>
        </w:rPr>
        <w:t>C</w:t>
      </w:r>
      <w:r w:rsidR="002749C5" w:rsidRPr="00123003">
        <w:rPr>
          <w:sz w:val="24"/>
          <w:szCs w:val="24"/>
          <w:lang w:val="en-US"/>
        </w:rPr>
        <w:t xml:space="preserve">, </w:t>
      </w:r>
      <w:r w:rsidR="004A5BCB" w:rsidRPr="00123003">
        <w:rPr>
          <w:b/>
          <w:sz w:val="24"/>
          <w:szCs w:val="24"/>
          <w:lang w:val="en-US"/>
        </w:rPr>
        <w:t>F</w:t>
      </w:r>
      <w:r w:rsidR="002749C5" w:rsidRPr="00123003">
        <w:rPr>
          <w:sz w:val="24"/>
          <w:szCs w:val="24"/>
          <w:lang w:val="en-US"/>
        </w:rPr>
        <w:t xml:space="preserve">, </w:t>
      </w:r>
      <w:r w:rsidR="004A5BCB" w:rsidRPr="00123003">
        <w:rPr>
          <w:b/>
          <w:sz w:val="24"/>
          <w:szCs w:val="24"/>
          <w:lang w:val="en-US"/>
        </w:rPr>
        <w:t>G</w:t>
      </w:r>
      <w:r w:rsidR="00FF23F6" w:rsidRPr="00123003">
        <w:rPr>
          <w:sz w:val="24"/>
          <w:szCs w:val="24"/>
          <w:lang w:val="en-US"/>
        </w:rPr>
        <w:t xml:space="preserve"> </w:t>
      </w:r>
      <w:r w:rsidR="00C773CD" w:rsidRPr="00123003">
        <w:rPr>
          <w:sz w:val="24"/>
          <w:szCs w:val="24"/>
          <w:lang w:val="en-US"/>
        </w:rPr>
        <w:t>show main representative SCFA and bile acids)</w:t>
      </w:r>
      <w:r w:rsidR="005571A2" w:rsidRPr="00123003">
        <w:rPr>
          <w:sz w:val="24"/>
          <w:szCs w:val="24"/>
          <w:lang w:val="en-US"/>
        </w:rPr>
        <w:t xml:space="preserve">. </w:t>
      </w:r>
      <w:r w:rsidR="00BF051F" w:rsidRPr="00123003">
        <w:rPr>
          <w:sz w:val="24"/>
          <w:szCs w:val="24"/>
          <w:lang w:val="en-US"/>
        </w:rPr>
        <w:t xml:space="preserve">Consistently, presence of </w:t>
      </w:r>
      <w:r w:rsidR="00334E39" w:rsidRPr="00123003">
        <w:rPr>
          <w:sz w:val="24"/>
          <w:szCs w:val="24"/>
          <w:lang w:val="en-US"/>
        </w:rPr>
        <w:t>adenomatous</w:t>
      </w:r>
      <w:r w:rsidR="005571A2" w:rsidRPr="00123003">
        <w:rPr>
          <w:sz w:val="24"/>
          <w:szCs w:val="24"/>
          <w:lang w:val="en-US"/>
        </w:rPr>
        <w:t xml:space="preserve"> polyps did not affect the expression of fu</w:t>
      </w:r>
      <w:r w:rsidR="00334E39" w:rsidRPr="00123003">
        <w:rPr>
          <w:sz w:val="24"/>
          <w:szCs w:val="24"/>
          <w:lang w:val="en-US"/>
        </w:rPr>
        <w:t>nctional microbial genes involved</w:t>
      </w:r>
      <w:r w:rsidR="005571A2" w:rsidRPr="00123003">
        <w:rPr>
          <w:sz w:val="24"/>
          <w:szCs w:val="24"/>
          <w:lang w:val="en-US"/>
        </w:rPr>
        <w:t xml:space="preserve"> </w:t>
      </w:r>
      <w:r w:rsidR="00334E39" w:rsidRPr="00123003">
        <w:rPr>
          <w:sz w:val="24"/>
          <w:szCs w:val="24"/>
          <w:lang w:val="en-US"/>
        </w:rPr>
        <w:t>in</w:t>
      </w:r>
      <w:r w:rsidR="005571A2" w:rsidRPr="00123003">
        <w:rPr>
          <w:sz w:val="24"/>
          <w:szCs w:val="24"/>
          <w:lang w:val="en-US"/>
        </w:rPr>
        <w:t xml:space="preserve"> butyrate synthesis</w:t>
      </w:r>
      <w:r w:rsidR="004A5BCB" w:rsidRPr="00123003">
        <w:rPr>
          <w:sz w:val="24"/>
          <w:szCs w:val="24"/>
          <w:lang w:val="en-US"/>
        </w:rPr>
        <w:t xml:space="preserve"> or bile acid conversion (</w:t>
      </w:r>
      <w:r w:rsidR="004A5BCB" w:rsidRPr="00123003">
        <w:rPr>
          <w:b/>
          <w:sz w:val="24"/>
          <w:szCs w:val="24"/>
          <w:lang w:val="en-US"/>
        </w:rPr>
        <w:t>Supplemental</w:t>
      </w:r>
      <w:r w:rsidR="005571A2" w:rsidRPr="00123003">
        <w:rPr>
          <w:b/>
          <w:sz w:val="24"/>
          <w:szCs w:val="24"/>
          <w:lang w:val="en-US"/>
        </w:rPr>
        <w:t xml:space="preserve"> Fig</w:t>
      </w:r>
      <w:r w:rsidR="004A5BCB" w:rsidRPr="00123003">
        <w:rPr>
          <w:b/>
          <w:sz w:val="24"/>
          <w:szCs w:val="24"/>
          <w:lang w:val="en-US"/>
        </w:rPr>
        <w:t>ure</w:t>
      </w:r>
      <w:r w:rsidR="005571A2" w:rsidRPr="00123003">
        <w:rPr>
          <w:b/>
          <w:sz w:val="24"/>
          <w:szCs w:val="24"/>
          <w:lang w:val="en-US"/>
        </w:rPr>
        <w:t xml:space="preserve"> </w:t>
      </w:r>
      <w:r w:rsidR="003C039D">
        <w:rPr>
          <w:b/>
          <w:sz w:val="24"/>
          <w:szCs w:val="24"/>
          <w:lang w:val="en-US"/>
        </w:rPr>
        <w:lastRenderedPageBreak/>
        <w:t>5</w:t>
      </w:r>
      <w:r w:rsidR="004A5BCB" w:rsidRPr="00123003">
        <w:rPr>
          <w:b/>
          <w:sz w:val="24"/>
          <w:szCs w:val="24"/>
          <w:lang w:val="en-US"/>
        </w:rPr>
        <w:t>D</w:t>
      </w:r>
      <w:r w:rsidR="005571A2" w:rsidRPr="00123003">
        <w:rPr>
          <w:sz w:val="24"/>
          <w:szCs w:val="24"/>
          <w:lang w:val="en-US"/>
        </w:rPr>
        <w:t>,</w:t>
      </w:r>
      <w:r w:rsidR="00334E39" w:rsidRPr="00123003">
        <w:rPr>
          <w:sz w:val="24"/>
          <w:szCs w:val="24"/>
          <w:lang w:val="en-US"/>
        </w:rPr>
        <w:t xml:space="preserve"> </w:t>
      </w:r>
      <w:r w:rsidR="004A5BCB" w:rsidRPr="00123003">
        <w:rPr>
          <w:b/>
          <w:sz w:val="24"/>
          <w:szCs w:val="24"/>
          <w:lang w:val="en-US"/>
        </w:rPr>
        <w:t>E</w:t>
      </w:r>
      <w:r w:rsidR="00334E39" w:rsidRPr="00123003">
        <w:rPr>
          <w:sz w:val="24"/>
          <w:szCs w:val="24"/>
          <w:lang w:val="en-US"/>
        </w:rPr>
        <w:t>,</w:t>
      </w:r>
      <w:r w:rsidR="005571A2" w:rsidRPr="00123003">
        <w:rPr>
          <w:sz w:val="24"/>
          <w:szCs w:val="24"/>
          <w:lang w:val="en-US"/>
        </w:rPr>
        <w:t xml:space="preserve"> </w:t>
      </w:r>
      <w:r w:rsidR="004A5BCB" w:rsidRPr="00123003">
        <w:rPr>
          <w:b/>
          <w:sz w:val="24"/>
          <w:szCs w:val="24"/>
          <w:lang w:val="en-US"/>
        </w:rPr>
        <w:t>H</w:t>
      </w:r>
      <w:r w:rsidR="005571A2" w:rsidRPr="00123003">
        <w:rPr>
          <w:sz w:val="24"/>
          <w:szCs w:val="24"/>
          <w:lang w:val="en-US"/>
        </w:rPr>
        <w:t>)</w:t>
      </w:r>
      <w:r w:rsidR="00C773CD" w:rsidRPr="00123003">
        <w:rPr>
          <w:sz w:val="24"/>
          <w:szCs w:val="24"/>
          <w:lang w:val="en-US"/>
        </w:rPr>
        <w:t xml:space="preserve">, sulfite reduction or </w:t>
      </w:r>
      <w:proofErr w:type="spellStart"/>
      <w:r w:rsidR="00C773CD" w:rsidRPr="00123003">
        <w:rPr>
          <w:sz w:val="24"/>
          <w:szCs w:val="24"/>
          <w:lang w:val="en-US"/>
        </w:rPr>
        <w:t>methanogenesis</w:t>
      </w:r>
      <w:proofErr w:type="spellEnd"/>
      <w:r w:rsidR="00C773CD" w:rsidRPr="00123003">
        <w:rPr>
          <w:sz w:val="24"/>
          <w:szCs w:val="24"/>
          <w:lang w:val="en-US"/>
        </w:rPr>
        <w:t xml:space="preserve"> </w:t>
      </w:r>
      <w:r w:rsidR="00982926" w:rsidRPr="00123003">
        <w:rPr>
          <w:sz w:val="24"/>
          <w:szCs w:val="24"/>
          <w:lang w:val="en-US"/>
        </w:rPr>
        <w:t xml:space="preserve">and </w:t>
      </w:r>
      <w:r w:rsidR="00F72A13" w:rsidRPr="00123003">
        <w:rPr>
          <w:sz w:val="24"/>
          <w:szCs w:val="24"/>
          <w:lang w:val="en-US"/>
        </w:rPr>
        <w:t xml:space="preserve">the </w:t>
      </w:r>
      <w:r w:rsidR="00982926" w:rsidRPr="00123003">
        <w:rPr>
          <w:sz w:val="24"/>
          <w:szCs w:val="24"/>
          <w:lang w:val="en-US"/>
        </w:rPr>
        <w:t xml:space="preserve">abundance of </w:t>
      </w:r>
      <w:r w:rsidR="00982926" w:rsidRPr="00123003">
        <w:rPr>
          <w:i/>
          <w:sz w:val="24"/>
          <w:szCs w:val="24"/>
          <w:lang w:val="en-US"/>
        </w:rPr>
        <w:t>Fusobacteria</w:t>
      </w:r>
      <w:r w:rsidR="00982926" w:rsidRPr="00123003">
        <w:rPr>
          <w:sz w:val="24"/>
          <w:szCs w:val="24"/>
          <w:lang w:val="en-US"/>
        </w:rPr>
        <w:t xml:space="preserve"> or </w:t>
      </w:r>
      <w:r w:rsidR="00982926" w:rsidRPr="00123003">
        <w:rPr>
          <w:i/>
          <w:sz w:val="24"/>
          <w:szCs w:val="24"/>
          <w:lang w:val="en-US"/>
        </w:rPr>
        <w:t xml:space="preserve">B. </w:t>
      </w:r>
      <w:proofErr w:type="spellStart"/>
      <w:r w:rsidR="00982926" w:rsidRPr="00123003">
        <w:rPr>
          <w:i/>
          <w:sz w:val="24"/>
          <w:szCs w:val="24"/>
          <w:lang w:val="en-US"/>
        </w:rPr>
        <w:t>wadsworthia</w:t>
      </w:r>
      <w:proofErr w:type="spellEnd"/>
      <w:r w:rsidR="00982926" w:rsidRPr="00123003">
        <w:rPr>
          <w:sz w:val="24"/>
          <w:szCs w:val="24"/>
          <w:lang w:val="en-US"/>
        </w:rPr>
        <w:t xml:space="preserve"> in feces </w:t>
      </w:r>
      <w:r w:rsidR="00C773CD" w:rsidRPr="00123003">
        <w:rPr>
          <w:sz w:val="24"/>
          <w:szCs w:val="24"/>
          <w:lang w:val="en-US"/>
        </w:rPr>
        <w:t>(data not shown)</w:t>
      </w:r>
      <w:r w:rsidR="005571A2" w:rsidRPr="00123003">
        <w:rPr>
          <w:sz w:val="24"/>
          <w:szCs w:val="24"/>
          <w:lang w:val="en-US"/>
        </w:rPr>
        <w:t>.</w:t>
      </w:r>
      <w:r w:rsidR="00982926" w:rsidRPr="00123003">
        <w:rPr>
          <w:sz w:val="24"/>
          <w:szCs w:val="24"/>
          <w:lang w:val="en-US"/>
        </w:rPr>
        <w:t xml:space="preserve"> </w:t>
      </w:r>
      <w:proofErr w:type="gramStart"/>
      <w:r w:rsidR="00D61E35" w:rsidRPr="00D61E35">
        <w:rPr>
          <w:sz w:val="24"/>
          <w:szCs w:val="24"/>
          <w:lang w:val="en-US"/>
        </w:rPr>
        <w:t>AN</w:t>
      </w:r>
      <w:proofErr w:type="gramEnd"/>
      <w:r w:rsidR="00D61E35" w:rsidRPr="00D61E35">
        <w:rPr>
          <w:sz w:val="24"/>
          <w:szCs w:val="24"/>
          <w:lang w:val="en-US"/>
        </w:rPr>
        <w:t xml:space="preserve"> participants with polyps </w:t>
      </w:r>
      <w:r w:rsidR="00377047">
        <w:rPr>
          <w:sz w:val="24"/>
          <w:szCs w:val="24"/>
          <w:lang w:val="en-US"/>
        </w:rPr>
        <w:t xml:space="preserve">had </w:t>
      </w:r>
      <w:r w:rsidR="006429D5">
        <w:rPr>
          <w:sz w:val="24"/>
          <w:szCs w:val="24"/>
          <w:lang w:val="en-US"/>
        </w:rPr>
        <w:t xml:space="preserve">a </w:t>
      </w:r>
      <w:r w:rsidR="00D61E35" w:rsidRPr="00D61E35">
        <w:rPr>
          <w:sz w:val="24"/>
          <w:szCs w:val="24"/>
          <w:lang w:val="en-US"/>
        </w:rPr>
        <w:t>higher intake of protein</w:t>
      </w:r>
      <w:r w:rsidR="00377047">
        <w:rPr>
          <w:sz w:val="24"/>
          <w:szCs w:val="24"/>
          <w:lang w:val="en-US"/>
        </w:rPr>
        <w:t>, which was</w:t>
      </w:r>
      <w:r w:rsidR="00D61E35" w:rsidRPr="00D61E35">
        <w:rPr>
          <w:sz w:val="24"/>
          <w:szCs w:val="24"/>
          <w:lang w:val="en-US"/>
        </w:rPr>
        <w:t xml:space="preserve"> </w:t>
      </w:r>
      <w:r w:rsidR="00377047">
        <w:rPr>
          <w:sz w:val="24"/>
          <w:szCs w:val="24"/>
          <w:lang w:val="en-US"/>
        </w:rPr>
        <w:t xml:space="preserve">statistically not significant </w:t>
      </w:r>
      <w:r w:rsidR="00377047" w:rsidRPr="00D61E35">
        <w:rPr>
          <w:sz w:val="24"/>
          <w:szCs w:val="24"/>
          <w:lang w:val="en-US"/>
        </w:rPr>
        <w:t>(51</w:t>
      </w:r>
      <w:r w:rsidR="00377047">
        <w:rPr>
          <w:sz w:val="24"/>
          <w:szCs w:val="24"/>
          <w:lang w:val="en-US"/>
        </w:rPr>
        <w:t xml:space="preserve"> </w:t>
      </w:r>
      <w:r w:rsidR="00377047" w:rsidRPr="00D61E35">
        <w:rPr>
          <w:sz w:val="24"/>
          <w:szCs w:val="24"/>
          <w:lang w:val="en-US"/>
        </w:rPr>
        <w:t>±</w:t>
      </w:r>
      <w:r w:rsidR="00377047">
        <w:rPr>
          <w:sz w:val="24"/>
          <w:szCs w:val="24"/>
          <w:lang w:val="en-US"/>
        </w:rPr>
        <w:t xml:space="preserve"> 2.7 SEM </w:t>
      </w:r>
      <w:r w:rsidR="00377047" w:rsidRPr="00D61E35">
        <w:rPr>
          <w:sz w:val="24"/>
          <w:szCs w:val="24"/>
          <w:lang w:val="en-US"/>
        </w:rPr>
        <w:t>vs. 45.2</w:t>
      </w:r>
      <w:r w:rsidR="00377047">
        <w:rPr>
          <w:sz w:val="24"/>
          <w:szCs w:val="24"/>
          <w:lang w:val="en-US"/>
        </w:rPr>
        <w:t xml:space="preserve"> </w:t>
      </w:r>
      <w:r w:rsidR="00377047" w:rsidRPr="00D61E35">
        <w:rPr>
          <w:sz w:val="24"/>
          <w:szCs w:val="24"/>
          <w:lang w:val="en-US"/>
        </w:rPr>
        <w:t>±</w:t>
      </w:r>
      <w:r w:rsidR="00377047">
        <w:rPr>
          <w:sz w:val="24"/>
          <w:szCs w:val="24"/>
          <w:lang w:val="en-US"/>
        </w:rPr>
        <w:t xml:space="preserve"> 3.1 SEM </w:t>
      </w:r>
      <w:r w:rsidR="00377047" w:rsidRPr="00D61E35">
        <w:rPr>
          <w:sz w:val="24"/>
          <w:szCs w:val="24"/>
          <w:lang w:val="en-US"/>
        </w:rPr>
        <w:t xml:space="preserve">g/1000kcal, </w:t>
      </w:r>
      <w:r w:rsidR="00377047" w:rsidRPr="009408F0">
        <w:rPr>
          <w:i/>
          <w:sz w:val="24"/>
          <w:szCs w:val="24"/>
          <w:lang w:val="en-US"/>
        </w:rPr>
        <w:t>p</w:t>
      </w:r>
      <w:r w:rsidR="00377047" w:rsidRPr="00D61E35">
        <w:rPr>
          <w:sz w:val="24"/>
          <w:szCs w:val="24"/>
          <w:lang w:val="en-US"/>
        </w:rPr>
        <w:t>=0.17)</w:t>
      </w:r>
      <w:r w:rsidR="00377047">
        <w:rPr>
          <w:sz w:val="24"/>
          <w:szCs w:val="24"/>
          <w:lang w:val="en-US"/>
        </w:rPr>
        <w:t xml:space="preserve">, and </w:t>
      </w:r>
      <w:r w:rsidR="00377047" w:rsidRPr="00727E6D">
        <w:rPr>
          <w:sz w:val="24"/>
          <w:szCs w:val="24"/>
          <w:lang w:val="en-US"/>
        </w:rPr>
        <w:t xml:space="preserve">of calciferol (7.6 ± </w:t>
      </w:r>
      <w:r w:rsidR="00377047">
        <w:rPr>
          <w:sz w:val="24"/>
          <w:szCs w:val="24"/>
          <w:lang w:val="en-US"/>
        </w:rPr>
        <w:t>0.9</w:t>
      </w:r>
      <w:r w:rsidR="00377047" w:rsidRPr="00727E6D">
        <w:rPr>
          <w:sz w:val="24"/>
          <w:szCs w:val="24"/>
          <w:lang w:val="en-US"/>
        </w:rPr>
        <w:t xml:space="preserve"> vs 6.2 ± </w:t>
      </w:r>
      <w:r w:rsidR="00377047">
        <w:rPr>
          <w:sz w:val="24"/>
          <w:szCs w:val="24"/>
          <w:lang w:val="en-US"/>
        </w:rPr>
        <w:t>1.3</w:t>
      </w:r>
      <w:r w:rsidR="00377047" w:rsidRPr="001A1FE4">
        <w:rPr>
          <w:sz w:val="24"/>
          <w:szCs w:val="24"/>
          <w:lang w:val="en-US"/>
        </w:rPr>
        <w:t xml:space="preserve"> </w:t>
      </w:r>
      <w:r w:rsidR="00377047">
        <w:rPr>
          <w:sz w:val="24"/>
          <w:szCs w:val="24"/>
          <w:lang w:val="en-US"/>
        </w:rPr>
        <w:t>mcg</w:t>
      </w:r>
      <w:r w:rsidR="00377047" w:rsidRPr="00D61E35">
        <w:rPr>
          <w:sz w:val="24"/>
          <w:szCs w:val="24"/>
          <w:lang w:val="en-US"/>
        </w:rPr>
        <w:t>/1000kcal</w:t>
      </w:r>
      <w:r w:rsidR="00377047" w:rsidRPr="00727E6D">
        <w:rPr>
          <w:sz w:val="24"/>
          <w:szCs w:val="24"/>
          <w:lang w:val="en-US"/>
        </w:rPr>
        <w:t xml:space="preserve">, </w:t>
      </w:r>
      <w:r w:rsidR="00377047" w:rsidRPr="00727E6D">
        <w:rPr>
          <w:i/>
          <w:sz w:val="24"/>
          <w:szCs w:val="24"/>
          <w:lang w:val="en-US"/>
        </w:rPr>
        <w:t>p</w:t>
      </w:r>
      <w:r w:rsidR="00377047" w:rsidRPr="00727E6D">
        <w:rPr>
          <w:sz w:val="24"/>
          <w:szCs w:val="24"/>
          <w:lang w:val="en-US"/>
        </w:rPr>
        <w:t>=0.04)</w:t>
      </w:r>
      <w:r w:rsidR="00377047">
        <w:rPr>
          <w:sz w:val="24"/>
          <w:szCs w:val="24"/>
          <w:lang w:val="en-US"/>
        </w:rPr>
        <w:t xml:space="preserve"> </w:t>
      </w:r>
      <w:r w:rsidR="006429D5">
        <w:rPr>
          <w:sz w:val="24"/>
          <w:szCs w:val="24"/>
          <w:lang w:val="en-US"/>
        </w:rPr>
        <w:t>compared to</w:t>
      </w:r>
      <w:r w:rsidR="00D61E35" w:rsidRPr="00D61E35">
        <w:rPr>
          <w:sz w:val="24"/>
          <w:szCs w:val="24"/>
          <w:lang w:val="en-US"/>
        </w:rPr>
        <w:t xml:space="preserve"> AN participants without polyps</w:t>
      </w:r>
      <w:r w:rsidR="00727E6D" w:rsidRPr="00727E6D">
        <w:rPr>
          <w:sz w:val="24"/>
          <w:szCs w:val="24"/>
          <w:lang w:val="en-US"/>
        </w:rPr>
        <w:t>.</w:t>
      </w:r>
    </w:p>
    <w:p w:rsidR="00FE685D" w:rsidRPr="00123003" w:rsidRDefault="00DA3D4B" w:rsidP="00123003">
      <w:pPr>
        <w:pStyle w:val="KeinLeerraum"/>
        <w:spacing w:line="480" w:lineRule="auto"/>
        <w:jc w:val="both"/>
        <w:rPr>
          <w:b/>
          <w:sz w:val="24"/>
          <w:szCs w:val="24"/>
          <w:lang w:val="en-US"/>
        </w:rPr>
      </w:pPr>
      <w:r w:rsidRPr="00123003">
        <w:rPr>
          <w:b/>
          <w:sz w:val="24"/>
          <w:szCs w:val="24"/>
          <w:lang w:val="en-US"/>
        </w:rPr>
        <w:t>DISCUSSION</w:t>
      </w:r>
    </w:p>
    <w:p w:rsidR="00326AF3" w:rsidRPr="00123003" w:rsidRDefault="00DF4CFE" w:rsidP="00123003">
      <w:pPr>
        <w:spacing w:line="480" w:lineRule="auto"/>
        <w:jc w:val="both"/>
        <w:rPr>
          <w:sz w:val="24"/>
          <w:szCs w:val="24"/>
          <w:lang w:val="en-US"/>
        </w:rPr>
      </w:pPr>
      <w:r w:rsidRPr="00123003">
        <w:rPr>
          <w:sz w:val="24"/>
          <w:szCs w:val="24"/>
          <w:lang w:val="en-US"/>
        </w:rPr>
        <w:t>Here</w:t>
      </w:r>
      <w:r w:rsidR="00E53ECE" w:rsidRPr="00123003">
        <w:rPr>
          <w:sz w:val="24"/>
          <w:szCs w:val="24"/>
          <w:lang w:val="en-US"/>
        </w:rPr>
        <w:t>, w</w:t>
      </w:r>
      <w:r w:rsidR="00321D61" w:rsidRPr="00123003">
        <w:rPr>
          <w:sz w:val="24"/>
          <w:szCs w:val="24"/>
          <w:lang w:val="en-US"/>
        </w:rPr>
        <w:t>e provide</w:t>
      </w:r>
      <w:r w:rsidR="009B4912" w:rsidRPr="00123003">
        <w:rPr>
          <w:sz w:val="24"/>
          <w:szCs w:val="24"/>
          <w:lang w:val="en-US"/>
        </w:rPr>
        <w:t xml:space="preserve"> novel </w:t>
      </w:r>
      <w:r w:rsidR="00F11636" w:rsidRPr="00123003">
        <w:rPr>
          <w:sz w:val="24"/>
          <w:szCs w:val="24"/>
          <w:lang w:val="en-US"/>
        </w:rPr>
        <w:t>evidence</w:t>
      </w:r>
      <w:r w:rsidR="009B4912" w:rsidRPr="00123003">
        <w:rPr>
          <w:sz w:val="24"/>
          <w:szCs w:val="24"/>
          <w:lang w:val="en-US"/>
        </w:rPr>
        <w:t xml:space="preserve"> </w:t>
      </w:r>
      <w:r w:rsidR="00F11636" w:rsidRPr="00123003">
        <w:rPr>
          <w:sz w:val="24"/>
          <w:szCs w:val="24"/>
          <w:lang w:val="en-US"/>
        </w:rPr>
        <w:t>how</w:t>
      </w:r>
      <w:r w:rsidR="009B4912" w:rsidRPr="00123003">
        <w:rPr>
          <w:sz w:val="24"/>
          <w:szCs w:val="24"/>
          <w:lang w:val="en-US"/>
        </w:rPr>
        <w:t xml:space="preserve"> </w:t>
      </w:r>
      <w:r w:rsidR="00CB657D" w:rsidRPr="00123003">
        <w:rPr>
          <w:sz w:val="24"/>
          <w:szCs w:val="24"/>
          <w:lang w:val="en-US"/>
        </w:rPr>
        <w:t xml:space="preserve">interactions of </w:t>
      </w:r>
      <w:r w:rsidR="00321D61" w:rsidRPr="00123003">
        <w:rPr>
          <w:sz w:val="24"/>
          <w:szCs w:val="24"/>
          <w:lang w:val="en-US"/>
        </w:rPr>
        <w:t>dietary</w:t>
      </w:r>
      <w:r w:rsidRPr="00123003">
        <w:rPr>
          <w:sz w:val="24"/>
          <w:szCs w:val="24"/>
          <w:lang w:val="en-US"/>
        </w:rPr>
        <w:t xml:space="preserve"> and</w:t>
      </w:r>
      <w:r w:rsidR="009B4912" w:rsidRPr="00123003">
        <w:rPr>
          <w:sz w:val="24"/>
          <w:szCs w:val="24"/>
          <w:lang w:val="en-US"/>
        </w:rPr>
        <w:t xml:space="preserve"> microbial factors may </w:t>
      </w:r>
      <w:r w:rsidR="00F11636" w:rsidRPr="00123003">
        <w:rPr>
          <w:sz w:val="24"/>
          <w:szCs w:val="24"/>
          <w:lang w:val="en-US"/>
        </w:rPr>
        <w:t>contribute to</w:t>
      </w:r>
      <w:r w:rsidR="00321D61" w:rsidRPr="00123003">
        <w:rPr>
          <w:sz w:val="24"/>
          <w:szCs w:val="24"/>
          <w:lang w:val="en-US"/>
        </w:rPr>
        <w:t xml:space="preserve"> the high CRC risk</w:t>
      </w:r>
      <w:r w:rsidR="00F11636" w:rsidRPr="00123003">
        <w:rPr>
          <w:sz w:val="24"/>
          <w:szCs w:val="24"/>
          <w:lang w:val="en-US"/>
        </w:rPr>
        <w:t xml:space="preserve"> observed</w:t>
      </w:r>
      <w:r w:rsidR="00C41BB2" w:rsidRPr="00123003">
        <w:rPr>
          <w:sz w:val="24"/>
          <w:szCs w:val="24"/>
          <w:lang w:val="en-US"/>
        </w:rPr>
        <w:t xml:space="preserve"> in AN people: t</w:t>
      </w:r>
      <w:r w:rsidR="00321D61" w:rsidRPr="00123003">
        <w:rPr>
          <w:sz w:val="24"/>
          <w:szCs w:val="24"/>
          <w:lang w:val="en-US"/>
        </w:rPr>
        <w:t>he AN</w:t>
      </w:r>
      <w:r w:rsidR="00280A32" w:rsidRPr="00123003">
        <w:rPr>
          <w:sz w:val="24"/>
          <w:szCs w:val="24"/>
          <w:lang w:val="en-US"/>
        </w:rPr>
        <w:t xml:space="preserve"> </w:t>
      </w:r>
      <w:r w:rsidR="006C73C9" w:rsidRPr="00123003">
        <w:rPr>
          <w:sz w:val="24"/>
          <w:szCs w:val="24"/>
          <w:lang w:val="en-US"/>
        </w:rPr>
        <w:t>low</w:t>
      </w:r>
      <w:r w:rsidR="00F11636" w:rsidRPr="00123003">
        <w:rPr>
          <w:sz w:val="24"/>
          <w:szCs w:val="24"/>
          <w:lang w:val="en-US"/>
        </w:rPr>
        <w:t>-</w:t>
      </w:r>
      <w:r w:rsidR="00DF4147" w:rsidRPr="00123003">
        <w:rPr>
          <w:sz w:val="24"/>
          <w:szCs w:val="24"/>
          <w:lang w:val="en-US"/>
        </w:rPr>
        <w:t>fiber</w:t>
      </w:r>
      <w:r w:rsidR="00321D61" w:rsidRPr="00123003">
        <w:rPr>
          <w:sz w:val="24"/>
          <w:szCs w:val="24"/>
          <w:lang w:val="en-US"/>
        </w:rPr>
        <w:t xml:space="preserve"> </w:t>
      </w:r>
      <w:r w:rsidR="00F11636" w:rsidRPr="00123003">
        <w:rPr>
          <w:sz w:val="24"/>
          <w:szCs w:val="24"/>
          <w:lang w:val="en-US"/>
        </w:rPr>
        <w:t xml:space="preserve">diet </w:t>
      </w:r>
      <w:r w:rsidR="00321D61" w:rsidRPr="00123003">
        <w:rPr>
          <w:sz w:val="24"/>
          <w:szCs w:val="24"/>
          <w:lang w:val="en-US"/>
        </w:rPr>
        <w:t xml:space="preserve">results in low levels </w:t>
      </w:r>
      <w:r w:rsidR="003B0EAD" w:rsidRPr="00123003">
        <w:rPr>
          <w:sz w:val="24"/>
          <w:szCs w:val="24"/>
          <w:lang w:val="en-US"/>
        </w:rPr>
        <w:t>of saccharolytic fermentation and</w:t>
      </w:r>
      <w:r w:rsidR="00B92E0D" w:rsidRPr="00123003">
        <w:rPr>
          <w:sz w:val="24"/>
          <w:szCs w:val="24"/>
          <w:lang w:val="en-US"/>
        </w:rPr>
        <w:t xml:space="preserve"> tumorsuppressive</w:t>
      </w:r>
      <w:r w:rsidR="00321D61" w:rsidRPr="00123003">
        <w:rPr>
          <w:sz w:val="24"/>
          <w:szCs w:val="24"/>
          <w:lang w:val="en-US"/>
        </w:rPr>
        <w:t xml:space="preserve"> butyrate in the colon</w:t>
      </w:r>
      <w:r w:rsidR="009B4912" w:rsidRPr="00123003">
        <w:rPr>
          <w:sz w:val="24"/>
          <w:szCs w:val="24"/>
          <w:lang w:val="en-US"/>
        </w:rPr>
        <w:t>,</w:t>
      </w:r>
      <w:r w:rsidR="00321D61" w:rsidRPr="00123003">
        <w:rPr>
          <w:sz w:val="24"/>
          <w:szCs w:val="24"/>
          <w:lang w:val="en-US"/>
        </w:rPr>
        <w:t xml:space="preserve"> despite a conserved ca</w:t>
      </w:r>
      <w:r w:rsidR="00B92E0D" w:rsidRPr="00123003">
        <w:rPr>
          <w:sz w:val="24"/>
          <w:szCs w:val="24"/>
          <w:lang w:val="en-US"/>
        </w:rPr>
        <w:t>pacity for butyrate synthesis by</w:t>
      </w:r>
      <w:r w:rsidR="00321D61" w:rsidRPr="00123003">
        <w:rPr>
          <w:sz w:val="24"/>
          <w:szCs w:val="24"/>
          <w:lang w:val="en-US"/>
        </w:rPr>
        <w:t xml:space="preserve"> the gut microbiota. </w:t>
      </w:r>
      <w:r w:rsidR="009B4912" w:rsidRPr="00123003">
        <w:rPr>
          <w:sz w:val="24"/>
          <w:szCs w:val="24"/>
          <w:lang w:val="en-US"/>
        </w:rPr>
        <w:t>This is complemented by</w:t>
      </w:r>
      <w:r w:rsidR="00321D61" w:rsidRPr="00123003">
        <w:rPr>
          <w:sz w:val="24"/>
          <w:szCs w:val="24"/>
          <w:lang w:val="en-US"/>
        </w:rPr>
        <w:t xml:space="preserve"> a </w:t>
      </w:r>
      <w:r w:rsidR="00B92E0D" w:rsidRPr="00123003">
        <w:rPr>
          <w:sz w:val="24"/>
          <w:szCs w:val="24"/>
          <w:lang w:val="en-US"/>
        </w:rPr>
        <w:t xml:space="preserve">metabolic </w:t>
      </w:r>
      <w:r w:rsidR="00321D61" w:rsidRPr="00123003">
        <w:rPr>
          <w:sz w:val="24"/>
          <w:szCs w:val="24"/>
          <w:lang w:val="en-US"/>
        </w:rPr>
        <w:t xml:space="preserve">shift </w:t>
      </w:r>
      <w:r w:rsidR="00F11636" w:rsidRPr="00123003">
        <w:rPr>
          <w:sz w:val="24"/>
          <w:szCs w:val="24"/>
          <w:lang w:val="en-US"/>
        </w:rPr>
        <w:t xml:space="preserve">of the </w:t>
      </w:r>
      <w:proofErr w:type="gramStart"/>
      <w:r w:rsidR="00F11636" w:rsidRPr="00123003">
        <w:rPr>
          <w:sz w:val="24"/>
          <w:szCs w:val="24"/>
          <w:lang w:val="en-US"/>
        </w:rPr>
        <w:t>AN</w:t>
      </w:r>
      <w:proofErr w:type="gramEnd"/>
      <w:r w:rsidR="00F11636" w:rsidRPr="00123003">
        <w:rPr>
          <w:sz w:val="24"/>
          <w:szCs w:val="24"/>
          <w:lang w:val="en-US"/>
        </w:rPr>
        <w:t xml:space="preserve"> microbiota </w:t>
      </w:r>
      <w:r w:rsidR="00321D61" w:rsidRPr="00123003">
        <w:rPr>
          <w:sz w:val="24"/>
          <w:szCs w:val="24"/>
          <w:lang w:val="en-US"/>
        </w:rPr>
        <w:t>towards bile acid</w:t>
      </w:r>
      <w:r w:rsidR="00B92E0D" w:rsidRPr="00123003">
        <w:rPr>
          <w:sz w:val="24"/>
          <w:szCs w:val="24"/>
          <w:lang w:val="en-US"/>
        </w:rPr>
        <w:t xml:space="preserve"> </w:t>
      </w:r>
      <w:r w:rsidR="009B4912" w:rsidRPr="00123003">
        <w:rPr>
          <w:sz w:val="24"/>
          <w:szCs w:val="24"/>
          <w:lang w:val="en-US"/>
        </w:rPr>
        <w:t>transformation</w:t>
      </w:r>
      <w:r w:rsidR="00321D61" w:rsidRPr="00123003">
        <w:rPr>
          <w:sz w:val="24"/>
          <w:szCs w:val="24"/>
          <w:lang w:val="en-US"/>
        </w:rPr>
        <w:t xml:space="preserve"> </w:t>
      </w:r>
      <w:r w:rsidR="005E1E64" w:rsidRPr="00123003">
        <w:rPr>
          <w:sz w:val="24"/>
          <w:szCs w:val="24"/>
          <w:lang w:val="en-US"/>
        </w:rPr>
        <w:t xml:space="preserve">characterized </w:t>
      </w:r>
      <w:r w:rsidR="00925354" w:rsidRPr="00123003">
        <w:rPr>
          <w:sz w:val="24"/>
          <w:szCs w:val="24"/>
          <w:lang w:val="en-US"/>
        </w:rPr>
        <w:t xml:space="preserve">by </w:t>
      </w:r>
      <w:r w:rsidR="005E1E64" w:rsidRPr="00123003">
        <w:rPr>
          <w:sz w:val="24"/>
          <w:szCs w:val="24"/>
          <w:lang w:val="en-US"/>
        </w:rPr>
        <w:t xml:space="preserve">high abundance of 7α-dehydroxylating bacteria and a compositional predominance of </w:t>
      </w:r>
      <w:proofErr w:type="spellStart"/>
      <w:r w:rsidR="005E1E64" w:rsidRPr="00123003">
        <w:rPr>
          <w:i/>
          <w:sz w:val="24"/>
          <w:szCs w:val="24"/>
          <w:lang w:val="en-US"/>
        </w:rPr>
        <w:t>Blautia</w:t>
      </w:r>
      <w:proofErr w:type="spellEnd"/>
      <w:r w:rsidR="005E1E64" w:rsidRPr="00123003">
        <w:rPr>
          <w:sz w:val="24"/>
          <w:szCs w:val="24"/>
          <w:lang w:val="en-US"/>
        </w:rPr>
        <w:t xml:space="preserve"> and </w:t>
      </w:r>
      <w:proofErr w:type="spellStart"/>
      <w:r w:rsidR="005E1E64" w:rsidRPr="00123003">
        <w:rPr>
          <w:i/>
          <w:sz w:val="24"/>
          <w:szCs w:val="24"/>
          <w:lang w:val="en-US"/>
        </w:rPr>
        <w:t>Lachnoclostridium</w:t>
      </w:r>
      <w:proofErr w:type="spellEnd"/>
      <w:r w:rsidR="005E1E64" w:rsidRPr="00123003">
        <w:rPr>
          <w:sz w:val="24"/>
          <w:szCs w:val="24"/>
          <w:lang w:val="en-US"/>
        </w:rPr>
        <w:t xml:space="preserve">, leading </w:t>
      </w:r>
      <w:r w:rsidR="00823DEB" w:rsidRPr="00123003">
        <w:rPr>
          <w:sz w:val="24"/>
          <w:szCs w:val="24"/>
          <w:lang w:val="en-US"/>
        </w:rPr>
        <w:t xml:space="preserve">to </w:t>
      </w:r>
      <w:r w:rsidR="009A7A9B" w:rsidRPr="00123003">
        <w:rPr>
          <w:sz w:val="24"/>
          <w:szCs w:val="24"/>
          <w:lang w:val="en-US"/>
        </w:rPr>
        <w:t xml:space="preserve">high </w:t>
      </w:r>
      <w:r w:rsidR="005E1E64" w:rsidRPr="00123003">
        <w:rPr>
          <w:sz w:val="24"/>
          <w:szCs w:val="24"/>
          <w:lang w:val="en-US"/>
        </w:rPr>
        <w:t>concentrations</w:t>
      </w:r>
      <w:r w:rsidR="009A7A9B" w:rsidRPr="00123003">
        <w:rPr>
          <w:sz w:val="24"/>
          <w:szCs w:val="24"/>
          <w:lang w:val="en-US"/>
        </w:rPr>
        <w:t xml:space="preserve"> of tumor-promoting DCA</w:t>
      </w:r>
      <w:r w:rsidR="00B92E0D" w:rsidRPr="00123003">
        <w:rPr>
          <w:sz w:val="24"/>
          <w:szCs w:val="24"/>
          <w:lang w:val="en-US"/>
        </w:rPr>
        <w:t>.</w:t>
      </w:r>
      <w:r w:rsidR="009B4912" w:rsidRPr="00123003">
        <w:rPr>
          <w:sz w:val="24"/>
          <w:szCs w:val="24"/>
          <w:lang w:val="en-US"/>
        </w:rPr>
        <w:t xml:space="preserve"> </w:t>
      </w:r>
      <w:r w:rsidRPr="00123003">
        <w:rPr>
          <w:sz w:val="24"/>
          <w:szCs w:val="24"/>
          <w:lang w:val="en-US"/>
        </w:rPr>
        <w:t>Together, l</w:t>
      </w:r>
      <w:r w:rsidR="003B0EAD" w:rsidRPr="00123003">
        <w:rPr>
          <w:sz w:val="24"/>
          <w:szCs w:val="24"/>
          <w:lang w:val="en-US"/>
        </w:rPr>
        <w:t xml:space="preserve">ow butyrate and high DCA levels </w:t>
      </w:r>
      <w:r w:rsidRPr="00123003">
        <w:rPr>
          <w:sz w:val="24"/>
          <w:szCs w:val="24"/>
          <w:lang w:val="en-US"/>
        </w:rPr>
        <w:t>create</w:t>
      </w:r>
      <w:r w:rsidR="003B0EAD" w:rsidRPr="00123003">
        <w:rPr>
          <w:sz w:val="24"/>
          <w:szCs w:val="24"/>
          <w:lang w:val="en-US"/>
        </w:rPr>
        <w:t xml:space="preserve"> </w:t>
      </w:r>
      <w:r w:rsidR="00326AF3" w:rsidRPr="00123003">
        <w:rPr>
          <w:sz w:val="24"/>
          <w:szCs w:val="24"/>
          <w:lang w:val="en-US"/>
        </w:rPr>
        <w:t>a colonic microenvironment that</w:t>
      </w:r>
      <w:r w:rsidR="00E53ECE" w:rsidRPr="00123003">
        <w:rPr>
          <w:sz w:val="24"/>
          <w:szCs w:val="24"/>
          <w:lang w:val="en-US"/>
        </w:rPr>
        <w:t xml:space="preserve"> </w:t>
      </w:r>
      <w:r w:rsidR="00326AF3" w:rsidRPr="00123003">
        <w:rPr>
          <w:sz w:val="24"/>
          <w:szCs w:val="24"/>
          <w:lang w:val="en-US"/>
        </w:rPr>
        <w:t xml:space="preserve">opens susceptibility to carcinogenic stimuli such as </w:t>
      </w:r>
      <w:r w:rsidR="00326AF3" w:rsidRPr="00123003">
        <w:rPr>
          <w:i/>
          <w:sz w:val="24"/>
          <w:szCs w:val="24"/>
          <w:lang w:val="en-US"/>
        </w:rPr>
        <w:t>N</w:t>
      </w:r>
      <w:r w:rsidR="00326AF3" w:rsidRPr="00123003">
        <w:rPr>
          <w:sz w:val="24"/>
          <w:szCs w:val="24"/>
          <w:lang w:val="en-US"/>
        </w:rPr>
        <w:t>-nitrosamines or polycyclic aromatic hydrocarbons, derived from the high intake of meat or tobacco smoking</w:t>
      </w:r>
      <w:r w:rsidR="00E85119" w:rsidRPr="00123003">
        <w:rPr>
          <w:sz w:val="24"/>
          <w:szCs w:val="24"/>
          <w:lang w:val="en-US"/>
        </w:rPr>
        <w:t xml:space="preserve"> </w:t>
      </w:r>
      <w:r w:rsidR="002D7767" w:rsidRPr="00123003">
        <w:rPr>
          <w:sz w:val="24"/>
          <w:szCs w:val="24"/>
          <w:lang w:val="en-US"/>
        </w:rPr>
        <w:fldChar w:fldCharType="begin"/>
      </w:r>
      <w:r w:rsidR="00F61B70">
        <w:rPr>
          <w:sz w:val="24"/>
          <w:szCs w:val="24"/>
          <w:lang w:val="en-US"/>
        </w:rPr>
        <w:instrText xml:space="preserve"> ADDIN ZOTERO_ITEM CSL_CITATION {"citationID":"04g1wZYs","properties":{"formattedCitation":"(7,28,29)","plainCitation":"(7,28,29)","noteIndex":0},"citationItems":[{"id":3520,"uris":["http://zotero.org/users/46719/items/ZWR6A2KF"],"uri":["http://zotero.org/users/46719/items/ZWR6A2KF"],"itemData":{"id":3520,"type":"article-journal","title":"Diet, microorganisms and their metabolites, and colon cancer","container-title":"Nature Reviews. Gastroenterology &amp; Hepatology","page":"691-706","volume":"13","issue":"12","source":"PubMed","abstract":"Colorectal cancer is one of the so-called westernized diseases and the second leading cause of cancer death worldwide. On the basis of global epidemiological and scientific studies, evidence suggests that the risk of colorectal cancer is increased by processed and unprocessed meat consumption but suppressed by fibre, and that food composition affects colonic health and cancer risk via its effects on colonic microbial metabolism. The gut microbiota can ferment complex dietary residues that are resistant to digestion by enteric enzymes. This process provides energy for the microbiota but culminates in the release of short-chain fatty acids including butyrate, which are utilized for the metabolic needs of the colon and the body. Butyrate has a remarkable array of colonic health-promoting and antineoplastic properties: it is the preferred energy source for colonocytes, it maintains mucosal integrity and it suppresses inflammation and carcinogenesis through effects on immunity, gene expression and epigenetic modulation. Protein residues and fat-stimulated bile acids are also metabolized by the microbiota to inflammatory and/or carcinogenic metabolites, which increase the risk of neoplastic progression. This Review will discuss the mechanisms behind these microbial metabolite effects, which could be modified by diet to achieve the objective of preventing colorectal cancer in Western societies.","DOI":"10.1038/nrgastro.2016.165","ISSN":"1759-5053","note":"PMID: 27848961","journalAbbreviation":"Nat Rev Gastroenterol Hepatol","language":"eng","author":[{"family":"O'Keefe","given":"Stephen J. D."}],"issued":{"date-parts":[["2016",12]]}}},{"id":4119,"uris":["http://zotero.org/users/46719/items/84TBH3LW"],"uri":["http://zotero.org/users/46719/items/84TBH3LW"],"itemData":{"id":4119,"type":"article-journal","title":"The Association between Cigarette Smoking and Risk of Colorectal Cancer in a Large Prospective Cohort from the United States","container-title":"Cancer Epidemiology and Prevention Biomarkers","page":"3362-3367","volume":"18","issue":"12","source":"cebp.aacrjournals.org","abstract":"Background: Many studies have reported a 20% to 60% increase in risk of colorectal cancer associated with active smoking. However, neither the U.S. Surgeon General nor the IARC have classified the relationship as causal because of concern about residual confounding.\nMethods: In a prospective study of 184,187 people followed from 1992 to 2005, we used Cox proportional hazard models to examine the relationship of cigarette smoking to incident colorectal cancer, controlling for screening and multiple known and putative risk factors. Information on smoking and time-varying covariates was updated in 1997, 1999, 2001, and 2003.\nResults: The incidence of colorectal cancer was significantly higher in current [hazard ratios (HR), 1.27; 95% confidence intervals (CI), 1.06-1.52] and former smokers (HR, 1.23; 95% CI, 1.11-1.36) compared with lifelong nonsmokers in analyses that controlled for 13 covariates, including screening. The relative risk was greatest among current smokers with at least 50 years of smoking (HR, 1.38; 95% CI, 1.04-1.84). Among former smokers, risk of colorectal cancer decreased with greater time since cessation (P trend = 0.0003), and also decreased with earlier age at cessation (P trend = 0.0014). No association was seen among former smokers who had quit before age of 40 years or abstained for 31 years or more.\nConclusions: Long-term cigarette smoking is associated with colorectal cancer, even after controlling for screening and multiple other risk factors. (Cancer Epidemiol Biomarkers Prev 2009;18(12):3362–7)","DOI":"10.1158/1055-9965.EPI-09-0661","ISSN":"1055-9965, 1538-7755","note":"PMID: 19959683","journalAbbreviation":"Cancer Epidemiol Biomarkers Prev","language":"en","author":[{"family":"Hannan","given":"Lindsay M."},{"family":"Jacobs","given":"Eric J."},{"family":"Thun","given":"Michael J."}],"issued":{"date-parts":[["2009",12,1]]}}},{"id":4517,"uris":["http://zotero.org/users/46719/items/PT4NZ8G8"],"uri":["http://zotero.org/users/46719/items/PT4NZ8G8"],"itemData":{"id":4517,"type":"webpage","title":"Nicotine and Gastrointestinal Disorders: Its Role in Ulceration and Cancer Development","container-title":"Current Pharmaceutical Design","abstract":"Cigarette smoke has always been the single most preventive cause of death in the world. In 2011, over 460,000 died from cigarette\nsmoke-related diseases in...","URL":"http://www.eurekaselect.com/104677/article","title-short":"Nicotine and Gastrointestinal Disorders","language":"en","author":[{"family":"Chu","given":"Kent-Man"},{"family":"Shin","given":"Chi H. Cho and Vivian Y."}],"issued":{"date-parts":[["2012",12,31]]},"accessed":{"date-parts":[["2019",7,3]]}}}],"schema":"https://github.com/citation-style-language/schema/raw/master/csl-citation.json"} </w:instrText>
      </w:r>
      <w:r w:rsidR="002D7767" w:rsidRPr="00123003">
        <w:rPr>
          <w:sz w:val="24"/>
          <w:szCs w:val="24"/>
          <w:lang w:val="en-US"/>
        </w:rPr>
        <w:fldChar w:fldCharType="separate"/>
      </w:r>
      <w:r w:rsidR="00F61B70" w:rsidRPr="00F61B70">
        <w:rPr>
          <w:rFonts w:ascii="Calibri" w:hAnsi="Calibri" w:cs="Calibri"/>
          <w:sz w:val="24"/>
          <w:lang w:val="en-US"/>
        </w:rPr>
        <w:t>(7,28,29)</w:t>
      </w:r>
      <w:r w:rsidR="002D7767" w:rsidRPr="00123003">
        <w:rPr>
          <w:sz w:val="24"/>
          <w:szCs w:val="24"/>
          <w:lang w:val="en-US"/>
        </w:rPr>
        <w:fldChar w:fldCharType="end"/>
      </w:r>
      <w:r w:rsidR="00326AF3" w:rsidRPr="00123003">
        <w:rPr>
          <w:sz w:val="24"/>
          <w:szCs w:val="24"/>
          <w:lang w:val="en-US"/>
        </w:rPr>
        <w:t xml:space="preserve">. </w:t>
      </w:r>
    </w:p>
    <w:p w:rsidR="002C035F" w:rsidRPr="00123003" w:rsidRDefault="00C41BB2" w:rsidP="00123003">
      <w:pPr>
        <w:pStyle w:val="KeinLeerraum"/>
        <w:spacing w:line="480" w:lineRule="auto"/>
        <w:jc w:val="both"/>
        <w:rPr>
          <w:sz w:val="24"/>
          <w:szCs w:val="24"/>
          <w:lang w:val="en-US"/>
        </w:rPr>
      </w:pPr>
      <w:r w:rsidRPr="00123003">
        <w:rPr>
          <w:sz w:val="24"/>
          <w:szCs w:val="24"/>
          <w:lang w:val="en-US"/>
        </w:rPr>
        <w:t>Numerous studies demonstrate anti-neoplastic effects of butyrate</w:t>
      </w:r>
      <w:r w:rsidR="005E1E64" w:rsidRPr="00123003">
        <w:rPr>
          <w:sz w:val="24"/>
          <w:szCs w:val="24"/>
          <w:lang w:val="en-US"/>
        </w:rPr>
        <w:t xml:space="preserve"> in the colon </w:t>
      </w:r>
      <w:r w:rsidRPr="00123003">
        <w:rPr>
          <w:sz w:val="24"/>
          <w:szCs w:val="24"/>
          <w:lang w:val="en-US"/>
        </w:rPr>
        <w:fldChar w:fldCharType="begin"/>
      </w:r>
      <w:r w:rsidR="00F61B70">
        <w:rPr>
          <w:sz w:val="24"/>
          <w:szCs w:val="24"/>
          <w:lang w:val="en-US"/>
        </w:rPr>
        <w:instrText xml:space="preserve"> ADDIN ZOTERO_ITEM CSL_CITATION {"citationID":"a9tk0pf6cq","properties":{"formattedCitation":"(30\\uc0\\u8211{}32)","plainCitation":"(30–32)","noteIndex":0},"citationItems":[{"id":931,"uris":["http://zotero.org/users/46719/items/FHWINIVS"],"uri":["http://zotero.org/users/46719/items/FHWINIVS"],"itemData":{"id":931,"type":"article-journal","title":"Effects of high-amylose maize starch and butyrylated high-amylose maize starch on azoxymethane-induced intestinal cancer in rats","container-title":"Carcinogenesis","page":"2190-2194","volume":"29","issue":"11","source":"PubMed","abstract":"Colorectal cancer (CRC) is a major cause of death worldwide. Studies suggest that dietary fibre offers protection perhaps by increasing colonic fermentative production of butyrate. This study examined the importance of butyrate by investigating the effects of resistant starch (RS) and butyrylated-RS on azoxymethane (AOM)-induced CRC in rats. Four groups (n = 30 per group) of Sprague-Dawley rats were fed AIN-93G-based diets containing a standard low-RS maize starch (LAMS), LAMS + 3% tributyrin (LAMST), 10% high-amylose maize starch (HAMS) and 10% butyrylated HAMS (HAMSB) for 4 weeks. Rats were injected once weekly for 2 weeks with 15 mg/kg AOM, maintained on diets for 25 weeks and then killed. Butyrate concentrations in large bowel digesta were higher in rats fed HAMSB than other groups (P &lt; 0.001); levels were similar in HAMS, LAMS and LAMST groups. The proportion of rats developing tumours were lower in HAMS and HAMSB than LAMS (P &lt; 0.05), and the number of tumours per rat were lower in HAMSB than LAMS (P &lt; 0.05). Caecal digesta butyrate pools and concentrations were negatively correlated with tumour size (P &lt; 0.05). Hepatic portal plasma butyrate concentrations were higher (P &lt; 0.001) in the HAMSB compared with other groups and negatively correlated with tumour number per rat (P &lt; 0.009) and total tumour size for each rat (P = 0.05). HAMSB results in higher luminal butyrate than RS alone or tributyrin. This is associated with reduced tumour incidence, number and size in this rat model of CRC supporting the important protective role of butyrate. Interventional strategies designed to maximize luminal butyrate may be of protective benefit in humans.","DOI":"10.1093/carcin/bgn192","ISSN":"1460-2180","note":"PMID: 18701436\nPMCID: PMC2577140","journalAbbreviation":"Carcinogenesis","language":"eng","author":[{"family":"Clarke","given":"Julie M."},{"family":"Topping","given":"David L."},{"family":"Bird","given":"Anthony R."},{"family":"Young","given":"Graeme P."},{"family":"Cobiac","given":"Lynne"}],"issued":{"date-parts":[["2008",11]]}}},{"id":1562,"uris":["http://zotero.org/users/46719/items/QFV3GGSE"],"uri":["http://zotero.org/users/46719/items/QFV3GGSE"],"itemData":{"id":1562,"type":"article-journal","title":"A gnotobiotic mouse model demonstrates that dietary fiber protects against colorectal tumorigenesis in a microbiota- and butyrate-dependent manner","container-title":"Cancer Discovery","page":"1387-1397","volume":"4","issue":"12","source":"NCBI PubMed","abstract":"Whether dietary fiber protects against colorectal cancer is controversial because of conflicting results from human epidemiologic studies. However, these studies and mouse models of colorectal cancer have not controlled the composition of gut microbiota, which ferment fiber into short-chain fatty acids such as butyrate. Butyrate is noteworthy because it has energetic and epigenetic functions in colonocytes and tumor-suppressive properties in colorectal cancer cell lines. We used gnotobiotic mouse models colonized with wild-type or mutant strains of a butyrate-producing bacterium to demonstrate that fiber does have a potent tumor-suppressive effect but in a microbiota- and butyrate-dependent manner. Furthermore, due to the Warburg effect, butyrate was metabolized less in tumors where it accumulated and functioned as a histone deacetylase (HDAC) inhibitor to stimulate histone acetylation and affect apoptosis and cell proliferation. To support the relevance of this mechanism in human cancer, we demonstrate that butyrate and histone-acetylation levels are elevated in colorectal adenocarcinomas compared with normal colonic tissues.\nSIGNIFICANCE: These results, which link diet and microbiota to a tumor-suppressive metabolite, provide insight into conflicting epidemiologic findings and suggest that probiotic/prebiotic strategies can modulate an endogenous HDAC inhibitor for anticancer chemoprevention without the adverse effects associated with synthetic HDAC inhibitors used in chemotherapy.","DOI":"10.1158/2159-8290.CD-14-0501","ISSN":"2159-8290","note":"PMID: 25266735 \nPMCID: PMC4258155","journalAbbreviation":"Cancer Discov","language":"eng","author":[{"family":"Donohoe","given":"Dallas R."},{"family":"Holley","given":"Darcy"},{"family":"Collins","given":"Leonard B."},{"family":"Montgomery","given":"Stephanie A."},{"family":"Whitmore","given":"Alan C."},{"family":"Hillhouse","given":"Andrew"},{"family":"Curry","given":"Kaitlin P."},{"family":"Renner","given":"Sarah W."},{"family":"Greenwalt","given":"Alicia"},{"family":"Ryan","given":"Elizabeth P."},{"family":"Godfrey","given":"Virginia"},{"family":"Heise","given":"Mark T."},{"family":"Threadgill","given":"Deborah S."},{"family":"Han","given":"Anna"},{"family":"Swenberg","given":"James A."},{"family":"Threadgill","given":"David W."},{"family":"Bultman","given":"Scott J."}],"issued":{"date-parts":[["2014",12]]}}},{"id":228,"uris":["http://zotero.org/users/46719/items/5CID4A4C"],"uri":["http://zotero.org/users/46719/items/5CID4A4C"],"itemData":{"id":228,"type":"article-journal","title":"High-fat-diet-mediated dysbiosis promotes intestinal carcinogenesis independently of obesity","container-title":"Nature","page":"508-512","volume":"514","issue":"7523","source":"PubMed","abstract":"Several features common to a Western lifestyle, including obesity and low levels of physical activity, are known risk factors for gastrointestinal cancers. There is substantial evidence suggesting that diet markedly affects the composition of the intestinal microbiota. Moreover, there is now unequivocal evidence linking dysbiosis to cancer development. However, the mechanisms by which high-fat diet (HFD)-mediated changes in the microbial community affect the severity of tumorigenesis in the gut remain to be determined. Here we demonstrate that an HFD promotes tumour progression in the small intestine of genetically susceptible, K-ras(G12Dint), mice independently of obesity. HFD consumption, in conjunction with K-ras mutation, mediated a shift in the composition of the gut microbiota, and this shift was associated with a decrease in Paneth-cell-mediated antimicrobial host defence that compromised dendritic cell recruitment and MHC class II molecule presentation in the gut-associated lymphoid tissues. When butyrate was administered to HFD-fed K-ras(G12Dint) mice, dendritic cell recruitment in the gut-associated lymphoid tissues was normalized, and tumour progression was attenuated. Importantly, deficiency in MYD88, a signalling adaptor for pattern recognition receptors and Toll-like receptors, blocked tumour progression. The transfer of faecal samples from HFD-fed mice with intestinal tumours to healthy adult K-ras(G12Dint) mice was sufficient to transmit disease in the absence of an HFD. Furthermore, treatment with antibiotics completely blocked HFD-induced tumour progression, suggesting that distinct shifts in the microbiota have a pivotal role in aggravating disease. Collectively, these data underscore the importance of the reciprocal interaction between host and environmental factors in selecting a microbiota that favours carcinogenesis, and they suggest that tumorigenesis is transmissible among genetically predisposed individuals.","DOI":"10.1038/nature13398","ISSN":"1476-4687","note":"PMID: 25174708\nPMCID: PMC4233209","journalAbbreviation":"Nature","language":"eng","author":[{"family":"Schulz","given":"Manon D."},{"family":"Atay","given":"Ciğdem"},{"family":"Heringer","given":"Jessica"},{"family":"Romrig","given":"Franziska K."},{"family":"Schwitalla","given":"Sarah"},{"family":"Aydin","given":"Begüm"},{"family":"Ziegler","given":"Paul K."},{"family":"Varga","given":"Julia"},{"family":"Reindl","given":"Wolfgang"},{"family":"Pommerenke","given":"Claudia"},{"family":"Salinas-Riester","given":"Gabriela"},{"family":"Böck","given":"Andreas"},{"family":"Alpert","given":"Carl"},{"family":"Blaut","given":"Michael"},{"family":"Polson","given":"Sara C."},{"family":"Brandl","given":"Lydia"},{"family":"Kirchner","given":"Thomas"},{"family":"Greten","given":"Florian R."},{"family":"Polson","given":"Shawn W."},{"family":"Arkan","given":"Melek C."}],"issued":{"date-parts":[["2014",10,23]]}}}],"schema":"https://github.com/citation-style-language/schema/raw/master/csl-citation.json"} </w:instrText>
      </w:r>
      <w:r w:rsidRPr="00123003">
        <w:rPr>
          <w:sz w:val="24"/>
          <w:szCs w:val="24"/>
          <w:lang w:val="en-US"/>
        </w:rPr>
        <w:fldChar w:fldCharType="separate"/>
      </w:r>
      <w:r w:rsidR="00F61B70" w:rsidRPr="00F61B70">
        <w:rPr>
          <w:rFonts w:ascii="Calibri" w:hAnsi="Calibri" w:cs="Calibri"/>
          <w:sz w:val="24"/>
          <w:szCs w:val="24"/>
          <w:lang w:val="en-US"/>
        </w:rPr>
        <w:t>(30–32)</w:t>
      </w:r>
      <w:r w:rsidRPr="00123003">
        <w:rPr>
          <w:sz w:val="24"/>
          <w:szCs w:val="24"/>
          <w:lang w:val="en-US"/>
        </w:rPr>
        <w:fldChar w:fldCharType="end"/>
      </w:r>
      <w:r w:rsidR="007858A7" w:rsidRPr="00123003">
        <w:rPr>
          <w:sz w:val="24"/>
          <w:szCs w:val="24"/>
          <w:lang w:val="en-US"/>
        </w:rPr>
        <w:t>. I</w:t>
      </w:r>
      <w:r w:rsidR="00AC6DEA" w:rsidRPr="00123003">
        <w:rPr>
          <w:sz w:val="24"/>
          <w:szCs w:val="24"/>
          <w:lang w:val="en-US"/>
        </w:rPr>
        <w:t xml:space="preserve">t is tempting to speculate that AN people </w:t>
      </w:r>
      <w:r w:rsidR="002847D4" w:rsidRPr="00123003">
        <w:rPr>
          <w:sz w:val="24"/>
          <w:szCs w:val="24"/>
          <w:lang w:val="en-US"/>
        </w:rPr>
        <w:t>face</w:t>
      </w:r>
      <w:r w:rsidR="00AC6DEA" w:rsidRPr="00123003">
        <w:rPr>
          <w:sz w:val="24"/>
          <w:szCs w:val="24"/>
          <w:lang w:val="en-US"/>
        </w:rPr>
        <w:t xml:space="preserve"> a </w:t>
      </w:r>
      <w:r w:rsidR="006C7FDA" w:rsidRPr="00123003">
        <w:rPr>
          <w:sz w:val="24"/>
          <w:szCs w:val="24"/>
          <w:lang w:val="en-US"/>
        </w:rPr>
        <w:t xml:space="preserve">fundamental </w:t>
      </w:r>
      <w:r w:rsidR="001F2380" w:rsidRPr="00123003">
        <w:rPr>
          <w:sz w:val="24"/>
          <w:szCs w:val="24"/>
          <w:lang w:val="en-US"/>
        </w:rPr>
        <w:t>deficiency</w:t>
      </w:r>
      <w:r w:rsidR="00AC6DEA" w:rsidRPr="00123003">
        <w:rPr>
          <w:sz w:val="24"/>
          <w:szCs w:val="24"/>
          <w:lang w:val="en-US"/>
        </w:rPr>
        <w:t xml:space="preserve"> </w:t>
      </w:r>
      <w:r w:rsidR="001F2380" w:rsidRPr="00123003">
        <w:rPr>
          <w:sz w:val="24"/>
          <w:szCs w:val="24"/>
          <w:lang w:val="en-US"/>
        </w:rPr>
        <w:t>in</w:t>
      </w:r>
      <w:r w:rsidR="00AC6DEA" w:rsidRPr="00123003">
        <w:rPr>
          <w:sz w:val="24"/>
          <w:szCs w:val="24"/>
          <w:lang w:val="en-US"/>
        </w:rPr>
        <w:t xml:space="preserve"> </w:t>
      </w:r>
      <w:r w:rsidR="002847D4" w:rsidRPr="00123003">
        <w:rPr>
          <w:sz w:val="24"/>
          <w:szCs w:val="24"/>
          <w:lang w:val="en-US"/>
        </w:rPr>
        <w:t xml:space="preserve">butyrogenic bacteria </w:t>
      </w:r>
      <w:r w:rsidR="00400C1F" w:rsidRPr="00123003">
        <w:rPr>
          <w:sz w:val="24"/>
          <w:szCs w:val="24"/>
          <w:lang w:val="en-US"/>
        </w:rPr>
        <w:t>due to low-</w:t>
      </w:r>
      <w:r w:rsidR="00AC6DEA" w:rsidRPr="00123003">
        <w:rPr>
          <w:sz w:val="24"/>
          <w:szCs w:val="24"/>
          <w:lang w:val="en-US"/>
        </w:rPr>
        <w:t>fiber intake</w:t>
      </w:r>
      <w:r w:rsidR="009A701E" w:rsidRPr="00123003">
        <w:rPr>
          <w:sz w:val="24"/>
          <w:szCs w:val="24"/>
          <w:lang w:val="en-US"/>
        </w:rPr>
        <w:t xml:space="preserve">, especially considering </w:t>
      </w:r>
      <w:r w:rsidR="00F77322" w:rsidRPr="00123003">
        <w:rPr>
          <w:sz w:val="24"/>
          <w:szCs w:val="24"/>
          <w:lang w:val="en-US"/>
        </w:rPr>
        <w:t xml:space="preserve">that </w:t>
      </w:r>
      <w:r w:rsidR="00400C1F" w:rsidRPr="00123003">
        <w:rPr>
          <w:sz w:val="24"/>
          <w:szCs w:val="24"/>
          <w:lang w:val="en-US"/>
        </w:rPr>
        <w:t>a low-fiber</w:t>
      </w:r>
      <w:r w:rsidR="00F77322" w:rsidRPr="00123003">
        <w:rPr>
          <w:sz w:val="24"/>
          <w:szCs w:val="24"/>
          <w:lang w:val="en-US"/>
        </w:rPr>
        <w:t xml:space="preserve"> diet </w:t>
      </w:r>
      <w:r w:rsidR="00400C1F" w:rsidRPr="00123003">
        <w:rPr>
          <w:sz w:val="24"/>
          <w:szCs w:val="24"/>
          <w:lang w:val="en-US"/>
        </w:rPr>
        <w:t xml:space="preserve">can </w:t>
      </w:r>
      <w:r w:rsidR="00F77322" w:rsidRPr="00123003">
        <w:rPr>
          <w:sz w:val="24"/>
          <w:szCs w:val="24"/>
          <w:lang w:val="en-US"/>
        </w:rPr>
        <w:t>promote a</w:t>
      </w:r>
      <w:r w:rsidR="009A701E" w:rsidRPr="00123003">
        <w:rPr>
          <w:sz w:val="24"/>
          <w:szCs w:val="24"/>
          <w:lang w:val="en-US"/>
        </w:rPr>
        <w:t>n irreversible</w:t>
      </w:r>
      <w:r w:rsidR="00F77322" w:rsidRPr="00123003">
        <w:rPr>
          <w:sz w:val="24"/>
          <w:szCs w:val="24"/>
          <w:lang w:val="en-US"/>
        </w:rPr>
        <w:t xml:space="preserve"> loss of </w:t>
      </w:r>
      <w:r w:rsidR="009A701E" w:rsidRPr="00123003">
        <w:rPr>
          <w:sz w:val="24"/>
          <w:szCs w:val="24"/>
          <w:lang w:val="en-US"/>
        </w:rPr>
        <w:t>taxa</w:t>
      </w:r>
      <w:r w:rsidR="00901957" w:rsidRPr="00123003">
        <w:rPr>
          <w:sz w:val="24"/>
          <w:szCs w:val="24"/>
          <w:lang w:val="en-US"/>
        </w:rPr>
        <w:t xml:space="preserve"> in the microbiota </w:t>
      </w:r>
      <w:r w:rsidR="00400C1F" w:rsidRPr="00123003">
        <w:rPr>
          <w:sz w:val="24"/>
          <w:szCs w:val="24"/>
          <w:lang w:val="en-US"/>
        </w:rPr>
        <w:fldChar w:fldCharType="begin"/>
      </w:r>
      <w:r w:rsidR="00F61B70">
        <w:rPr>
          <w:sz w:val="24"/>
          <w:szCs w:val="24"/>
          <w:lang w:val="en-US"/>
        </w:rPr>
        <w:instrText xml:space="preserve"> ADDIN ZOTERO_ITEM CSL_CITATION {"citationID":"hxdavdLf","properties":{"formattedCitation":"(33)","plainCitation":"(33)","noteIndex":0},"citationItems":[{"id":4111,"uris":["http://zotero.org/users/46719/items/5ENNF4J6"],"uri":["http://zotero.org/users/46719/items/5ENNF4J6"],"itemData":{"id":4111,"type":"article-journal","title":"Diet-induced extinctions in the gut microbiota compound over generations","container-title":"Nature","page":"212-215","volume":"529","issue":"7585","source":"www.nature.com","abstract":"The gut is home to trillions of microorganisms that have fundamental roles in many aspects of human biology, including immune function and metabolism1,2. The reduced diversity of the gut microbiota in Western populations compared to that in populations living traditional lifestyles presents the question of which factors have driven microbiota change during modernization. Microbiota-accessible carbohydrates (MACs) found in dietary fibre have a crucial involvement in shaping this microbial ecosystem, and are notably reduced in the Western diet (high in fat and simple carbohydrates, low in fibre) compared with a more traditional diet3. Here we show that changes in the microbiota of mice consuming a low-MAC diet and harbouring a human microbiota are largely reversible within a single generation. However, over several generations, a low-MAC diet results in a progressive loss of diversity, which is not recoverable after the reintroduction of dietary MACs. To restore the microbiota to its original state requires the administration of missing taxa in combination with dietary MAC consumption. Our data illustrate that taxa driven to low abundance when dietary MACs are scarce are inefficiently transferred to the next generation, and are at increased risk of becoming extinct within an isolated population. As more diseases are linked to the Western microbiota and the microbiota is targeted therapeutically, microbiota reprogramming may need to involve strategies that incorporate dietary MACs as well as taxa not currently present in the Western gut.","DOI":"10.1038/nature16504","ISSN":"1476-4687","language":"en","author":[{"family":"Sonnenburg","given":"Erica D."},{"family":"Smits","given":"Samuel A."},{"family":"Tikhonov","given":"Mikhail"},{"family":"Higginbottom","given":"Steven K."},{"family":"Wingreen","given":"Ned S."},{"family":"Sonnenburg","given":"Justin L."}],"issued":{"date-parts":[["2016",1]]}}}],"schema":"https://github.com/citation-style-language/schema/raw/master/csl-citation.json"} </w:instrText>
      </w:r>
      <w:r w:rsidR="00400C1F" w:rsidRPr="00123003">
        <w:rPr>
          <w:sz w:val="24"/>
          <w:szCs w:val="24"/>
          <w:lang w:val="en-US"/>
        </w:rPr>
        <w:fldChar w:fldCharType="separate"/>
      </w:r>
      <w:r w:rsidR="00F61B70" w:rsidRPr="00F61B70">
        <w:rPr>
          <w:rFonts w:ascii="Calibri" w:hAnsi="Calibri" w:cs="Calibri"/>
          <w:sz w:val="24"/>
          <w:lang w:val="en-US"/>
        </w:rPr>
        <w:t>(33)</w:t>
      </w:r>
      <w:r w:rsidR="00400C1F" w:rsidRPr="00123003">
        <w:rPr>
          <w:sz w:val="24"/>
          <w:szCs w:val="24"/>
          <w:lang w:val="en-US"/>
        </w:rPr>
        <w:fldChar w:fldCharType="end"/>
      </w:r>
      <w:r w:rsidR="00AC6DEA" w:rsidRPr="00123003">
        <w:rPr>
          <w:sz w:val="24"/>
          <w:szCs w:val="24"/>
          <w:lang w:val="en-US"/>
        </w:rPr>
        <w:t>. To our surprise</w:t>
      </w:r>
      <w:r w:rsidR="00FA14E5">
        <w:rPr>
          <w:sz w:val="24"/>
          <w:szCs w:val="24"/>
          <w:lang w:val="en-US"/>
        </w:rPr>
        <w:t xml:space="preserve"> and inconsistent to previous studies in high risk cohorts </w:t>
      </w:r>
      <w:r w:rsidR="00F61B70">
        <w:rPr>
          <w:sz w:val="24"/>
          <w:szCs w:val="24"/>
          <w:lang w:val="en-US"/>
        </w:rPr>
        <w:fldChar w:fldCharType="begin"/>
      </w:r>
      <w:r w:rsidR="00F61B70">
        <w:rPr>
          <w:sz w:val="24"/>
          <w:szCs w:val="24"/>
          <w:lang w:val="en-US"/>
        </w:rPr>
        <w:instrText xml:space="preserve"> ADDIN ZOTERO_ITEM CSL_CITATION {"citationID":"zMfglF54","properties":{"formattedCitation":"(9,10)","plainCitation":"(9,10)","noteIndex":0},"citationItems":[{"id":464,"uris":["http://zotero.org/users/46719/items/8IITHWEP"],"uri":["http://zotero.org/users/46719/items/8IITHWEP"],"itemData":{"id":464,"type":"article-journal","title":"Diet, microbiota, and microbial metabolites in colon cancer risk in rural Africans and African Americans","container-title":"The American Journal of Clinical Nutrition","page":"111-120","volume":"98","issue":"1","source":"ajcn.nutrition.org","abstract":"Background: Epidemiologic studies have suggested that most cases of sporadic colon cancer can be attributed to diet. The recognition that colonic microbiota have a major influence on colonic health suggests that they might mediate colonic carcinogenesis.\nObjective: To examine the hypothesis that the influence of diet on colon cancer risk is mediated by the microbiota through their metabolites, we measured differences in colonic microbes and their metabolites in African Americans with a high risk and in rural native Africans with a low risk of colon cancer.\nDesign: Fresh fecal samples were collected from 12 healthy African Americans aged 50–65 y and from 12 age- and sex-matched native Africans. Microbiomes were analyzed with 16S ribosomal RNA gene pyrosequencing together with quantitative polymerase chain reaction of the major fermentative, butyrate-producing, and bile acid–deconjugating bacteria. Fecal short-chain fatty acids were measured by gas chromatography and bile acids by liquid chromatography–mass spectrometry.\nResults: Microbial composition was fundamentally different, with a predominance of Prevotella in native Africans (enterotype 2) and of Bacteroides in African Americans (enterotype 1). Total bacteria and major butyrate-producing groups were significantly more abundant in fecal samples from native Africans. Microbial genes encoding for secondary bile acid production were more abundant in African Americans, whereas those encoding for methanogenesis and hydrogen sulfide production were higher in native Africans. Fecal secondary bile acid concentrations were higher in African Americans, whereas short-chain fatty acids were higher in native Africans.\nConclusion: Our results support the hypothesis that colon cancer risk is influenced by the balance between microbial production of health-promoting metabolites such as butyrate and potentially carcinogenic metabolites such as secondary bile acids.","DOI":"10.3945/ajcn.112.056689","ISSN":"0002-9165, 1938-3207","note":"PMID: 23719549","journalAbbreviation":"Am J Clin Nutr","language":"en","author":[{"family":"Ou","given":"Junhai"},{"family":"Carbonero","given":"Franck"},{"family":"Zoetendal","given":"Erwin G."},{"family":"DeLany","given":"James P."},{"family":"Wang","given":"Mei"},{"family":"Newton","given":"Keith"},{"family":"Gaskins","given":"H. Rex"},{"family":"O'Keefe","given":"Stephen JD"}],"issued":{"date-parts":[["2013",7,1]]}}},{"id":2125,"uris":["http://zotero.org/users/46719/items/XV558T9I"],"uri":["http://zotero.org/users/46719/items/XV558T9I"],"itemData":{"id":2125,"type":"article-journal","title":"Fat, fibre and cancer risk in African Americans and rural Africans","container-title":"Nature Communications","page":"6342","volume":"6","source":"PubMed","abstract":"Rates of colon cancer are much higher in African Americans (65:100,000) than in rural South Africans (&lt;5:100,000). The higher rates are associated with higher animal protein and fat, and lower fibre consumption, higher colonic secondary bile acids, lower colonic short-chain fatty acid quantities and higher mucosal proliferative biomarkers of cancer risk in otherwise healthy middle-aged volunteers. Here we investigate further the role of fat and fibre in this association. We performed 2-week food exchanges in subjects from the same populations, where African Americans were fed a high-fibre, low-fat African-style diet and rural Africans a high-fat, low-fibre western-style diet, under close supervision. In comparison with their usual diets, the food changes resulted in remarkable reciprocal changes in mucosal biomarkers of cancer risk and in aspects of the microbiota and metabolome known to affect cancer risk, best illustrated by increased saccharolytic fermentation and butyrogenesis, and suppressed secondary bile acid synthesis in the African Americans.","DOI":"10.1038/ncomms7342","ISSN":"2041-1723","note":"PMID: 25919227","journalAbbreviation":"Nat Commun","language":"ENG","author":[{"family":"O'Keefe","given":"Stephen J. D."},{"family":"Li","given":"Jia V."},{"family":"Lahti","given":"Leo"},{"family":"Ou","given":"Junhai"},{"family":"Carbonero","given":"Franck"},{"family":"Mohammed","given":"Khaled"},{"family":"Posma","given":"Joram M."},{"family":"Kinross","given":"James"},{"family":"Wahl","given":"Elaine"},{"family":"Ruder","given":"Elizabeth"},{"family":"Vipperla","given":"Kishore"},{"family":"Naidoo","given":"Vasudevan"},{"family":"Mtshali","given":"Lungile"},{"family":"Tims","given":"Sebastian"},{"family":"Puylaert","given":"Philippe G. B."},{"family":"DeLany","given":"James"},{"family":"Krasinskas","given":"Alyssa"},{"family":"Benefiel","given":"Ann C."},{"family":"Kaseb","given":"Hatem O."},{"family":"Newton","given":"Keith"},{"family":"Nicholson","given":"Jeremy K."},{"family":"Vos","given":"Willem M.","non-dropping-particle":"de"},{"family":"Gaskins","given":"H. Rex"},{"family":"Zoetendal","given":"Erwin G."}],"issued":{"date-parts":[["2015"]]}}}],"schema":"https://github.com/citation-style-language/schema/raw/master/csl-citation.json"} </w:instrText>
      </w:r>
      <w:r w:rsidR="00F61B70">
        <w:rPr>
          <w:sz w:val="24"/>
          <w:szCs w:val="24"/>
          <w:lang w:val="en-US"/>
        </w:rPr>
        <w:fldChar w:fldCharType="separate"/>
      </w:r>
      <w:r w:rsidR="00F61B70" w:rsidRPr="00F61B70">
        <w:rPr>
          <w:rFonts w:ascii="Calibri" w:hAnsi="Calibri" w:cs="Calibri"/>
          <w:sz w:val="24"/>
          <w:lang w:val="en-US"/>
        </w:rPr>
        <w:t>(9,10)</w:t>
      </w:r>
      <w:r w:rsidR="00F61B70">
        <w:rPr>
          <w:sz w:val="24"/>
          <w:szCs w:val="24"/>
          <w:lang w:val="en-US"/>
        </w:rPr>
        <w:fldChar w:fldCharType="end"/>
      </w:r>
      <w:r w:rsidR="00AC6DEA" w:rsidRPr="00123003">
        <w:rPr>
          <w:sz w:val="24"/>
          <w:szCs w:val="24"/>
          <w:lang w:val="en-US"/>
        </w:rPr>
        <w:t xml:space="preserve">, </w:t>
      </w:r>
      <w:r w:rsidR="002847D4" w:rsidRPr="00123003">
        <w:rPr>
          <w:sz w:val="24"/>
          <w:szCs w:val="24"/>
          <w:lang w:val="en-US"/>
        </w:rPr>
        <w:t xml:space="preserve">we did not detect significantly lower copy numbers of enzymes </w:t>
      </w:r>
      <w:r w:rsidR="001A18B6" w:rsidRPr="00123003">
        <w:rPr>
          <w:sz w:val="24"/>
          <w:szCs w:val="24"/>
          <w:lang w:val="en-US"/>
        </w:rPr>
        <w:t xml:space="preserve">in the AN fecal microbiota </w:t>
      </w:r>
      <w:r w:rsidR="002847D4" w:rsidRPr="00123003">
        <w:rPr>
          <w:sz w:val="24"/>
          <w:szCs w:val="24"/>
          <w:lang w:val="en-US"/>
        </w:rPr>
        <w:t xml:space="preserve">that are involved in the major </w:t>
      </w:r>
      <w:r w:rsidR="00500DAA" w:rsidRPr="00123003">
        <w:rPr>
          <w:sz w:val="24"/>
          <w:szCs w:val="24"/>
          <w:lang w:val="en-US"/>
        </w:rPr>
        <w:t>pathways</w:t>
      </w:r>
      <w:r w:rsidR="002847D4" w:rsidRPr="00123003">
        <w:rPr>
          <w:sz w:val="24"/>
          <w:szCs w:val="24"/>
          <w:lang w:val="en-US"/>
        </w:rPr>
        <w:t xml:space="preserve"> of microbial butyrate synthesis</w:t>
      </w:r>
      <w:r w:rsidR="001A18B6" w:rsidRPr="00123003">
        <w:rPr>
          <w:sz w:val="24"/>
          <w:szCs w:val="24"/>
          <w:lang w:val="en-US"/>
        </w:rPr>
        <w:t xml:space="preserve">, </w:t>
      </w:r>
      <w:r w:rsidR="00FA14E5">
        <w:rPr>
          <w:sz w:val="24"/>
          <w:szCs w:val="24"/>
          <w:lang w:val="en-US"/>
        </w:rPr>
        <w:t>This may be, in parts, explained by</w:t>
      </w:r>
      <w:r w:rsidR="005B4EB8">
        <w:rPr>
          <w:sz w:val="24"/>
          <w:szCs w:val="24"/>
          <w:lang w:val="en-US"/>
        </w:rPr>
        <w:t xml:space="preserve"> differences in</w:t>
      </w:r>
      <w:r w:rsidR="00FA14E5">
        <w:rPr>
          <w:sz w:val="24"/>
          <w:szCs w:val="24"/>
          <w:lang w:val="en-US"/>
        </w:rPr>
        <w:t xml:space="preserve"> </w:t>
      </w:r>
      <w:r w:rsidR="006429D5">
        <w:rPr>
          <w:sz w:val="24"/>
          <w:szCs w:val="24"/>
          <w:lang w:val="en-US"/>
        </w:rPr>
        <w:t xml:space="preserve">distinct </w:t>
      </w:r>
      <w:r w:rsidR="00FA14E5">
        <w:rPr>
          <w:sz w:val="24"/>
          <w:szCs w:val="24"/>
          <w:lang w:val="en-US"/>
        </w:rPr>
        <w:t>environmental factors other than diet that contribute to the composition of the gut microbiota</w:t>
      </w:r>
      <w:r w:rsidR="00F61B70">
        <w:rPr>
          <w:sz w:val="24"/>
          <w:szCs w:val="24"/>
          <w:lang w:val="en-US"/>
        </w:rPr>
        <w:t xml:space="preserve"> </w:t>
      </w:r>
      <w:r w:rsidR="00F61B70">
        <w:rPr>
          <w:sz w:val="24"/>
          <w:szCs w:val="24"/>
          <w:lang w:val="en-US"/>
        </w:rPr>
        <w:fldChar w:fldCharType="begin"/>
      </w:r>
      <w:r w:rsidR="00F61B70">
        <w:rPr>
          <w:sz w:val="24"/>
          <w:szCs w:val="24"/>
          <w:lang w:val="en-US"/>
        </w:rPr>
        <w:instrText xml:space="preserve"> ADDIN ZOTERO_ITEM CSL_CITATION {"citationID":"FCHrEx4j","properties":{"formattedCitation":"(34)","plainCitation":"(34)","noteIndex":0},"citationItems":[{"id":4409,"uris":["http://zotero.org/users/46719/items/75HTCNAR"],"uri":["http://zotero.org/users/46719/items/75HTCNAR"],"itemData":{"id":4409,"type":"article-journal","title":"Comparative metabolomics in vegans and omnivores reveal constraints on diet-dependent gut microbiota metabolite production","container-title":"Gut","page":"63-72","volume":"65","issue":"1","source":"gut.bmj.com","abstract":"Objective The consumption of an agrarian diet is associated with a reduced risk for many diseases associated with a ‘Westernised’ lifestyle. Studies suggest that diet affects the gut microbiota, which subsequently influences the metabolome, thereby connecting diet, microbiota and health. However, the degree to which diet influences the composition of the gut microbiota is controversial. Murine models and studies comparing the gut microbiota in humans residing in agrarian versus Western societies suggest that the influence is large. To separate global environmental influences from dietary influences, we characterised the gut microbiota and the host metabolome of individuals consuming an agrarian diet in Western society.\nDesign and results Using 16S rRNA-tagged sequencing as well as plasma and urinary metabolomic platforms, we compared measures of dietary intake, gut microbiota composition and the plasma metabolome between healthy human vegans and omnivores, sampled in an urban USA environment. Plasma metabolome of vegans differed markedly from omnivores but the gut microbiota was surprisingly similar. Unlike prior studies of individuals living in agrarian societies, higher consumption of fermentable substrate in vegans was not associated with higher levels of faecal short chain fatty acids, a finding confirmed in a 10-day controlled feeding experiment. Similarly, the proportion of vegans capable of producing equol, a soy-based gut microbiota metabolite, was less than that was reported in Asian societies despite the high consumption of soy-based products.\nConclusions Evidently, residence in globally distinct societies helps determine the composition of the gut microbiota that, in turn, influences the production of diet-dependent gut microbial metabolites.","DOI":"10.1136/gutjnl-2014-308209","ISSN":"0017-5749, 1468-3288","note":"PMID: 25431456","language":"en","author":[{"family":"Wu","given":"Gary D."},{"family":"Compher","given":"Charlene"},{"family":"Chen","given":"Eric Z."},{"family":"Smith","given":"Sarah A."},{"family":"Shah","given":"Rachana D."},{"family":"Bittinger","given":"Kyle"},{"family":"Chehoud","given":"Christel"},{"family":"Albenberg","given":"Lindsey G."},{"family":"Nessel","given":"Lisa"},{"family":"Gilroy","given":"Erin"},{"family":"Star","given":"Julie"},{"family":"Weljie","given":"Aalim M."},{"family":"Flint","given":"Harry J."},{"family":"Metz","given":"David C."},{"family":"Bennett","given":"Michael J."},{"family":"Li","given":"Hongzhe"},{"family":"Bushman","given":"Frederic D."},{"family":"Lewis","given":"James D."}],"issued":{"date-parts":[["2016",1,1]]}}}],"schema":"https://github.com/citation-style-language/schema/raw/master/csl-citation.json"} </w:instrText>
      </w:r>
      <w:r w:rsidR="00F61B70">
        <w:rPr>
          <w:sz w:val="24"/>
          <w:szCs w:val="24"/>
          <w:lang w:val="en-US"/>
        </w:rPr>
        <w:fldChar w:fldCharType="separate"/>
      </w:r>
      <w:r w:rsidR="00F61B70" w:rsidRPr="00F61B70">
        <w:rPr>
          <w:rFonts w:ascii="Calibri" w:hAnsi="Calibri" w:cs="Calibri"/>
          <w:sz w:val="24"/>
          <w:lang w:val="en-US"/>
        </w:rPr>
        <w:t>(34)</w:t>
      </w:r>
      <w:r w:rsidR="00F61B70">
        <w:rPr>
          <w:sz w:val="24"/>
          <w:szCs w:val="24"/>
          <w:lang w:val="en-US"/>
        </w:rPr>
        <w:fldChar w:fldCharType="end"/>
      </w:r>
      <w:r w:rsidR="009A53B6">
        <w:rPr>
          <w:sz w:val="24"/>
          <w:szCs w:val="24"/>
          <w:lang w:val="en-US"/>
        </w:rPr>
        <w:t xml:space="preserve"> and</w:t>
      </w:r>
      <w:r w:rsidR="00FA14E5">
        <w:rPr>
          <w:sz w:val="24"/>
          <w:szCs w:val="24"/>
          <w:lang w:val="en-US"/>
        </w:rPr>
        <w:t xml:space="preserve"> </w:t>
      </w:r>
      <w:r w:rsidR="00FA14E5">
        <w:rPr>
          <w:sz w:val="24"/>
          <w:szCs w:val="24"/>
          <w:lang w:val="en-US"/>
        </w:rPr>
        <w:lastRenderedPageBreak/>
        <w:t xml:space="preserve">may also suggest </w:t>
      </w:r>
      <w:r w:rsidR="002D2FA4" w:rsidRPr="00123003">
        <w:rPr>
          <w:sz w:val="24"/>
          <w:szCs w:val="24"/>
          <w:lang w:val="en-US"/>
        </w:rPr>
        <w:t xml:space="preserve">the low intake of fiber to be the </w:t>
      </w:r>
      <w:r w:rsidR="001A18B6" w:rsidRPr="00123003">
        <w:rPr>
          <w:sz w:val="24"/>
          <w:szCs w:val="24"/>
          <w:lang w:val="en-US"/>
        </w:rPr>
        <w:t>“</w:t>
      </w:r>
      <w:r w:rsidR="002D2FA4" w:rsidRPr="00123003">
        <w:rPr>
          <w:sz w:val="24"/>
          <w:szCs w:val="24"/>
          <w:lang w:val="en-US"/>
        </w:rPr>
        <w:t>metabolic bottleneck</w:t>
      </w:r>
      <w:r w:rsidR="001A18B6" w:rsidRPr="00123003">
        <w:rPr>
          <w:sz w:val="24"/>
          <w:szCs w:val="24"/>
          <w:lang w:val="en-US"/>
        </w:rPr>
        <w:t>”</w:t>
      </w:r>
      <w:r w:rsidR="00AC6DEA" w:rsidRPr="00123003">
        <w:rPr>
          <w:sz w:val="24"/>
          <w:szCs w:val="24"/>
          <w:lang w:val="en-US"/>
        </w:rPr>
        <w:t>.</w:t>
      </w:r>
      <w:r w:rsidR="00570983" w:rsidRPr="00123003">
        <w:rPr>
          <w:sz w:val="24"/>
          <w:szCs w:val="24"/>
          <w:lang w:val="en-US"/>
        </w:rPr>
        <w:t xml:space="preserve"> </w:t>
      </w:r>
      <w:r w:rsidR="009A53B6">
        <w:rPr>
          <w:sz w:val="24"/>
          <w:szCs w:val="24"/>
          <w:lang w:val="en-US"/>
        </w:rPr>
        <w:t xml:space="preserve">The </w:t>
      </w:r>
      <w:r w:rsidR="00C206B0" w:rsidRPr="00123003">
        <w:rPr>
          <w:sz w:val="24"/>
          <w:szCs w:val="24"/>
          <w:lang w:val="en-US"/>
        </w:rPr>
        <w:t xml:space="preserve">similar </w:t>
      </w:r>
      <w:r w:rsidR="00197072" w:rsidRPr="00123003">
        <w:rPr>
          <w:sz w:val="24"/>
          <w:szCs w:val="24"/>
          <w:lang w:val="en-US"/>
        </w:rPr>
        <w:t>levels</w:t>
      </w:r>
      <w:r w:rsidR="00C206B0" w:rsidRPr="00123003">
        <w:rPr>
          <w:sz w:val="24"/>
          <w:szCs w:val="24"/>
          <w:lang w:val="en-US"/>
        </w:rPr>
        <w:t xml:space="preserve"> of genera that cover</w:t>
      </w:r>
      <w:r w:rsidR="00D65B5D" w:rsidRPr="00123003">
        <w:rPr>
          <w:sz w:val="24"/>
          <w:szCs w:val="24"/>
          <w:lang w:val="en-US"/>
        </w:rPr>
        <w:t xml:space="preserve"> major</w:t>
      </w:r>
      <w:r w:rsidR="00C206B0" w:rsidRPr="00123003">
        <w:rPr>
          <w:sz w:val="24"/>
          <w:szCs w:val="24"/>
          <w:lang w:val="en-US"/>
        </w:rPr>
        <w:t xml:space="preserve"> but</w:t>
      </w:r>
      <w:r w:rsidR="00652434" w:rsidRPr="00123003">
        <w:rPr>
          <w:sz w:val="24"/>
          <w:szCs w:val="24"/>
          <w:lang w:val="en-US"/>
        </w:rPr>
        <w:t>yrogenic bacteria (e.g.,</w:t>
      </w:r>
      <w:r w:rsidR="00C206B0" w:rsidRPr="00123003">
        <w:rPr>
          <w:sz w:val="24"/>
          <w:szCs w:val="24"/>
          <w:lang w:val="en-US"/>
        </w:rPr>
        <w:t xml:space="preserve"> </w:t>
      </w:r>
      <w:proofErr w:type="spellStart"/>
      <w:r w:rsidR="00C206B0" w:rsidRPr="00123003">
        <w:rPr>
          <w:i/>
          <w:sz w:val="24"/>
          <w:szCs w:val="24"/>
          <w:lang w:val="en-US"/>
        </w:rPr>
        <w:t>Faecalibacterium</w:t>
      </w:r>
      <w:proofErr w:type="spellEnd"/>
      <w:r w:rsidR="00652434" w:rsidRPr="00123003">
        <w:rPr>
          <w:sz w:val="24"/>
          <w:szCs w:val="24"/>
          <w:lang w:val="en-US"/>
        </w:rPr>
        <w:t>,</w:t>
      </w:r>
      <w:r w:rsidR="00C206B0" w:rsidRPr="00123003">
        <w:rPr>
          <w:sz w:val="24"/>
          <w:szCs w:val="24"/>
          <w:lang w:val="en-US"/>
        </w:rPr>
        <w:t xml:space="preserve"> </w:t>
      </w:r>
      <w:proofErr w:type="spellStart"/>
      <w:r w:rsidR="00C206B0" w:rsidRPr="00123003">
        <w:rPr>
          <w:i/>
          <w:sz w:val="24"/>
          <w:szCs w:val="24"/>
          <w:lang w:val="en-US"/>
        </w:rPr>
        <w:t>Roseburia</w:t>
      </w:r>
      <w:proofErr w:type="spellEnd"/>
      <w:r w:rsidR="00652434" w:rsidRPr="00123003">
        <w:rPr>
          <w:sz w:val="24"/>
          <w:szCs w:val="24"/>
          <w:lang w:val="en-US"/>
        </w:rPr>
        <w:t>)</w:t>
      </w:r>
      <w:r w:rsidR="00C206B0" w:rsidRPr="00123003">
        <w:rPr>
          <w:sz w:val="24"/>
          <w:szCs w:val="24"/>
          <w:lang w:val="en-US"/>
        </w:rPr>
        <w:t xml:space="preserve"> </w:t>
      </w:r>
      <w:r w:rsidR="009A53B6">
        <w:rPr>
          <w:sz w:val="24"/>
          <w:szCs w:val="24"/>
          <w:lang w:val="en-US"/>
        </w:rPr>
        <w:t>in the AN and RA fecal microbiota</w:t>
      </w:r>
      <w:r w:rsidR="00783EAE" w:rsidRPr="00123003">
        <w:rPr>
          <w:sz w:val="24"/>
          <w:szCs w:val="24"/>
          <w:lang w:val="en-US"/>
        </w:rPr>
        <w:t xml:space="preserve"> </w:t>
      </w:r>
      <w:r w:rsidR="00EE0797" w:rsidRPr="00123003">
        <w:rPr>
          <w:sz w:val="24"/>
          <w:szCs w:val="24"/>
          <w:lang w:val="en-US"/>
        </w:rPr>
        <w:t>indicat</w:t>
      </w:r>
      <w:r w:rsidR="009A53B6">
        <w:rPr>
          <w:sz w:val="24"/>
          <w:szCs w:val="24"/>
          <w:lang w:val="en-US"/>
        </w:rPr>
        <w:t>e</w:t>
      </w:r>
      <w:r w:rsidR="00C206B0" w:rsidRPr="00123003">
        <w:rPr>
          <w:sz w:val="24"/>
          <w:szCs w:val="24"/>
          <w:lang w:val="en-US"/>
        </w:rPr>
        <w:t xml:space="preserve"> a </w:t>
      </w:r>
      <w:r w:rsidR="001A18B6" w:rsidRPr="00123003">
        <w:rPr>
          <w:sz w:val="24"/>
          <w:szCs w:val="24"/>
          <w:lang w:val="en-US"/>
        </w:rPr>
        <w:t>conserved</w:t>
      </w:r>
      <w:r w:rsidR="00783EAE" w:rsidRPr="00123003">
        <w:rPr>
          <w:sz w:val="24"/>
          <w:szCs w:val="24"/>
          <w:lang w:val="en-US"/>
        </w:rPr>
        <w:t xml:space="preserve"> abundance of butyrate-producing bacteria in the </w:t>
      </w:r>
      <w:proofErr w:type="gramStart"/>
      <w:r w:rsidR="006C73C9" w:rsidRPr="00123003">
        <w:rPr>
          <w:sz w:val="24"/>
          <w:szCs w:val="24"/>
          <w:lang w:val="en-US"/>
        </w:rPr>
        <w:t>AN</w:t>
      </w:r>
      <w:proofErr w:type="gramEnd"/>
      <w:r w:rsidR="00783EAE" w:rsidRPr="00123003">
        <w:rPr>
          <w:sz w:val="24"/>
          <w:szCs w:val="24"/>
          <w:lang w:val="en-US"/>
        </w:rPr>
        <w:t xml:space="preserve"> microbiota.</w:t>
      </w:r>
      <w:r w:rsidR="00C034E2" w:rsidRPr="00123003">
        <w:rPr>
          <w:sz w:val="24"/>
          <w:szCs w:val="24"/>
          <w:lang w:val="en-US"/>
        </w:rPr>
        <w:t xml:space="preserve"> </w:t>
      </w:r>
      <w:r w:rsidR="00FF4597" w:rsidRPr="00123003">
        <w:rPr>
          <w:sz w:val="24"/>
          <w:szCs w:val="24"/>
          <w:lang w:val="en-US"/>
        </w:rPr>
        <w:t>G</w:t>
      </w:r>
      <w:r w:rsidR="00110B7C" w:rsidRPr="00123003">
        <w:rPr>
          <w:sz w:val="24"/>
          <w:szCs w:val="24"/>
          <w:lang w:val="en-US"/>
        </w:rPr>
        <w:t xml:space="preserve">enera able to utilize </w:t>
      </w:r>
      <w:r w:rsidR="00783EAE" w:rsidRPr="00123003">
        <w:rPr>
          <w:sz w:val="24"/>
          <w:szCs w:val="24"/>
          <w:lang w:val="en-US"/>
        </w:rPr>
        <w:t>protein-dependent</w:t>
      </w:r>
      <w:r w:rsidR="00110B7C" w:rsidRPr="00123003">
        <w:rPr>
          <w:sz w:val="24"/>
          <w:szCs w:val="24"/>
          <w:lang w:val="en-US"/>
        </w:rPr>
        <w:t xml:space="preserve"> pathways for</w:t>
      </w:r>
      <w:r w:rsidR="00783EAE" w:rsidRPr="00123003">
        <w:rPr>
          <w:sz w:val="24"/>
          <w:szCs w:val="24"/>
          <w:lang w:val="en-US"/>
        </w:rPr>
        <w:t xml:space="preserve"> butyrate synthesis</w:t>
      </w:r>
      <w:r w:rsidR="00110B7C" w:rsidRPr="00123003">
        <w:rPr>
          <w:sz w:val="24"/>
          <w:szCs w:val="24"/>
          <w:lang w:val="en-US"/>
        </w:rPr>
        <w:t xml:space="preserve"> </w:t>
      </w:r>
      <w:r w:rsidR="00C034E2" w:rsidRPr="00123003">
        <w:rPr>
          <w:sz w:val="24"/>
          <w:szCs w:val="24"/>
          <w:lang w:val="en-US"/>
        </w:rPr>
        <w:t>were</w:t>
      </w:r>
      <w:r w:rsidR="00110B7C" w:rsidRPr="00123003">
        <w:rPr>
          <w:sz w:val="24"/>
          <w:szCs w:val="24"/>
          <w:lang w:val="en-US"/>
        </w:rPr>
        <w:t xml:space="preserve"> </w:t>
      </w:r>
      <w:r w:rsidR="00CC01AC" w:rsidRPr="00123003">
        <w:rPr>
          <w:sz w:val="24"/>
          <w:szCs w:val="24"/>
          <w:lang w:val="en-US"/>
        </w:rPr>
        <w:t>similarly abundant in AN and</w:t>
      </w:r>
      <w:r w:rsidR="00783EAE" w:rsidRPr="00123003">
        <w:rPr>
          <w:sz w:val="24"/>
          <w:szCs w:val="24"/>
          <w:lang w:val="en-US"/>
        </w:rPr>
        <w:t xml:space="preserve"> RA fecal microbiota</w:t>
      </w:r>
      <w:r w:rsidR="00023AC3" w:rsidRPr="00123003">
        <w:rPr>
          <w:sz w:val="24"/>
          <w:szCs w:val="24"/>
          <w:lang w:val="en-US"/>
        </w:rPr>
        <w:t xml:space="preserve"> (</w:t>
      </w:r>
      <w:r w:rsidR="006C73C9" w:rsidRPr="00123003">
        <w:rPr>
          <w:sz w:val="24"/>
          <w:szCs w:val="24"/>
          <w:lang w:val="en-US"/>
        </w:rPr>
        <w:t xml:space="preserve">e.g., </w:t>
      </w:r>
      <w:proofErr w:type="spellStart"/>
      <w:r w:rsidR="00023AC3" w:rsidRPr="00123003">
        <w:rPr>
          <w:i/>
          <w:sz w:val="24"/>
          <w:szCs w:val="24"/>
          <w:lang w:val="en-US"/>
        </w:rPr>
        <w:t>Odoribacter</w:t>
      </w:r>
      <w:proofErr w:type="spellEnd"/>
      <w:r w:rsidR="00023AC3" w:rsidRPr="00123003">
        <w:rPr>
          <w:sz w:val="24"/>
          <w:szCs w:val="24"/>
          <w:lang w:val="en-US"/>
        </w:rPr>
        <w:t xml:space="preserve">, </w:t>
      </w:r>
      <w:proofErr w:type="spellStart"/>
      <w:r w:rsidR="003D0371" w:rsidRPr="00123003">
        <w:rPr>
          <w:i/>
          <w:sz w:val="24"/>
          <w:szCs w:val="24"/>
          <w:lang w:val="en-US"/>
        </w:rPr>
        <w:t>Pseudo</w:t>
      </w:r>
      <w:r w:rsidR="00023AC3" w:rsidRPr="00123003">
        <w:rPr>
          <w:i/>
          <w:sz w:val="24"/>
          <w:szCs w:val="24"/>
          <w:lang w:val="en-US"/>
        </w:rPr>
        <w:t>flavonifractor</w:t>
      </w:r>
      <w:proofErr w:type="spellEnd"/>
      <w:r w:rsidR="00975BC5" w:rsidRPr="00123003">
        <w:rPr>
          <w:sz w:val="24"/>
          <w:szCs w:val="24"/>
          <w:lang w:val="en-US"/>
        </w:rPr>
        <w:t>)</w:t>
      </w:r>
      <w:r w:rsidR="009921CF" w:rsidRPr="00123003">
        <w:rPr>
          <w:sz w:val="24"/>
          <w:szCs w:val="24"/>
          <w:lang w:val="en-US"/>
        </w:rPr>
        <w:t xml:space="preserve"> </w:t>
      </w:r>
      <w:r w:rsidR="00DC1C0F" w:rsidRPr="00123003">
        <w:rPr>
          <w:sz w:val="24"/>
          <w:szCs w:val="24"/>
          <w:lang w:val="en-US"/>
        </w:rPr>
        <w:t>or enriched in AN samples  (</w:t>
      </w:r>
      <w:proofErr w:type="spellStart"/>
      <w:r w:rsidR="00DC1C0F" w:rsidRPr="00123003">
        <w:rPr>
          <w:i/>
          <w:sz w:val="24"/>
          <w:szCs w:val="24"/>
          <w:lang w:val="en-US"/>
        </w:rPr>
        <w:t>Alistipes</w:t>
      </w:r>
      <w:proofErr w:type="spellEnd"/>
      <w:r w:rsidR="00DC1C0F" w:rsidRPr="00123003">
        <w:rPr>
          <w:sz w:val="24"/>
          <w:szCs w:val="24"/>
          <w:lang w:val="en-US"/>
        </w:rPr>
        <w:t xml:space="preserve"> and </w:t>
      </w:r>
      <w:proofErr w:type="spellStart"/>
      <w:r w:rsidR="00DC1C0F" w:rsidRPr="00123003">
        <w:rPr>
          <w:i/>
          <w:sz w:val="24"/>
          <w:szCs w:val="24"/>
          <w:lang w:val="en-US"/>
        </w:rPr>
        <w:t>Flavonifractor</w:t>
      </w:r>
      <w:proofErr w:type="spellEnd"/>
      <w:r w:rsidR="00DC1C0F" w:rsidRPr="00123003">
        <w:rPr>
          <w:sz w:val="24"/>
          <w:szCs w:val="24"/>
          <w:lang w:val="en-US"/>
        </w:rPr>
        <w:t xml:space="preserve">, both able to utilize lysine for butyrate production) </w:t>
      </w:r>
      <w:r w:rsidR="009921CF" w:rsidRPr="00123003">
        <w:rPr>
          <w:sz w:val="24"/>
          <w:szCs w:val="24"/>
          <w:lang w:val="en-US"/>
        </w:rPr>
        <w:fldChar w:fldCharType="begin"/>
      </w:r>
      <w:r w:rsidR="00F61B70">
        <w:rPr>
          <w:sz w:val="24"/>
          <w:szCs w:val="24"/>
          <w:lang w:val="en-US"/>
        </w:rPr>
        <w:instrText xml:space="preserve"> ADDIN ZOTERO_ITEM CSL_CITATION {"citationID":"XiSM6ixd","properties":{"unsorted":true,"formattedCitation":"(27)","plainCitation":"(27)","noteIndex":0},"citationItems":[{"id":4022,"uris":["http://zotero.org/users/46719/items/2K4F5CR9"],"uri":["http://zotero.org/users/46719/items/2K4F5CR9"],"itemData":{"id":4022,"type":"article-journal","title":"Colonic Butyrate-Producing Communities in Humans: an Overview Using Omics Data","container-title":"mSystems","volume":"2","issue":"6","source":"PubMed Central","abstract":"Studies focusing on taxonomic compositions of the gut microbiota are plentiful, whereas its functional capabilities are still poorly understood. Specific key functions deserve detailed investigations, as they regulate microbiota-host interactions and promote host health and disease. The production of butyrate is among the top targets since depletion of this microbe-derived metabolite is linked to several emerging noncommunicable diseases and was shown to facilitate establishment of enteric pathogens by disrupting colonization resistance. In this study, we established a workflow to investigate in detail the composition of the polyphyletic butyrate-producing community from omics data extracting its biochemical and taxonomic diversity. By combining information from various publicly available data sets, we identified universal ecological key features of this functional group and shed light on its role in health and disease. Our results will assist the development of precision medicine to combat functional dysbiosis., Given the key role of butyrate for host health, understanding the ecology of intestinal butyrate-producing communities is a top priority for gut microbiota research. To this end, we performed a pooled analysis on 2,387 metagenomic/transcriptomic samples from 15 publicly available data sets that originated from three continents and encompassed eight diseases as well as specific interventions. For analyses, a gene catalogue was constructed from gene-targeted assemblies of all genes from butyrate synthesis pathways of all samples and from an updated reference database derived from genome screenings. We demonstrate that butyrate producers establish themselves within the first year of life and display high abundances (&gt;20% of total bacterial community) in adults regardless of origin. Various bacteria form this functional group, exhibiting a biochemical diversity including different pathways and terminal enzymes, where one carbohydrate-fueled pathway was dominant with butyryl coenzyme A (CoA):acetate CoA transferase as the main terminal enzyme. Subjects displayed a high richness of butyrate producers, and 17 taxa, primarily members of the Lachnospiraceae and Ruminococcaceae along with some Bacteroidetes, were detected in &gt;70% of individuals, encompassing ~85% of the total butyrate-producing potential. Most of these key taxa were also found to express genes for butyrate formation, indicating that butyrate producers occupy various niches in the gut ecosystem, concurrently synthesizing that compound. Furthermore, results from longitudinal analyses propose that diversity supports functional stability during ordinary life disturbances and during interventions such as antibiotic treatment. A reduction of the butyrate-producing potential along with community alterations was detected in various diseases, where patients suffering from cardiometabolic disorders were particularly affected., IMPORTANCE Studies focusing on taxonomic compositions of the gut microbiota are plentiful, whereas its functional capabilities are still poorly understood. Specific key functions deserve detailed investigations, as they regulate microbiota-host interactions and promote host health and disease. The production of butyrate is among the top targets since depletion of this microbe-derived metabolite is linked to several emerging noncommunicable diseases and was shown to facilitate establishment of enteric pathogens by disrupting colonization resistance. In this study, we established a workflow to investigate in detail the composition of the polyphyletic butyrate-producing community from omics data extracting its biochemical and taxonomic diversity. By combining information from various publicly available data sets, we identified universal ecological key features of this functional group and shed light on its role in health and disease. Our results will assist the development of precision medicine to combat functional dysbiosis.","URL":"https://www.ncbi.nlm.nih.gov/pmc/articles/PMC5715108/","DOI":"10.1128/mSystems.00130-17","ISSN":"2379-5077","note":"PMID: 29238752\nPMCID: PMC5715108","title-short":"Colonic Butyrate-Producing Communities in Humans","journalAbbreviation":"mSystems","author":[{"family":"Vital","given":"Marius"},{"family":"Karch","given":"André"},{"family":"Pieper","given":"Dietmar H."}],"issued":{"date-parts":[["2017",12,5]]},"accessed":{"date-parts":[["2018",8,13]]}}}],"schema":"https://github.com/citation-style-language/schema/raw/master/csl-citation.json"} </w:instrText>
      </w:r>
      <w:r w:rsidR="009921CF" w:rsidRPr="00123003">
        <w:rPr>
          <w:sz w:val="24"/>
          <w:szCs w:val="24"/>
          <w:lang w:val="en-US"/>
        </w:rPr>
        <w:fldChar w:fldCharType="separate"/>
      </w:r>
      <w:r w:rsidR="00F61B70" w:rsidRPr="00F61B70">
        <w:rPr>
          <w:rFonts w:ascii="Calibri" w:hAnsi="Calibri" w:cs="Calibri"/>
          <w:sz w:val="24"/>
          <w:lang w:val="en-US"/>
        </w:rPr>
        <w:t>(27)</w:t>
      </w:r>
      <w:r w:rsidR="009921CF" w:rsidRPr="00123003">
        <w:rPr>
          <w:sz w:val="24"/>
          <w:szCs w:val="24"/>
          <w:lang w:val="en-US"/>
        </w:rPr>
        <w:fldChar w:fldCharType="end"/>
      </w:r>
      <w:r w:rsidR="00975BC5" w:rsidRPr="00123003">
        <w:rPr>
          <w:sz w:val="24"/>
          <w:szCs w:val="24"/>
          <w:lang w:val="en-US"/>
        </w:rPr>
        <w:t xml:space="preserve">. </w:t>
      </w:r>
      <w:r w:rsidR="00EE0797" w:rsidRPr="00123003">
        <w:rPr>
          <w:sz w:val="24"/>
          <w:szCs w:val="24"/>
          <w:lang w:val="en-US"/>
        </w:rPr>
        <w:t>However, t</w:t>
      </w:r>
      <w:r w:rsidR="004C5F8E" w:rsidRPr="00123003">
        <w:rPr>
          <w:sz w:val="24"/>
          <w:szCs w:val="24"/>
          <w:lang w:val="en-US"/>
        </w:rPr>
        <w:t>he overall contribution of these</w:t>
      </w:r>
      <w:r w:rsidR="00EE0797" w:rsidRPr="00123003">
        <w:rPr>
          <w:sz w:val="24"/>
          <w:szCs w:val="24"/>
          <w:lang w:val="en-US"/>
        </w:rPr>
        <w:t xml:space="preserve"> genera</w:t>
      </w:r>
      <w:r w:rsidR="004C5F8E" w:rsidRPr="00123003">
        <w:rPr>
          <w:sz w:val="24"/>
          <w:szCs w:val="24"/>
          <w:lang w:val="en-US"/>
        </w:rPr>
        <w:t xml:space="preserve"> to colonic butyrate</w:t>
      </w:r>
      <w:r w:rsidR="00EE0797" w:rsidRPr="00123003">
        <w:rPr>
          <w:sz w:val="24"/>
          <w:szCs w:val="24"/>
          <w:lang w:val="en-US"/>
        </w:rPr>
        <w:t xml:space="preserve"> production is low and</w:t>
      </w:r>
      <w:r w:rsidR="001A4191" w:rsidRPr="00123003">
        <w:rPr>
          <w:sz w:val="24"/>
          <w:szCs w:val="24"/>
          <w:lang w:val="en-US"/>
        </w:rPr>
        <w:t xml:space="preserve"> may not </w:t>
      </w:r>
      <w:r w:rsidR="00EE0797" w:rsidRPr="00123003">
        <w:rPr>
          <w:sz w:val="24"/>
          <w:szCs w:val="24"/>
          <w:lang w:val="en-US"/>
        </w:rPr>
        <w:t xml:space="preserve">compensate for the </w:t>
      </w:r>
      <w:r w:rsidR="00FF4597" w:rsidRPr="00123003">
        <w:rPr>
          <w:sz w:val="24"/>
          <w:szCs w:val="24"/>
          <w:lang w:val="en-US"/>
        </w:rPr>
        <w:t>detrimental</w:t>
      </w:r>
      <w:r w:rsidR="00EE0797" w:rsidRPr="00123003">
        <w:rPr>
          <w:sz w:val="24"/>
          <w:szCs w:val="24"/>
          <w:lang w:val="en-US"/>
        </w:rPr>
        <w:t xml:space="preserve"> effects of </w:t>
      </w:r>
      <w:r w:rsidR="00DC1C0F" w:rsidRPr="00123003">
        <w:rPr>
          <w:sz w:val="24"/>
          <w:szCs w:val="24"/>
          <w:lang w:val="en-US"/>
        </w:rPr>
        <w:t>nitrogenous metabolites resulting from high protein fermentation</w:t>
      </w:r>
      <w:r w:rsidR="00EE0797" w:rsidRPr="00123003">
        <w:rPr>
          <w:sz w:val="24"/>
          <w:szCs w:val="24"/>
          <w:lang w:val="en-US"/>
        </w:rPr>
        <w:t>.</w:t>
      </w:r>
      <w:r w:rsidR="001D7B4C" w:rsidRPr="00123003">
        <w:rPr>
          <w:sz w:val="24"/>
          <w:szCs w:val="24"/>
          <w:lang w:val="en-US"/>
        </w:rPr>
        <w:t xml:space="preserve"> </w:t>
      </w:r>
      <w:r w:rsidR="009D137F" w:rsidRPr="00123003">
        <w:rPr>
          <w:sz w:val="24"/>
          <w:szCs w:val="24"/>
          <w:lang w:val="en-US"/>
        </w:rPr>
        <w:t>T</w:t>
      </w:r>
      <w:r w:rsidR="00C640C7" w:rsidRPr="00123003">
        <w:rPr>
          <w:sz w:val="24"/>
          <w:szCs w:val="24"/>
          <w:lang w:val="en-US"/>
        </w:rPr>
        <w:t xml:space="preserve">he </w:t>
      </w:r>
      <w:r w:rsidR="001F2380" w:rsidRPr="00123003">
        <w:rPr>
          <w:sz w:val="24"/>
          <w:szCs w:val="24"/>
          <w:lang w:val="en-US"/>
        </w:rPr>
        <w:t>persistent</w:t>
      </w:r>
      <w:r w:rsidR="00C640C7" w:rsidRPr="00123003">
        <w:rPr>
          <w:sz w:val="24"/>
          <w:szCs w:val="24"/>
          <w:lang w:val="en-US"/>
        </w:rPr>
        <w:t xml:space="preserve"> levels of butyrogenic bacteria</w:t>
      </w:r>
      <w:r w:rsidR="001F2380" w:rsidRPr="00123003">
        <w:rPr>
          <w:sz w:val="24"/>
          <w:szCs w:val="24"/>
          <w:lang w:val="en-US"/>
        </w:rPr>
        <w:t xml:space="preserve"> in </w:t>
      </w:r>
      <w:proofErr w:type="gramStart"/>
      <w:r w:rsidR="001F2380" w:rsidRPr="00123003">
        <w:rPr>
          <w:sz w:val="24"/>
          <w:szCs w:val="24"/>
          <w:lang w:val="en-US"/>
        </w:rPr>
        <w:t>AN</w:t>
      </w:r>
      <w:proofErr w:type="gramEnd"/>
      <w:r w:rsidR="001F2380" w:rsidRPr="00123003">
        <w:rPr>
          <w:sz w:val="24"/>
          <w:szCs w:val="24"/>
          <w:lang w:val="en-US"/>
        </w:rPr>
        <w:t xml:space="preserve"> </w:t>
      </w:r>
      <w:r w:rsidR="006C73C9" w:rsidRPr="00123003">
        <w:rPr>
          <w:sz w:val="24"/>
          <w:szCs w:val="24"/>
          <w:lang w:val="en-US"/>
        </w:rPr>
        <w:t>participants with</w:t>
      </w:r>
      <w:r w:rsidR="001F2380" w:rsidRPr="00123003">
        <w:rPr>
          <w:sz w:val="24"/>
          <w:szCs w:val="24"/>
          <w:lang w:val="en-US"/>
        </w:rPr>
        <w:t xml:space="preserve"> a low fiber die</w:t>
      </w:r>
      <w:r w:rsidR="00E9451E" w:rsidRPr="00123003">
        <w:rPr>
          <w:sz w:val="24"/>
          <w:szCs w:val="24"/>
          <w:lang w:val="en-US"/>
        </w:rPr>
        <w:t xml:space="preserve">t </w:t>
      </w:r>
      <w:r w:rsidR="00DC1C0F" w:rsidRPr="00123003">
        <w:rPr>
          <w:sz w:val="24"/>
          <w:szCs w:val="24"/>
          <w:lang w:val="en-US"/>
        </w:rPr>
        <w:t>indicate the conserved potential for fiber fermentation and suggest that the increased consumption of fiber-rich foods may be well tolerated in AN people</w:t>
      </w:r>
      <w:r w:rsidR="00C640C7" w:rsidRPr="00123003">
        <w:rPr>
          <w:sz w:val="24"/>
          <w:szCs w:val="24"/>
          <w:lang w:val="en-US"/>
        </w:rPr>
        <w:t xml:space="preserve">. The re-activation of this metabolic capacity would </w:t>
      </w:r>
      <w:r w:rsidR="006C73C9" w:rsidRPr="00123003">
        <w:rPr>
          <w:sz w:val="24"/>
          <w:szCs w:val="24"/>
          <w:lang w:val="en-US"/>
        </w:rPr>
        <w:t>support</w:t>
      </w:r>
      <w:r w:rsidR="00C640C7" w:rsidRPr="00123003">
        <w:rPr>
          <w:sz w:val="24"/>
          <w:szCs w:val="24"/>
          <w:lang w:val="en-US"/>
        </w:rPr>
        <w:t xml:space="preserve"> fiber supplementation as a promising approach to reduce CRC risk in healthy AN individuals.</w:t>
      </w:r>
    </w:p>
    <w:p w:rsidR="00F702E0" w:rsidRPr="00123003" w:rsidRDefault="00FF4597" w:rsidP="00123003">
      <w:pPr>
        <w:spacing w:line="480" w:lineRule="auto"/>
        <w:jc w:val="both"/>
        <w:rPr>
          <w:sz w:val="24"/>
          <w:szCs w:val="24"/>
          <w:lang w:val="en-US"/>
        </w:rPr>
      </w:pPr>
      <w:r w:rsidRPr="00123003">
        <w:rPr>
          <w:sz w:val="24"/>
          <w:szCs w:val="24"/>
          <w:lang w:val="en-US"/>
        </w:rPr>
        <w:t>T</w:t>
      </w:r>
      <w:r w:rsidR="002847D4" w:rsidRPr="00123003">
        <w:rPr>
          <w:sz w:val="24"/>
          <w:szCs w:val="24"/>
          <w:lang w:val="en-US"/>
        </w:rPr>
        <w:t xml:space="preserve">he high-fiber </w:t>
      </w:r>
      <w:r w:rsidR="00C23F87" w:rsidRPr="00123003">
        <w:rPr>
          <w:sz w:val="24"/>
          <w:szCs w:val="24"/>
          <w:lang w:val="en-US"/>
        </w:rPr>
        <w:t xml:space="preserve">intake </w:t>
      </w:r>
      <w:r w:rsidR="00DD0115" w:rsidRPr="00123003">
        <w:rPr>
          <w:sz w:val="24"/>
          <w:szCs w:val="24"/>
          <w:lang w:val="en-US"/>
        </w:rPr>
        <w:t>among</w:t>
      </w:r>
      <w:r w:rsidR="002847D4" w:rsidRPr="00123003">
        <w:rPr>
          <w:sz w:val="24"/>
          <w:szCs w:val="24"/>
          <w:lang w:val="en-US"/>
        </w:rPr>
        <w:t xml:space="preserve"> RA </w:t>
      </w:r>
      <w:r w:rsidR="00DD0115" w:rsidRPr="00123003">
        <w:rPr>
          <w:sz w:val="24"/>
          <w:szCs w:val="24"/>
          <w:lang w:val="en-US"/>
        </w:rPr>
        <w:t>participants</w:t>
      </w:r>
      <w:r w:rsidR="002847D4" w:rsidRPr="00123003">
        <w:rPr>
          <w:sz w:val="24"/>
          <w:szCs w:val="24"/>
          <w:lang w:val="en-US"/>
        </w:rPr>
        <w:t xml:space="preserve"> </w:t>
      </w:r>
      <w:r w:rsidR="00095347" w:rsidRPr="00123003">
        <w:rPr>
          <w:sz w:val="24"/>
          <w:szCs w:val="24"/>
          <w:lang w:val="en-US"/>
        </w:rPr>
        <w:t>augments</w:t>
      </w:r>
      <w:r w:rsidR="003762EA" w:rsidRPr="00123003">
        <w:rPr>
          <w:sz w:val="24"/>
          <w:szCs w:val="24"/>
          <w:lang w:val="en-US"/>
        </w:rPr>
        <w:t xml:space="preserve"> </w:t>
      </w:r>
      <w:r w:rsidR="00095347" w:rsidRPr="00123003">
        <w:rPr>
          <w:sz w:val="24"/>
          <w:szCs w:val="24"/>
          <w:lang w:val="en-US"/>
        </w:rPr>
        <w:t>the</w:t>
      </w:r>
      <w:r w:rsidR="005440B4" w:rsidRPr="00123003">
        <w:rPr>
          <w:sz w:val="24"/>
          <w:szCs w:val="24"/>
          <w:lang w:val="en-US"/>
        </w:rPr>
        <w:t xml:space="preserve"> </w:t>
      </w:r>
      <w:r w:rsidR="00DD17F0" w:rsidRPr="00123003">
        <w:rPr>
          <w:sz w:val="24"/>
          <w:szCs w:val="24"/>
          <w:lang w:val="en-US"/>
        </w:rPr>
        <w:t>saccharolytic fermentation capacity of the gut microbiota characterized</w:t>
      </w:r>
      <w:r w:rsidR="003C0AF8" w:rsidRPr="00123003">
        <w:rPr>
          <w:sz w:val="24"/>
          <w:szCs w:val="24"/>
          <w:lang w:val="en-US"/>
        </w:rPr>
        <w:t xml:space="preserve"> by</w:t>
      </w:r>
      <w:r w:rsidRPr="00123003">
        <w:rPr>
          <w:sz w:val="24"/>
          <w:szCs w:val="24"/>
          <w:lang w:val="en-US"/>
        </w:rPr>
        <w:t xml:space="preserve"> </w:t>
      </w:r>
      <w:r w:rsidR="003762EA" w:rsidRPr="00123003">
        <w:rPr>
          <w:sz w:val="24"/>
          <w:szCs w:val="24"/>
          <w:lang w:val="en-US"/>
        </w:rPr>
        <w:t xml:space="preserve">high abundance of </w:t>
      </w:r>
      <w:proofErr w:type="spellStart"/>
      <w:r w:rsidR="003762EA" w:rsidRPr="00123003">
        <w:rPr>
          <w:i/>
          <w:sz w:val="24"/>
          <w:szCs w:val="24"/>
          <w:lang w:val="en-US"/>
        </w:rPr>
        <w:t>Prevotellaceae</w:t>
      </w:r>
      <w:proofErr w:type="spellEnd"/>
      <w:r w:rsidR="003762EA" w:rsidRPr="00123003">
        <w:rPr>
          <w:sz w:val="24"/>
          <w:szCs w:val="24"/>
          <w:lang w:val="en-US"/>
        </w:rPr>
        <w:t xml:space="preserve">, </w:t>
      </w:r>
      <w:proofErr w:type="spellStart"/>
      <w:r w:rsidR="003762EA" w:rsidRPr="00123003">
        <w:rPr>
          <w:i/>
          <w:sz w:val="24"/>
          <w:szCs w:val="24"/>
          <w:lang w:val="en-US"/>
        </w:rPr>
        <w:t>Ruminococcaceae</w:t>
      </w:r>
      <w:proofErr w:type="spellEnd"/>
      <w:r w:rsidR="004A3A3B" w:rsidRPr="00123003">
        <w:rPr>
          <w:sz w:val="24"/>
          <w:szCs w:val="24"/>
          <w:lang w:val="en-US"/>
        </w:rPr>
        <w:t xml:space="preserve">, </w:t>
      </w:r>
      <w:r w:rsidR="003762EA" w:rsidRPr="00123003">
        <w:rPr>
          <w:sz w:val="24"/>
          <w:szCs w:val="24"/>
          <w:lang w:val="en-US"/>
        </w:rPr>
        <w:t xml:space="preserve">some genera of </w:t>
      </w:r>
      <w:proofErr w:type="spellStart"/>
      <w:r w:rsidR="003762EA" w:rsidRPr="00123003">
        <w:rPr>
          <w:i/>
          <w:sz w:val="24"/>
          <w:szCs w:val="24"/>
          <w:lang w:val="en-US"/>
        </w:rPr>
        <w:t>Lachnospiraceae</w:t>
      </w:r>
      <w:proofErr w:type="spellEnd"/>
      <w:r w:rsidR="003762EA" w:rsidRPr="00123003">
        <w:rPr>
          <w:sz w:val="24"/>
          <w:szCs w:val="24"/>
          <w:lang w:val="en-US"/>
        </w:rPr>
        <w:t xml:space="preserve"> </w:t>
      </w:r>
      <w:r w:rsidR="004A3A3B" w:rsidRPr="00123003">
        <w:rPr>
          <w:sz w:val="24"/>
          <w:szCs w:val="24"/>
          <w:lang w:val="en-US"/>
        </w:rPr>
        <w:t xml:space="preserve">and </w:t>
      </w:r>
      <w:proofErr w:type="spellStart"/>
      <w:r w:rsidR="004A3A3B" w:rsidRPr="00123003">
        <w:rPr>
          <w:i/>
          <w:sz w:val="24"/>
          <w:szCs w:val="24"/>
          <w:lang w:val="en-US"/>
        </w:rPr>
        <w:t>Succinivibrio</w:t>
      </w:r>
      <w:proofErr w:type="spellEnd"/>
      <w:r w:rsidR="004A3A3B" w:rsidRPr="00123003">
        <w:rPr>
          <w:sz w:val="24"/>
          <w:szCs w:val="24"/>
          <w:lang w:val="en-US"/>
        </w:rPr>
        <w:t xml:space="preserve"> </w:t>
      </w:r>
      <w:r w:rsidR="003762EA" w:rsidRPr="00123003">
        <w:rPr>
          <w:sz w:val="24"/>
          <w:szCs w:val="24"/>
          <w:lang w:val="en-US"/>
        </w:rPr>
        <w:t xml:space="preserve">as demonstrated </w:t>
      </w:r>
      <w:r w:rsidR="0041031F" w:rsidRPr="00123003">
        <w:rPr>
          <w:sz w:val="24"/>
          <w:szCs w:val="24"/>
          <w:lang w:val="en-US"/>
        </w:rPr>
        <w:t>previously</w:t>
      </w:r>
      <w:r w:rsidR="003762EA" w:rsidRPr="00123003">
        <w:rPr>
          <w:sz w:val="24"/>
          <w:szCs w:val="24"/>
          <w:lang w:val="en-US"/>
        </w:rPr>
        <w:t xml:space="preserve"> </w:t>
      </w:r>
      <w:r w:rsidR="00AE754E" w:rsidRPr="00123003">
        <w:rPr>
          <w:sz w:val="24"/>
          <w:szCs w:val="24"/>
          <w:lang w:val="en-US"/>
        </w:rPr>
        <w:fldChar w:fldCharType="begin"/>
      </w:r>
      <w:r w:rsidR="00F61B70">
        <w:rPr>
          <w:sz w:val="24"/>
          <w:szCs w:val="24"/>
          <w:lang w:val="en-US"/>
        </w:rPr>
        <w:instrText xml:space="preserve"> ADDIN ZOTERO_ITEM CSL_CITATION {"citationID":"xBwPrEEo","properties":{"formattedCitation":"(9,10,35)","plainCitation":"(9,10,35)","noteIndex":0},"citationItems":[{"id":464,"uris":["http://zotero.org/users/46719/items/8IITHWEP"],"uri":["http://zotero.org/users/46719/items/8IITHWEP"],"itemData":{"id":464,"type":"article-journal","title":"Diet, microbiota, and microbial metabolites in colon cancer risk in rural Africans and African Americans","container-title":"The American Journal of Clinical Nutrition","page":"111-120","volume":"98","issue":"1","source":"ajcn.nutrition.org","abstract":"Background: Epidemiologic studies have suggested that most cases of sporadic colon cancer can be attributed to diet. The recognition that colonic microbiota have a major influence on colonic health suggests that they might mediate colonic carcinogenesis.\nObjective: To examine the hypothesis that the influence of diet on colon cancer risk is mediated by the microbiota through their metabolites, we measured differences in colonic microbes and their metabolites in African Americans with a high risk and in rural native Africans with a low risk of colon cancer.\nDesign: Fresh fecal samples were collected from 12 healthy African Americans aged 50–65 y and from 12 age- and sex-matched native Africans. Microbiomes were analyzed with 16S ribosomal RNA gene pyrosequencing together with quantitative polymerase chain reaction of the major fermentative, butyrate-producing, and bile acid–deconjugating bacteria. Fecal short-chain fatty acids were measured by gas chromatography and bile acids by liquid chromatography–mass spectrometry.\nResults: Microbial composition was fundamentally different, with a predominance of Prevotella in native Africans (enterotype 2) and of Bacteroides in African Americans (enterotype 1). Total bacteria and major butyrate-producing groups were significantly more abundant in fecal samples from native Africans. Microbial genes encoding for secondary bile acid production were more abundant in African Americans, whereas those encoding for methanogenesis and hydrogen sulfide production were higher in native Africans. Fecal secondary bile acid concentrations were higher in African Americans, whereas short-chain fatty acids were higher in native Africans.\nConclusion: Our results support the hypothesis that colon cancer risk is influenced by the balance between microbial production of health-promoting metabolites such as butyrate and potentially carcinogenic metabolites such as secondary bile acids.","DOI":"10.3945/ajcn.112.056689","ISSN":"0002-9165, 1938-3207","note":"PMID: 23719549","journalAbbreviation":"Am J Clin Nutr","language":"en","author":[{"family":"Ou","given":"Junhai"},{"family":"Carbonero","given":"Franck"},{"family":"Zoetendal","given":"Erwin G."},{"family":"DeLany","given":"James P."},{"family":"Wang","given":"Mei"},{"family":"Newton","given":"Keith"},{"family":"Gaskins","given":"H. Rex"},{"family":"O'Keefe","given":"Stephen JD"}],"issued":{"date-parts":[["2013",7,1]]}}},{"id":2125,"uris":["http://zotero.org/users/46719/items/XV558T9I"],"uri":["http://zotero.org/users/46719/items/XV558T9I"],"itemData":{"id":2125,"type":"article-journal","title":"Fat, fibre and cancer risk in African Americans and rural Africans","container-title":"Nature Communications","page":"6342","volume":"6","source":"PubMed","abstract":"Rates of colon cancer are much higher in African Americans (65:100,000) than in rural South Africans (&lt;5:100,000). The higher rates are associated with higher animal protein and fat, and lower fibre consumption, higher colonic secondary bile acids, lower colonic short-chain fatty acid quantities and higher mucosal proliferative biomarkers of cancer risk in otherwise healthy middle-aged volunteers. Here we investigate further the role of fat and fibre in this association. We performed 2-week food exchanges in subjects from the same populations, where African Americans were fed a high-fibre, low-fat African-style diet and rural Africans a high-fat, low-fibre western-style diet, under close supervision. In comparison with their usual diets, the food changes resulted in remarkable reciprocal changes in mucosal biomarkers of cancer risk and in aspects of the microbiota and metabolome known to affect cancer risk, best illustrated by increased saccharolytic fermentation and butyrogenesis, and suppressed secondary bile acid synthesis in the African Americans.","DOI":"10.1038/ncomms7342","ISSN":"2041-1723","note":"PMID: 25919227","journalAbbreviation":"Nat Commun","language":"ENG","author":[{"family":"O'Keefe","given":"Stephen J. D."},{"family":"Li","given":"Jia V."},{"family":"Lahti","given":"Leo"},{"family":"Ou","given":"Junhai"},{"family":"Carbonero","given":"Franck"},{"family":"Mohammed","given":"Khaled"},{"family":"Posma","given":"Joram M."},{"family":"Kinross","given":"James"},{"family":"Wahl","given":"Elaine"},{"family":"Ruder","given":"Elizabeth"},{"family":"Vipperla","given":"Kishore"},{"family":"Naidoo","given":"Vasudevan"},{"family":"Mtshali","given":"Lungile"},{"family":"Tims","given":"Sebastian"},{"family":"Puylaert","given":"Philippe G. B."},{"family":"DeLany","given":"James"},{"family":"Krasinskas","given":"Alyssa"},{"family":"Benefiel","given":"Ann C."},{"family":"Kaseb","given":"Hatem O."},{"family":"Newton","given":"Keith"},{"family":"Nicholson","given":"Jeremy K."},{"family":"Vos","given":"Willem M.","non-dropping-particle":"de"},{"family":"Gaskins","given":"H. Rex"},{"family":"Zoetendal","given":"Erwin G."}],"issued":{"date-parts":[["2015"]]}}},{"id":4160,"uris":["http://zotero.org/users/46719/items/5P8EHQEQ"],"uri":["http://zotero.org/users/46719/items/5P8EHQEQ"],"itemData":{"id":4160,"type":"article-journal","title":"Diet, Environments, and Gut Microbiota. A Preliminary Investigation in Children Living in Rural and Urban Burkina Faso and Italy","container-title":"Frontiers in Microbiology","volume":"8","source":"Frontiers","abstract":"Diet is one of the main factors that affects the composition of gut microbiota. When people move from a rural environment to urban areas, and experience improved socio-economic conditions, they are often exposed to a “globalized” Western type diet. Here, we present the metagenomic scale of microbial changes in groups of African children belonging to the same ethnicity and living in different environments, compared to children living on the urban area of Florence (Italy). We analyzed dietary habits and, by pyrosequencing of the 16S rRNA gene, gut microbiota profiles from fecal samples of children living in a rural village of Burkina Faso (n=11), of two groups of children living in different urban settings (Nanoro town, n=8; Ouagadougou, the capital city, n=5) and of a group of Italian children (n=13). We observed that when foods of animal origin, those rich in fat and simple sugars are introduced into a traditional African diet, composed of cereals, legumes and vegetables, the gut microbiota profiles changes. Microbiota of rural children retain a geographically unique bacterial reservoir (Prevotella, Treponema and Succinivibrio), assigned to ferment fiber and polysaccharides from vegetables. Independently of geography and ethnicity, in children living in urban areas these bacterial genera were progressively outcompeted by bacteria more suited to the metabolism of animal protein, fat and sugar rich foods, similarly to Italian children, as resulted by PICRUSt (Phylogenetic Investigation of Communities by Reconstruction of Unobserved States), a predictive functional profiling of microbial communities using 16S rRNA marker gene. Consequently, we observed a progressive reduction of SCFAs measured by Gas Chromatography-Mass Spectrometry, in urban populations, especially in Italian children, respect to rural ones. Furthermore, gain of functions for antibiotic resistance, xenobiotics degradation and food additives are a functional response of symbiotic bacteria when exposed to an urban diet, sanitation and polluted environment. Our results showed that dietary habit modifications in the course of urbanization play a crucial role in shaping gut microbiota, and that ancient microorganisms, such as fiber-degrading bacteria, are at risk of being eliminated by the fast paced globalization of foods and by the advent of westernized lifestyle.","URL":"https://www.frontiersin.org/articles/10.3389/fmicb.2017.01979/full","DOI":"10.3389/fmicb.2017.01979","ISSN":"1664-302X","journalAbbreviation":"Front. Microbiol.","language":"English","author":[{"family":"De Filippo","given":"Carlotta"},{"family":"Di Paola","given":"Monica"},{"family":"Ramazzotti","given":"Matteo"},{"family":"Albanese","given":"Davide"},{"family":"Pieraccini","given":"Giuseppe"},{"family":"Banci","given":"Elena"},{"family":"Miglietta","given":"Franco"},{"family":"Cavalieri","given":"Duccio"},{"family":"Lionetti","given":"Paolo"}],"issued":{"date-parts":[["2017"]]},"accessed":{"date-parts":[["2018",8,17]]}}}],"schema":"https://github.com/citation-style-language/schema/raw/master/csl-citation.json"} </w:instrText>
      </w:r>
      <w:r w:rsidR="00AE754E" w:rsidRPr="00123003">
        <w:rPr>
          <w:sz w:val="24"/>
          <w:szCs w:val="24"/>
          <w:lang w:val="en-US"/>
        </w:rPr>
        <w:fldChar w:fldCharType="separate"/>
      </w:r>
      <w:r w:rsidR="00F61B70" w:rsidRPr="00F61B70">
        <w:rPr>
          <w:rFonts w:ascii="Calibri" w:hAnsi="Calibri" w:cs="Calibri"/>
          <w:sz w:val="24"/>
          <w:lang w:val="en-US"/>
        </w:rPr>
        <w:t>(9,10,35)</w:t>
      </w:r>
      <w:r w:rsidR="00AE754E" w:rsidRPr="00123003">
        <w:rPr>
          <w:sz w:val="24"/>
          <w:szCs w:val="24"/>
          <w:lang w:val="en-US"/>
        </w:rPr>
        <w:fldChar w:fldCharType="end"/>
      </w:r>
      <w:r w:rsidR="003762EA" w:rsidRPr="00123003">
        <w:rPr>
          <w:sz w:val="24"/>
          <w:szCs w:val="24"/>
          <w:lang w:val="en-US"/>
        </w:rPr>
        <w:t xml:space="preserve">. </w:t>
      </w:r>
      <w:r w:rsidR="00C23F87" w:rsidRPr="00123003">
        <w:rPr>
          <w:sz w:val="24"/>
          <w:szCs w:val="24"/>
          <w:lang w:val="en-US"/>
        </w:rPr>
        <w:t xml:space="preserve">Besides </w:t>
      </w:r>
      <w:r w:rsidR="00570983" w:rsidRPr="00123003">
        <w:rPr>
          <w:sz w:val="24"/>
          <w:szCs w:val="24"/>
          <w:lang w:val="en-US"/>
        </w:rPr>
        <w:t>the large quantities</w:t>
      </w:r>
      <w:r w:rsidR="00C23F87" w:rsidRPr="00123003">
        <w:rPr>
          <w:sz w:val="24"/>
          <w:szCs w:val="24"/>
          <w:lang w:val="en-US"/>
        </w:rPr>
        <w:t xml:space="preserve"> of </w:t>
      </w:r>
      <w:r w:rsidR="00DD0115" w:rsidRPr="00123003">
        <w:rPr>
          <w:sz w:val="24"/>
          <w:szCs w:val="24"/>
          <w:lang w:val="en-US"/>
        </w:rPr>
        <w:t>i</w:t>
      </w:r>
      <w:r w:rsidR="0076085C" w:rsidRPr="00123003">
        <w:rPr>
          <w:sz w:val="24"/>
          <w:szCs w:val="24"/>
          <w:lang w:val="en-US"/>
        </w:rPr>
        <w:t>n</w:t>
      </w:r>
      <w:r w:rsidR="00570983" w:rsidRPr="00123003">
        <w:rPr>
          <w:sz w:val="24"/>
          <w:szCs w:val="24"/>
          <w:lang w:val="en-US"/>
        </w:rPr>
        <w:t xml:space="preserve">digestible carbohydrates coming from </w:t>
      </w:r>
      <w:r w:rsidR="00C23F87" w:rsidRPr="00123003">
        <w:rPr>
          <w:sz w:val="24"/>
          <w:szCs w:val="24"/>
          <w:lang w:val="en-US"/>
        </w:rPr>
        <w:t>legumes</w:t>
      </w:r>
      <w:r w:rsidR="00570983" w:rsidRPr="00123003">
        <w:rPr>
          <w:sz w:val="24"/>
          <w:szCs w:val="24"/>
          <w:lang w:val="en-US"/>
        </w:rPr>
        <w:t xml:space="preserve"> and cruciferous vegetables</w:t>
      </w:r>
      <w:r w:rsidR="00C23F87" w:rsidRPr="00123003">
        <w:rPr>
          <w:sz w:val="24"/>
          <w:szCs w:val="24"/>
          <w:lang w:val="en-US"/>
        </w:rPr>
        <w:t>, the</w:t>
      </w:r>
      <w:r w:rsidR="00570983" w:rsidRPr="00123003">
        <w:rPr>
          <w:sz w:val="24"/>
          <w:szCs w:val="24"/>
          <w:lang w:val="en-US"/>
        </w:rPr>
        <w:t xml:space="preserve"> plant-based</w:t>
      </w:r>
      <w:r w:rsidR="00C23F87" w:rsidRPr="00123003">
        <w:rPr>
          <w:sz w:val="24"/>
          <w:szCs w:val="24"/>
          <w:lang w:val="en-US"/>
        </w:rPr>
        <w:t xml:space="preserve"> </w:t>
      </w:r>
      <w:r w:rsidR="00570983" w:rsidRPr="00123003">
        <w:rPr>
          <w:sz w:val="24"/>
          <w:szCs w:val="24"/>
          <w:lang w:val="en-US"/>
        </w:rPr>
        <w:t xml:space="preserve">diet </w:t>
      </w:r>
      <w:r w:rsidR="009F7434" w:rsidRPr="00123003">
        <w:rPr>
          <w:sz w:val="24"/>
          <w:szCs w:val="24"/>
          <w:lang w:val="en-US"/>
        </w:rPr>
        <w:t xml:space="preserve">of RA individuals </w:t>
      </w:r>
      <w:r w:rsidR="00570983" w:rsidRPr="00123003">
        <w:rPr>
          <w:sz w:val="24"/>
          <w:szCs w:val="24"/>
          <w:lang w:val="en-US"/>
        </w:rPr>
        <w:t>is also likely to provide h</w:t>
      </w:r>
      <w:r w:rsidR="000D1CFB" w:rsidRPr="00123003">
        <w:rPr>
          <w:sz w:val="24"/>
          <w:szCs w:val="24"/>
          <w:lang w:val="en-US"/>
        </w:rPr>
        <w:t>igh amounts of phytochemicals</w:t>
      </w:r>
      <w:r w:rsidR="00570983" w:rsidRPr="00123003">
        <w:rPr>
          <w:sz w:val="24"/>
          <w:szCs w:val="24"/>
          <w:lang w:val="en-US"/>
        </w:rPr>
        <w:t xml:space="preserve">, such as </w:t>
      </w:r>
      <w:r w:rsidR="000D1CFB" w:rsidRPr="00123003">
        <w:rPr>
          <w:sz w:val="24"/>
          <w:szCs w:val="24"/>
          <w:lang w:val="en-US"/>
        </w:rPr>
        <w:t xml:space="preserve">polyphenols and </w:t>
      </w:r>
      <w:r w:rsidR="00570983" w:rsidRPr="00123003">
        <w:rPr>
          <w:sz w:val="24"/>
          <w:szCs w:val="24"/>
          <w:lang w:val="en-US"/>
        </w:rPr>
        <w:t>glucosi</w:t>
      </w:r>
      <w:r w:rsidR="000D1CFB" w:rsidRPr="00123003">
        <w:rPr>
          <w:sz w:val="24"/>
          <w:szCs w:val="24"/>
          <w:lang w:val="en-US"/>
        </w:rPr>
        <w:t>nolates</w:t>
      </w:r>
      <w:r w:rsidR="00BC74D2" w:rsidRPr="00123003">
        <w:rPr>
          <w:sz w:val="24"/>
          <w:szCs w:val="24"/>
          <w:lang w:val="en-US"/>
        </w:rPr>
        <w:t xml:space="preserve"> (as confirmed in the RA urinary metabolite profiles)</w:t>
      </w:r>
      <w:r w:rsidR="00F702E0" w:rsidRPr="00123003">
        <w:rPr>
          <w:sz w:val="24"/>
          <w:szCs w:val="24"/>
          <w:lang w:val="en-US"/>
        </w:rPr>
        <w:t xml:space="preserve">. </w:t>
      </w:r>
      <w:r w:rsidR="00BC74D2" w:rsidRPr="00123003">
        <w:rPr>
          <w:sz w:val="24"/>
          <w:szCs w:val="24"/>
          <w:lang w:val="en-US"/>
        </w:rPr>
        <w:t xml:space="preserve">It has been shown that phytochemicals released from cell walls during plant residue breakdown </w:t>
      </w:r>
      <w:r w:rsidR="00B60CF5" w:rsidRPr="00123003">
        <w:rPr>
          <w:sz w:val="24"/>
          <w:szCs w:val="24"/>
          <w:lang w:val="en-US"/>
        </w:rPr>
        <w:t xml:space="preserve">may </w:t>
      </w:r>
      <w:r w:rsidR="0055035A" w:rsidRPr="00123003">
        <w:rPr>
          <w:sz w:val="24"/>
          <w:szCs w:val="24"/>
          <w:lang w:val="en-US"/>
        </w:rPr>
        <w:t xml:space="preserve">augment the </w:t>
      </w:r>
      <w:r w:rsidR="00232649" w:rsidRPr="00123003">
        <w:rPr>
          <w:sz w:val="24"/>
          <w:szCs w:val="24"/>
          <w:lang w:val="en-US"/>
        </w:rPr>
        <w:t xml:space="preserve">anti-proliferative effects </w:t>
      </w:r>
      <w:r w:rsidR="0055035A" w:rsidRPr="00123003">
        <w:rPr>
          <w:sz w:val="24"/>
          <w:szCs w:val="24"/>
          <w:lang w:val="en-US"/>
        </w:rPr>
        <w:t>of butyrate</w:t>
      </w:r>
      <w:r w:rsidR="00232649" w:rsidRPr="00123003">
        <w:rPr>
          <w:sz w:val="24"/>
          <w:szCs w:val="24"/>
          <w:lang w:val="en-US"/>
        </w:rPr>
        <w:t xml:space="preserve"> </w:t>
      </w:r>
      <w:r w:rsidR="00232649" w:rsidRPr="00123003">
        <w:rPr>
          <w:sz w:val="24"/>
          <w:szCs w:val="24"/>
          <w:lang w:val="en-US"/>
        </w:rPr>
        <w:fldChar w:fldCharType="begin"/>
      </w:r>
      <w:r w:rsidR="00F61B70">
        <w:rPr>
          <w:sz w:val="24"/>
          <w:szCs w:val="24"/>
          <w:lang w:val="en-US"/>
        </w:rPr>
        <w:instrText xml:space="preserve"> ADDIN ZOTERO_ITEM CSL_CITATION {"citationID":"48b4YhPX","properties":{"formattedCitation":"(7,36)","plainCitation":"(7,36)","noteIndex":0},"citationItems":[{"id":4156,"uris":["http://zotero.org/users/46719/items/9JDA8KHZ"],"uri":["http://zotero.org/users/46719/items/9JDA8KHZ"],"itemData":{"id":4156,"type":"article-journal","title":"Butyrate is only one of several growth inhibitors produced during gut flora-mediated fermentation of dietary fibre sources","container-title":"The British Journal of Nutrition","page":"1057-1070","volume":"90","issue":"6","source":"PubMed","abstract":"Dietary fibre sources are fermented by the gut flora to yield short-chain fatty acids (SCFA) together with degraded phytochemicals and plant nutrients. Butyrate, a major SCFA, is potentially chemoprotective by suppressing the growth of tumour cells and enhancing their differentiation. Conversely, it could lead to a positive selection pressure for transformed cells by inducing glutathione S-transferases (GST) and enhancing chemoresistance. Virtually nothing is known about how butyrate's activities are affected by other fermentation products. To investigate such interactions, a variety of dietary fibre sources was fermented with human faecal slurries in vitro, analysed for SCFA, and corresponding SCFA mixtures were prepared. HT29 colon tumour cells were treated for 72 h with individual SCFA or complex samples. The growth of cells, GST activity, and chemoresistance towards 4-hydroxynonenal were determined. Fermentation products inhibited cell growth more than the corresponding SCFA mixtures, and the SCFA mixtures were more active than butyrate, probably due to phytoprotectants and to propionate, respectively, which also inhibit cell growth. Only butyrate induced GST, whereas chemoresistance was caused by selected SCFA mixtures, but not by all corresponding fermentation samples. In summary, fermentation supernatant fractions contain compounds that: (1) enhance the anti-proliferative properties of butyrate (propionate, phytochemical fraction); (2) do not alter its capacity to induce GST; (3) prevent chemoresistance in tumour cells. It can be concluded that fermented dietary fibre sources are more potent inhibitors of tumour cell growth than butyrate alone, and also contain ingredients which counteract the undesired positive selection pressures that higher concentrations of butyrate induce in tumour cells.","ISSN":"0007-1145","note":"PMID: 14641965","journalAbbreviation":"Br. J. Nutr.","language":"eng","author":[{"family":"Beyer-Sehlmeyer","given":"Gabriele"},{"family":"Glei","given":"Michael"},{"family":"Hartmann","given":"Esther"},{"family":"Hughes","given":"Rosin"},{"family":"Persin","given":"Christoph"},{"family":"Böhm","given":"Volker"},{"family":"Rowland","given":"Ian"},{"family":"Schubert","given":"Rainer"},{"family":"Jahreis","given":"Gerhard"},{"family":"Pool-Zobel","given":"Beatrice L."}],"issued":{"date-parts":[["2003",12]]}}},{"id":3520,"uris":["http://zotero.org/users/46719/items/ZWR6A2KF"],"uri":["http://zotero.org/users/46719/items/ZWR6A2KF"],"itemData":{"id":3520,"type":"article-journal","title":"Diet, microorganisms and their metabolites, and colon cancer","container-title":"Nature Reviews. Gastroenterology &amp; Hepatology","page":"691-706","volume":"13","issue":"12","source":"PubMed","abstract":"Colorectal cancer is one of the so-called westernized diseases and the second leading cause of cancer death worldwide. On the basis of global epidemiological and scientific studies, evidence suggests that the risk of colorectal cancer is increased by processed and unprocessed meat consumption but suppressed by fibre, and that food composition affects colonic health and cancer risk via its effects on colonic microbial metabolism. The gut microbiota can ferment complex dietary residues that are resistant to digestion by enteric enzymes. This process provides energy for the microbiota but culminates in the release of short-chain fatty acids including butyrate, which are utilized for the metabolic needs of the colon and the body. Butyrate has a remarkable array of colonic health-promoting and antineoplastic properties: it is the preferred energy source for colonocytes, it maintains mucosal integrity and it suppresses inflammation and carcinogenesis through effects on immunity, gene expression and epigenetic modulation. Protein residues and fat-stimulated bile acids are also metabolized by the microbiota to inflammatory and/or carcinogenic metabolites, which increase the risk of neoplastic progression. This Review will discuss the mechanisms behind these microbial metabolite effects, which could be modified by diet to achieve the objective of preventing colorectal cancer in Western societies.","DOI":"10.1038/nrgastro.2016.165","ISSN":"1759-5053","note":"PMID: 27848961","journalAbbreviation":"Nat Rev Gastroenterol Hepatol","language":"eng","author":[{"family":"O'Keefe","given":"Stephen J. D."}],"issued":{"date-parts":[["2016",12]]}}}],"schema":"https://github.com/citation-style-language/schema/raw/master/csl-citation.json"} </w:instrText>
      </w:r>
      <w:r w:rsidR="00232649" w:rsidRPr="00123003">
        <w:rPr>
          <w:sz w:val="24"/>
          <w:szCs w:val="24"/>
          <w:lang w:val="en-US"/>
        </w:rPr>
        <w:fldChar w:fldCharType="separate"/>
      </w:r>
      <w:r w:rsidR="00F61B70" w:rsidRPr="00F61B70">
        <w:rPr>
          <w:rFonts w:ascii="Calibri" w:hAnsi="Calibri" w:cs="Calibri"/>
          <w:sz w:val="24"/>
          <w:lang w:val="en-US"/>
        </w:rPr>
        <w:t>(7,36)</w:t>
      </w:r>
      <w:r w:rsidR="00232649" w:rsidRPr="00123003">
        <w:rPr>
          <w:sz w:val="24"/>
          <w:szCs w:val="24"/>
          <w:lang w:val="en-US"/>
        </w:rPr>
        <w:fldChar w:fldCharType="end"/>
      </w:r>
      <w:r w:rsidR="00232649" w:rsidRPr="00123003">
        <w:rPr>
          <w:sz w:val="24"/>
          <w:szCs w:val="24"/>
          <w:lang w:val="en-US"/>
        </w:rPr>
        <w:t xml:space="preserve">. </w:t>
      </w:r>
      <w:r w:rsidR="007509CC" w:rsidRPr="00123003">
        <w:rPr>
          <w:sz w:val="24"/>
          <w:szCs w:val="24"/>
          <w:lang w:val="en-US"/>
        </w:rPr>
        <w:t>B</w:t>
      </w:r>
      <w:r w:rsidR="00F702E0" w:rsidRPr="00123003">
        <w:rPr>
          <w:sz w:val="24"/>
          <w:szCs w:val="24"/>
          <w:lang w:val="en-US"/>
        </w:rPr>
        <w:t xml:space="preserve">eyond </w:t>
      </w:r>
      <w:r w:rsidR="007509CC" w:rsidRPr="00123003">
        <w:rPr>
          <w:sz w:val="24"/>
          <w:szCs w:val="24"/>
          <w:lang w:val="en-US"/>
        </w:rPr>
        <w:t xml:space="preserve">the effect on </w:t>
      </w:r>
      <w:r w:rsidR="00F702E0" w:rsidRPr="00123003">
        <w:rPr>
          <w:sz w:val="24"/>
          <w:szCs w:val="24"/>
          <w:lang w:val="en-US"/>
        </w:rPr>
        <w:t>butyrate synthesis</w:t>
      </w:r>
      <w:r w:rsidR="007509CC" w:rsidRPr="00123003">
        <w:rPr>
          <w:sz w:val="24"/>
          <w:szCs w:val="24"/>
          <w:lang w:val="en-US"/>
        </w:rPr>
        <w:t>,</w:t>
      </w:r>
      <w:r w:rsidR="000D6B12" w:rsidRPr="00123003">
        <w:rPr>
          <w:sz w:val="24"/>
          <w:szCs w:val="24"/>
          <w:lang w:val="en-US"/>
        </w:rPr>
        <w:t xml:space="preserve"> recent </w:t>
      </w:r>
      <w:r w:rsidR="001C223A" w:rsidRPr="00123003">
        <w:rPr>
          <w:sz w:val="24"/>
          <w:szCs w:val="24"/>
          <w:lang w:val="en-US"/>
        </w:rPr>
        <w:t xml:space="preserve">experimental </w:t>
      </w:r>
      <w:r w:rsidR="000D6B12" w:rsidRPr="00123003">
        <w:rPr>
          <w:sz w:val="24"/>
          <w:szCs w:val="24"/>
          <w:lang w:val="en-US"/>
        </w:rPr>
        <w:t xml:space="preserve">studies </w:t>
      </w:r>
      <w:r w:rsidR="00F702E0" w:rsidRPr="00123003">
        <w:rPr>
          <w:sz w:val="24"/>
          <w:szCs w:val="24"/>
          <w:lang w:val="en-US"/>
        </w:rPr>
        <w:t xml:space="preserve">demonstrated </w:t>
      </w:r>
      <w:r w:rsidR="000D6B12" w:rsidRPr="00123003">
        <w:rPr>
          <w:sz w:val="24"/>
          <w:szCs w:val="24"/>
          <w:lang w:val="en-US"/>
        </w:rPr>
        <w:t xml:space="preserve">that low-fiber diets </w:t>
      </w:r>
      <w:r w:rsidR="00F702E0" w:rsidRPr="00123003">
        <w:rPr>
          <w:sz w:val="24"/>
          <w:szCs w:val="24"/>
          <w:lang w:val="en-US"/>
        </w:rPr>
        <w:t>stimulate the activity and growth of mucus-</w:t>
      </w:r>
      <w:r w:rsidR="00F702E0" w:rsidRPr="00123003">
        <w:rPr>
          <w:sz w:val="24"/>
          <w:szCs w:val="24"/>
          <w:lang w:val="en-US"/>
        </w:rPr>
        <w:lastRenderedPageBreak/>
        <w:t xml:space="preserve">degrading bacteria </w:t>
      </w:r>
      <w:r w:rsidR="00FC5734" w:rsidRPr="00123003">
        <w:rPr>
          <w:sz w:val="24"/>
          <w:szCs w:val="24"/>
          <w:lang w:val="en-US"/>
        </w:rPr>
        <w:t>(e.g.</w:t>
      </w:r>
      <w:r w:rsidR="0027519E" w:rsidRPr="00123003">
        <w:rPr>
          <w:sz w:val="24"/>
          <w:szCs w:val="24"/>
          <w:lang w:val="en-US"/>
        </w:rPr>
        <w:t>,</w:t>
      </w:r>
      <w:r w:rsidR="00FC5734" w:rsidRPr="00123003">
        <w:rPr>
          <w:sz w:val="24"/>
          <w:szCs w:val="24"/>
          <w:lang w:val="en-US"/>
        </w:rPr>
        <w:t xml:space="preserve"> </w:t>
      </w:r>
      <w:proofErr w:type="spellStart"/>
      <w:r w:rsidR="00FC5734" w:rsidRPr="00123003">
        <w:rPr>
          <w:i/>
          <w:sz w:val="24"/>
          <w:szCs w:val="24"/>
          <w:lang w:val="en-US"/>
        </w:rPr>
        <w:t>Akkermansia</w:t>
      </w:r>
      <w:proofErr w:type="spellEnd"/>
      <w:r w:rsidR="00FC5734" w:rsidRPr="00123003">
        <w:rPr>
          <w:i/>
          <w:sz w:val="24"/>
          <w:szCs w:val="24"/>
          <w:lang w:val="en-US"/>
        </w:rPr>
        <w:t xml:space="preserve"> </w:t>
      </w:r>
      <w:proofErr w:type="spellStart"/>
      <w:r w:rsidR="00FC5734" w:rsidRPr="00123003">
        <w:rPr>
          <w:i/>
          <w:sz w:val="24"/>
          <w:szCs w:val="24"/>
          <w:lang w:val="en-US"/>
        </w:rPr>
        <w:t>muciniphila</w:t>
      </w:r>
      <w:proofErr w:type="spellEnd"/>
      <w:r w:rsidR="00FC5734" w:rsidRPr="00123003">
        <w:rPr>
          <w:sz w:val="24"/>
          <w:szCs w:val="24"/>
          <w:lang w:val="en-US"/>
        </w:rPr>
        <w:t xml:space="preserve">) </w:t>
      </w:r>
      <w:r w:rsidR="000D6B12" w:rsidRPr="00123003">
        <w:rPr>
          <w:sz w:val="24"/>
          <w:szCs w:val="24"/>
          <w:lang w:val="en-US"/>
        </w:rPr>
        <w:t>leading</w:t>
      </w:r>
      <w:r w:rsidR="00692B05" w:rsidRPr="00123003">
        <w:rPr>
          <w:sz w:val="24"/>
          <w:szCs w:val="24"/>
          <w:lang w:val="en-US"/>
        </w:rPr>
        <w:t xml:space="preserve"> to an impaired </w:t>
      </w:r>
      <w:r w:rsidR="0013223B" w:rsidRPr="00123003">
        <w:rPr>
          <w:sz w:val="24"/>
          <w:szCs w:val="24"/>
          <w:lang w:val="en-US"/>
        </w:rPr>
        <w:t xml:space="preserve">intestinal </w:t>
      </w:r>
      <w:r w:rsidR="000D6B12" w:rsidRPr="00123003">
        <w:rPr>
          <w:sz w:val="24"/>
          <w:szCs w:val="24"/>
          <w:lang w:val="en-US"/>
        </w:rPr>
        <w:t>mucus barrier</w:t>
      </w:r>
      <w:r w:rsidR="00F702E0" w:rsidRPr="00123003">
        <w:rPr>
          <w:sz w:val="24"/>
          <w:szCs w:val="24"/>
          <w:lang w:val="en-US"/>
        </w:rPr>
        <w:t xml:space="preserve"> </w:t>
      </w:r>
      <w:r w:rsidR="00F702E0" w:rsidRPr="00123003">
        <w:rPr>
          <w:sz w:val="24"/>
          <w:szCs w:val="24"/>
          <w:lang w:val="en-US"/>
        </w:rPr>
        <w:fldChar w:fldCharType="begin"/>
      </w:r>
      <w:r w:rsidR="00F61B70">
        <w:rPr>
          <w:sz w:val="24"/>
          <w:szCs w:val="24"/>
          <w:lang w:val="en-US"/>
        </w:rPr>
        <w:instrText xml:space="preserve"> ADDIN ZOTERO_ITEM CSL_CITATION {"citationID":"0MlePc1A","properties":{"formattedCitation":"(37,38)","plainCitation":"(37,38)","noteIndex":0},"citationItems":[{"id":3139,"uris":["http://zotero.org/users/46719/items/E4JQMXSP"],"uri":["http://zotero.org/users/46719/items/E4JQMXSP"],"itemData":{"id":3139,"type":"article-journal","title":"A Dietary Fiber-Deprived Gut Microbiota Degrades the Colonic Mucus Barrier and Enhances Pathogen Susceptibility","container-title":"Cell","page":"1339-1353.e21","volume":"167","issue":"5","source":"PubMed","abstract":"Despite the accepted health benefits of consuming dietary fiber, little is known about the mechanisms by which fiber deprivation impacts the gut microbiota and alters disease risk. Using a gnotobiotic mouse model, in which animals were colonized with a synthetic human gut microbiota composed of fully sequenced commensal bacteria, we elucidated the functional interactions between dietary fiber, the gut microbiota, and the colonic mucus barrier, which serves as a primary defense against enteric pathogens. We show that during chronic or intermittent dietary fiber deficiency, the gut microbiota resorts to host-secreted mucus glycoproteins as a nutrient source, leading to erosion of the colonic mucus barrier. Dietary fiber deprivation, together with a fiber-deprived, mucus-eroding microbiota, promotes greater epithelial access and lethal colitis by the mucosal pathogen, Citrobacter rodentium. Our work reveals intricate pathways linking diet, the gut microbiome, and intestinal barrier dysfunction, which could be exploited to improve health using dietary therapeutics.","DOI":"10.1016/j.cell.2016.10.043","ISSN":"1097-4172","note":"PMID: 27863247","journalAbbreviation":"Cell","language":"ENG","author":[{"family":"Desai","given":"Mahesh S."},{"family":"Seekatz","given":"Anna M."},{"family":"Koropatkin","given":"Nicole M."},{"family":"Kamada","given":"Nobuhiko"},{"family":"Hickey","given":"Christina A."},{"family":"Wolter","given":"Mathis"},{"family":"Pudlo","given":"Nicholas A."},{"family":"Kitamoto","given":"Sho"},{"family":"Terrapon","given":"Nicolas"},{"family":"Muller","given":"Arnaud"},{"family":"Young","given":"Vincent B."},{"family":"Henrissat","given":"Bernard"},{"family":"Wilmes","given":"Paul"},{"family":"Stappenbeck","given":"Thaddeus S."},{"family":"Núñez","given":"Gabriel"},{"family":"Martens","given":"Eric C."}],"issued":{"date-parts":[["2016",11,17]]}}},{"id":3903,"uris":["http://zotero.org/users/46719/items/8GNREFZP"],"uri":["http://zotero.org/users/46719/items/8GNREFZP"],"itemData":{"id":3903,"type":"article-journal","title":"Bifidobacteria or Fiber Protects against Diet-Induced Microbiota-Mediated Colonic Mucus Deterioration","container-title":"Cell Host &amp; Microbe","page":"27-40.e7","volume":"23","issue":"1","source":"ScienceDirect","abstract":"Summary\nDiet strongly affects gut microbiota composition, and gut bacteria can influence the colonic mucus layer, a physical barrier that separates trillions of gut bacteria from the host. However, the interplay between a Western style diet (WSD), gut microbiota composition, and the intestinal mucus layer is less clear. Here we show that mice fed a WSD have an altered colonic microbiota composition that causes increased penetrability and a reduced growth rate of the inner mucus layer. Both barrier defects can be prevented by transplanting microbiota from chow-fed mice. In addition, we found that administration of Bifidobacterium longum was sufficient to restore mucus growth, whereas administration of the fiber inulin prevented increased mucus penetrability in WSD-fed mice. We hypothesize that the presence of distinct bacteria is crucial for proper mucus function. If confirmed in humans, these findings may help to better understand diseases with an affected mucus layer, such as ulcerative colitis.","DOI":"10.1016/j.chom.2017.11.004","ISSN":"1931-3128","journalAbbreviation":"Cell Host &amp; Microbe","author":[{"family":"Schroeder","given":"Bjoern O."},{"family":"Birchenough","given":"George M. H."},{"family":"Ståhlman","given":"Marcus"},{"family":"Arike","given":"Liisa"},{"family":"Johansson","given":"Malin E. V."},{"family":"Hansson","given":"Gunnar C."},{"family":"Bäckhed","given":"Fredrik"}],"issued":{"date-parts":[["2018",1,10]]}}}],"schema":"https://github.com/citation-style-language/schema/raw/master/csl-citation.json"} </w:instrText>
      </w:r>
      <w:r w:rsidR="00F702E0" w:rsidRPr="00123003">
        <w:rPr>
          <w:sz w:val="24"/>
          <w:szCs w:val="24"/>
          <w:lang w:val="en-US"/>
        </w:rPr>
        <w:fldChar w:fldCharType="separate"/>
      </w:r>
      <w:r w:rsidR="00F61B70" w:rsidRPr="00F61B70">
        <w:rPr>
          <w:rFonts w:ascii="Calibri" w:hAnsi="Calibri" w:cs="Calibri"/>
          <w:sz w:val="24"/>
          <w:lang w:val="en-US"/>
        </w:rPr>
        <w:t>(37,38)</w:t>
      </w:r>
      <w:r w:rsidR="00F702E0" w:rsidRPr="00123003">
        <w:rPr>
          <w:sz w:val="24"/>
          <w:szCs w:val="24"/>
          <w:lang w:val="en-US"/>
        </w:rPr>
        <w:fldChar w:fldCharType="end"/>
      </w:r>
      <w:r w:rsidR="00F702E0" w:rsidRPr="00123003">
        <w:rPr>
          <w:sz w:val="24"/>
          <w:szCs w:val="24"/>
          <w:lang w:val="en-US"/>
        </w:rPr>
        <w:t>.</w:t>
      </w:r>
      <w:r w:rsidR="009C6F7C" w:rsidRPr="00123003">
        <w:rPr>
          <w:sz w:val="24"/>
          <w:szCs w:val="24"/>
          <w:lang w:val="en-US"/>
        </w:rPr>
        <w:t xml:space="preserve"> </w:t>
      </w:r>
      <w:r w:rsidR="000C5087" w:rsidRPr="00123003">
        <w:rPr>
          <w:sz w:val="24"/>
          <w:szCs w:val="24"/>
          <w:lang w:val="en-US"/>
        </w:rPr>
        <w:t xml:space="preserve">Despite the large abundance of </w:t>
      </w:r>
      <w:proofErr w:type="spellStart"/>
      <w:r w:rsidR="000C5087" w:rsidRPr="00123003">
        <w:rPr>
          <w:i/>
          <w:sz w:val="24"/>
          <w:szCs w:val="24"/>
          <w:lang w:val="en-US"/>
        </w:rPr>
        <w:t>Verrucomicrobia</w:t>
      </w:r>
      <w:proofErr w:type="spellEnd"/>
      <w:r w:rsidR="00DC1C0F" w:rsidRPr="00123003">
        <w:rPr>
          <w:sz w:val="24"/>
          <w:szCs w:val="24"/>
          <w:lang w:val="en-US"/>
        </w:rPr>
        <w:t xml:space="preserve"> in the </w:t>
      </w:r>
      <w:proofErr w:type="gramStart"/>
      <w:r w:rsidR="00DC1C0F" w:rsidRPr="00123003">
        <w:rPr>
          <w:sz w:val="24"/>
          <w:szCs w:val="24"/>
          <w:lang w:val="en-US"/>
        </w:rPr>
        <w:t>AN</w:t>
      </w:r>
      <w:proofErr w:type="gramEnd"/>
      <w:r w:rsidR="00DC1C0F" w:rsidRPr="00123003">
        <w:rPr>
          <w:sz w:val="24"/>
          <w:szCs w:val="24"/>
          <w:lang w:val="en-US"/>
        </w:rPr>
        <w:t xml:space="preserve"> fecal microbiota</w:t>
      </w:r>
      <w:r w:rsidR="000C5087" w:rsidRPr="00123003">
        <w:rPr>
          <w:sz w:val="24"/>
          <w:szCs w:val="24"/>
          <w:lang w:val="en-US"/>
        </w:rPr>
        <w:t xml:space="preserve">, we did not detect significantly greater levels of </w:t>
      </w:r>
      <w:r w:rsidR="000C5087" w:rsidRPr="00123003">
        <w:rPr>
          <w:i/>
          <w:sz w:val="24"/>
          <w:szCs w:val="24"/>
          <w:lang w:val="en-US"/>
        </w:rPr>
        <w:t>Akkermansia</w:t>
      </w:r>
      <w:r w:rsidR="00DC1C0F" w:rsidRPr="00123003">
        <w:rPr>
          <w:sz w:val="24"/>
          <w:szCs w:val="24"/>
          <w:lang w:val="en-US"/>
        </w:rPr>
        <w:t xml:space="preserve"> compared to RA participants</w:t>
      </w:r>
      <w:r w:rsidR="000C5087" w:rsidRPr="00123003">
        <w:rPr>
          <w:sz w:val="24"/>
          <w:szCs w:val="24"/>
          <w:lang w:val="en-US"/>
        </w:rPr>
        <w:t xml:space="preserve"> (data not shown).</w:t>
      </w:r>
    </w:p>
    <w:p w:rsidR="006D330D" w:rsidRPr="00123003" w:rsidRDefault="000074B2" w:rsidP="00123003">
      <w:pPr>
        <w:spacing w:line="480" w:lineRule="auto"/>
        <w:jc w:val="both"/>
        <w:rPr>
          <w:sz w:val="24"/>
          <w:szCs w:val="24"/>
          <w:lang w:val="en-US"/>
        </w:rPr>
      </w:pPr>
      <w:r w:rsidRPr="00123003">
        <w:rPr>
          <w:sz w:val="24"/>
          <w:szCs w:val="24"/>
          <w:lang w:val="en-US"/>
        </w:rPr>
        <w:t xml:space="preserve">High levels of butyrate in the colon suppress intestinal tumor formation or inflammation in mice stimulated by high-fat or bile acid-supplemented diets </w:t>
      </w:r>
      <w:r w:rsidRPr="00123003">
        <w:rPr>
          <w:sz w:val="24"/>
          <w:szCs w:val="24"/>
          <w:lang w:val="en-US"/>
        </w:rPr>
        <w:fldChar w:fldCharType="begin"/>
      </w:r>
      <w:r w:rsidR="00F61B70">
        <w:rPr>
          <w:sz w:val="24"/>
          <w:szCs w:val="24"/>
          <w:lang w:val="en-US"/>
        </w:rPr>
        <w:instrText xml:space="preserve"> ADDIN ZOTERO_ITEM CSL_CITATION {"citationID":"a51vtlsi3j","properties":{"formattedCitation":"(32,39)","plainCitation":"(32,39)","noteIndex":0},"citationItems":[{"id":228,"uris":["http://zotero.org/users/46719/items/5CID4A4C"],"uri":["http://zotero.org/users/46719/items/5CID4A4C"],"itemData":{"id":228,"type":"article-journal","title":"High-fat-diet-mediated dysbiosis promotes intestinal carcinogenesis independently of obesity","container-title":"Nature","page":"508-512","volume":"514","issue":"7523","source":"PubMed","abstract":"Several features common to a Western lifestyle, including obesity and low levels of physical activity, are known risk factors for gastrointestinal cancers. There is substantial evidence suggesting that diet markedly affects the composition of the intestinal microbiota. Moreover, there is now unequivocal evidence linking dysbiosis to cancer development. However, the mechanisms by which high-fat diet (HFD)-mediated changes in the microbial community affect the severity of tumorigenesis in the gut remain to be determined. Here we demonstrate that an HFD promotes tumour progression in the small intestine of genetically susceptible, K-ras(G12Dint), mice independently of obesity. HFD consumption, in conjunction with K-ras mutation, mediated a shift in the composition of the gut microbiota, and this shift was associated with a decrease in Paneth-cell-mediated antimicrobial host defence that compromised dendritic cell recruitment and MHC class II molecule presentation in the gut-associated lymphoid tissues. When butyrate was administered to HFD-fed K-ras(G12Dint) mice, dendritic cell recruitment in the gut-associated lymphoid tissues was normalized, and tumour progression was attenuated. Importantly, deficiency in MYD88, a signalling adaptor for pattern recognition receptors and Toll-like receptors, blocked tumour progression. The transfer of faecal samples from HFD-fed mice with intestinal tumours to healthy adult K-ras(G12Dint) mice was sufficient to transmit disease in the absence of an HFD. Furthermore, treatment with antibiotics completely blocked HFD-induced tumour progression, suggesting that distinct shifts in the microbiota have a pivotal role in aggravating disease. Collectively, these data underscore the importance of the reciprocal interaction between host and environmental factors in selecting a microbiota that favours carcinogenesis, and they suggest that tumorigenesis is transmissible among genetically predisposed individuals.","DOI":"10.1038/nature13398","ISSN":"1476-4687","note":"PMID: 25174708\nPMCID: PMC4233209","journalAbbreviation":"Nature","language":"eng","author":[{"family":"Schulz","given":"Manon D."},{"family":"Atay","given":"Ciğdem"},{"family":"Heringer","given":"Jessica"},{"family":"Romrig","given":"Franziska K."},{"family":"Schwitalla","given":"Sarah"},{"family":"Aydin","given":"Begüm"},{"family":"Ziegler","given":"Paul K."},{"family":"Varga","given":"Julia"},{"family":"Reindl","given":"Wolfgang"},{"family":"Pommerenke","given":"Claudia"},{"family":"Salinas-Riester","given":"Gabriela"},{"family":"Böck","given":"Andreas"},{"family":"Alpert","given":"Carl"},{"family":"Blaut","given":"Michael"},{"family":"Polson","given":"Sara C."},{"family":"Brandl","given":"Lydia"},{"family":"Kirchner","given":"Thomas"},{"family":"Greten","given":"Florian R."},{"family":"Polson","given":"Shawn W."},{"family":"Arkan","given":"Melek C."}],"issued":{"date-parts":[["2014",10,23]]}}},{"id":3811,"uris":["http://zotero.org/users/46719/items/LY87GZAU"],"uri":["http://zotero.org/users/46719/items/LY87GZAU"],"itemData":{"id":3811,"type":"article-journal","title":"Hepatic inflammation caused by dysregulated bile acid synthesis is reversible by butyrate supplementation","container-title":"The Journal of Pathology","page":"431-441","volume":"243","issue":"4","source":"PubMed","abstract":"Dysregulated bile acid (BA) synthesis or reduced farnesoid X receptor (FXR) levels are found in patients having metabolic diseases, autoimmune hepatitis, and liver cirrhosis or cancer. The objective of this study was to establish the relationship between butyrate and dysregulated BA synthesis-induced hepatitis as well as the effect of butyrate in reversing the liver pathology. Wild-type (WT) and FXR knockout (KO) male mice were placed on a control (CD) or western diet (WD) for 15 months. In the presence or absence of butyrate supplementation, feces obtained from 15-month-old WD-fed FXR KO mice, which had severe hepatitis and liver tumors, were transplanted to 7-month-old WD-fed FXR KO for 3 months. Hepatic phenotypes, microbiota profile, and BA composition were analyzed. Butyrate-generating bacteria and colonic butyrate concentration were reduced due to FXR inactivation and further reduced by WD intake. In addition, WD-fed FXR KO male mice had the highest concentration of hepatic β-muricholic acid (β-MCA) and bacteria-generated deoxycholic acid (DCA) accompanied by serious hepatitis. Moreover, dysregulated BA and reduced SCFA signaling co-existed in both human liver cancers and WD-fed FXR KO mice. Microbiota transplantation using butyrate-deficient feces derived from 15-month-old WD-fed FXR KO mice increased hepatic lymphocyte numbers as well as hepatic β-MCA and DCA concentrations. Furthermore, butyrate supplementation reduced hepatic β-MCA as well as DCA and eliminated hepatic lymphocyte infiltration. In conclusion, reduced butyrate contributes to the development of hepatitis in the FXR KO mouse model. In addition, butyrate reverses dysregulated BA synthesis and its associated hepatitis. Copyright © 2017 Pathological Society of Great Britain and Ireland. Published by John Wiley &amp; Sons, Ltd.","DOI":"10.1002/path.4983","ISSN":"1096-9896","note":"PMID: 28892150","journalAbbreviation":"J. Pathol.","language":"eng","author":[{"family":"Sheng","given":"Lili"},{"family":"Jena","given":"Prasant Kumar"},{"family":"Hu","given":"Ying"},{"family":"Liu","given":"Hui-Xin"},{"family":"Nagar","given":"Nidhi"},{"family":"Kalanetra","given":"Karen M."},{"family":"French","given":"Samuel William"},{"family":"French","given":"Samuel Wheeler"},{"family":"Mills","given":"David A."},{"family":"Wan","given":"Yu-Jui Yvonne"}],"issued":{"date-parts":[["2017",12]]}}}],"schema":"https://github.com/citation-style-language/schema/raw/master/csl-citation.json"} </w:instrText>
      </w:r>
      <w:r w:rsidRPr="00123003">
        <w:rPr>
          <w:sz w:val="24"/>
          <w:szCs w:val="24"/>
          <w:lang w:val="en-US"/>
        </w:rPr>
        <w:fldChar w:fldCharType="separate"/>
      </w:r>
      <w:r w:rsidR="00F61B70" w:rsidRPr="00F61B70">
        <w:rPr>
          <w:rFonts w:ascii="Calibri" w:hAnsi="Calibri" w:cs="Calibri"/>
          <w:sz w:val="24"/>
          <w:lang w:val="en-US"/>
        </w:rPr>
        <w:t>(32,39)</w:t>
      </w:r>
      <w:r w:rsidRPr="00123003">
        <w:rPr>
          <w:sz w:val="24"/>
          <w:szCs w:val="24"/>
          <w:lang w:val="en-US"/>
        </w:rPr>
        <w:fldChar w:fldCharType="end"/>
      </w:r>
      <w:r w:rsidRPr="00123003">
        <w:rPr>
          <w:sz w:val="24"/>
          <w:szCs w:val="24"/>
          <w:lang w:val="en-US"/>
        </w:rPr>
        <w:t xml:space="preserve">. </w:t>
      </w:r>
      <w:r w:rsidR="00B56A70" w:rsidRPr="00123003">
        <w:rPr>
          <w:sz w:val="24"/>
          <w:szCs w:val="24"/>
          <w:lang w:val="en-US"/>
        </w:rPr>
        <w:t>Aggravating</w:t>
      </w:r>
      <w:r w:rsidR="00B60CF5" w:rsidRPr="00123003">
        <w:rPr>
          <w:sz w:val="24"/>
          <w:szCs w:val="24"/>
          <w:lang w:val="en-US"/>
        </w:rPr>
        <w:t xml:space="preserve"> the </w:t>
      </w:r>
      <w:r w:rsidR="00B56A70" w:rsidRPr="00123003">
        <w:rPr>
          <w:sz w:val="24"/>
          <w:szCs w:val="24"/>
          <w:lang w:val="en-US"/>
        </w:rPr>
        <w:t xml:space="preserve">effects of </w:t>
      </w:r>
      <w:r w:rsidR="00004F1B" w:rsidRPr="00123003">
        <w:rPr>
          <w:sz w:val="24"/>
          <w:szCs w:val="24"/>
          <w:lang w:val="en-US"/>
        </w:rPr>
        <w:t xml:space="preserve">low </w:t>
      </w:r>
      <w:r w:rsidR="00B60CF5" w:rsidRPr="00123003">
        <w:rPr>
          <w:sz w:val="24"/>
          <w:szCs w:val="24"/>
          <w:lang w:val="en-US"/>
        </w:rPr>
        <w:t>butyrate</w:t>
      </w:r>
      <w:r w:rsidR="00B56A70" w:rsidRPr="00123003">
        <w:rPr>
          <w:sz w:val="24"/>
          <w:szCs w:val="24"/>
          <w:lang w:val="en-US"/>
        </w:rPr>
        <w:t xml:space="preserve"> </w:t>
      </w:r>
      <w:r w:rsidR="009038A9" w:rsidRPr="00123003">
        <w:rPr>
          <w:sz w:val="24"/>
          <w:szCs w:val="24"/>
          <w:lang w:val="en-US"/>
        </w:rPr>
        <w:t xml:space="preserve">levels </w:t>
      </w:r>
      <w:r w:rsidR="00B56A70" w:rsidRPr="00123003">
        <w:rPr>
          <w:sz w:val="24"/>
          <w:szCs w:val="24"/>
          <w:lang w:val="en-US"/>
        </w:rPr>
        <w:t>with regard to CRC risk</w:t>
      </w:r>
      <w:r w:rsidR="00B60CF5" w:rsidRPr="00123003">
        <w:rPr>
          <w:sz w:val="24"/>
          <w:szCs w:val="24"/>
          <w:lang w:val="en-US"/>
        </w:rPr>
        <w:t>,</w:t>
      </w:r>
      <w:r w:rsidR="00B56A70" w:rsidRPr="00123003">
        <w:rPr>
          <w:sz w:val="24"/>
          <w:szCs w:val="24"/>
          <w:lang w:val="en-US"/>
        </w:rPr>
        <w:t xml:space="preserve"> </w:t>
      </w:r>
      <w:r w:rsidR="006E7E57" w:rsidRPr="00123003">
        <w:rPr>
          <w:sz w:val="24"/>
          <w:szCs w:val="24"/>
          <w:lang w:val="en-US"/>
        </w:rPr>
        <w:t>the</w:t>
      </w:r>
      <w:r w:rsidR="00B56A70" w:rsidRPr="00123003">
        <w:rPr>
          <w:sz w:val="24"/>
          <w:szCs w:val="24"/>
          <w:lang w:val="en-US"/>
        </w:rPr>
        <w:t xml:space="preserve"> high</w:t>
      </w:r>
      <w:r w:rsidR="006E7E57" w:rsidRPr="00123003">
        <w:rPr>
          <w:sz w:val="24"/>
          <w:szCs w:val="24"/>
          <w:lang w:val="en-US"/>
        </w:rPr>
        <w:t xml:space="preserve"> </w:t>
      </w:r>
      <w:r w:rsidR="00B56A70" w:rsidRPr="00123003">
        <w:rPr>
          <w:sz w:val="24"/>
          <w:szCs w:val="24"/>
          <w:lang w:val="en-US"/>
        </w:rPr>
        <w:t>fat diet</w:t>
      </w:r>
      <w:r w:rsidR="006E7E57" w:rsidRPr="00123003">
        <w:rPr>
          <w:sz w:val="24"/>
          <w:szCs w:val="24"/>
          <w:lang w:val="en-US"/>
        </w:rPr>
        <w:t xml:space="preserve"> of AN participants</w:t>
      </w:r>
      <w:r w:rsidR="00B56A70" w:rsidRPr="00123003">
        <w:rPr>
          <w:sz w:val="24"/>
          <w:szCs w:val="24"/>
          <w:lang w:val="en-US"/>
        </w:rPr>
        <w:t xml:space="preserve"> </w:t>
      </w:r>
      <w:r w:rsidR="00D33BE4" w:rsidRPr="00123003">
        <w:rPr>
          <w:sz w:val="24"/>
          <w:szCs w:val="24"/>
          <w:lang w:val="en-US"/>
        </w:rPr>
        <w:t>stimulated hepatic synthesis of bile acids and the</w:t>
      </w:r>
      <w:r w:rsidR="00DD17F0" w:rsidRPr="00123003">
        <w:rPr>
          <w:sz w:val="24"/>
          <w:szCs w:val="24"/>
          <w:lang w:val="en-US"/>
        </w:rPr>
        <w:t xml:space="preserve">ir delivery to the colon, where </w:t>
      </w:r>
      <w:r w:rsidR="00D33BE4" w:rsidRPr="00123003">
        <w:rPr>
          <w:sz w:val="24"/>
          <w:szCs w:val="24"/>
          <w:lang w:val="en-US"/>
        </w:rPr>
        <w:t>7α-dehydroxylating bacteria promote high levels of DCA</w:t>
      </w:r>
      <w:r w:rsidR="005440B4" w:rsidRPr="00123003">
        <w:rPr>
          <w:sz w:val="24"/>
          <w:szCs w:val="24"/>
          <w:lang w:val="en-US"/>
        </w:rPr>
        <w:t xml:space="preserve"> demonstrating</w:t>
      </w:r>
      <w:r w:rsidR="00D33BE4" w:rsidRPr="00123003">
        <w:rPr>
          <w:sz w:val="24"/>
          <w:szCs w:val="24"/>
          <w:lang w:val="en-US"/>
        </w:rPr>
        <w:t xml:space="preserve"> </w:t>
      </w:r>
      <w:r w:rsidR="00326AF3" w:rsidRPr="00123003">
        <w:rPr>
          <w:sz w:val="24"/>
          <w:szCs w:val="24"/>
          <w:lang w:val="en-US"/>
        </w:rPr>
        <w:t>tumor-promoting activity</w:t>
      </w:r>
      <w:r w:rsidR="009A7A9B" w:rsidRPr="00123003">
        <w:rPr>
          <w:sz w:val="24"/>
          <w:szCs w:val="24"/>
          <w:lang w:val="en-US"/>
        </w:rPr>
        <w:t xml:space="preserve"> </w:t>
      </w:r>
      <w:r w:rsidR="009A7A9B" w:rsidRPr="00123003">
        <w:rPr>
          <w:sz w:val="24"/>
          <w:szCs w:val="24"/>
          <w:lang w:val="en-US"/>
        </w:rPr>
        <w:fldChar w:fldCharType="begin"/>
      </w:r>
      <w:r w:rsidR="00F61B70">
        <w:rPr>
          <w:sz w:val="24"/>
          <w:szCs w:val="24"/>
          <w:lang w:val="en-US"/>
        </w:rPr>
        <w:instrText xml:space="preserve"> ADDIN ZOTERO_ITEM CSL_CITATION {"citationID":"a6c0bu1nck","properties":{"formattedCitation":"(40\\uc0\\u8211{}42)","plainCitation":"(40–42)","noteIndex":0},"citationItems":[{"id":3517,"uris":["http://zotero.org/users/46719/items/Z749RSPT"],"uri":["http://zotero.org/users/46719/items/Z749RSPT"],"itemData":{"id":3517,"type":"article-journal","title":"Promoting effect of bile acids on colon carcinogenesis after intrarectal instillation of N-methyl-N'-nitro-N-nitrosoguanidine in rats","container-title":"Journal of the National Cancer Institute","page":"1093-1097","volume":"53","issue":"4","source":"PubMed","ISSN":"0027-8874","note":"PMID: 4427390","journalAbbreviation":"J. Natl. Cancer Inst.","language":"eng","author":[{"family":"Narisawa","given":"T."},{"family":"Magadia","given":"N. E."},{"family":"Weisburger","given":"J. H."},{"family":"Wynder","given":"E. L."}],"issued":{"date-parts":[["1974",10]]}}},{"id":3474,"uris":["http://zotero.org/users/46719/items/CMA6I6ZM"],"uri":["http://zotero.org/users/46719/items/CMA6I6ZM"],"itemData":{"id":3474,"type":"article-journal","title":"Deoxycholic acid promotes the growth of colonic aberrant crypt foci","container-title":"Molecular Carcinogenesis","page":"60-70","volume":"46","issue":"1","source":"Wiley Online Library","abstract":"AKR/J mice are resistant to the tumorigenic properties of the colon carcinogen, azoxymethane (AOM). Following AOM exposure, limited numbers of preneoplastic lesions, referred to as aberrant crypt foci (ACF), are formed in the colon, and their progression to tumors rarely occurs. To determine whether genetic resistance can be overcome by exposure to a dietary tumor promoter, AOM-exposed AKR/J mice were fed a diet containing 0.25% deoxycholic acid (DCA). DCA exposure was begun 1 wk prior to or 1 wk after tumor initiation with AOM. Mice placed on the DCA diet prior to AOM treatment developed a significantly higher multiplicity of ACF compared to AOM-exposed mice fed a control diet (15.50 ± 0.96 vs. 6.17 ± 0.48, respectively; P &lt; 0.05). When DCA exposure was begun after AOM treatment (post-initiation), ACF formation was further enhanced (34.00 ± 1.22). Interestingly, increased numbers of ACF were associated with the presence of nuclear β-catenin, assessed by immunohistochemistry. While </w:instrText>
      </w:r>
      <w:r w:rsidR="00F61B70">
        <w:rPr>
          <w:rFonts w:ascii="Cambria Math" w:hAnsi="Cambria Math" w:cs="Cambria Math"/>
          <w:sz w:val="24"/>
          <w:szCs w:val="24"/>
          <w:lang w:val="en-US"/>
        </w:rPr>
        <w:instrText>∼</w:instrText>
      </w:r>
      <w:r w:rsidR="00F61B70">
        <w:rPr>
          <w:sz w:val="24"/>
          <w:szCs w:val="24"/>
          <w:lang w:val="en-US"/>
        </w:rPr>
        <w:instrText xml:space="preserve">33% of ACF from mice exposed to DCA prior to AOM treatment contained positive nuclear </w:instrText>
      </w:r>
      <w:r w:rsidR="00F61B70">
        <w:rPr>
          <w:rFonts w:ascii="Calibri" w:hAnsi="Calibri" w:cs="Calibri"/>
          <w:sz w:val="24"/>
          <w:szCs w:val="24"/>
          <w:lang w:val="en-US"/>
        </w:rPr>
        <w:instrText>β</w:instrText>
      </w:r>
      <w:r w:rsidR="00F61B70">
        <w:rPr>
          <w:sz w:val="24"/>
          <w:szCs w:val="24"/>
          <w:lang w:val="en-US"/>
        </w:rPr>
        <w:instrText xml:space="preserve">-catenin staining, </w:instrText>
      </w:r>
      <w:r w:rsidR="00F61B70">
        <w:rPr>
          <w:rFonts w:ascii="Cambria Math" w:hAnsi="Cambria Math" w:cs="Cambria Math"/>
          <w:sz w:val="24"/>
          <w:szCs w:val="24"/>
          <w:lang w:val="en-US"/>
        </w:rPr>
        <w:instrText>∼</w:instrText>
      </w:r>
      <w:r w:rsidR="00F61B70">
        <w:rPr>
          <w:sz w:val="24"/>
          <w:szCs w:val="24"/>
          <w:lang w:val="en-US"/>
        </w:rPr>
        <w:instrText xml:space="preserve">77% of ACF from mice fed DCA after AOM were positive. Accumulation of nuclear β-catenin was not associated with a loss of E-cadherin from the plasma membrane, although loss of APC staining was a consistent feature of most AOM-induced ACF, regardless of DCA exposure. These results demonstrate that exposure to DCA, an important digestive component, is sufficient to sensitize the resistant AKR/J colon to formation of high-grade dysplasia, and that nuclear translocation of β-catenin may play an important role in this process. © 2006 Wiley-Liss, Inc.","DOI":"10.1002/mc.20253","ISSN":"1098-2744","journalAbbreviation":"Mol. Carcinog.","language":"en","author":[{"family":"Flynn","given":"Christopher"},{"family":"Montrose","given":"David C."},{"family":"Swank","given":"Daniel L."},{"family":"Nakanishi","given":"Masako"},{"family":"Ilsley","given":"Jillian N.M."},{"family":"Rosenberg","given":"Daniel W."}],"issued":{"date-parts":[["2007",1,1]]}}},{"id":3490,"uris":["http://zotero.org/users/46719/items/P2NVCHWW"],"uri":["http://zotero.org/users/46719/items/P2NVCHWW"],"itemData":{"id":3490,"type":"article-journal","title":"Secondary bile acid-induced dysbiosis promotes intestinal carcinogenesis","container-title":"International Journal of Cancer","source":"PubMed","abstract":"The gut microbiota plays an important role in maintaining intestinal homeostasis. Dysbiosis is associated with intestinal tumorigenesis. Deoxycholic acid (DCA), a secondary bile acid increased by a western diet, correlates with intestinal carcinogenesis. However, evidence relating bile acids, intestinal microbiota and tumorigenesis are limited. In our study, we investigated the effect of DCA on induction of intestinal dysbiosis and its roles in intestinal carcinogenesis. Alteration of the composition of the intestinal microbiota was induced in DCA-treated APC(min/+) mice, which was accompanied by impaired intestinal barrier, gut low grade inflammation and tumor progression. The transfer of fecal microbiota from DCA-treated mice to another group of Apc(min/+) mice increased tumor multiplicity, induced inflammation and recruited M2 phenotype tumor-associated macrophages. Importantly, the fecal microbiota transplantation activated the tumor-associated Wnt/β-catenin signaling pathway. Moreover, microbiota depletion by a cocktail of antibiotics was sufficient to block DCA-induced intestinal carcinogenesis, further suggesting the role of dysbiosis in tumor development. Our study demonstrated that alteration of the microbial community induced by DCA promoted intestinal carcinogenesis.","DOI":"10.1002/ijc.30643","ISSN":"1097-0215","note":"PMID: 28187526","journalAbbreviation":"Int. J. Cancer","language":"eng","author":[{"family":"Cao","given":"Hailong"},{"family":"Xu","given":"Mengque"},{"family":"Dong","given":"Wenxiao"},{"family":"Deng","given":"Baoru"},{"family":"Wang","given":"Sinan"},{"family":"Zhang","given":"Yujie"},{"family":"Wang","given":"Shan"},{"family":"Luo","given":"Shenhui"},{"family":"Wang","given":"Weiqiang"},{"family":"Qi","given":"Yanrong"},{"family":"Gao","given":"Jianxin"},{"family":"Cao","given":"Xiaocang"},{"family":"Yan","given":"Fang"},{"family":"Wang","given":"Bangmao"}],"issued":{"date-parts":[["2017",2,10]]}}}],"schema":"https://github.com/citation-style-language/schema/raw/master/csl-citation.json"} </w:instrText>
      </w:r>
      <w:r w:rsidR="009A7A9B" w:rsidRPr="00123003">
        <w:rPr>
          <w:sz w:val="24"/>
          <w:szCs w:val="24"/>
          <w:lang w:val="en-US"/>
        </w:rPr>
        <w:fldChar w:fldCharType="separate"/>
      </w:r>
      <w:r w:rsidR="00F61B70" w:rsidRPr="00F61B70">
        <w:rPr>
          <w:rFonts w:ascii="Calibri" w:hAnsi="Calibri" w:cs="Calibri"/>
          <w:sz w:val="24"/>
          <w:szCs w:val="24"/>
        </w:rPr>
        <w:t>(40–42)</w:t>
      </w:r>
      <w:r w:rsidR="009A7A9B" w:rsidRPr="00123003">
        <w:rPr>
          <w:sz w:val="24"/>
          <w:szCs w:val="24"/>
          <w:lang w:val="en-US"/>
        </w:rPr>
        <w:fldChar w:fldCharType="end"/>
      </w:r>
      <w:r w:rsidR="00B56A70" w:rsidRPr="00123003">
        <w:rPr>
          <w:sz w:val="24"/>
          <w:szCs w:val="24"/>
          <w:lang w:val="en-US"/>
        </w:rPr>
        <w:t>.</w:t>
      </w:r>
      <w:r w:rsidR="00D33BE4" w:rsidRPr="00123003">
        <w:rPr>
          <w:sz w:val="24"/>
          <w:szCs w:val="24"/>
          <w:lang w:val="en-US"/>
        </w:rPr>
        <w:t xml:space="preserve"> The metabolic shift towards bile acid metabolism is </w:t>
      </w:r>
      <w:r w:rsidR="00EC1ADD" w:rsidRPr="00123003">
        <w:rPr>
          <w:sz w:val="24"/>
          <w:szCs w:val="24"/>
          <w:lang w:val="en-US"/>
        </w:rPr>
        <w:t xml:space="preserve">further </w:t>
      </w:r>
      <w:r w:rsidR="00D33BE4" w:rsidRPr="00123003">
        <w:rPr>
          <w:sz w:val="24"/>
          <w:szCs w:val="24"/>
          <w:lang w:val="en-US"/>
        </w:rPr>
        <w:t>supported by the high abundance of</w:t>
      </w:r>
      <w:r w:rsidR="00B60CF5" w:rsidRPr="00123003">
        <w:rPr>
          <w:sz w:val="24"/>
          <w:szCs w:val="24"/>
          <w:lang w:val="en-US"/>
        </w:rPr>
        <w:t xml:space="preserve"> </w:t>
      </w:r>
      <w:proofErr w:type="spellStart"/>
      <w:r w:rsidR="00F32C48" w:rsidRPr="00123003">
        <w:rPr>
          <w:i/>
          <w:sz w:val="24"/>
          <w:szCs w:val="24"/>
          <w:lang w:val="en-US"/>
        </w:rPr>
        <w:t>Blautia</w:t>
      </w:r>
      <w:proofErr w:type="spellEnd"/>
      <w:r w:rsidR="00F32C48" w:rsidRPr="00123003">
        <w:rPr>
          <w:sz w:val="24"/>
          <w:szCs w:val="24"/>
          <w:lang w:val="en-US"/>
        </w:rPr>
        <w:t xml:space="preserve"> and </w:t>
      </w:r>
      <w:proofErr w:type="spellStart"/>
      <w:r w:rsidR="00F32C48" w:rsidRPr="00123003">
        <w:rPr>
          <w:i/>
          <w:sz w:val="24"/>
          <w:szCs w:val="24"/>
          <w:lang w:val="en-US"/>
        </w:rPr>
        <w:t>Lachnoclostridium</w:t>
      </w:r>
      <w:proofErr w:type="spellEnd"/>
      <w:r w:rsidR="00EC1ADD" w:rsidRPr="00123003">
        <w:rPr>
          <w:sz w:val="24"/>
          <w:szCs w:val="24"/>
          <w:lang w:val="en-US"/>
        </w:rPr>
        <w:t xml:space="preserve"> in the </w:t>
      </w:r>
      <w:proofErr w:type="gramStart"/>
      <w:r w:rsidR="00EC1ADD" w:rsidRPr="00123003">
        <w:rPr>
          <w:sz w:val="24"/>
          <w:szCs w:val="24"/>
          <w:lang w:val="en-US"/>
        </w:rPr>
        <w:t>AN</w:t>
      </w:r>
      <w:proofErr w:type="gramEnd"/>
      <w:r w:rsidR="00EC1ADD" w:rsidRPr="00123003">
        <w:rPr>
          <w:sz w:val="24"/>
          <w:szCs w:val="24"/>
          <w:lang w:val="en-US"/>
        </w:rPr>
        <w:t xml:space="preserve"> gut microbiota</w:t>
      </w:r>
      <w:r w:rsidR="007D36C9" w:rsidRPr="00123003">
        <w:rPr>
          <w:sz w:val="24"/>
          <w:szCs w:val="24"/>
          <w:lang w:val="en-US"/>
        </w:rPr>
        <w:t>.</w:t>
      </w:r>
      <w:r w:rsidR="007509CC" w:rsidRPr="00123003">
        <w:rPr>
          <w:sz w:val="24"/>
          <w:szCs w:val="24"/>
          <w:lang w:val="en-US"/>
        </w:rPr>
        <w:t xml:space="preserve"> </w:t>
      </w:r>
      <w:r w:rsidR="007D36C9" w:rsidRPr="00123003">
        <w:rPr>
          <w:sz w:val="24"/>
          <w:szCs w:val="24"/>
          <w:lang w:val="en-US"/>
        </w:rPr>
        <w:t>B</w:t>
      </w:r>
      <w:r w:rsidR="00F32C48" w:rsidRPr="00123003">
        <w:rPr>
          <w:sz w:val="24"/>
          <w:szCs w:val="24"/>
          <w:lang w:val="en-US"/>
        </w:rPr>
        <w:t xml:space="preserve">oth </w:t>
      </w:r>
      <w:r w:rsidR="00F702E0" w:rsidRPr="00123003">
        <w:rPr>
          <w:sz w:val="24"/>
          <w:szCs w:val="24"/>
          <w:lang w:val="en-US"/>
        </w:rPr>
        <w:t>genera</w:t>
      </w:r>
      <w:r w:rsidR="007D36C9" w:rsidRPr="00123003">
        <w:rPr>
          <w:sz w:val="24"/>
          <w:szCs w:val="24"/>
          <w:lang w:val="en-US"/>
        </w:rPr>
        <w:t xml:space="preserve"> belong to the </w:t>
      </w:r>
      <w:r w:rsidR="007D36C9" w:rsidRPr="00123003">
        <w:rPr>
          <w:i/>
          <w:sz w:val="24"/>
          <w:szCs w:val="24"/>
          <w:lang w:val="en-US"/>
        </w:rPr>
        <w:t>Lachnospiraceae</w:t>
      </w:r>
      <w:r w:rsidR="007D36C9" w:rsidRPr="00123003">
        <w:rPr>
          <w:sz w:val="24"/>
          <w:szCs w:val="24"/>
          <w:lang w:val="en-US"/>
        </w:rPr>
        <w:t xml:space="preserve"> family that </w:t>
      </w:r>
      <w:r w:rsidR="007915FB" w:rsidRPr="00123003">
        <w:rPr>
          <w:sz w:val="24"/>
          <w:szCs w:val="24"/>
          <w:lang w:val="en-US"/>
        </w:rPr>
        <w:t>showed a</w:t>
      </w:r>
      <w:r w:rsidR="007D36C9" w:rsidRPr="00123003">
        <w:rPr>
          <w:sz w:val="24"/>
          <w:szCs w:val="24"/>
          <w:lang w:val="en-US"/>
        </w:rPr>
        <w:t xml:space="preserve"> </w:t>
      </w:r>
      <w:r w:rsidR="007915FB" w:rsidRPr="00123003">
        <w:rPr>
          <w:sz w:val="24"/>
          <w:szCs w:val="24"/>
          <w:lang w:val="en-US"/>
        </w:rPr>
        <w:t>positive</w:t>
      </w:r>
      <w:r w:rsidR="007D36C9" w:rsidRPr="00123003">
        <w:rPr>
          <w:sz w:val="24"/>
          <w:szCs w:val="24"/>
          <w:lang w:val="en-US"/>
        </w:rPr>
        <w:t xml:space="preserve"> </w:t>
      </w:r>
      <w:r w:rsidR="007915FB" w:rsidRPr="00123003">
        <w:rPr>
          <w:sz w:val="24"/>
          <w:szCs w:val="24"/>
          <w:lang w:val="en-US"/>
        </w:rPr>
        <w:t>association</w:t>
      </w:r>
      <w:r w:rsidR="007D36C9" w:rsidRPr="00123003">
        <w:rPr>
          <w:sz w:val="24"/>
          <w:szCs w:val="24"/>
          <w:lang w:val="en-US"/>
        </w:rPr>
        <w:t xml:space="preserve"> with secondary bile acids in murine cecum </w:t>
      </w:r>
      <w:r w:rsidR="007915FB" w:rsidRPr="00123003">
        <w:rPr>
          <w:sz w:val="24"/>
          <w:szCs w:val="24"/>
          <w:lang w:val="en-US"/>
        </w:rPr>
        <w:fldChar w:fldCharType="begin"/>
      </w:r>
      <w:r w:rsidR="00F61B70">
        <w:rPr>
          <w:sz w:val="24"/>
          <w:szCs w:val="24"/>
          <w:lang w:val="en-US"/>
        </w:rPr>
        <w:instrText xml:space="preserve"> ADDIN ZOTERO_ITEM CSL_CITATION {"citationID":"ac68733lb3","properties":{"formattedCitation":"(43)","plainCitation":"(43)","noteIndex":0},"citationItems":[{"id":4431,"uris":["http://zotero.org/users/46719/items/ZGRLBZEM"],"uri":["http://zotero.org/users/46719/items/ZGRLBZEM"],"itemData":{"id":4431,"type":"article-journal","title":"Antibiotic-Induced Alterations of the Gut Microbiota Alter Secondary Bile Acid Production and Allow for Clostridium difficile Spore Germination and Outgrowth in the Large Intestine","container-title":"mSphere","volume":"1","issue":"1","source":"PubMed Central","abstract":"Antibiotics alter the gastrointestinal microbiota, allowing for Clostridium difficile infection, which is a significant public health problem. Changes in the structure of the gut microbiota alter the metabolome, specifically the production of secondary bile acids. Specific bile acids are able to initiate C. difficile spore germination and also inhibit C. difficile growth in vitro, although no study to date has defined physiologically relevant bile acids in the gastrointestinal tract. In this study, we define the bile acids C. difficile spores encounter in the small and large intestines before and after various antibiotic treatments. Antibiotics that alter the gut microbiota and deplete secondary bile acid production allow C. difficile colonization, representing a mechanism of colonization resistance. Multiple secondary bile acids in the large intestine were able to inhibit C. difficile spore germination and growth at physiological concentrations and represent new targets to combat C. difficile in the large intestine., It is hypothesized that the depletion of microbial members responsible for converting primary bile acids into secondary bile acids reduces resistance to Clostridium difficile colonization. To date, inhibition of C. difficile growth by secondary bile acids has only been shown in vitro. Using targeted bile acid metabolomics, we sought to define the physiologically relevant concentrations of primary and secondary bile acids present in the murine small and large intestinal tracts and how these impact C. difficile dynamics. We treated mice with a variety of antibiotics to create distinct microbial and metabolic (bile acid) environments and directly tested their ability to support or inhibit C. difficile spore germination and outgrowth ex vivo. Susceptibility to C. difficile in the large intestine was observed only after specific broad-spectrum antibiotic treatment (cefoperazone, clindamycin, and vancomycin) and was accompanied by a significant loss of secondary bile acids (deoxycholate, lithocholate, ursodeoxycholate, hyodeoxycholate, and ω-muricholate). These changes were correlated to the loss of specific microbiota community members, the Lachnospiraceae and Ruminococcaceae families. Additionally, physiological concentrations of secondary bile acids present during C. difficile resistance were able to inhibit spore germination and outgrowth in vitro. Interestingly, we observed that C. difficile spore germination and outgrowth were supported constantly in murine small intestinal content regardless of antibiotic perturbation, suggesting that targeting growth of C. difficile will prove most important for future therapeutics and that antibiotic-related changes are organ specific. Understanding how the gut microbiota regulates bile acids throughout the intestine will aid the development of future therapies for C. difficile infection and other metabolically relevant disorders such as obesity and diabetes., IMPORTANCE Antibiotics alter the gastrointestinal microbiota, allowing for Clostridium difficile infection, which is a significant public health problem. Changes in the structure of the gut microbiota alter the metabolome, specifically the production of secondary bile acids. Specific bile acids are able to initiate C. difficile spore germination and also inhibit C. difficile growth in vitro, although no study to date has defined physiologically relevant bile acids in the gastrointestinal tract. In this study, we define the bile acids C. difficile spores encounter in the small and large intestines before and after various antibiotic treatments. Antibiotics that alter the gut microbiota and deplete secondary bile acid production allow C. difficile colonization, representing a mechanism of colonization resistance. Multiple secondary bile acids in the large intestine were able to inhibit C. difficile spore germination and growth at physiological concentrations and represent new targets to combat C. difficile in the large intestine.","URL":"https://www.ncbi.nlm.nih.gov/pmc/articles/PMC4863611/","DOI":"10.1128/mSphere.00045-15","ISSN":"2379-5042","note":"PMID: 27239562\nPMCID: PMC4863611","journalAbbreviation":"mSphere","author":[{"family":"Theriot","given":"Casey M."},{"family":"Bowman","given":"Alison A."},{"family":"Young","given":"Vincent B."}],"issued":{"date-parts":[["2016",1,6]]},"accessed":{"date-parts":[["2019",6,6]]}}}],"schema":"https://github.com/citation-style-language/schema/raw/master/csl-citation.json"} </w:instrText>
      </w:r>
      <w:r w:rsidR="007915FB" w:rsidRPr="00123003">
        <w:rPr>
          <w:sz w:val="24"/>
          <w:szCs w:val="24"/>
          <w:lang w:val="en-US"/>
        </w:rPr>
        <w:fldChar w:fldCharType="separate"/>
      </w:r>
      <w:r w:rsidR="00F61B70" w:rsidRPr="00F61B70">
        <w:rPr>
          <w:rFonts w:ascii="Calibri" w:hAnsi="Calibri" w:cs="Calibri"/>
          <w:sz w:val="24"/>
          <w:lang w:val="en-US"/>
        </w:rPr>
        <w:t>(43)</w:t>
      </w:r>
      <w:r w:rsidR="007915FB" w:rsidRPr="00123003">
        <w:rPr>
          <w:sz w:val="24"/>
          <w:szCs w:val="24"/>
          <w:lang w:val="en-US"/>
        </w:rPr>
        <w:fldChar w:fldCharType="end"/>
      </w:r>
      <w:r w:rsidR="007D36C9" w:rsidRPr="00123003">
        <w:rPr>
          <w:sz w:val="24"/>
          <w:szCs w:val="24"/>
          <w:lang w:val="en-US"/>
        </w:rPr>
        <w:t>. They</w:t>
      </w:r>
      <w:r w:rsidR="00F702E0" w:rsidRPr="00123003">
        <w:rPr>
          <w:sz w:val="24"/>
          <w:szCs w:val="24"/>
          <w:lang w:val="en-US"/>
        </w:rPr>
        <w:t xml:space="preserve"> cover</w:t>
      </w:r>
      <w:r w:rsidR="00F32C48" w:rsidRPr="00123003">
        <w:rPr>
          <w:sz w:val="24"/>
          <w:szCs w:val="24"/>
          <w:lang w:val="en-US"/>
        </w:rPr>
        <w:t xml:space="preserve"> </w:t>
      </w:r>
      <w:r w:rsidR="008216AA" w:rsidRPr="00123003">
        <w:rPr>
          <w:sz w:val="24"/>
          <w:szCs w:val="24"/>
          <w:lang w:val="en-US"/>
        </w:rPr>
        <w:t xml:space="preserve">species </w:t>
      </w:r>
      <w:r w:rsidR="00183DB8" w:rsidRPr="00123003">
        <w:rPr>
          <w:sz w:val="24"/>
          <w:szCs w:val="24"/>
          <w:lang w:val="en-US"/>
        </w:rPr>
        <w:t>comprising of</w:t>
      </w:r>
      <w:r w:rsidR="00F32C48" w:rsidRPr="00123003">
        <w:rPr>
          <w:sz w:val="24"/>
          <w:szCs w:val="24"/>
          <w:lang w:val="en-US"/>
        </w:rPr>
        <w:t xml:space="preserve"> or closely linked to 7</w:t>
      </w:r>
      <w:r w:rsidR="003D7954" w:rsidRPr="00123003">
        <w:rPr>
          <w:sz w:val="24"/>
          <w:szCs w:val="24"/>
          <w:lang w:val="en-US"/>
        </w:rPr>
        <w:t>α</w:t>
      </w:r>
      <w:r w:rsidR="00F32C48" w:rsidRPr="00123003">
        <w:rPr>
          <w:sz w:val="24"/>
          <w:szCs w:val="24"/>
          <w:lang w:val="en-US"/>
        </w:rPr>
        <w:t>-dehydroxylating bacteria</w:t>
      </w:r>
      <w:r w:rsidR="007D36C9" w:rsidRPr="00123003">
        <w:rPr>
          <w:sz w:val="24"/>
          <w:szCs w:val="24"/>
          <w:lang w:val="en-US"/>
        </w:rPr>
        <w:t xml:space="preserve"> of the </w:t>
      </w:r>
      <w:r w:rsidR="007D36C9" w:rsidRPr="00123003">
        <w:rPr>
          <w:i/>
          <w:sz w:val="24"/>
          <w:szCs w:val="24"/>
          <w:lang w:val="en-US"/>
        </w:rPr>
        <w:t>Clostridium</w:t>
      </w:r>
      <w:r w:rsidR="007D36C9" w:rsidRPr="00123003">
        <w:rPr>
          <w:sz w:val="24"/>
          <w:szCs w:val="24"/>
          <w:lang w:val="en-US"/>
        </w:rPr>
        <w:t xml:space="preserve"> genus,</w:t>
      </w:r>
      <w:r w:rsidR="00F32C48" w:rsidRPr="00123003">
        <w:rPr>
          <w:sz w:val="24"/>
          <w:szCs w:val="24"/>
          <w:lang w:val="en-US"/>
        </w:rPr>
        <w:t xml:space="preserve"> </w:t>
      </w:r>
      <w:r w:rsidR="00A4436F" w:rsidRPr="00123003">
        <w:rPr>
          <w:sz w:val="24"/>
          <w:szCs w:val="24"/>
          <w:lang w:val="en-US"/>
        </w:rPr>
        <w:t xml:space="preserve">such as </w:t>
      </w:r>
      <w:r w:rsidR="00A4436F" w:rsidRPr="00123003">
        <w:rPr>
          <w:i/>
          <w:sz w:val="24"/>
          <w:szCs w:val="24"/>
          <w:lang w:val="en-US"/>
        </w:rPr>
        <w:t xml:space="preserve">Clostridium </w:t>
      </w:r>
      <w:proofErr w:type="spellStart"/>
      <w:r w:rsidR="00A4436F" w:rsidRPr="00123003">
        <w:rPr>
          <w:i/>
          <w:sz w:val="24"/>
          <w:szCs w:val="24"/>
          <w:lang w:val="en-US"/>
        </w:rPr>
        <w:t>scindens</w:t>
      </w:r>
      <w:proofErr w:type="spellEnd"/>
      <w:r w:rsidR="00F32C48" w:rsidRPr="00123003">
        <w:rPr>
          <w:sz w:val="24"/>
          <w:szCs w:val="24"/>
          <w:lang w:val="en-US"/>
        </w:rPr>
        <w:t xml:space="preserve">, </w:t>
      </w:r>
      <w:r w:rsidR="008216AA" w:rsidRPr="00123003">
        <w:rPr>
          <w:sz w:val="24"/>
          <w:szCs w:val="24"/>
          <w:lang w:val="en-US"/>
        </w:rPr>
        <w:t>that</w:t>
      </w:r>
      <w:r w:rsidR="00F32C48" w:rsidRPr="00123003">
        <w:rPr>
          <w:sz w:val="24"/>
          <w:szCs w:val="24"/>
          <w:lang w:val="en-US"/>
        </w:rPr>
        <w:t xml:space="preserve"> mediate the conversion of bile acids to </w:t>
      </w:r>
      <w:r w:rsidR="001122E2" w:rsidRPr="00123003">
        <w:rPr>
          <w:sz w:val="24"/>
          <w:szCs w:val="24"/>
          <w:lang w:val="en-US"/>
        </w:rPr>
        <w:t>DCA</w:t>
      </w:r>
      <w:r w:rsidR="00E31623" w:rsidRPr="00123003">
        <w:rPr>
          <w:sz w:val="24"/>
          <w:szCs w:val="24"/>
          <w:lang w:val="en-US"/>
        </w:rPr>
        <w:t xml:space="preserve"> </w:t>
      </w:r>
      <w:r w:rsidR="00E31623" w:rsidRPr="00123003">
        <w:rPr>
          <w:sz w:val="24"/>
          <w:szCs w:val="24"/>
          <w:lang w:val="en-US"/>
        </w:rPr>
        <w:fldChar w:fldCharType="begin"/>
      </w:r>
      <w:r w:rsidR="00F61B70">
        <w:rPr>
          <w:sz w:val="24"/>
          <w:szCs w:val="24"/>
          <w:lang w:val="en-US"/>
        </w:rPr>
        <w:instrText xml:space="preserve"> ADDIN ZOTERO_ITEM CSL_CITATION {"citationID":"a1poiss7ohf","properties":{"formattedCitation":"(44)","plainCitation":"(44)","noteIndex":0},"citationItems":[{"id":3459,"uris":["http://zotero.org/users/46719/items/82MNWKHF"],"uri":["http://zotero.org/users/46719/items/82MNWKHF"],"itemData":{"id":3459,"type":"article-journal","title":"Consequences of bile salt biotransformations by intestinal bacteria","container-title":"Gut Microbes","page":"22-39","volume":"7","issue":"1","source":"PubMed","abstract":"Emerging evidence strongly suggest that the human \"microbiome\" plays an important role in both health and disease. Bile acids function both as detergents molecules promoting nutrient absorption in the intestines and as hormones regulating nutrient metabolism. Bile acids regulate metabolism via activation of specific nuclear receptors (NR) and G-protein coupled receptors (GPCRs). The circulating bile acid pool composition consists of primary bile acids produced from cholesterol in the liver, and secondary bile acids formed by specific gut bacteria. The various biotransformation of bile acids carried out by gut bacteria appear to regulate the structure of the gut microbiome and host physiology. Increased levels of secondary bile acids are associated with specific diseases of the GI system. Elucidating methods to control the gut microbiome and bile acid pool composition in humans may lead to a reduction in some of the major diseases of the liver, gall bladder and colon.","DOI":"10.1080/19490976.2015.1127483","ISSN":"1949-0984","note":"PMID: 26939849\nPMCID: PMC4856454","journalAbbreviation":"Gut Microbes","language":"eng","author":[{"family":"Ridlon","given":"Jason M."},{"family":"Harris","given":"Spencer C."},{"family":"Bhowmik","given":"Shiva"},{"family":"Kang","given":"Dae-Joong"},{"family":"Hylemon","given":"Phillip B."}],"issued":{"date-parts":[["2016"]]}}}],"schema":"https://github.com/citation-style-language/schema/raw/master/csl-citation.json"} </w:instrText>
      </w:r>
      <w:r w:rsidR="00E31623" w:rsidRPr="00123003">
        <w:rPr>
          <w:sz w:val="24"/>
          <w:szCs w:val="24"/>
          <w:lang w:val="en-US"/>
        </w:rPr>
        <w:fldChar w:fldCharType="separate"/>
      </w:r>
      <w:r w:rsidR="00F61B70" w:rsidRPr="00F61B70">
        <w:rPr>
          <w:rFonts w:ascii="Calibri" w:hAnsi="Calibri" w:cs="Calibri"/>
          <w:sz w:val="24"/>
          <w:lang w:val="en-US"/>
        </w:rPr>
        <w:t>(44)</w:t>
      </w:r>
      <w:r w:rsidR="00E31623" w:rsidRPr="00123003">
        <w:rPr>
          <w:sz w:val="24"/>
          <w:szCs w:val="24"/>
          <w:lang w:val="en-US"/>
        </w:rPr>
        <w:fldChar w:fldCharType="end"/>
      </w:r>
      <w:r w:rsidR="00A4436F" w:rsidRPr="00123003">
        <w:rPr>
          <w:sz w:val="24"/>
          <w:szCs w:val="24"/>
          <w:lang w:val="en-US"/>
        </w:rPr>
        <w:t>.</w:t>
      </w:r>
      <w:r w:rsidR="00DD0115" w:rsidRPr="00123003">
        <w:rPr>
          <w:sz w:val="24"/>
          <w:szCs w:val="24"/>
          <w:lang w:val="en-US"/>
        </w:rPr>
        <w:t xml:space="preserve"> </w:t>
      </w:r>
      <w:r w:rsidR="008216AA" w:rsidRPr="00123003">
        <w:rPr>
          <w:sz w:val="24"/>
          <w:szCs w:val="24"/>
          <w:lang w:val="en-US"/>
        </w:rPr>
        <w:t xml:space="preserve">The high abundance of </w:t>
      </w:r>
      <w:proofErr w:type="spellStart"/>
      <w:r w:rsidR="008216AA" w:rsidRPr="00123003">
        <w:rPr>
          <w:i/>
          <w:sz w:val="24"/>
          <w:szCs w:val="24"/>
          <w:lang w:val="en-US"/>
        </w:rPr>
        <w:t>Blautia</w:t>
      </w:r>
      <w:proofErr w:type="spellEnd"/>
      <w:r w:rsidR="008216AA" w:rsidRPr="00123003">
        <w:rPr>
          <w:sz w:val="24"/>
          <w:szCs w:val="24"/>
          <w:lang w:val="en-US"/>
        </w:rPr>
        <w:t xml:space="preserve"> in the AN fecal microbiota </w:t>
      </w:r>
      <w:r w:rsidR="00496207" w:rsidRPr="00123003">
        <w:rPr>
          <w:sz w:val="24"/>
          <w:szCs w:val="24"/>
          <w:lang w:val="en-US"/>
        </w:rPr>
        <w:t>confirms e</w:t>
      </w:r>
      <w:r w:rsidR="007E0A32" w:rsidRPr="00123003">
        <w:rPr>
          <w:sz w:val="24"/>
          <w:szCs w:val="24"/>
          <w:lang w:val="en-US"/>
        </w:rPr>
        <w:t>xperimental s</w:t>
      </w:r>
      <w:r w:rsidR="008216AA" w:rsidRPr="00123003">
        <w:rPr>
          <w:sz w:val="24"/>
          <w:szCs w:val="24"/>
          <w:lang w:val="en-US"/>
        </w:rPr>
        <w:t xml:space="preserve">tudies </w:t>
      </w:r>
      <w:r w:rsidR="00496207" w:rsidRPr="00123003">
        <w:rPr>
          <w:sz w:val="24"/>
          <w:szCs w:val="24"/>
          <w:lang w:val="en-US"/>
        </w:rPr>
        <w:t xml:space="preserve">that </w:t>
      </w:r>
      <w:r w:rsidR="00904178" w:rsidRPr="00123003">
        <w:rPr>
          <w:sz w:val="24"/>
          <w:szCs w:val="24"/>
          <w:lang w:val="en-US"/>
        </w:rPr>
        <w:t>demonstrated</w:t>
      </w:r>
      <w:r w:rsidR="00725639" w:rsidRPr="00123003">
        <w:rPr>
          <w:sz w:val="24"/>
          <w:szCs w:val="24"/>
          <w:lang w:val="en-US"/>
        </w:rPr>
        <w:t xml:space="preserve"> an expansion of </w:t>
      </w:r>
      <w:proofErr w:type="spellStart"/>
      <w:r w:rsidR="00725639" w:rsidRPr="00123003">
        <w:rPr>
          <w:i/>
          <w:sz w:val="24"/>
          <w:szCs w:val="24"/>
          <w:lang w:val="en-US"/>
        </w:rPr>
        <w:t>Blautia</w:t>
      </w:r>
      <w:proofErr w:type="spellEnd"/>
      <w:r w:rsidR="00904178" w:rsidRPr="00123003">
        <w:rPr>
          <w:sz w:val="24"/>
          <w:szCs w:val="24"/>
          <w:lang w:val="en-US"/>
        </w:rPr>
        <w:t xml:space="preserve"> and 7α-dehydroxylating bacteria when </w:t>
      </w:r>
      <w:proofErr w:type="spellStart"/>
      <w:r w:rsidR="00904178" w:rsidRPr="00123003">
        <w:rPr>
          <w:sz w:val="24"/>
          <w:szCs w:val="24"/>
          <w:lang w:val="en-US"/>
        </w:rPr>
        <w:t>cholic</w:t>
      </w:r>
      <w:proofErr w:type="spellEnd"/>
      <w:r w:rsidR="00904178" w:rsidRPr="00123003">
        <w:rPr>
          <w:sz w:val="24"/>
          <w:szCs w:val="24"/>
          <w:lang w:val="en-US"/>
        </w:rPr>
        <w:t xml:space="preserve"> acid was added to the diet of rodents </w:t>
      </w:r>
      <w:r w:rsidR="00904178" w:rsidRPr="00123003">
        <w:rPr>
          <w:sz w:val="24"/>
          <w:szCs w:val="24"/>
          <w:lang w:val="en-US"/>
        </w:rPr>
        <w:fldChar w:fldCharType="begin"/>
      </w:r>
      <w:r w:rsidR="00F61B70">
        <w:rPr>
          <w:sz w:val="24"/>
          <w:szCs w:val="24"/>
          <w:lang w:val="en-US"/>
        </w:rPr>
        <w:instrText xml:space="preserve"> ADDIN ZOTERO_ITEM CSL_CITATION {"citationID":"Xk3JuJSU","properties":{"unsorted":true,"formattedCitation":"(45,46)","plainCitation":"(45,46)","noteIndex":0},"citationItems":[{"id":3488,"uris":["http://zotero.org/users/46719/items/MCK8UFI6"],"uri":["http://zotero.org/users/46719/items/MCK8UFI6"],"itemData":{"id":3488,"type":"article-journal","title":"Bile acid is a host factor that regulates the composition of the cecal microbiota in rats","container-title":"Gastroenterology","page":"1773-1781","volume":"141","issue":"5","source":"PubMed","abstract":"BACKGROUND &amp; AIMS: Alterations in the gastrointestinal microbiota have been associated with metabolic diseases. However, little is known about host factors that induce changes in gastrointestinal bacterial populations. We investigated the role of bile acids in this process because of their strong antimicrobial activities, specifically the effects of cholic acid administration on the composition of the gut microbiota in a rat model.\nMETHODS: Rats were fed diets supplemented with different concentrations of cholic acid for 10 days. We used 16S ribosomal RNA gene clone library sequencing and fluorescence in situ hybridization to characterize the composition of the cecal microbiota of the different diet groups. Bile acids in feces, organic acids in cecal contents, and some blood parameters were also analyzed.\nRESULTS: Administration of cholic acid induced phylum-level alterations in the composition of the gut microbiota; Firmicutes predominated at the expense of Bacteroidetes. Cholic acid feeding simplified the composition of the microbiota, with outgrowth of several bacteria in the classes Clostridia and Erysipelotrichi. Externally administered cholic acid was efficiently transformed into deoxycholic acid by a bacterial 7α-dehydroxylation reaction. Serum levels of adiponectin decreased significantly in rats given the cholic acid diet.\nCONCLUSIONS: Cholic acid regulates the composition of gut microbiota in rats, inducing similar changes to those induced by high-fat diets. These findings improve our understanding of the relationship between metabolic diseases and the composition of the gastrointestinal microbiota.","DOI":"10.1053/j.gastro.2011.07.046","ISSN":"1528-0012","note":"PMID: 21839040","journalAbbreviation":"Gastroenterology","language":"eng","author":[{"family":"Islam","given":"K. B. M. Saiful"},{"family":"Fukiya","given":"Satoru"},{"family":"Hagio","given":"Masahito"},{"family":"Fujii","given":"Nobuyuki"},{"family":"Ishizuka","given":"Satoshi"},{"family":"Ooka","given":"Tadasuke"},{"family":"Ogura","given":"Yoshitoshi"},{"family":"Hayashi","given":"Tetsuya"},{"family":"Yokota","given":"Atsushi"}],"issued":{"date-parts":[["2011",11]]}}},{"id":3613,"uris":["http://zotero.org/users/46719/items/E9GXVUFK"],"uri":["http://zotero.org/users/46719/items/E9GXVUFK"],"itemData":{"id":3613,"type":"article-journal","title":"Cirrhosis, bile acids and gut microbiota","container-title":"Gut Microbes","page":"382-387","volume":"4","issue":"5","source":"PubMed Central","abstract":"A picture is now starting to emerge regarding the liver-bile acid-microbiome axis. Increasing levels of the primary bile acid cholic acid (CA) causes a dramatic shift toward the Firmicutes, particularly Clostridium cluster XIVa and increasing production of the harmful secondary bile acid deoxycholic acid (DCA). During progression of cirrhosis, the microbiome, both through their metabolism, cell wall components (LPS) and translocation lead to inflammation. Inflammation suppresses synthesis of bile acids in the liver leading to a positive-feedback mechanism. Decrease in bile acids entering the intestines appears to favor overgrowth of pathogenic and pro-inflammatory members of the microbiome including Porphyromonadaceae and Enterobacteriaceae. Decreasing bile acid concentration in the colon in cirrhosis is also associated with decreases in Clostridium cluster XIVa, which includes bile acid 7α-dehydroxylating bacteria which produce DCA. Rifaximin treatment appears to act by suppressing DCA production, reducing endotoxemia and harmful metabolites without significantly altering microbiome structure. Taken together, the bile acid pool size and composition appear to be a major regulator of microbiome structure, which in turn appears to be an important regulator of bile acid pool size and composition. The balance between this equilibrium is critical for human health and disease.","DOI":"10.4161/gmic.25723","ISSN":"1949-0976","note":"PMID: 23851335\nPMCID: PMC3839982","journalAbbreviation":"Gut Microbes","author":[{"family":"Ridlon","given":"Jason M"},{"family":"Alves","given":"Joao Marcelo"},{"family":"Hylemon","given":"Phillip B"},{"family":"Bajaj","given":"Jasmohan S"}],"issued":{"date-parts":[["2013",9,1]]}}}],"schema":"https://github.com/citation-style-language/schema/raw/master/csl-citation.json"} </w:instrText>
      </w:r>
      <w:r w:rsidR="00904178" w:rsidRPr="00123003">
        <w:rPr>
          <w:sz w:val="24"/>
          <w:szCs w:val="24"/>
          <w:lang w:val="en-US"/>
        </w:rPr>
        <w:fldChar w:fldCharType="separate"/>
      </w:r>
      <w:r w:rsidR="00F61B70" w:rsidRPr="00F61B70">
        <w:rPr>
          <w:rFonts w:ascii="Calibri" w:hAnsi="Calibri" w:cs="Calibri"/>
          <w:sz w:val="24"/>
          <w:lang w:val="en-US"/>
        </w:rPr>
        <w:t>(45,46)</w:t>
      </w:r>
      <w:r w:rsidR="00904178" w:rsidRPr="00123003">
        <w:rPr>
          <w:sz w:val="24"/>
          <w:szCs w:val="24"/>
          <w:lang w:val="en-US"/>
        </w:rPr>
        <w:fldChar w:fldCharType="end"/>
      </w:r>
      <w:r w:rsidR="007915FB" w:rsidRPr="00123003">
        <w:rPr>
          <w:sz w:val="24"/>
          <w:szCs w:val="24"/>
          <w:lang w:val="en-US"/>
        </w:rPr>
        <w:t>. L</w:t>
      </w:r>
      <w:r w:rsidR="00904178" w:rsidRPr="00123003">
        <w:rPr>
          <w:sz w:val="24"/>
          <w:szCs w:val="24"/>
          <w:lang w:val="en-US"/>
        </w:rPr>
        <w:t xml:space="preserve">ower levels of </w:t>
      </w:r>
      <w:proofErr w:type="spellStart"/>
      <w:r w:rsidR="00904178" w:rsidRPr="00123003">
        <w:rPr>
          <w:sz w:val="24"/>
          <w:szCs w:val="24"/>
          <w:lang w:val="en-US"/>
        </w:rPr>
        <w:t>cholic</w:t>
      </w:r>
      <w:proofErr w:type="spellEnd"/>
      <w:r w:rsidR="00904178" w:rsidRPr="00123003">
        <w:rPr>
          <w:sz w:val="24"/>
          <w:szCs w:val="24"/>
          <w:lang w:val="en-US"/>
        </w:rPr>
        <w:t xml:space="preserve"> acid correlated with fewer numbers of </w:t>
      </w:r>
      <w:proofErr w:type="spellStart"/>
      <w:r w:rsidR="007E0A32" w:rsidRPr="00123003">
        <w:rPr>
          <w:i/>
          <w:sz w:val="24"/>
          <w:szCs w:val="24"/>
          <w:lang w:val="en-US"/>
        </w:rPr>
        <w:t>Blautia</w:t>
      </w:r>
      <w:proofErr w:type="spellEnd"/>
      <w:r w:rsidR="007E0A32" w:rsidRPr="00123003">
        <w:rPr>
          <w:sz w:val="24"/>
          <w:szCs w:val="24"/>
          <w:lang w:val="en-US"/>
        </w:rPr>
        <w:t xml:space="preserve"> and </w:t>
      </w:r>
      <w:r w:rsidR="00904178" w:rsidRPr="00123003">
        <w:rPr>
          <w:sz w:val="24"/>
          <w:szCs w:val="24"/>
          <w:lang w:val="en-US"/>
        </w:rPr>
        <w:t>7α-dehydroxylating bacteria</w:t>
      </w:r>
      <w:r w:rsidR="007D36C9" w:rsidRPr="00123003">
        <w:rPr>
          <w:sz w:val="24"/>
          <w:szCs w:val="24"/>
          <w:lang w:val="en-US"/>
        </w:rPr>
        <w:t xml:space="preserve"> </w:t>
      </w:r>
      <w:r w:rsidR="00904178" w:rsidRPr="00123003">
        <w:rPr>
          <w:sz w:val="24"/>
          <w:szCs w:val="24"/>
          <w:lang w:val="en-US"/>
        </w:rPr>
        <w:t xml:space="preserve">in feces of patients with cirrhosis </w:t>
      </w:r>
      <w:r w:rsidR="00904178" w:rsidRPr="00123003">
        <w:rPr>
          <w:sz w:val="24"/>
          <w:szCs w:val="24"/>
          <w:lang w:val="en-US"/>
        </w:rPr>
        <w:fldChar w:fldCharType="begin"/>
      </w:r>
      <w:r w:rsidR="00F61B70">
        <w:rPr>
          <w:sz w:val="24"/>
          <w:szCs w:val="24"/>
          <w:lang w:val="en-US"/>
        </w:rPr>
        <w:instrText xml:space="preserve"> ADDIN ZOTERO_ITEM CSL_CITATION {"citationID":"UMEtj14b","properties":{"formattedCitation":"(47,48)","plainCitation":"(47,48)","noteIndex":0},"citationItems":[{"id":3468,"uris":["http://zotero.org/users/46719/items/AH9VBZBJ"],"uri":["http://zotero.org/users/46719/items/AH9VBZBJ"],"itemData":{"id":3468,"type":"article-journal","title":"Modulation of the fecal bile acid profile by gut microbiota in cirrhosis","container-title":"Journal of Hepatology","page":"949-955","volume":"58","issue":"5","source":"PubMed","abstract":"BACKGROUND &amp; AIMS: The 7α-dehydroxylation of primary bile acids (BAs), chenodeoxycholic (CDCA) and cholic acid (CA) into the secondary BAs, lithocholic (LCA) and deoxycholic acid (DCA), is a key function of the gut microbiota. We aimed at studying the linkage between fecal BAs and gut microbiota in cirrhosis since this could help understand cirrhosis progression.\nMETHODS: Fecal microbiota were analyzed by culture-independent multitagged-pyrosequencing, fecal BAs using HPLC and serum BAs using LC-MS in controls, early (Child A) and advanced cirrhotics (Child B/C). A subgroup of early cirrhotics underwent BA and microbiota analysis before/after eight weeks of rifaximin.\nRESULTS: Cross-sectional: 47 cirrhotics (24 advanced) and 14 controls were included. In feces, advanced cirrhotics had the lowest total, secondary, secondary/primary BA ratios, and the highest primary BAs compared to early cirrhotics and controls. Secondary fecal BAs were detectable in all controls but in a significantly lower proportion of cirrhotics (p&lt;0.002). Serum primary BAs were higher in advanced cirrhotics compared to the rest. Cirrhotics, compared to controls, had a higher Enterobacteriaceae (potentially pathogenic) but lower Lachonospiraceae, Ruminococcaceae and Blautia (7α-dehydroxylating bacteria) abundance. CDCA was positively correlated with Enterobacteriaceae (r=0.57, p&lt;0.008) while Ruminococcaceae were positively correlated with DCA (r=0.4, p&lt;0.05). A positive correlation between Ruminococcaceae and DCA/CA (r=0.82, p&lt;0.012) and Blautia with LCA/CDCA (r=0.61, p&lt;0.03) was also seen. Prospective study: post-rifaximin, six early cirrhotics had reduction in Veillonellaceae and in secondary/primary BA ratios.\nCONCLUSIONS: Cirrhosis, especially advanced disease, is associated with a decreased conversion of primary to secondary fecal BAs, which is linked to abundance of key gut microbiome taxa.","DOI":"10.1016/j.jhep.2013.01.003","ISSN":"1600-0641","note":"PMID: 23333527\nPMCID: PMC3936319","journalAbbreviation":"J. Hepatol.","language":"eng","author":[{"family":"Kakiyama","given":"Genta"},{"family":"Pandak","given":"William M."},{"family":"Gillevet","given":"Patrick M."},{"family":"Hylemon","given":"Phillip B."},{"family":"Heuman","given":"Douglas M."},{"family":"Daita","given":"Kalyani"},{"family":"Takei","given":"Hajime"},{"family":"Muto","given":"Akina"},{"family":"Nittono","given":"Hiroshi"},{"family":"Ridlon","given":"Jason M."},{"family":"White","given":"Melanie B."},{"family":"Noble","given":"Nicole A."},{"family":"Monteith","given":"Pamela"},{"family":"Fuchs","given":"Michael"},{"family":"Thacker","given":"Leroy R."},{"family":"Sikaroodi","given":"Masoumeh"},{"family":"Bajaj","given":"Jasmohan S."}],"issued":{"date-parts":[["2013",5]]}}},{"id":4426,"uris":["http://zotero.org/users/46719/items/AC3TGMSC"],"uri":["http://zotero.org/users/46719/items/AC3TGMSC"],"itemData":{"id":4426,"type":"article-journal","title":"Altered profile of human gut microbiome is associated with cirrhosis and its complications","container-title":"Journal of Hepatology","page":"940-947","volume":"60","issue":"5","source":"PubMed","abstract":"BACKGROUND &amp; AIMS: The gut microbiome is altered in cirrhosis; however its evolution with disease progression is only partly understood. We aimed to study changes in the microbiome over cirrhosis severity, its stability over time and its longitudinal alterations with decompensation.\nMETHODS: Controls and age-matched cirrhotics (compensated/decompensated/hospitalized) were included. Their stool microbiota was quantified using multi-tagged pyrosequencing. The ratio of autochthonous to non-autochthonous taxa was calculated as the cirrhosis dysbiosis ratio (CDR); a low number indicating dysbiosis. Firstly, the microbiome was compared between controls and cirrhotic sub-groups. Secondly, for stability assessment, stool collected twice within 6months in compensated outpatients was analyzed. Thirdly, changes after decompensation were assessed using (a) longitudinal comparison in patients before/after hepatic encephalopathy development (HE), (b) longitudinal cohort of hospitalized infected cirrhotics MELD-matched to uninfected cirrhotics followed for 30days.\nRESULTS: 244 subjects [219 cirrhotics (121 compensated outpatients, 54 decompensated outpatients, 44 inpatients) and 25 age-matched controls] were included. CDR was highest in controls (2.05) followed by compensated (0.89), decompensated (0.66), and inpatients (0.32, p&lt;0.0001) and negatively correlated with endotoxin. Microbiota and CDR remained unchanged in stable outpatient cirrhotics (0.91 vs. 0.86, p=0.45). In patients studied before/after HE development, dysbiosis occurred post-HE (CDR: 1.2 to 0.42, p=0.03). In the longitudinal matched-cohort, microbiota were significantly different between infected/uninfected cirrhotics at baseline and a low CDR was associated with death and organ failures within 30days.\nCONCLUSIONS: Progressive changes in the gut microbiome accompany cirrhosis and become more severe in the setting of decompensation. The cirrhosis dysbiosis ratio may be a useful quantitative index to describe microbiome alterations accompanying cirrhosis progression.","DOI":"10.1016/j.jhep.2013.12.019","ISSN":"1600-0641","note":"PMID: 24374295\nPMCID: PMC3995845","journalAbbreviation":"J. Hepatol.","language":"eng","author":[{"family":"Bajaj","given":"Jasmohan S."},{"family":"Heuman","given":"Douglas M."},{"family":"Hylemon","given":"Phillip B."},{"family":"Sanyal","given":"Arun J."},{"family":"White","given":"Melanie B."},{"family":"Monteith","given":"Pamela"},{"family":"Noble","given":"Nicole A."},{"family":"Unser","given":"Ariel B."},{"family":"Daita","given":"Kalyani"},{"family":"Fisher","given":"Andmorgan R."},{"family":"Sikaroodi","given":"Masoumeh"},{"family":"Gillevet","given":"Patrick M."}],"issued":{"date-parts":[["2014",5]]}}}],"schema":"https://github.com/citation-style-language/schema/raw/master/csl-citation.json"} </w:instrText>
      </w:r>
      <w:r w:rsidR="00904178" w:rsidRPr="00123003">
        <w:rPr>
          <w:sz w:val="24"/>
          <w:szCs w:val="24"/>
          <w:lang w:val="en-US"/>
        </w:rPr>
        <w:fldChar w:fldCharType="separate"/>
      </w:r>
      <w:r w:rsidR="00F61B70" w:rsidRPr="00F61B70">
        <w:rPr>
          <w:rFonts w:ascii="Calibri" w:hAnsi="Calibri" w:cs="Calibri"/>
          <w:sz w:val="24"/>
          <w:lang w:val="en-US"/>
        </w:rPr>
        <w:t>(47,48)</w:t>
      </w:r>
      <w:r w:rsidR="00904178" w:rsidRPr="00123003">
        <w:rPr>
          <w:sz w:val="24"/>
          <w:szCs w:val="24"/>
          <w:lang w:val="en-US"/>
        </w:rPr>
        <w:fldChar w:fldCharType="end"/>
      </w:r>
      <w:r w:rsidR="007E0A32" w:rsidRPr="00123003">
        <w:rPr>
          <w:sz w:val="24"/>
          <w:szCs w:val="24"/>
          <w:lang w:val="en-US"/>
        </w:rPr>
        <w:t xml:space="preserve">. Though at low relative abundance level, the genus </w:t>
      </w:r>
      <w:proofErr w:type="spellStart"/>
      <w:r w:rsidR="007915FB" w:rsidRPr="00123003">
        <w:rPr>
          <w:i/>
          <w:sz w:val="24"/>
          <w:szCs w:val="24"/>
          <w:lang w:val="en-US"/>
        </w:rPr>
        <w:t>Blautia</w:t>
      </w:r>
      <w:proofErr w:type="spellEnd"/>
      <w:r w:rsidR="007915FB" w:rsidRPr="00123003">
        <w:rPr>
          <w:sz w:val="24"/>
          <w:szCs w:val="24"/>
          <w:lang w:val="en-US"/>
        </w:rPr>
        <w:t xml:space="preserve"> was </w:t>
      </w:r>
      <w:r w:rsidR="007E0A32" w:rsidRPr="00123003">
        <w:rPr>
          <w:sz w:val="24"/>
          <w:szCs w:val="24"/>
          <w:lang w:val="en-US"/>
        </w:rPr>
        <w:t xml:space="preserve">also </w:t>
      </w:r>
      <w:r w:rsidR="00496207" w:rsidRPr="00123003">
        <w:rPr>
          <w:sz w:val="24"/>
          <w:szCs w:val="24"/>
          <w:lang w:val="en-US"/>
        </w:rPr>
        <w:t xml:space="preserve">found to be </w:t>
      </w:r>
      <w:r w:rsidR="003A4A91" w:rsidRPr="00123003">
        <w:rPr>
          <w:sz w:val="24"/>
          <w:szCs w:val="24"/>
          <w:lang w:val="en-US"/>
        </w:rPr>
        <w:t>enriched</w:t>
      </w:r>
      <w:r w:rsidR="007915FB" w:rsidRPr="00123003">
        <w:rPr>
          <w:sz w:val="24"/>
          <w:szCs w:val="24"/>
          <w:lang w:val="en-US"/>
        </w:rPr>
        <w:t xml:space="preserve"> in </w:t>
      </w:r>
      <w:r w:rsidR="003A4A91" w:rsidRPr="00123003">
        <w:rPr>
          <w:sz w:val="24"/>
          <w:szCs w:val="24"/>
          <w:lang w:val="en-US"/>
        </w:rPr>
        <w:t>the fecal microbiota</w:t>
      </w:r>
      <w:r w:rsidR="007915FB" w:rsidRPr="00123003">
        <w:rPr>
          <w:sz w:val="24"/>
          <w:szCs w:val="24"/>
          <w:lang w:val="en-US"/>
        </w:rPr>
        <w:t xml:space="preserve"> of CRC patients</w:t>
      </w:r>
      <w:r w:rsidR="007E0A32" w:rsidRPr="00123003">
        <w:rPr>
          <w:sz w:val="24"/>
          <w:szCs w:val="24"/>
          <w:lang w:val="en-US"/>
        </w:rPr>
        <w:t xml:space="preserve"> </w:t>
      </w:r>
      <w:r w:rsidR="00E519FA" w:rsidRPr="00123003">
        <w:rPr>
          <w:sz w:val="24"/>
          <w:szCs w:val="24"/>
          <w:lang w:val="en-US"/>
        </w:rPr>
        <w:fldChar w:fldCharType="begin"/>
      </w:r>
      <w:r w:rsidR="00F61B70">
        <w:rPr>
          <w:sz w:val="24"/>
          <w:szCs w:val="24"/>
          <w:lang w:val="en-US"/>
        </w:rPr>
        <w:instrText xml:space="preserve"> ADDIN ZOTERO_ITEM CSL_CITATION {"citationID":"adcp5f6fg4","properties":{"formattedCitation":"(49)","plainCitation":"(49)","noteIndex":0},"citationItems":[{"id":777,"uris":["http://zotero.org/users/46719/items/D8P68G3E"],"uri":["http://zotero.org/users/46719/items/D8P68G3E"],"itemData":{"id":777,"type":"article-journal","title":"Structure of the gut microbiome following colonization with human feces determines colonic tumor burden","container-title":"Microbiome","page":"20","volume":"2","issue":"1","source":"www.microbiomejournal.com","abstract":"PMID: 24967088","DOI":"10.1186/2049-2618-2-20","ISSN":"2049-2618","note":"PMID: 24967088","language":"en","author":[{"family":"Baxter","given":"Nielson T."},{"family":"Zackular","given":"Joseph P."},{"family":"Chen","given":"Grace Y."},{"family":"Schloss","given":"Patrick D."}],"issued":{"date-parts":[["2014",6,17]]}}}],"schema":"https://github.com/citation-style-language/schema/raw/master/csl-citation.json"} </w:instrText>
      </w:r>
      <w:r w:rsidR="00E519FA" w:rsidRPr="00123003">
        <w:rPr>
          <w:sz w:val="24"/>
          <w:szCs w:val="24"/>
          <w:lang w:val="en-US"/>
        </w:rPr>
        <w:fldChar w:fldCharType="separate"/>
      </w:r>
      <w:r w:rsidR="00F61B70" w:rsidRPr="00F61B70">
        <w:rPr>
          <w:rFonts w:ascii="Calibri" w:hAnsi="Calibri" w:cs="Calibri"/>
          <w:sz w:val="24"/>
          <w:lang w:val="en-US"/>
        </w:rPr>
        <w:t>(49)</w:t>
      </w:r>
      <w:r w:rsidR="00E519FA" w:rsidRPr="00123003">
        <w:rPr>
          <w:sz w:val="24"/>
          <w:szCs w:val="24"/>
          <w:lang w:val="en-US"/>
        </w:rPr>
        <w:fldChar w:fldCharType="end"/>
      </w:r>
      <w:r w:rsidR="007E0A32" w:rsidRPr="00123003">
        <w:rPr>
          <w:sz w:val="24"/>
          <w:szCs w:val="24"/>
          <w:lang w:val="en-US"/>
        </w:rPr>
        <w:t xml:space="preserve">, suggesting a </w:t>
      </w:r>
      <w:r w:rsidR="002C6684" w:rsidRPr="00123003">
        <w:rPr>
          <w:sz w:val="24"/>
          <w:szCs w:val="24"/>
          <w:lang w:val="en-US"/>
        </w:rPr>
        <w:t>potential contribution</w:t>
      </w:r>
      <w:r w:rsidR="007E0A32" w:rsidRPr="00123003">
        <w:rPr>
          <w:sz w:val="24"/>
          <w:szCs w:val="24"/>
          <w:lang w:val="en-US"/>
        </w:rPr>
        <w:t xml:space="preserve"> of </w:t>
      </w:r>
      <w:proofErr w:type="spellStart"/>
      <w:r w:rsidR="007E0A32" w:rsidRPr="00123003">
        <w:rPr>
          <w:i/>
          <w:sz w:val="24"/>
          <w:szCs w:val="24"/>
          <w:lang w:val="en-US"/>
        </w:rPr>
        <w:t>Blautia</w:t>
      </w:r>
      <w:proofErr w:type="spellEnd"/>
      <w:r w:rsidR="007E0A32" w:rsidRPr="00123003">
        <w:rPr>
          <w:sz w:val="24"/>
          <w:szCs w:val="24"/>
          <w:lang w:val="en-US"/>
        </w:rPr>
        <w:t xml:space="preserve"> </w:t>
      </w:r>
      <w:r w:rsidR="00496207" w:rsidRPr="00123003">
        <w:rPr>
          <w:sz w:val="24"/>
          <w:szCs w:val="24"/>
          <w:lang w:val="en-US"/>
        </w:rPr>
        <w:t xml:space="preserve">species </w:t>
      </w:r>
      <w:r w:rsidR="002C6684" w:rsidRPr="00123003">
        <w:rPr>
          <w:sz w:val="24"/>
          <w:szCs w:val="24"/>
          <w:lang w:val="en-US"/>
        </w:rPr>
        <w:t>to</w:t>
      </w:r>
      <w:r w:rsidR="00496207" w:rsidRPr="00123003">
        <w:rPr>
          <w:sz w:val="24"/>
          <w:szCs w:val="24"/>
          <w:lang w:val="en-US"/>
        </w:rPr>
        <w:t xml:space="preserve"> colonic tumorigenesis</w:t>
      </w:r>
      <w:r w:rsidR="002C6684" w:rsidRPr="00123003">
        <w:rPr>
          <w:sz w:val="24"/>
          <w:szCs w:val="24"/>
          <w:lang w:val="en-US"/>
        </w:rPr>
        <w:t xml:space="preserve"> in terms of bile acid metabolism, in particular generation of DCA</w:t>
      </w:r>
      <w:r w:rsidR="007E0A32" w:rsidRPr="00123003">
        <w:rPr>
          <w:sz w:val="24"/>
          <w:szCs w:val="24"/>
          <w:lang w:val="en-US"/>
        </w:rPr>
        <w:t>.</w:t>
      </w:r>
      <w:r w:rsidR="002C6684" w:rsidRPr="00123003">
        <w:rPr>
          <w:sz w:val="24"/>
          <w:szCs w:val="24"/>
          <w:lang w:val="en-US"/>
        </w:rPr>
        <w:t xml:space="preserve"> A recent meta-analysis confirmed </w:t>
      </w:r>
      <w:r w:rsidR="00936CE8" w:rsidRPr="00123003">
        <w:rPr>
          <w:sz w:val="24"/>
          <w:szCs w:val="24"/>
          <w:lang w:val="en-US"/>
        </w:rPr>
        <w:t>a higher capacity of CRC metagenomes</w:t>
      </w:r>
      <w:r w:rsidR="002C6684" w:rsidRPr="00123003">
        <w:rPr>
          <w:sz w:val="24"/>
          <w:szCs w:val="24"/>
          <w:lang w:val="en-US"/>
        </w:rPr>
        <w:t xml:space="preserve"> </w:t>
      </w:r>
      <w:r w:rsidR="00936CE8" w:rsidRPr="00123003">
        <w:rPr>
          <w:sz w:val="24"/>
          <w:szCs w:val="24"/>
          <w:lang w:val="en-US"/>
        </w:rPr>
        <w:t xml:space="preserve">to produce secondary bile acids compared to healthy controls </w:t>
      </w:r>
      <w:r w:rsidR="00D25D61" w:rsidRPr="00123003">
        <w:rPr>
          <w:sz w:val="24"/>
          <w:szCs w:val="24"/>
          <w:lang w:val="en-US"/>
        </w:rPr>
        <w:fldChar w:fldCharType="begin"/>
      </w:r>
      <w:r w:rsidR="00F61B70">
        <w:rPr>
          <w:sz w:val="24"/>
          <w:szCs w:val="24"/>
          <w:lang w:val="en-US"/>
        </w:rPr>
        <w:instrText xml:space="preserve"> ADDIN ZOTERO_ITEM CSL_CITATION {"citationID":"a1r49adfk3f","properties":{"formattedCitation":"(50)","plainCitation":"(50)","noteIndex":0},"citationItems":[{"id":4445,"uris":["http://zotero.org/users/46719/items/7S445VVB"],"uri":["http://zotero.org/users/46719/items/7S445VVB"],"itemData":{"id":4445,"type":"article-journal","title":"Meta-analysis of fecal metagenomes reveals global microbial signatures that are specific for colorectal cancer","container-title":"Nature Medicine","page":"679","volume":"25","issue":"4","source":"www.nature.com","abstract":"Cross-study analysis defines fecal microbial species associated with colorectal cancer.","DOI":"10.1038/s41591-019-0406-6","ISSN":"1546-170X","language":"En","author":[{"family":"Wirbel","given":"Jakob"},{"family":"Pyl","given":"Paul Theodor"},{"family":"Kartal","given":"Ece"},{"family":"Zych","given":"Konrad"},{"family":"Kashani","given":"Alireza"},{"family":"Milanese","given":"Alessio"},{"family":"Fleck","given":"Jonas S."},{"family":"Voigt","given":"Anita Y."},{"family":"Palleja","given":"Albert"},{"family":"Ponnudurai","given":"Ruby"},{"family":"Sunagawa","given":"Shinichi"},{"family":"Coelho","given":"Luis Pedro"},{"family":"Schrotz-King","given":"Petra"},{"family":"Vogtmann","given":"Emily"},{"family":"Habermann","given":"Nina"},{"family":"Niméus","given":"Emma"},{"family":"Thomas","given":"Andrew M."},{"family":"Manghi","given":"Paolo"},{"family":"Gandini","given":"Sara"},{"family":"Serrano","given":"Davide"},{"family":"Mizutani","given":"Sayaka"},{"family":"Shiroma","given":"Hirotsugu"},{"family":"Shiba","given":"Satoshi"},{"family":"Shibata","given":"Tatsuhiro"},{"family":"Yachida","given":"Shinichi"},{"family":"Yamada","given":"Takuji"},{"family":"Waldron","given":"Levi"},{"family":"Naccarati","given":"Alessio"},{"family":"Segata","given":"Nicola"},{"family":"Sinha","given":"Rashmi"},{"family":"Ulrich","given":"Cornelia M."},{"family":"Brenner","given":"Hermann"},{"family":"Arumugam","given":"Manimozhiyan"},{"family":"Bork","given":"Peer"},{"family":"Zeller","given":"Georg"}],"issued":{"date-parts":[["2019",4]]}}}],"schema":"https://github.com/citation-style-language/schema/raw/master/csl-citation.json"} </w:instrText>
      </w:r>
      <w:r w:rsidR="00D25D61" w:rsidRPr="00123003">
        <w:rPr>
          <w:sz w:val="24"/>
          <w:szCs w:val="24"/>
          <w:lang w:val="en-US"/>
        </w:rPr>
        <w:fldChar w:fldCharType="separate"/>
      </w:r>
      <w:r w:rsidR="00F61B70" w:rsidRPr="00F61B70">
        <w:rPr>
          <w:rFonts w:ascii="Calibri" w:hAnsi="Calibri" w:cs="Calibri"/>
          <w:sz w:val="24"/>
          <w:lang w:val="en-US"/>
        </w:rPr>
        <w:t>(50)</w:t>
      </w:r>
      <w:r w:rsidR="00D25D61" w:rsidRPr="00123003">
        <w:rPr>
          <w:sz w:val="24"/>
          <w:szCs w:val="24"/>
          <w:lang w:val="en-US"/>
        </w:rPr>
        <w:fldChar w:fldCharType="end"/>
      </w:r>
      <w:r w:rsidR="00D25D61" w:rsidRPr="00123003">
        <w:rPr>
          <w:sz w:val="24"/>
          <w:szCs w:val="24"/>
          <w:lang w:val="en-US"/>
        </w:rPr>
        <w:t xml:space="preserve">. </w:t>
      </w:r>
      <w:r w:rsidR="0044100B" w:rsidRPr="00123003">
        <w:rPr>
          <w:sz w:val="24"/>
          <w:szCs w:val="24"/>
          <w:lang w:val="en-US"/>
        </w:rPr>
        <w:t xml:space="preserve">The </w:t>
      </w:r>
      <w:proofErr w:type="gramStart"/>
      <w:r w:rsidR="0044100B" w:rsidRPr="00123003">
        <w:rPr>
          <w:sz w:val="24"/>
          <w:szCs w:val="24"/>
          <w:lang w:val="en-US"/>
        </w:rPr>
        <w:t>AN</w:t>
      </w:r>
      <w:proofErr w:type="gramEnd"/>
      <w:r w:rsidR="0044100B" w:rsidRPr="00123003">
        <w:rPr>
          <w:sz w:val="24"/>
          <w:szCs w:val="24"/>
          <w:lang w:val="en-US"/>
        </w:rPr>
        <w:t xml:space="preserve"> fecal microbiota </w:t>
      </w:r>
      <w:r w:rsidR="00DB6493" w:rsidRPr="00123003">
        <w:rPr>
          <w:sz w:val="24"/>
          <w:szCs w:val="24"/>
          <w:lang w:val="en-US"/>
        </w:rPr>
        <w:t xml:space="preserve">also </w:t>
      </w:r>
      <w:r w:rsidR="0044100B" w:rsidRPr="00123003">
        <w:rPr>
          <w:sz w:val="24"/>
          <w:szCs w:val="24"/>
          <w:lang w:val="en-US"/>
        </w:rPr>
        <w:t>showed</w:t>
      </w:r>
      <w:r w:rsidR="00DD0115" w:rsidRPr="00123003">
        <w:rPr>
          <w:sz w:val="24"/>
          <w:szCs w:val="24"/>
          <w:lang w:val="en-US"/>
        </w:rPr>
        <w:t xml:space="preserve"> greater</w:t>
      </w:r>
      <w:r w:rsidR="00EF068F" w:rsidRPr="00123003">
        <w:rPr>
          <w:sz w:val="24"/>
          <w:szCs w:val="24"/>
          <w:lang w:val="en-US"/>
        </w:rPr>
        <w:t xml:space="preserve"> numbers </w:t>
      </w:r>
      <w:r w:rsidR="0041031F" w:rsidRPr="00123003">
        <w:rPr>
          <w:sz w:val="24"/>
          <w:szCs w:val="24"/>
          <w:lang w:val="en-US"/>
        </w:rPr>
        <w:t xml:space="preserve">of </w:t>
      </w:r>
      <w:r w:rsidR="00EF068F" w:rsidRPr="00123003">
        <w:rPr>
          <w:i/>
          <w:sz w:val="24"/>
          <w:szCs w:val="24"/>
          <w:lang w:val="en-US"/>
        </w:rPr>
        <w:t>Escherichia-</w:t>
      </w:r>
      <w:proofErr w:type="spellStart"/>
      <w:r w:rsidR="00EF068F" w:rsidRPr="00123003">
        <w:rPr>
          <w:i/>
          <w:sz w:val="24"/>
          <w:szCs w:val="24"/>
          <w:lang w:val="en-US"/>
        </w:rPr>
        <w:t>Shigella</w:t>
      </w:r>
      <w:proofErr w:type="spellEnd"/>
      <w:r w:rsidR="00EF068F" w:rsidRPr="00123003">
        <w:rPr>
          <w:sz w:val="24"/>
          <w:szCs w:val="24"/>
          <w:lang w:val="en-US"/>
        </w:rPr>
        <w:t xml:space="preserve">, a genus </w:t>
      </w:r>
      <w:r w:rsidR="00EF068F" w:rsidRPr="00123003">
        <w:rPr>
          <w:sz w:val="24"/>
          <w:szCs w:val="24"/>
          <w:lang w:val="en-US"/>
        </w:rPr>
        <w:lastRenderedPageBreak/>
        <w:t>that includes s</w:t>
      </w:r>
      <w:r w:rsidR="00163B44" w:rsidRPr="00123003">
        <w:rPr>
          <w:sz w:val="24"/>
          <w:szCs w:val="24"/>
          <w:lang w:val="en-US"/>
        </w:rPr>
        <w:t>everal opportunistic pathogens</w:t>
      </w:r>
      <w:r w:rsidR="00DB6493" w:rsidRPr="00123003">
        <w:rPr>
          <w:sz w:val="24"/>
          <w:szCs w:val="24"/>
          <w:lang w:val="en-US"/>
        </w:rPr>
        <w:t xml:space="preserve"> and</w:t>
      </w:r>
      <w:r w:rsidR="00163B44" w:rsidRPr="00123003">
        <w:rPr>
          <w:sz w:val="24"/>
          <w:szCs w:val="24"/>
          <w:lang w:val="en-US"/>
        </w:rPr>
        <w:t xml:space="preserve"> belongs to</w:t>
      </w:r>
      <w:r w:rsidR="00EF068F" w:rsidRPr="00123003">
        <w:rPr>
          <w:sz w:val="24"/>
          <w:szCs w:val="24"/>
          <w:lang w:val="en-US"/>
        </w:rPr>
        <w:t xml:space="preserve"> </w:t>
      </w:r>
      <w:proofErr w:type="spellStart"/>
      <w:r w:rsidR="00EF068F" w:rsidRPr="00123003">
        <w:rPr>
          <w:i/>
          <w:sz w:val="24"/>
          <w:szCs w:val="24"/>
          <w:lang w:val="en-US"/>
        </w:rPr>
        <w:t>Gammaproteobacteria</w:t>
      </w:r>
      <w:proofErr w:type="spellEnd"/>
      <w:r w:rsidR="005807A9" w:rsidRPr="00123003">
        <w:rPr>
          <w:sz w:val="24"/>
          <w:szCs w:val="24"/>
          <w:lang w:val="en-US"/>
        </w:rPr>
        <w:t>. These</w:t>
      </w:r>
      <w:r w:rsidR="00EF068F" w:rsidRPr="00123003">
        <w:rPr>
          <w:sz w:val="24"/>
          <w:szCs w:val="24"/>
          <w:lang w:val="en-US"/>
        </w:rPr>
        <w:t xml:space="preserve"> are highly resistant to bile salts</w:t>
      </w:r>
      <w:r w:rsidR="00163B44" w:rsidRPr="00123003">
        <w:rPr>
          <w:sz w:val="24"/>
          <w:szCs w:val="24"/>
          <w:lang w:val="en-US"/>
        </w:rPr>
        <w:t xml:space="preserve"> and </w:t>
      </w:r>
      <w:r w:rsidR="0044100B" w:rsidRPr="00123003">
        <w:rPr>
          <w:sz w:val="24"/>
          <w:szCs w:val="24"/>
          <w:lang w:val="en-US"/>
        </w:rPr>
        <w:t xml:space="preserve">were </w:t>
      </w:r>
      <w:r w:rsidR="005807A9" w:rsidRPr="00123003">
        <w:rPr>
          <w:sz w:val="24"/>
          <w:szCs w:val="24"/>
          <w:lang w:val="en-US"/>
        </w:rPr>
        <w:t xml:space="preserve">also </w:t>
      </w:r>
      <w:r w:rsidR="0044100B" w:rsidRPr="00123003">
        <w:rPr>
          <w:sz w:val="24"/>
          <w:szCs w:val="24"/>
          <w:lang w:val="en-US"/>
        </w:rPr>
        <w:t>enriched under oral administration of</w:t>
      </w:r>
      <w:r w:rsidR="00EF068F" w:rsidRPr="00123003">
        <w:rPr>
          <w:sz w:val="24"/>
          <w:szCs w:val="24"/>
          <w:lang w:val="en-US"/>
        </w:rPr>
        <w:t xml:space="preserve"> </w:t>
      </w:r>
      <w:proofErr w:type="spellStart"/>
      <w:r w:rsidR="00EF068F" w:rsidRPr="00123003">
        <w:rPr>
          <w:sz w:val="24"/>
          <w:szCs w:val="24"/>
          <w:lang w:val="en-US"/>
        </w:rPr>
        <w:t>cholic</w:t>
      </w:r>
      <w:proofErr w:type="spellEnd"/>
      <w:r w:rsidR="00EF068F" w:rsidRPr="00123003">
        <w:rPr>
          <w:sz w:val="24"/>
          <w:szCs w:val="24"/>
          <w:lang w:val="en-US"/>
        </w:rPr>
        <w:t xml:space="preserve"> acid </w:t>
      </w:r>
      <w:r w:rsidR="00EF068F" w:rsidRPr="00123003">
        <w:rPr>
          <w:sz w:val="24"/>
          <w:szCs w:val="24"/>
          <w:lang w:val="en-US"/>
        </w:rPr>
        <w:fldChar w:fldCharType="begin"/>
      </w:r>
      <w:r w:rsidR="00F61B70">
        <w:rPr>
          <w:sz w:val="24"/>
          <w:szCs w:val="24"/>
          <w:lang w:val="en-US"/>
        </w:rPr>
        <w:instrText xml:space="preserve"> ADDIN ZOTERO_ITEM CSL_CITATION {"citationID":"U1556KR2","properties":{"formattedCitation":"(45,51)","plainCitation":"(45,51)","noteIndex":0},"citationItems":[{"id":3488,"uris":["http://zotero.org/users/46719/items/MCK8UFI6"],"uri":["http://zotero.org/users/46719/items/MCK8UFI6"],"itemData":{"id":3488,"type":"article-journal","title":"Bile acid is a host factor that regulates the composition of the cecal microbiota in rats","container-title":"Gastroenterology","page":"1773-1781","volume":"141","issue":"5","source":"PubMed","abstract":"BACKGROUND &amp; AIMS: Alterations in the gastrointestinal microbiota have been associated with metabolic diseases. However, little is known about host factors that induce changes in gastrointestinal bacterial populations. We investigated the role of bile acids in this process because of their strong antimicrobial activities, specifically the effects of cholic acid administration on the composition of the gut microbiota in a rat model.\nMETHODS: Rats were fed diets supplemented with different concentrations of cholic acid for 10 days. We used 16S ribosomal RNA gene clone library sequencing and fluorescence in situ hybridization to characterize the composition of the cecal microbiota of the different diet groups. Bile acids in feces, organic acids in cecal contents, and some blood parameters were also analyzed.\nRESULTS: Administration of cholic acid induced phylum-level alterations in the composition of the gut microbiota; Firmicutes predominated at the expense of Bacteroidetes. Cholic acid feeding simplified the composition of the microbiota, with outgrowth of several bacteria in the classes Clostridia and Erysipelotrichi. Externally administered cholic acid was efficiently transformed into deoxycholic acid by a bacterial 7α-dehydroxylation reaction. Serum levels of adiponectin decreased significantly in rats given the cholic acid diet.\nCONCLUSIONS: Cholic acid regulates the composition of gut microbiota in rats, inducing similar changes to those induced by high-fat diets. These findings improve our understanding of the relationship between metabolic diseases and the composition of the gastrointestinal microbiota.","DOI":"10.1053/j.gastro.2011.07.046","ISSN":"1528-0012","note":"PMID: 21839040","journalAbbreviation":"Gastroenterology","language":"eng","author":[{"family":"Islam","given":"K. B. M. Saiful"},{"family":"Fukiya","given":"Satoru"},{"family":"Hagio","given":"Masahito"},{"family":"Fujii","given":"Nobuyuki"},{"family":"Ishizuka","given":"Satoshi"},{"family":"Ooka","given":"Tadasuke"},{"family":"Ogura","given":"Yoshitoshi"},{"family":"Hayashi","given":"Tetsuya"},{"family":"Yokota","given":"Atsushi"}],"issued":{"date-parts":[["2011",11]]}}},{"id":3462,"uris":["http://zotero.org/users/46719/items/8I9M9RJA"],"uri":["http://zotero.org/users/46719/items/8I9M9RJA"],"itemData":{"id":3462,"type":"article-journal","title":"The interaction between bacteria and bile","container-title":"FEMS microbiology reviews","page":"625-651","volume":"29","issue":"4","source":"PubMed","abstract":"Commensal and pathogenic microorganisms must resist the deleterious actions of bile in order to survive in the human gastrointestinal tract. Herein we review the current knowledge on the mechanisms by which Gram-positive and Gram-negative bacteria contend with bile stress. We describe the antimicrobial actions of bile, assess the variations in bile tolerance between bacterial genera and examine the interplay between bile stress and other stresses. The molecular mechanisms underlying bile tolerance are investigated and the relationship between bile and virulence is examined. Finally, the potential benefits of bile research are briefly discussed.","DOI":"10.1016/j.femsre.2004.09.003","ISSN":"0168-6445","note":"PMID: 16102595","journalAbbreviation":"FEMS Microbiol. Rev.","language":"eng","author":[{"family":"Begley","given":"Máire"},{"family":"Gahan","given":"Cormac G. M."},{"family":"Hill","given":"Colin"}],"issued":{"date-parts":[["2005",9]]}}}],"schema":"https://github.com/citation-style-language/schema/raw/master/csl-citation.json"} </w:instrText>
      </w:r>
      <w:r w:rsidR="00EF068F" w:rsidRPr="00123003">
        <w:rPr>
          <w:sz w:val="24"/>
          <w:szCs w:val="24"/>
          <w:lang w:val="en-US"/>
        </w:rPr>
        <w:fldChar w:fldCharType="separate"/>
      </w:r>
      <w:r w:rsidR="00F61B70" w:rsidRPr="00F61B70">
        <w:rPr>
          <w:rFonts w:ascii="Calibri" w:hAnsi="Calibri" w:cs="Calibri"/>
          <w:sz w:val="24"/>
          <w:lang w:val="en-US"/>
        </w:rPr>
        <w:t>(45,51)</w:t>
      </w:r>
      <w:r w:rsidR="00EF068F" w:rsidRPr="00123003">
        <w:rPr>
          <w:sz w:val="24"/>
          <w:szCs w:val="24"/>
          <w:lang w:val="en-US"/>
        </w:rPr>
        <w:fldChar w:fldCharType="end"/>
      </w:r>
      <w:r w:rsidR="00EF068F" w:rsidRPr="00123003">
        <w:rPr>
          <w:sz w:val="24"/>
          <w:szCs w:val="24"/>
          <w:lang w:val="en-US"/>
        </w:rPr>
        <w:t>.</w:t>
      </w:r>
      <w:r w:rsidR="0057246C" w:rsidRPr="00123003">
        <w:rPr>
          <w:sz w:val="24"/>
          <w:szCs w:val="24"/>
          <w:lang w:val="en-US"/>
        </w:rPr>
        <w:t xml:space="preserve"> </w:t>
      </w:r>
      <w:r w:rsidR="009A53B6">
        <w:rPr>
          <w:sz w:val="24"/>
          <w:szCs w:val="24"/>
          <w:lang w:val="en-US"/>
        </w:rPr>
        <w:t xml:space="preserve">In contrast to </w:t>
      </w:r>
      <w:r w:rsidR="00620B79">
        <w:rPr>
          <w:sz w:val="24"/>
          <w:szCs w:val="24"/>
          <w:lang w:val="en-US"/>
        </w:rPr>
        <w:t>prior</w:t>
      </w:r>
      <w:r w:rsidR="009A53B6">
        <w:rPr>
          <w:sz w:val="24"/>
          <w:szCs w:val="24"/>
          <w:lang w:val="en-US"/>
        </w:rPr>
        <w:t xml:space="preserve"> studies </w:t>
      </w:r>
      <w:r w:rsidR="00F61B70">
        <w:rPr>
          <w:sz w:val="24"/>
          <w:szCs w:val="24"/>
          <w:lang w:val="en-US"/>
        </w:rPr>
        <w:fldChar w:fldCharType="begin"/>
      </w:r>
      <w:r w:rsidR="00F61B70">
        <w:rPr>
          <w:sz w:val="24"/>
          <w:szCs w:val="24"/>
          <w:lang w:val="en-US"/>
        </w:rPr>
        <w:instrText xml:space="preserve"> ADDIN ZOTERO_ITEM CSL_CITATION {"citationID":"RnGHwazt","properties":{"formattedCitation":"(10)","plainCitation":"(10)","noteIndex":0},"citationItems":[{"id":2125,"uris":["http://zotero.org/users/46719/items/XV558T9I"],"uri":["http://zotero.org/users/46719/items/XV558T9I"],"itemData":{"id":2125,"type":"article-journal","title":"Fat, fibre and cancer risk in African Americans and rural Africans","container-title":"Nature Communications","page":"6342","volume":"6","source":"PubMed","abstract":"Rates of colon cancer are much higher in African Americans (65:100,000) than in rural South Africans (&lt;5:100,000). The higher rates are associated with higher animal protein and fat, and lower fibre consumption, higher colonic secondary bile acids, lower colonic short-chain fatty acid quantities and higher mucosal proliferative biomarkers of cancer risk in otherwise healthy middle-aged volunteers. Here we investigate further the role of fat and fibre in this association. We performed 2-week food exchanges in subjects from the same populations, where African Americans were fed a high-fibre, low-fat African-style diet and rural Africans a high-fat, low-fibre western-style diet, under close supervision. In comparison with their usual diets, the food changes resulted in remarkable reciprocal changes in mucosal biomarkers of cancer risk and in aspects of the microbiota and metabolome known to affect cancer risk, best illustrated by increased saccharolytic fermentation and butyrogenesis, and suppressed secondary bile acid synthesis in the African Americans.","DOI":"10.1038/ncomms7342","ISSN":"2041-1723","note":"PMID: 25919227","journalAbbreviation":"Nat Commun","language":"ENG","author":[{"family":"O'Keefe","given":"Stephen J. D."},{"family":"Li","given":"Jia V."},{"family":"Lahti","given":"Leo"},{"family":"Ou","given":"Junhai"},{"family":"Carbonero","given":"Franck"},{"family":"Mohammed","given":"Khaled"},{"family":"Posma","given":"Joram M."},{"family":"Kinross","given":"James"},{"family":"Wahl","given":"Elaine"},{"family":"Ruder","given":"Elizabeth"},{"family":"Vipperla","given":"Kishore"},{"family":"Naidoo","given":"Vasudevan"},{"family":"Mtshali","given":"Lungile"},{"family":"Tims","given":"Sebastian"},{"family":"Puylaert","given":"Philippe G. B."},{"family":"DeLany","given":"James"},{"family":"Krasinskas","given":"Alyssa"},{"family":"Benefiel","given":"Ann C."},{"family":"Kaseb","given":"Hatem O."},{"family":"Newton","given":"Keith"},{"family":"Nicholson","given":"Jeremy K."},{"family":"Vos","given":"Willem M.","non-dropping-particle":"de"},{"family":"Gaskins","given":"H. Rex"},{"family":"Zoetendal","given":"Erwin G."}],"issued":{"date-parts":[["2015"]]}}}],"schema":"https://github.com/citation-style-language/schema/raw/master/csl-citation.json"} </w:instrText>
      </w:r>
      <w:r w:rsidR="00F61B70">
        <w:rPr>
          <w:sz w:val="24"/>
          <w:szCs w:val="24"/>
          <w:lang w:val="en-US"/>
        </w:rPr>
        <w:fldChar w:fldCharType="separate"/>
      </w:r>
      <w:r w:rsidR="00F61B70" w:rsidRPr="00F61B70">
        <w:rPr>
          <w:rFonts w:ascii="Calibri" w:hAnsi="Calibri" w:cs="Calibri"/>
          <w:sz w:val="24"/>
          <w:lang w:val="en-US"/>
        </w:rPr>
        <w:t>(10)</w:t>
      </w:r>
      <w:r w:rsidR="00F61B70">
        <w:rPr>
          <w:sz w:val="24"/>
          <w:szCs w:val="24"/>
          <w:lang w:val="en-US"/>
        </w:rPr>
        <w:fldChar w:fldCharType="end"/>
      </w:r>
      <w:r w:rsidR="009A53B6">
        <w:rPr>
          <w:sz w:val="24"/>
          <w:szCs w:val="24"/>
          <w:lang w:val="en-US"/>
        </w:rPr>
        <w:t xml:space="preserve">, we did not detect </w:t>
      </w:r>
      <w:r w:rsidR="005B4EB8">
        <w:rPr>
          <w:sz w:val="24"/>
          <w:szCs w:val="24"/>
          <w:lang w:val="en-US"/>
        </w:rPr>
        <w:t xml:space="preserve">a </w:t>
      </w:r>
      <w:r w:rsidR="009A53B6">
        <w:rPr>
          <w:sz w:val="24"/>
          <w:szCs w:val="24"/>
          <w:lang w:val="en-US"/>
        </w:rPr>
        <w:t xml:space="preserve">significantly different abundance of </w:t>
      </w:r>
      <w:r w:rsidR="009A53B6" w:rsidRPr="006429D5">
        <w:rPr>
          <w:i/>
          <w:sz w:val="24"/>
          <w:szCs w:val="24"/>
          <w:lang w:val="en-US"/>
        </w:rPr>
        <w:t xml:space="preserve">B. </w:t>
      </w:r>
      <w:proofErr w:type="spellStart"/>
      <w:r w:rsidR="009A53B6" w:rsidRPr="006429D5">
        <w:rPr>
          <w:i/>
          <w:sz w:val="24"/>
          <w:szCs w:val="24"/>
          <w:lang w:val="en-US"/>
        </w:rPr>
        <w:t>wadsworthia</w:t>
      </w:r>
      <w:proofErr w:type="spellEnd"/>
      <w:r w:rsidR="009A53B6">
        <w:rPr>
          <w:sz w:val="24"/>
          <w:szCs w:val="24"/>
          <w:lang w:val="en-US"/>
        </w:rPr>
        <w:t xml:space="preserve">, a </w:t>
      </w:r>
      <w:proofErr w:type="spellStart"/>
      <w:r w:rsidR="009A53B6">
        <w:rPr>
          <w:sz w:val="24"/>
          <w:szCs w:val="24"/>
          <w:lang w:val="en-US"/>
        </w:rPr>
        <w:t>pathobiont</w:t>
      </w:r>
      <w:proofErr w:type="spellEnd"/>
      <w:r w:rsidR="009A53B6" w:rsidRPr="00123003">
        <w:rPr>
          <w:sz w:val="24"/>
          <w:szCs w:val="24"/>
          <w:lang w:val="en-US"/>
        </w:rPr>
        <w:t xml:space="preserve"> that grows when exposed to high levels of saturated dietary fat and that is associated with experimental colitis and CRC risk </w:t>
      </w:r>
      <w:r w:rsidR="009A53B6" w:rsidRPr="00123003">
        <w:rPr>
          <w:sz w:val="24"/>
          <w:szCs w:val="24"/>
          <w:lang w:val="en-US"/>
        </w:rPr>
        <w:fldChar w:fldCharType="begin"/>
      </w:r>
      <w:r w:rsidR="00F61B70">
        <w:rPr>
          <w:sz w:val="24"/>
          <w:szCs w:val="24"/>
          <w:lang w:val="en-US"/>
        </w:rPr>
        <w:instrText xml:space="preserve"> ADDIN ZOTERO_ITEM CSL_CITATION {"citationID":"XYyS8E7m","properties":{"formattedCitation":"(52,53)","plainCitation":"(52,53)","noteIndex":0},"citationItems":[{"id":1463,"uris":["http://zotero.org/users/46719/items/P3DGJ5S6"],"uri":["http://zotero.org/users/46719/items/P3DGJ5S6"],"itemData":{"id":1463,"type":"article-journal","title":"Dietary-fat-induced taurocholic acid promotes pathobiont expansion and colitis in Il10-/- mice","container-title":"Nature","page":"104-108","volume":"487","issue":"7405","source":"NCBI PubMed","abstract":"The composite human microbiome of Western populations has probably changed over the past century, brought on by new environmental triggers that often have a negative impact on human health. Here we show that consumption of a diet high in saturated (milk-derived) fat, but not polyunsaturated (safflower oil) fat, changes the conditions for microbial assemblage and promotes the expansion of a low-abundance, sulphite-reducing pathobiont, Bilophila wadsworthia. This was associated with a pro-inflammatory T helper type 1 (T(H)1) immune response and increased incidence of colitis in genetically susceptible Il10(−/−), but not wild-type mice. These effects are mediated by milk-derived-fat-promoted taurine conjugation of hepatic bile acids, which increases the availability of organic sulphur used by sulphite-reducing microorganisms like B. wadsworthia. When mice were fed a low-fat diet supplemented with taurocholic acid, but not with glycocholic acid, for example, a bloom of B. wadsworthia and development of colitis were observed in Il10(−/−) mice. Together these data show that dietary fats, by promoting changes in host bile acid composition, can markedly alter conditions for gut microbial assemblage, resulting in dysbiosis that can perturb immune homeostasis. The data provide a plausible mechanistic basis by which Western-type diets high in certain saturated fats might increase the prevalence of complex immune-mediated diseases like inflammatory bowel disease in genetically susceptible hosts.","DOI":"10.1038/nature11225","ISSN":"1476-4687","note":"PMID: 22722865 \nPMCID: PMC3393783","journalAbbreviation":"Nature","language":"eng","author":[{"family":"Devkota","given":"Suzanne"},{"family":"Wang","given":"Yunwei"},{"family":"Musch","given":"Mark W"},{"family":"Leone","given":"Vanessa"},{"family":"Fehlner-Peach","given":"Hannah"},{"family":"Nadimpalli","given":"Anuradha"},{"family":"Antonopoulos","given":"Dionysios A"},{"family":"Jabri","given":"Bana"},{"family":"Chang","given":"Eugene B"}],"issued":{"date-parts":[["2012",7,5]]}}},{"id":4116,"uris":["http://zotero.org/users/46719/items/7AFRJJNQ"],"uri":["http://zotero.org/users/46719/items/7AFRJJNQ"],"itemData":{"id":4116,"type":"article-journal","title":"Race-dependent association of sulfidogenic bacteria with colorectal cancer","container-title":"Gut","page":"1983-1994","volume":"66","issue":"11","source":"PubMed","abstract":"OBJECTIVE: Colorectal cancer (CRC) incidence is higher in African Americans (AAs) compared with non-Hispanic whites (NHWs). A diet high in animal protein and fat is an environmental risk factor for CRC development. The intestinal microbiota is postulated to modulate the effects of diet in promoting or preventing CRC. Hydrogen sulfide, produced by autochthonous sulfidogenic bacteria, triggers proinflammatory pathways and hyperproliferation, and is genotoxic. We hypothesised that sulfidogenic bacterial abundance in colonic mucosa may be an environmental CRC risk factor that distinguishes AA and NHW.\nDESIGN: Colonic biopsies from uninvolved or healthy mucosa from CRC cases and tumour-free controls were collected prospectively from five medical centres in Chicago for association studies. Sulfidogenic bacterial abundance in uninvolved colonic mucosa of AA and NHW CRC cases was compared with normal mucosa of AA and NHW controls. In addition, 16S rDNA sequencing was performed in AA cases and controls. Correlations were examined among bacterial targets, race, disease status and dietary intake.\nRESULTS: AAs harboured a greater abundance of sulfidogenic bacteria compared with NHWs regardless of disease status. Bilophila wadsworthia-specific dsrA was more abundant in AA cases than controls. Linear discriminant analysis of 16S rRNA gene sequences revealed five sulfidogenic genera that were more abundant in AA cases. Fat and protein intake and daily servings of meat were significantly higher in AAs compared with NHWs, and multiple dietary components correlated with a higher abundance of sulfidogenic bacteria.\nCONCLUSIONS: These results implicate sulfidogenic bacteria as a potential environmental risk factor contributing to CRC development in AAs.","DOI":"10.1136/gutjnl-2016-313321","ISSN":"1468-3288","note":"PMID: 28153960\nPMCID: PMC5575988","journalAbbreviation":"Gut","language":"eng","author":[{"family":"Yazici","given":"Cemal"},{"family":"Wolf","given":"Patricia G."},{"family":"Kim","given":"Hajwa"},{"family":"Cross","given":"Tzu-Wen L."},{"family":"Vermillion","given":"Karin"},{"family":"Carroll","given":"Timothy"},{"family":"Augustus","given":"Gaius J."},{"family":"Mutlu","given":"Ece"},{"family":"Tussing-Humphreys","given":"Lisa"},{"family":"Braunschweig","given":"Carol"},{"family":"Xicola","given":"Rosa M."},{"family":"Jung","given":"Barbara"},{"family":"Llor","given":"Xavier"},{"family":"Ellis","given":"Nathan A."},{"family":"Gaskins","given":"H. Rex"}],"issued":{"date-parts":[["2017"]]}}}],"schema":"https://github.com/citation-style-language/schema/raw/master/csl-citation.json"} </w:instrText>
      </w:r>
      <w:r w:rsidR="009A53B6" w:rsidRPr="00123003">
        <w:rPr>
          <w:sz w:val="24"/>
          <w:szCs w:val="24"/>
          <w:lang w:val="en-US"/>
        </w:rPr>
        <w:fldChar w:fldCharType="separate"/>
      </w:r>
      <w:r w:rsidR="00F61B70" w:rsidRPr="00F61B70">
        <w:rPr>
          <w:rFonts w:ascii="Calibri" w:hAnsi="Calibri" w:cs="Calibri"/>
          <w:sz w:val="24"/>
          <w:lang w:val="en-US"/>
        </w:rPr>
        <w:t>(52,53)</w:t>
      </w:r>
      <w:r w:rsidR="009A53B6" w:rsidRPr="00123003">
        <w:rPr>
          <w:sz w:val="24"/>
          <w:szCs w:val="24"/>
          <w:lang w:val="en-US"/>
        </w:rPr>
        <w:fldChar w:fldCharType="end"/>
      </w:r>
      <w:r w:rsidR="009A53B6" w:rsidRPr="00123003">
        <w:rPr>
          <w:sz w:val="24"/>
          <w:szCs w:val="24"/>
          <w:lang w:val="en-US"/>
        </w:rPr>
        <w:t>,</w:t>
      </w:r>
      <w:r w:rsidR="009A53B6">
        <w:rPr>
          <w:sz w:val="24"/>
          <w:szCs w:val="24"/>
          <w:lang w:val="en-US"/>
        </w:rPr>
        <w:t xml:space="preserve"> </w:t>
      </w:r>
      <w:r w:rsidR="005B4EB8">
        <w:rPr>
          <w:sz w:val="24"/>
          <w:szCs w:val="24"/>
          <w:lang w:val="en-US"/>
        </w:rPr>
        <w:t>or</w:t>
      </w:r>
      <w:r w:rsidR="009A53B6">
        <w:rPr>
          <w:sz w:val="24"/>
          <w:szCs w:val="24"/>
          <w:lang w:val="en-US"/>
        </w:rPr>
        <w:t xml:space="preserve"> Fusobacteria</w:t>
      </w:r>
      <w:r w:rsidR="006429D5">
        <w:rPr>
          <w:sz w:val="24"/>
          <w:szCs w:val="24"/>
          <w:lang w:val="en-US"/>
        </w:rPr>
        <w:t xml:space="preserve"> that are </w:t>
      </w:r>
      <w:r w:rsidR="009A53B6">
        <w:rPr>
          <w:sz w:val="24"/>
          <w:szCs w:val="24"/>
          <w:lang w:val="en-US"/>
        </w:rPr>
        <w:t xml:space="preserve">associated with CRC </w:t>
      </w:r>
      <w:r w:rsidR="009A53B6" w:rsidRPr="00123003">
        <w:rPr>
          <w:sz w:val="24"/>
          <w:szCs w:val="24"/>
          <w:lang w:val="en-US"/>
        </w:rPr>
        <w:fldChar w:fldCharType="begin"/>
      </w:r>
      <w:r w:rsidR="00F61B70">
        <w:rPr>
          <w:sz w:val="24"/>
          <w:szCs w:val="24"/>
          <w:lang w:val="en-US"/>
        </w:rPr>
        <w:instrText xml:space="preserve"> ADDIN ZOTERO_ITEM CSL_CITATION {"citationID":"a1gl0b0qqb1","properties":{"formattedCitation":"(54)","plainCitation":"(54)","noteIndex":0},"citationItems":[{"id":3920,"uris":["http://zotero.org/users/46719/items/BZ8Q59JH"],"uri":["http://zotero.org/users/46719/items/BZ8Q59JH"],"itemData":{"id":3920,"type":"article-journal","title":"Fusobacterium nucleatum infection is prevalent in human colorectal carcinoma","container-title":"Genome Research","page":"299-306","volume":"22","issue":"2","source":"PubMed","abstract":"An estimated 15% or more of the cancer burden worldwide is attributable to known infectious agents. We screened colorectal carcinoma and matched normal tissue specimens using RNA-seq followed by host sequence subtraction and found marked over-representation of Fusobacterium nucleatum sequences in tumors relative to control specimens. F. nucleatum is an invasive anaerobe that has been linked previously to periodontitis and appendicitis, but not to cancer. Fusobacteria are rare constituents of the fecal microbiota, but have been cultured previously from biopsies of inflamed gut mucosa. We obtained a Fusobacterium isolate from a frozen tumor specimen; this showed highest sequence similarity to a known gut mucosa isolate and was confirmed to be invasive. We verified overabundance of Fusobacterium sequences in tumor versus matched normal control tissue by quantitative PCR analysis from a total of 99 subjects (p = 2.5 × 10(-6)), and we observed a positive association with lymph node metastasis.","DOI":"10.1101/gr.126516.111","ISSN":"1549-5469","note":"PMID: 22009989\nPMCID: PMC3266037","journalAbbreviation":"Genome Res.","language":"eng","author":[{"family":"Castellarin","given":"Mauro"},{"family":"Warren","given":"René L."},{"family":"Freeman","given":"J. Douglas"},{"family":"Dreolini","given":"Lisa"},{"family":"Krzywinski","given":"Martin"},{"family":"Strauss","given":"Jaclyn"},{"family":"Barnes","given":"Rebecca"},{"family":"Watson","given":"Peter"},{"family":"Allen-Vercoe","given":"Emma"},{"family":"Moore","given":"Richard A."},{"family":"Holt","given":"Robert A."}],"issued":{"date-parts":[["2012",2]]}}}],"schema":"https://github.com/citation-style-language/schema/raw/master/csl-citation.json"} </w:instrText>
      </w:r>
      <w:r w:rsidR="009A53B6" w:rsidRPr="00123003">
        <w:rPr>
          <w:sz w:val="24"/>
          <w:szCs w:val="24"/>
          <w:lang w:val="en-US"/>
        </w:rPr>
        <w:fldChar w:fldCharType="separate"/>
      </w:r>
      <w:r w:rsidR="00F61B70" w:rsidRPr="00F61B70">
        <w:rPr>
          <w:rFonts w:ascii="Calibri" w:hAnsi="Calibri" w:cs="Calibri"/>
          <w:sz w:val="24"/>
          <w:lang w:val="en-US"/>
        </w:rPr>
        <w:t>(54)</w:t>
      </w:r>
      <w:r w:rsidR="009A53B6" w:rsidRPr="00123003">
        <w:rPr>
          <w:sz w:val="24"/>
          <w:szCs w:val="24"/>
          <w:lang w:val="en-US"/>
        </w:rPr>
        <w:fldChar w:fldCharType="end"/>
      </w:r>
      <w:r w:rsidR="00AB6F81">
        <w:rPr>
          <w:sz w:val="24"/>
          <w:szCs w:val="24"/>
          <w:lang w:val="en-US"/>
        </w:rPr>
        <w:t xml:space="preserve"> in fecal samples from both groups</w:t>
      </w:r>
      <w:r w:rsidR="005B4EB8">
        <w:rPr>
          <w:sz w:val="24"/>
          <w:szCs w:val="24"/>
          <w:lang w:val="en-US"/>
        </w:rPr>
        <w:t xml:space="preserve">. </w:t>
      </w:r>
      <w:r w:rsidR="00620B79">
        <w:rPr>
          <w:sz w:val="24"/>
          <w:szCs w:val="24"/>
          <w:lang w:val="en-US"/>
        </w:rPr>
        <w:t xml:space="preserve">For </w:t>
      </w:r>
      <w:r w:rsidR="005B4EB8">
        <w:rPr>
          <w:sz w:val="24"/>
          <w:szCs w:val="24"/>
          <w:lang w:val="en-US"/>
        </w:rPr>
        <w:t xml:space="preserve">Fusobacteria most studies show a higher abundance in CRC patients and not in healthy individuals </w:t>
      </w:r>
      <w:r w:rsidR="00AB6F81">
        <w:rPr>
          <w:sz w:val="24"/>
          <w:szCs w:val="24"/>
          <w:lang w:val="en-US"/>
        </w:rPr>
        <w:fldChar w:fldCharType="begin"/>
      </w:r>
      <w:r w:rsidR="00AB6F81">
        <w:rPr>
          <w:sz w:val="24"/>
          <w:szCs w:val="24"/>
          <w:lang w:val="en-US"/>
        </w:rPr>
        <w:instrText xml:space="preserve"> ADDIN ZOTERO_ITEM CSL_CITATION {"citationID":"iYzuOj2m","properties":{"formattedCitation":"(54,55)","plainCitation":"(54,55)","noteIndex":0},"citationItems":[{"id":3920,"uris":["http://zotero.org/users/46719/items/BZ8Q59JH"],"uri":["http://zotero.org/users/46719/items/BZ8Q59JH"],"itemData":{"id":3920,"type":"article-journal","title":"Fusobacterium nucleatum infection is prevalent in human colorectal carcinoma","container-title":"Genome Research","page":"299-306","volume":"22","issue":"2","source":"PubMed","abstract":"An estimated 15% or more of the cancer burden worldwide is attributable to known infectious agents. We screened colorectal carcinoma and matched normal tissue specimens using RNA-seq followed by host sequence subtraction and found marked over-representation of Fusobacterium nucleatum sequences in tumors relative to control specimens. F. nucleatum is an invasive anaerobe that has been linked previously to periodontitis and appendicitis, but not to cancer. Fusobacteria are rare constituents of the fecal microbiota, but have been cultured previously from biopsies of inflamed gut mucosa. We obtained a Fusobacterium isolate from a frozen tumor specimen; this showed highest sequence similarity to a known gut mucosa isolate and was confirmed to be invasive. We verified overabundance of Fusobacterium sequences in tumor versus matched normal control tissue by quantitative PCR analysis from a total of 99 subjects (p = 2.5 × 10(-6)), and we observed a positive association with lymph node metastasis.","DOI":"10.1101/gr.126516.111","ISSN":"1549-5469","note":"PMID: 22009989\nPMCID: PMC3266037","journalAbbreviation":"Genome Res.","language":"eng","author":[{"family":"Castellarin","given":"Mauro"},{"family":"Warren","given":"René L."},{"family":"Freeman","given":"J. Douglas"},{"family":"Dreolini","given":"Lisa"},{"family":"Krzywinski","given":"Martin"},{"family":"Strauss","given":"Jaclyn"},{"family":"Barnes","given":"Rebecca"},{"family":"Watson","given":"Peter"},{"family":"Allen-Vercoe","given":"Emma"},{"family":"Moore","given":"Richard A."},{"family":"Holt","given":"Robert A."}],"issued":{"date-parts":[["2012",2]]}}},{"id":3116,"uris":["http://zotero.org/users/46719/items/A9JPSB2D"],"uri":["http://zotero.org/users/46719/items/A9JPSB2D"],"itemData":{"id":3116,"type":"article-journal","title":"Association of Dietary Patterns With Risk of Colorectal Cancer Subtypes Classified by Fusobacterium Nucleatum in Tumor Tissue","container-title":"JAMA oncology","source":"PubMed","abstract":"Importance: Fusobacterium nucleatum appears to play a role in colorectal carcinogenesis through suppression of the hosts' immune response to tumor. Evidence also suggests that diet influences intestinal F nucleatum. However, the role of F nucleatum in mediating the relationship between diet and the risk of colorectal cancer is unknown.\nObjective: To test the hypothesis that the associations of prudent diets (rich in whole grains and dietary fiber) and Western diets (rich in red and processed meat, refined grains, and desserts) with colorectal cancer risk may differ according to the presence of F nucleatum in tumor tissue.\nDesign, Setting, and Participants: A prospective cohort study was conducted using data from the Nurses' Health Study (June 1, 1980, to June 1, 2012) and the Health Professionals Follow-up Study (June 1, 1986, to June 1, 2012) on a total of 121 700 US female nurses and 51 529 US male health professionals aged 30 to 55 years and 40 to 75 years, respectively (both predominantly white individuals), at enrollment. Data analysis was performed from March 15, 2015, to August 10, 2016.\nExposures: Prudent and Western diets.\nMain Outcomes and Measures: Incidence of colorectal carcinoma subclassified by F nucleatum status in tumor tissue, determined by quantitative polymerase chain reaction.\nResults: Of the 173 229 individuals considered for the study, 137 217 were included in the analysis, 47 449 were male (34.6%), and mean (SD) baseline age for men was 54.0 (9.8) years and for women, 46.3 (7.2) years. A total of 1019 incident colon and rectal cancer cases with available F nucleatum data were documented over 26 to 32 years of follow-up, encompassing 3 643 562 person-years. The association of prudent diet with colorectal cancer significantly differed by tissue F nucleatum status (P = .01 for heterogeneity); prudent diet score was associated with a lower risk of F nucleatum-positive cancers (P = .003 for trend; multivariable hazard ratio of 0.43; 95% CI, 0.25-0.72, for the highest vs the lowest prudent score quartile) but not with F nucleatum-negative cancers (P = .47 for trend, the corresponding multivariable hazard ratio of 0.95; 95% CI, 0.77-1.17). There was no significant heterogeneity between the subgroups in relation to Western dietary pattern scores.\nConclusions and Relevance: Prudent diets rich in whole grains and dietary fiber are associated with a lower risk for F nucleatum-positive colorectal cancer but not F nucleatum-negative cancer, supporting a potential role for intestinal microbiota in mediating the association between diet and colorectal neoplasms.","DOI":"10.1001/jamaoncol.2016.6374","ISSN":"2374-2445","note":"PMID: 28125762","journalAbbreviation":"JAMA Oncol","language":"eng","author":[{"family":"Mehta","given":"Raaj S."},{"family":"Nishihara","given":"Reiko"},{"family":"Cao","given":"Yin"},{"family":"Song","given":"Mingyang"},{"family":"Mima","given":"Kosuke"},{"family":"Qian","given":"Zhi Rong"},{"family":"Nowak","given":"Jonathan A."},{"family":"Kosumi","given":"Keisuke"},{"family":"Hamada","given":"Tsuyoshi"},{"family":"Masugi","given":"Yohei"},{"family":"Bullman","given":"Susan"},{"family":"Drew","given":"David A."},{"family":"Kostic","given":"Aleksandar D."},{"family":"Fung","given":"Teresa T."},{"family":"Garrett","given":"Wendy S."},{"family":"Huttenhower","given":"Curtis"},{"family":"Wu","given":"Kana"},{"family":"Meyerhardt","given":"Jeffrey A."},{"family":"Zhang","given":"Xuehong"},{"family":"Willett","given":"Walter C."},{"family":"Giovannucci","given":"Edward L."},{"family":"Fuchs","given":"Charles S."},{"family":"Chan","given":"Andrew T."},{"family":"Ogino","given":"Shuji"}],"issued":{"date-parts":[["2017",1,26]]}}}],"schema":"https://github.com/citation-style-language/schema/raw/master/csl-citation.json"} </w:instrText>
      </w:r>
      <w:r w:rsidR="00AB6F81">
        <w:rPr>
          <w:sz w:val="24"/>
          <w:szCs w:val="24"/>
          <w:lang w:val="en-US"/>
        </w:rPr>
        <w:fldChar w:fldCharType="separate"/>
      </w:r>
      <w:r w:rsidR="00AB6F81" w:rsidRPr="00AB6F81">
        <w:rPr>
          <w:rFonts w:ascii="Calibri" w:hAnsi="Calibri" w:cs="Calibri"/>
          <w:sz w:val="24"/>
          <w:lang w:val="en-US"/>
        </w:rPr>
        <w:t>(54,55)</w:t>
      </w:r>
      <w:r w:rsidR="00AB6F81">
        <w:rPr>
          <w:sz w:val="24"/>
          <w:szCs w:val="24"/>
          <w:lang w:val="en-US"/>
        </w:rPr>
        <w:fldChar w:fldCharType="end"/>
      </w:r>
      <w:r w:rsidR="005B4EB8">
        <w:rPr>
          <w:sz w:val="24"/>
          <w:szCs w:val="24"/>
          <w:lang w:val="en-US"/>
        </w:rPr>
        <w:t xml:space="preserve">, </w:t>
      </w:r>
      <w:r w:rsidR="006429D5">
        <w:rPr>
          <w:sz w:val="24"/>
          <w:szCs w:val="24"/>
          <w:lang w:val="en-US"/>
        </w:rPr>
        <w:t xml:space="preserve">supporting </w:t>
      </w:r>
      <w:r w:rsidR="005B4EB8">
        <w:rPr>
          <w:sz w:val="24"/>
          <w:szCs w:val="24"/>
          <w:lang w:val="en-US"/>
        </w:rPr>
        <w:t>an association with CRC rather than CRC risk</w:t>
      </w:r>
      <w:r w:rsidR="00620B79">
        <w:rPr>
          <w:sz w:val="24"/>
          <w:szCs w:val="24"/>
          <w:lang w:val="en-US"/>
        </w:rPr>
        <w:t xml:space="preserve">. However, </w:t>
      </w:r>
      <w:r w:rsidR="00620B79" w:rsidRPr="006429D5">
        <w:rPr>
          <w:i/>
          <w:sz w:val="24"/>
          <w:szCs w:val="24"/>
          <w:lang w:val="en-US"/>
        </w:rPr>
        <w:t xml:space="preserve">B. </w:t>
      </w:r>
      <w:proofErr w:type="spellStart"/>
      <w:r w:rsidR="00620B79" w:rsidRPr="006429D5">
        <w:rPr>
          <w:i/>
          <w:sz w:val="24"/>
          <w:szCs w:val="24"/>
          <w:lang w:val="en-US"/>
        </w:rPr>
        <w:t>wadsworthia</w:t>
      </w:r>
      <w:proofErr w:type="spellEnd"/>
      <w:r w:rsidR="00620B79">
        <w:rPr>
          <w:sz w:val="24"/>
          <w:szCs w:val="24"/>
          <w:lang w:val="en-US"/>
        </w:rPr>
        <w:t xml:space="preserve"> was shown to be associated with CRC risk markers, suggesting that distinct </w:t>
      </w:r>
      <w:proofErr w:type="gramStart"/>
      <w:r w:rsidR="00620B79">
        <w:rPr>
          <w:sz w:val="24"/>
          <w:szCs w:val="24"/>
          <w:lang w:val="en-US"/>
        </w:rPr>
        <w:t>AN environmental factors</w:t>
      </w:r>
      <w:proofErr w:type="gramEnd"/>
      <w:r w:rsidR="00620B79">
        <w:rPr>
          <w:sz w:val="24"/>
          <w:szCs w:val="24"/>
          <w:lang w:val="en-US"/>
        </w:rPr>
        <w:t xml:space="preserve"> other than diet may </w:t>
      </w:r>
      <w:r w:rsidR="00AB6F81">
        <w:rPr>
          <w:sz w:val="24"/>
          <w:szCs w:val="24"/>
          <w:lang w:val="en-US"/>
        </w:rPr>
        <w:t>affect the</w:t>
      </w:r>
      <w:r w:rsidR="00620B79">
        <w:rPr>
          <w:sz w:val="24"/>
          <w:szCs w:val="24"/>
          <w:lang w:val="en-US"/>
        </w:rPr>
        <w:t xml:space="preserve"> abundance of these two gut bacteria</w:t>
      </w:r>
      <w:r w:rsidR="006429D5">
        <w:rPr>
          <w:sz w:val="24"/>
          <w:szCs w:val="24"/>
          <w:lang w:val="en-US"/>
        </w:rPr>
        <w:t xml:space="preserve"> in healthy individuals</w:t>
      </w:r>
      <w:r w:rsidR="00620B79">
        <w:rPr>
          <w:sz w:val="24"/>
          <w:szCs w:val="24"/>
          <w:lang w:val="en-US"/>
        </w:rPr>
        <w:t xml:space="preserve">. </w:t>
      </w:r>
    </w:p>
    <w:p w:rsidR="006E7E57" w:rsidRPr="00BE05D2" w:rsidRDefault="005E1E64" w:rsidP="00BE05D2">
      <w:pPr>
        <w:spacing w:line="480" w:lineRule="auto"/>
        <w:jc w:val="both"/>
        <w:rPr>
          <w:sz w:val="24"/>
          <w:szCs w:val="24"/>
          <w:lang w:val="en-US"/>
        </w:rPr>
      </w:pPr>
      <w:r w:rsidRPr="00123003">
        <w:rPr>
          <w:sz w:val="24"/>
          <w:szCs w:val="24"/>
          <w:lang w:val="en-US"/>
        </w:rPr>
        <w:t>In addition, t</w:t>
      </w:r>
      <w:r w:rsidR="006E7E57" w:rsidRPr="00123003">
        <w:rPr>
          <w:sz w:val="24"/>
          <w:szCs w:val="24"/>
          <w:lang w:val="en-US"/>
        </w:rPr>
        <w:t xml:space="preserve">he </w:t>
      </w:r>
      <w:r w:rsidR="009B612C">
        <w:rPr>
          <w:sz w:val="24"/>
          <w:szCs w:val="24"/>
          <w:lang w:val="en-US"/>
        </w:rPr>
        <w:t>high</w:t>
      </w:r>
      <w:r w:rsidR="009B612C" w:rsidRPr="00123003">
        <w:rPr>
          <w:sz w:val="24"/>
          <w:szCs w:val="24"/>
          <w:lang w:val="en-US"/>
        </w:rPr>
        <w:t xml:space="preserve"> </w:t>
      </w:r>
      <w:r w:rsidR="006E7E57" w:rsidRPr="00123003">
        <w:rPr>
          <w:sz w:val="24"/>
          <w:szCs w:val="24"/>
          <w:lang w:val="en-US"/>
        </w:rPr>
        <w:t xml:space="preserve">amount of meat in the </w:t>
      </w:r>
      <w:proofErr w:type="gramStart"/>
      <w:r w:rsidR="006E7E57" w:rsidRPr="00123003">
        <w:rPr>
          <w:sz w:val="24"/>
          <w:szCs w:val="24"/>
          <w:lang w:val="en-US"/>
        </w:rPr>
        <w:t>AN</w:t>
      </w:r>
      <w:proofErr w:type="gramEnd"/>
      <w:r w:rsidR="006E7E57" w:rsidRPr="00123003">
        <w:rPr>
          <w:sz w:val="24"/>
          <w:szCs w:val="24"/>
          <w:lang w:val="en-US"/>
        </w:rPr>
        <w:t xml:space="preserve"> diet may promote detrimental </w:t>
      </w:r>
      <w:r w:rsidR="00823DEB" w:rsidRPr="00123003">
        <w:rPr>
          <w:sz w:val="24"/>
          <w:szCs w:val="24"/>
          <w:lang w:val="en-US"/>
        </w:rPr>
        <w:t>alterations</w:t>
      </w:r>
      <w:r w:rsidR="006E7E57" w:rsidRPr="00123003">
        <w:rPr>
          <w:sz w:val="24"/>
          <w:szCs w:val="24"/>
          <w:lang w:val="en-US"/>
        </w:rPr>
        <w:t xml:space="preserve"> in a colonic environment preconditioned by low butyrate concentrations. </w:t>
      </w:r>
      <w:r w:rsidR="00387FA6" w:rsidRPr="00123003">
        <w:rPr>
          <w:sz w:val="24"/>
          <w:szCs w:val="24"/>
          <w:lang w:val="en-US"/>
        </w:rPr>
        <w:t xml:space="preserve">A metabolic shift of microbial metagenomes from carbohydrate fermentation to protein degradation was </w:t>
      </w:r>
      <w:r w:rsidR="00B83CB4">
        <w:rPr>
          <w:sz w:val="24"/>
          <w:szCs w:val="24"/>
          <w:lang w:val="en-US"/>
        </w:rPr>
        <w:t xml:space="preserve">shown to be </w:t>
      </w:r>
      <w:r w:rsidR="00387FA6" w:rsidRPr="00123003">
        <w:rPr>
          <w:sz w:val="24"/>
          <w:szCs w:val="24"/>
          <w:lang w:val="en-US"/>
        </w:rPr>
        <w:t>associated with CRC</w:t>
      </w:r>
      <w:r w:rsidR="00293D7F" w:rsidRPr="00123003">
        <w:rPr>
          <w:sz w:val="24"/>
          <w:szCs w:val="24"/>
          <w:lang w:val="en-US"/>
        </w:rPr>
        <w:t xml:space="preserve"> </w:t>
      </w:r>
      <w:r w:rsidR="00293D7F" w:rsidRPr="00123003">
        <w:rPr>
          <w:sz w:val="24"/>
          <w:szCs w:val="24"/>
          <w:lang w:val="en-US"/>
        </w:rPr>
        <w:fldChar w:fldCharType="begin"/>
      </w:r>
      <w:r w:rsidR="00F61B70">
        <w:rPr>
          <w:sz w:val="24"/>
          <w:szCs w:val="24"/>
          <w:lang w:val="en-US"/>
        </w:rPr>
        <w:instrText xml:space="preserve"> ADDIN ZOTERO_ITEM CSL_CITATION {"citationID":"aetvcvjg2p","properties":{"formattedCitation":"(50)","plainCitation":"(50)","noteIndex":0},"citationItems":[{"id":4445,"uris":["http://zotero.org/users/46719/items/7S445VVB"],"uri":["http://zotero.org/users/46719/items/7S445VVB"],"itemData":{"id":4445,"type":"article-journal","title":"Meta-analysis of fecal metagenomes reveals global microbial signatures that are specific for colorectal cancer","container-title":"Nature Medicine","page":"679","volume":"25","issue":"4","source":"www.nature.com","abstract":"Cross-study analysis defines fecal microbial species associated with colorectal cancer.","DOI":"10.1038/s41591-019-0406-6","ISSN":"1546-170X","language":"En","author":[{"family":"Wirbel","given":"Jakob"},{"family":"Pyl","given":"Paul Theodor"},{"family":"Kartal","given":"Ece"},{"family":"Zych","given":"Konrad"},{"family":"Kashani","given":"Alireza"},{"family":"Milanese","given":"Alessio"},{"family":"Fleck","given":"Jonas S."},{"family":"Voigt","given":"Anita Y."},{"family":"Palleja","given":"Albert"},{"family":"Ponnudurai","given":"Ruby"},{"family":"Sunagawa","given":"Shinichi"},{"family":"Coelho","given":"Luis Pedro"},{"family":"Schrotz-King","given":"Petra"},{"family":"Vogtmann","given":"Emily"},{"family":"Habermann","given":"Nina"},{"family":"Niméus","given":"Emma"},{"family":"Thomas","given":"Andrew M."},{"family":"Manghi","given":"Paolo"},{"family":"Gandini","given":"Sara"},{"family":"Serrano","given":"Davide"},{"family":"Mizutani","given":"Sayaka"},{"family":"Shiroma","given":"Hirotsugu"},{"family":"Shiba","given":"Satoshi"},{"family":"Shibata","given":"Tatsuhiro"},{"family":"Yachida","given":"Shinichi"},{"family":"Yamada","given":"Takuji"},{"family":"Waldron","given":"Levi"},{"family":"Naccarati","given":"Alessio"},{"family":"Segata","given":"Nicola"},{"family":"Sinha","given":"Rashmi"},{"family":"Ulrich","given":"Cornelia M."},{"family":"Brenner","given":"Hermann"},{"family":"Arumugam","given":"Manimozhiyan"},{"family":"Bork","given":"Peer"},{"family":"Zeller","given":"Georg"}],"issued":{"date-parts":[["2019",4]]}}}],"schema":"https://github.com/citation-style-language/schema/raw/master/csl-citation.json"} </w:instrText>
      </w:r>
      <w:r w:rsidR="00293D7F" w:rsidRPr="00123003">
        <w:rPr>
          <w:sz w:val="24"/>
          <w:szCs w:val="24"/>
          <w:lang w:val="en-US"/>
        </w:rPr>
        <w:fldChar w:fldCharType="separate"/>
      </w:r>
      <w:r w:rsidR="00F61B70" w:rsidRPr="00F61B70">
        <w:rPr>
          <w:rFonts w:ascii="Calibri" w:hAnsi="Calibri" w:cs="Calibri"/>
          <w:sz w:val="24"/>
          <w:lang w:val="en-US"/>
        </w:rPr>
        <w:t>(50)</w:t>
      </w:r>
      <w:r w:rsidR="00293D7F" w:rsidRPr="00123003">
        <w:rPr>
          <w:sz w:val="24"/>
          <w:szCs w:val="24"/>
          <w:lang w:val="en-US"/>
        </w:rPr>
        <w:fldChar w:fldCharType="end"/>
      </w:r>
      <w:r w:rsidR="00387FA6" w:rsidRPr="00123003">
        <w:rPr>
          <w:sz w:val="24"/>
          <w:szCs w:val="24"/>
          <w:lang w:val="en-US"/>
        </w:rPr>
        <w:t xml:space="preserve">. </w:t>
      </w:r>
      <w:r w:rsidR="006E7E57" w:rsidRPr="00123003">
        <w:rPr>
          <w:sz w:val="24"/>
          <w:szCs w:val="24"/>
          <w:lang w:val="en-US"/>
        </w:rPr>
        <w:t xml:space="preserve">A diet rich in meat promotes high levels of </w:t>
      </w:r>
      <w:r w:rsidR="00E85119" w:rsidRPr="00123003">
        <w:rPr>
          <w:sz w:val="24"/>
          <w:szCs w:val="24"/>
          <w:lang w:val="en-US"/>
        </w:rPr>
        <w:t xml:space="preserve">heterocyclic amines, </w:t>
      </w:r>
      <w:r w:rsidR="006E7E57" w:rsidRPr="00123003">
        <w:rPr>
          <w:i/>
          <w:sz w:val="24"/>
          <w:szCs w:val="24"/>
          <w:lang w:val="en-US"/>
        </w:rPr>
        <w:t>N</w:t>
      </w:r>
      <w:r w:rsidR="006E7E57" w:rsidRPr="00123003">
        <w:rPr>
          <w:sz w:val="24"/>
          <w:szCs w:val="24"/>
          <w:lang w:val="en-US"/>
        </w:rPr>
        <w:t xml:space="preserve">-nitrosamines or polycyclic aromatic hydrocarbons in the colon that have pro-carcinogenic effects </w:t>
      </w:r>
      <w:r w:rsidR="006E7E57" w:rsidRPr="00123003">
        <w:rPr>
          <w:sz w:val="24"/>
          <w:szCs w:val="24"/>
          <w:lang w:val="en-US"/>
        </w:rPr>
        <w:fldChar w:fldCharType="begin"/>
      </w:r>
      <w:r w:rsidR="00F61B70">
        <w:rPr>
          <w:sz w:val="24"/>
          <w:szCs w:val="24"/>
          <w:lang w:val="en-US"/>
        </w:rPr>
        <w:instrText xml:space="preserve"> ADDIN ZOTERO_ITEM CSL_CITATION {"citationID":"a26lcllit17","properties":{"formattedCitation":"(7)","plainCitation":"(7)","noteIndex":0},"citationItems":[{"id":3520,"uris":["http://zotero.org/users/46719/items/ZWR6A2KF"],"uri":["http://zotero.org/users/46719/items/ZWR6A2KF"],"itemData":{"id":3520,"type":"article-journal","title":"Diet, microorganisms and their metabolites, and colon cancer","container-title":"Nature Reviews. Gastroenterology &amp; Hepatology","page":"691-706","volume":"13","issue":"12","source":"PubMed","abstract":"Colorectal cancer is one of the so-called westernized diseases and the second leading cause of cancer death worldwide. On the basis of global epidemiological and scientific studies, evidence suggests that the risk of colorectal cancer is increased by processed and unprocessed meat consumption but suppressed by fibre, and that food composition affects colonic health and cancer risk via its effects on colonic microbial metabolism. The gut microbiota can ferment complex dietary residues that are resistant to digestion by enteric enzymes. This process provides energy for the microbiota but culminates in the release of short-chain fatty acids including butyrate, which are utilized for the metabolic needs of the colon and the body. Butyrate has a remarkable array of colonic health-promoting and antineoplastic properties: it is the preferred energy source for colonocytes, it maintains mucosal integrity and it suppresses inflammation and carcinogenesis through effects on immunity, gene expression and epigenetic modulation. Protein residues and fat-stimulated bile acids are also metabolized by the microbiota to inflammatory and/or carcinogenic metabolites, which increase the risk of neoplastic progression. This Review will discuss the mechanisms behind these microbial metabolite effects, which could be modified by diet to achieve the objective of preventing colorectal cancer in Western societies.","DOI":"10.1038/nrgastro.2016.165","ISSN":"1759-5053","note":"PMID: 27848961","journalAbbreviation":"Nat Rev Gastroenterol Hepatol","language":"eng","author":[{"family":"O'Keefe","given":"Stephen J. D."}],"issued":{"date-parts":[["2016",12]]}}}],"schema":"https://github.com/citation-style-language/schema/raw/master/csl-citation.json"} </w:instrText>
      </w:r>
      <w:r w:rsidR="006E7E57" w:rsidRPr="00123003">
        <w:rPr>
          <w:sz w:val="24"/>
          <w:szCs w:val="24"/>
          <w:lang w:val="en-US"/>
        </w:rPr>
        <w:fldChar w:fldCharType="separate"/>
      </w:r>
      <w:r w:rsidR="00164E6C" w:rsidRPr="00123003">
        <w:rPr>
          <w:sz w:val="24"/>
          <w:szCs w:val="24"/>
          <w:lang w:val="en-US"/>
        </w:rPr>
        <w:t>(7)</w:t>
      </w:r>
      <w:r w:rsidR="006E7E57" w:rsidRPr="00123003">
        <w:rPr>
          <w:sz w:val="24"/>
          <w:szCs w:val="24"/>
          <w:lang w:val="en-US"/>
        </w:rPr>
        <w:fldChar w:fldCharType="end"/>
      </w:r>
      <w:r w:rsidR="006E7E57" w:rsidRPr="00123003">
        <w:rPr>
          <w:sz w:val="24"/>
          <w:szCs w:val="24"/>
          <w:lang w:val="en-US"/>
        </w:rPr>
        <w:t xml:space="preserve">. Critically, their tumor-promoting activity </w:t>
      </w:r>
      <w:r w:rsidR="00B83CB4">
        <w:rPr>
          <w:sz w:val="24"/>
          <w:szCs w:val="24"/>
          <w:lang w:val="en-US"/>
        </w:rPr>
        <w:t>i</w:t>
      </w:r>
      <w:r w:rsidR="006E7E57" w:rsidRPr="00123003">
        <w:rPr>
          <w:sz w:val="24"/>
          <w:szCs w:val="24"/>
          <w:lang w:val="en-US"/>
        </w:rPr>
        <w:t xml:space="preserve">s ameliorated by supplementation with fiber or butyrate </w:t>
      </w:r>
      <w:r w:rsidR="006E7E57" w:rsidRPr="00123003">
        <w:rPr>
          <w:sz w:val="24"/>
          <w:szCs w:val="24"/>
          <w:lang w:val="en-US"/>
        </w:rPr>
        <w:fldChar w:fldCharType="begin"/>
      </w:r>
      <w:r w:rsidR="00AB6F81">
        <w:rPr>
          <w:sz w:val="24"/>
          <w:szCs w:val="24"/>
          <w:lang w:val="en-US"/>
        </w:rPr>
        <w:instrText xml:space="preserve"> ADDIN ZOTERO_ITEM CSL_CITATION {"citationID":"a26helf9k91","properties":{"formattedCitation":"(56,57)","plainCitation":"(56,57)","noteIndex":0},"citationItems":[{"id":3104,"uris":["http://zotero.org/users/46719/items/8GASSGCC"],"uri":["http://zotero.org/users/46719/items/8GASSGCC"],"itemData":{"id":3104,"type":"article-journal","title":"Inhibition by resistant starch of red meat-induced promutagenic adducts in mouse colon","container-title":"Cancer Prevention Research (Philadelphia, Pa.)","page":"1920-1928","volume":"4","issue":"11","source":"PubMed","abstract":"Population studies have shown that high red meat intake may increase colorectal cancer risk. Our aim was to examine the effect of different amounts and sources of dietary protein on induction of the promutagenic adduct O(6)-methyl-2-deoxyguanosine (O(6)MeG) in colonocytes, to relate these to markers of large bowel protein fermentation and ascertain whether increasing colonic carbohydrate fermentation modified these effects. Mice (n = 72) were fed 15% or 30% protein as casein or red meat or 30% protein with 10% high amylose maize starch as the source of resistant starch. Genetic damage in distal colonocytes was detected by immunohistochemical staining for O(6)MeG and apoptosis. Feces were collected for measurement of pH, ammonia, phenols, p-cresol, and short-chain fatty acids (SCFA). O(6)MeG and fecal p-cresol concentrations were significantly higher with red meat than with casein (P &lt; 0.018), with adducts accumulating in cells at the crypt apex. DNA adducts (P &lt; 0.01) and apoptosis (P &lt; 0.001) were lower and protein fermentation products (fecal ammonia, P &lt; 0.05; phenol, P &lt; 0.0001) higher in mice fed resistant starch. Fecal SCFA levels were also higher in mice fed resistant starch (P &lt; 0.0001). This is the first demonstration that high protein diets increase promutagenic adducts (O(6)MeG) in the colon and dietary protein type seems to be the critical factor. The delivery of fermentable carbohydrate to the colon (as resistant starch) seems to switch from fermentation of protein to that of carbohydrate and a reduction in adduct formation, supporting previous observations that dietary resistant starch opposes the mutagenic effects of dietary red meat.","DOI":"10.1158/1940-6207.CAPR-11-0176","ISSN":"1940-6215","note":"PMID: 21885815","journalAbbreviation":"Cancer Prev Res (Phila)","language":"eng","author":[{"family":"Winter","given":"Jean"},{"family":"Nyskohus","given":"Laura"},{"family":"Young","given":"Graeme P."},{"family":"Hu","given":"Ying"},{"family":"Conlon","given":"Michael A."},{"family":"Bird","given":"Anthony R."},{"family":"Topping","given":"David L."},{"family":"Le Leu","given":"Richard K."}],"issued":{"date-parts":[["2011",11]]}}},{"id":3021,"uris":["http://zotero.org/users/46719/items/B2CEWTQG"],"uri":["http://zotero.org/users/46719/items/B2CEWTQG"],"itemData":{"id":3021,"type":"article-journal","title":"Butyrylated starch intake can prevent red meat-induced O6-methyl-2-deoxyguanosine adducts in human rectal tissue: a randomised clinical trial","container-title":"The British Journal of Nutrition","page":"220-230","volume":"114","issue":"2","source":"PubMed","abstract":"Epidemiological studies have identified increased colorectal cancer (CRC) risk with high red meat (HRM) intakes, whereas dietary fibre intake appears to be protective. In the present study, we examined whether a HRM diet increased rectal O(6)-methyl-2-deoxyguanosine (O(6)MeG) adduct levels in healthy human subjects, and whether butyrylated high-amylose maize starch (HAMSB) was protective. A group of twenty-three individuals consumed 300 g/d of cooked red meat without (HRM diet) or with 40 g/d of HAMSB (HRM+HAMSB diet) over 4-week periods separated by a 4-week washout in a randomised cross-over design. Stool and rectal biopsy samples were collected for biochemical, microbial and immunohistochemical analyses at baseline and at the end of each 4-week intervention period. The HRM diet increased rectal O(6)MeG adducts relative to its baseline by 21% (P &lt; 0.01), whereas the addition of HAMSB to the HRM diet prevented this increase. Epithelial proliferation increased with both the HRM (P &lt; 0.001) and HRM + HAMSB (P &lt; 0.05) diets when compared with their respective baseline levels, but was lower following the HRM + HAMSB diet compared with the HRM diet (P &lt; 0.05). Relative to its baseline, the HRM + HAMSB diet increased the excretion of SCFA by over 20% (P &lt; 0.05) and increased the absolute abundances of the Clostridium coccoides group (P &lt; 0.05), the Clostridium leptum group (P &lt; 0.05), Lactobacillus spp. (P &lt; 0.01), Parabacteroides distasonis (P &lt; 0.001) and Ruminococcus bromii (P &lt; 0.05), but lowered Ruminococcus torques (P &lt; 0.05) and the proportions of Ruminococcus gnavus, Ruminococcus torques and Escherichia coli (P &lt; 0.01). HRM consumption could increase the risk of CRC through increased formation of colorectal epithelial O(6)MeG adducts. HAMSB consumption prevented red meat-induced adduct formation, which may be associated with increased stool SCFA levels and/or changes in the microbiota composition.","DOI":"10.1017/S0007114515001750","ISSN":"1475-2662","note":"PMID: 26084032\nPMCID: PMC4531472","title-short":"Butyrylated starch intake can prevent red meat-induced O6-methyl-2-deoxyguanosine adducts in human rectal tissue","journalAbbreviation":"Br. J. Nutr.","language":"eng","author":[{"family":"Le Leu","given":"Richard K."},{"family":"Winter","given":"Jean M."},{"family":"Christophersen","given":"Claus T."},{"family":"Young","given":"Graeme P."},{"family":"Humphreys","given":"Karen J."},{"family":"Hu","given":"Ying"},{"family":"Gratz","given":"Silvia W."},{"family":"Miller","given":"Rosalind B."},{"family":"Topping","given":"David L."},{"family":"Bird","given":"Anthony R."},{"family":"Conlon","given":"Michael A."}],"issued":{"date-parts":[["2015",7]]}}}],"schema":"https://github.com/citation-style-language/schema/raw/master/csl-citation.json"} </w:instrText>
      </w:r>
      <w:r w:rsidR="006E7E57" w:rsidRPr="00123003">
        <w:rPr>
          <w:sz w:val="24"/>
          <w:szCs w:val="24"/>
          <w:lang w:val="en-US"/>
        </w:rPr>
        <w:fldChar w:fldCharType="separate"/>
      </w:r>
      <w:r w:rsidR="00AB6F81" w:rsidRPr="00AB6F81">
        <w:rPr>
          <w:rFonts w:ascii="Calibri" w:hAnsi="Calibri" w:cs="Calibri"/>
          <w:sz w:val="24"/>
          <w:lang w:val="en-US"/>
        </w:rPr>
        <w:t>(56,57)</w:t>
      </w:r>
      <w:r w:rsidR="006E7E57" w:rsidRPr="00123003">
        <w:rPr>
          <w:sz w:val="24"/>
          <w:szCs w:val="24"/>
          <w:lang w:val="en-US"/>
        </w:rPr>
        <w:fldChar w:fldCharType="end"/>
      </w:r>
      <w:r w:rsidR="006E7E57" w:rsidRPr="00123003">
        <w:rPr>
          <w:sz w:val="24"/>
          <w:szCs w:val="24"/>
          <w:lang w:val="en-US"/>
        </w:rPr>
        <w:t xml:space="preserve">. Being another source of carcinogens, the prevalence of tobacco use, in particular smoking cigarettes, is high in AN communities </w:t>
      </w:r>
      <w:r w:rsidR="006E7E57" w:rsidRPr="00123003">
        <w:rPr>
          <w:sz w:val="24"/>
          <w:szCs w:val="24"/>
          <w:lang w:val="en-US"/>
        </w:rPr>
        <w:fldChar w:fldCharType="begin"/>
      </w:r>
      <w:r w:rsidR="00AB6F81">
        <w:rPr>
          <w:sz w:val="24"/>
          <w:szCs w:val="24"/>
          <w:lang w:val="en-US"/>
        </w:rPr>
        <w:instrText xml:space="preserve"> ADDIN ZOTERO_ITEM CSL_CITATION {"citationID":"a2cfgib4cot","properties":{"unsorted":true,"formattedCitation":"(58,59)","plainCitation":"(58,59)","noteIndex":0},"citationItems":[{"id":4114,"uris":["http://zotero.org/users/46719/items/MZ7FPBCI"],"uri":["http://zotero.org/users/46719/items/MZ7FPBCI"],"itemData":{"id":4114,"type":"article-journal","title":"Differences in cigarette and smokeless tobacco use among American Indian and Alaska Native people living in Alaska and the Southwest United States","container-title":"Nicotine &amp; Tobacco Research: Official Journal of the Society for Research on Nicotine and Tobacco","page":"791-796","volume":"12","issue":"7","source":"PubMed","abstract":"INTRODUCTION: This study analyzed self-reported tobacco use among American Indian and Alaska Native (AI/AN) people enrolled in the Education and Research Towards Health Study in Alaska (n = 3,821) and the Southwest United States (n = 7,505) from 2004 to 2006.\nMETHODS: Participants (7,060 women and 4,266 men) completed a computer-assisted self-administered questionnaire on cigarette and smokeless tobacco (ST) use.\nRESULTS: Current use of cigarettes was considerably higher in Alaska than in the Southwest United States (32% vs. 8%). Current ST use was also more common in Alaska than in the Southwest United States (18% vs. 8%). Additionally, smoking was more common among men, younger age, those who were not married, and who only spoke English at home, while ST use was more common among men, those with lower educational attainment and those who spoke an AI/AN language at home (p &lt; .01). Compared with the U.S. general population, AI/AN people living in Alaska were more likely and those living in the Southwest United States were less likely to be current smokers. Rates of ST use, including homemade ST, in both regions were much higher than the U.S. general population.\nDISCUSSION: Tobacco use among AI/AN people in the Southwest United States, who have a tradition of ceremonial tobacco use, was far lower than among Alaska Native people, who do not have a tribal tradition. Tobacco use is a key risk factor for multiple diseases. Reduction of tobacco use is a critical prevention measure to improve the health of AI/AN people.","DOI":"10.1093/ntr/ntq087","ISSN":"1469-994X","note":"PMID: 20525781\nPMCID: PMC2893297","journalAbbreviation":"Nicotine Tob. Res.","language":"eng","author":[{"family":"Redwood","given":"Diana"},{"family":"Lanier","given":"Anne P."},{"family":"Renner","given":"Caroline"},{"family":"Smith","given":"Julia"},{"family":"Tom-Orme","given":"Lillian"},{"family":"Slattery","given":"Martha L."}],"issued":{"date-parts":[["2010",7]]}}},{"id":4120,"uris":["http://zotero.org/users/46719/items/LD2IGK62"],"uri":["http://zotero.org/users/46719/items/LD2IGK62"],"itemData":{"id":4120,"type":"article-journal","title":"Discovering unique tobacco use patterns among Alaska Native people","container-title":"International Journal of Circumpolar Health","volume":"72","source":"PubMed Central","abstract":"Background\nAlaska Native people are disproportionately impacted by tobacco-related diseases in comparison to non-Native Alaskans.\n\nDesign\nWe used Alaska’s Behavioral Risk Factor Surveillance System (BRFSS) to describe tobacco use among more than 4,100 Alaska Native adults, stratified by geographic region and demographic groups.\n\nResults\nOverall tobacco use was high: approximately 2 out of every 5 Alaska Native adults reported smoking cigarettes (41.2%) and 1 in 10 reported using smokeless tobacco (SLT, 12.3%). A small percentage overall (4.8%) reported using iq’mik, an SLT variant unique to Alaska Native people. When examined by geographic region, cigarette smoking was highest in remote geographic regions; SLT use was highest in the southwest region of the state. Use of iq’mik was primarily confined to a specific area of the state; further analysis showed that 1 in 3 women currently used iq’mik in this region.\n\nConclusion\nOur results suggest that different types of tobacco use are epidemic among diverse Alaska Native communities. Our results also illustrate that detailed analysis within racial/ethnic groups can be useful for public health programme planning to reduce health disparities.","URL":"https://www.ncbi.nlm.nih.gov/pmc/articles/PMC3749463/","DOI":"10.3402/ijch.v72i0.21208","ISSN":"1239-9736","note":"PMID: 23971010\nPMCID: PMC3749463","journalAbbreviation":"Int J Circumpolar Health","author":[{"family":"Dilley","given":"Julia A."},{"family":"Peterson","given":"Erin"},{"family":"Hiratsuka","given":"Vanessa Y."},{"family":"Rohde","given":"Kristen"}],"issued":{"date-parts":[["2013",8,5]]},"accessed":{"date-parts":[["2018",10,23]]}}}],"schema":"https://github.com/citation-style-language/schema/raw/master/csl-citation.json"} </w:instrText>
      </w:r>
      <w:r w:rsidR="006E7E57" w:rsidRPr="00123003">
        <w:rPr>
          <w:sz w:val="24"/>
          <w:szCs w:val="24"/>
          <w:lang w:val="en-US"/>
        </w:rPr>
        <w:fldChar w:fldCharType="separate"/>
      </w:r>
      <w:r w:rsidR="00AB6F81" w:rsidRPr="00AB6F81">
        <w:rPr>
          <w:rFonts w:ascii="Calibri" w:hAnsi="Calibri" w:cs="Calibri"/>
          <w:sz w:val="24"/>
          <w:lang w:val="en-US"/>
        </w:rPr>
        <w:t>(58,59)</w:t>
      </w:r>
      <w:r w:rsidR="006E7E57" w:rsidRPr="00123003">
        <w:rPr>
          <w:sz w:val="24"/>
          <w:szCs w:val="24"/>
          <w:lang w:val="en-US"/>
        </w:rPr>
        <w:fldChar w:fldCharType="end"/>
      </w:r>
      <w:r w:rsidR="006E7E57" w:rsidRPr="00123003">
        <w:rPr>
          <w:sz w:val="24"/>
          <w:szCs w:val="24"/>
          <w:lang w:val="en-US"/>
        </w:rPr>
        <w:t xml:space="preserve"> and a link between cigarette smoking and CRC risk has been demonstrated </w:t>
      </w:r>
      <w:r w:rsidR="006E7E57" w:rsidRPr="00123003">
        <w:rPr>
          <w:sz w:val="24"/>
          <w:szCs w:val="24"/>
          <w:lang w:val="en-US"/>
        </w:rPr>
        <w:fldChar w:fldCharType="begin"/>
      </w:r>
      <w:r w:rsidR="00F61B70">
        <w:rPr>
          <w:sz w:val="24"/>
          <w:szCs w:val="24"/>
          <w:lang w:val="en-US"/>
        </w:rPr>
        <w:instrText xml:space="preserve"> ADDIN ZOTERO_ITEM CSL_CITATION {"citationID":"aaiuao6i91","properties":{"formattedCitation":"(28)","plainCitation":"(28)","noteIndex":0},"citationItems":[{"id":4119,"uris":["http://zotero.org/users/46719/items/84TBH3LW"],"uri":["http://zotero.org/users/46719/items/84TBH3LW"],"itemData":{"id":4119,"type":"article-journal","title":"The Association between Cigarette Smoking and Risk of Colorectal Cancer in a Large Prospective Cohort from the United States","container-title":"Cancer Epidemiology and Prevention Biomarkers","page":"3362-3367","volume":"18","issue":"12","source":"cebp.aacrjournals.org","abstract":"Background: Many studies have reported a 20% to 60% increase in risk of colorectal cancer associated with active smoking. However, neither the U.S. Surgeon General nor the IARC have classified the relationship as causal because of concern about residual confounding.\nMethods: In a prospective study of 184,187 people followed from 1992 to 2005, we used Cox proportional hazard models to examine the relationship of cigarette smoking to incident colorectal cancer, controlling for screening and multiple known and putative risk factors. Information on smoking and time-varying covariates was updated in 1997, 1999, 2001, and 2003.\nResults: The incidence of colorectal cancer was significantly higher in current [hazard ratios (HR), 1.27; 95% confidence intervals (CI), 1.06-1.52] and former smokers (HR, 1.23; 95% CI, 1.11-1.36) compared with lifelong nonsmokers in analyses that controlled for 13 covariates, including screening. The relative risk was greatest among current smokers with at least 50 years of smoking (HR, 1.38; 95% CI, 1.04-1.84). Among former smokers, risk of colorectal cancer decreased with greater time since cessation (P trend = 0.0003), and also decreased with earlier age at cessation (P trend = 0.0014). No association was seen among former smokers who had quit before age of 40 years or abstained for 31 years or more.\nConclusions: Long-term cigarette smoking is associated with colorectal cancer, even after controlling for screening and multiple other risk factors. (Cancer Epidemiol Biomarkers Prev 2009;18(12):3362–7)","DOI":"10.1158/1055-9965.EPI-09-0661","ISSN":"1055-9965, 1538-7755","note":"PMID: 19959683","journalAbbreviation":"Cancer Epidemiol Biomarkers Prev","language":"en","author":[{"family":"Hannan","given":"Lindsay M."},{"family":"Jacobs","given":"Eric J."},{"family":"Thun","given":"Michael J."}],"issued":{"date-parts":[["2009",12,1]]}}}],"schema":"https://github.com/citation-style-language/schema/raw/master/csl-citation.json"} </w:instrText>
      </w:r>
      <w:r w:rsidR="006E7E57" w:rsidRPr="00123003">
        <w:rPr>
          <w:sz w:val="24"/>
          <w:szCs w:val="24"/>
          <w:lang w:val="en-US"/>
        </w:rPr>
        <w:fldChar w:fldCharType="separate"/>
      </w:r>
      <w:r w:rsidR="00F61B70" w:rsidRPr="00F61B70">
        <w:rPr>
          <w:rFonts w:ascii="Calibri" w:hAnsi="Calibri" w:cs="Calibri"/>
          <w:sz w:val="24"/>
          <w:lang w:val="en-US"/>
        </w:rPr>
        <w:t>(28)</w:t>
      </w:r>
      <w:r w:rsidR="006E7E57" w:rsidRPr="00123003">
        <w:rPr>
          <w:sz w:val="24"/>
          <w:szCs w:val="24"/>
          <w:lang w:val="en-US"/>
        </w:rPr>
        <w:fldChar w:fldCharType="end"/>
      </w:r>
      <w:r w:rsidR="006E7E57" w:rsidRPr="00123003">
        <w:rPr>
          <w:sz w:val="24"/>
          <w:szCs w:val="24"/>
          <w:lang w:val="en-US"/>
        </w:rPr>
        <w:t xml:space="preserve">. Increased amounts of dietary meat may also limit the beneficial effects from the high intake of fish/seafood by </w:t>
      </w:r>
      <w:proofErr w:type="gramStart"/>
      <w:r w:rsidR="006E7E57" w:rsidRPr="00123003">
        <w:rPr>
          <w:sz w:val="24"/>
          <w:szCs w:val="24"/>
          <w:lang w:val="en-US"/>
        </w:rPr>
        <w:t>AN</w:t>
      </w:r>
      <w:proofErr w:type="gramEnd"/>
      <w:r w:rsidR="006E7E57" w:rsidRPr="00123003">
        <w:rPr>
          <w:sz w:val="24"/>
          <w:szCs w:val="24"/>
          <w:lang w:val="en-US"/>
        </w:rPr>
        <w:t xml:space="preserve"> people. The AN diet combines the increased abundance of microbial genera found in mice fed fish oil- or lard-based diet, the latter </w:t>
      </w:r>
      <w:r w:rsidR="00B83CB4">
        <w:rPr>
          <w:sz w:val="24"/>
          <w:szCs w:val="24"/>
          <w:lang w:val="en-US"/>
        </w:rPr>
        <w:t>i</w:t>
      </w:r>
      <w:r w:rsidR="006E7E57" w:rsidRPr="00123003">
        <w:rPr>
          <w:sz w:val="24"/>
          <w:szCs w:val="24"/>
          <w:lang w:val="en-US"/>
        </w:rPr>
        <w:t xml:space="preserve">s associated with higher body weight, a risk factor for CRC </w:t>
      </w:r>
      <w:r w:rsidR="006E7E57" w:rsidRPr="00123003">
        <w:rPr>
          <w:sz w:val="24"/>
          <w:szCs w:val="24"/>
          <w:lang w:val="en-US"/>
        </w:rPr>
        <w:fldChar w:fldCharType="begin"/>
      </w:r>
      <w:r w:rsidR="00AB6F81">
        <w:rPr>
          <w:sz w:val="24"/>
          <w:szCs w:val="24"/>
          <w:lang w:val="en-US"/>
        </w:rPr>
        <w:instrText xml:space="preserve"> ADDIN ZOTERO_ITEM CSL_CITATION {"citationID":"ywTfSfUL","properties":{"formattedCitation":"(7,60)","plainCitation":"(7,60)","noteIndex":0},"citationItems":[{"id":4053,"uris":["http://zotero.org/users/46719/items/52DIEW9V"],"uri":["http://zotero.org/users/46719/items/52DIEW9V"],"itemData":{"id":4053,"type":"article-journal","title":"Crosstalk between Gut Microbiota and Dietary Lipids Aggravates WAT Inflammation through TLR Signaling","container-title":"Cell Metabolism","page":"658-668","volume":"22","issue":"4","source":"PubMed Central","abstract":"Dietary lipids may influence the abundance of circulating inflammatory microbial factors. Hence, inflammation in white adipose tissue (WAT) induced by dietary lipids may be partly dependent on their interaction with the gut microbiota. Here, we show that mice fed lard for 11 weeks have increased Toll-like receptor (TLR) activation and WAT inflammation and reduced insulin sensitivity compared with mice fed fish oil and that phenotypic differences between the dietary groups can be partly attributed to differences in microbiota composition. Trif−/− and Myd88−/− mice are protected against lard-induced WAT inflammation and impaired insulin sensitivity. Experiments in germ-free mice show that an interaction between gut microbiota and saturated lipids promotes WAT inflammation independent of adiposity. Finally, we demonstrate that the chemokine CCL2 contributes to microbiota-induced WAT inflammation in lard-fed mice. These results indicate that gut microbiota exacerbates metabolic inflammation through TLR signaling upon challenge with a diet rich in saturated lipids., \n          \n            \n              •\n              The gut microbiota contributes to phenotypic differences in mice fed lard or fish oil\n            \n            \n              •\n              Mice lacking MyD88 or TRIF are protected against WAT inflammation\n            \n            \n              •\n              Microbial-derived factors induce CCL2 in adipocytes through TLR4, MyD88, and TRIF\n            \n            \n              •\n              Microbial-induced CCL2 enhances macrophage accumulation in WAT\n            \n          \n        , Caesar et al. reveal how saturated lipids in lard affect gut microbial composition to promote obesity and WAT inflammation via TLR signaling and CCL2; in contrast, mice fed a fish-oil diet enriched in polyunsaturated fatty acids are protected. Transfer of microbiota from fish-oil-fed mice dampens lard-induced inflammation.","DOI":"10.1016/j.cmet.2015.07.026","ISSN":"1550-4131","note":"PMID: 26321659\nPMCID: PMC4598654","journalAbbreviation":"Cell Metab","author":[{"family":"Caesar","given":"Robert"},{"family":"Tremaroli","given":"Valentina"},{"family":"Kovatcheva-Datchary","given":"Petia"},{"family":"Cani","given":"Patrice D."},{"family":"Bäckhed","given":"Fredrik"}],"issued":{"date-parts":[["2015",10,6]]}}},{"id":3520,"uris":["http://zotero.org/users/46719/items/ZWR6A2KF"],"uri":["http://zotero.org/users/46719/items/ZWR6A2KF"],"itemData":{"id":3520,"type":"article-journal","title":"Diet, microorganisms and their metabolites, and colon cancer","container-title":"Nature Reviews. Gastroenterology &amp; Hepatology","page":"691-706","volume":"13","issue":"12","source":"PubMed","abstract":"Colorectal cancer is one of the so-called westernized diseases and the second leading cause of cancer death worldwide. On the basis of global epidemiological and scientific studies, evidence suggests that the risk of colorectal cancer is increased by processed and unprocessed meat consumption but suppressed by fibre, and that food composition affects colonic health and cancer risk via its effects on colonic microbial metabolism. The gut microbiota can ferment complex dietary residues that are resistant to digestion by enteric enzymes. This process provides energy for the microbiota but culminates in the release of short-chain fatty acids including butyrate, which are utilized for the metabolic needs of the colon and the body. Butyrate has a remarkable array of colonic health-promoting and antineoplastic properties: it is the preferred energy source for colonocytes, it maintains mucosal integrity and it suppresses inflammation and carcinogenesis through effects on immunity, gene expression and epigenetic modulation. Protein residues and fat-stimulated bile acids are also metabolized by the microbiota to inflammatory and/or carcinogenic metabolites, which increase the risk of neoplastic progression. This Review will discuss the mechanisms behind these microbial metabolite effects, which could be modified by diet to achieve the objective of preventing colorectal cancer in Western societies.","DOI":"10.1038/nrgastro.2016.165","ISSN":"1759-5053","note":"PMID: 27848961","journalAbbreviation":"Nat Rev Gastroenterol Hepatol","language":"eng","author":[{"family":"O'Keefe","given":"Stephen J. D."}],"issued":{"date-parts":[["2016",12]]}}}],"schema":"https://github.com/citation-style-language/schema/raw/master/csl-citation.json"} </w:instrText>
      </w:r>
      <w:r w:rsidR="006E7E57" w:rsidRPr="00123003">
        <w:rPr>
          <w:sz w:val="24"/>
          <w:szCs w:val="24"/>
          <w:lang w:val="en-US"/>
        </w:rPr>
        <w:fldChar w:fldCharType="separate"/>
      </w:r>
      <w:r w:rsidR="00AB6F81" w:rsidRPr="00AB6F81">
        <w:rPr>
          <w:rFonts w:ascii="Calibri" w:hAnsi="Calibri" w:cs="Calibri"/>
          <w:sz w:val="24"/>
          <w:lang w:val="en-US"/>
        </w:rPr>
        <w:t>(7,60)</w:t>
      </w:r>
      <w:r w:rsidR="006E7E57" w:rsidRPr="00123003">
        <w:rPr>
          <w:sz w:val="24"/>
          <w:szCs w:val="24"/>
          <w:lang w:val="en-US"/>
        </w:rPr>
        <w:fldChar w:fldCharType="end"/>
      </w:r>
      <w:r w:rsidR="006E7E57" w:rsidRPr="00123003">
        <w:rPr>
          <w:sz w:val="24"/>
          <w:szCs w:val="24"/>
          <w:lang w:val="en-US"/>
        </w:rPr>
        <w:t xml:space="preserve">. Finally, high levels of choline, as detected in AN fecal </w:t>
      </w:r>
      <w:r w:rsidR="006E7E57" w:rsidRPr="00123003">
        <w:rPr>
          <w:sz w:val="24"/>
          <w:szCs w:val="24"/>
          <w:lang w:val="en-US"/>
        </w:rPr>
        <w:lastRenderedPageBreak/>
        <w:t xml:space="preserve">samples, and a stimulated choline metabolism were demonstrated in healthy individuals and rodents fed a Western diet </w:t>
      </w:r>
      <w:r w:rsidR="006E7E57" w:rsidRPr="00123003">
        <w:rPr>
          <w:sz w:val="24"/>
          <w:szCs w:val="24"/>
          <w:lang w:val="en-US"/>
        </w:rPr>
        <w:fldChar w:fldCharType="begin"/>
      </w:r>
      <w:r w:rsidR="00AB6F81">
        <w:rPr>
          <w:sz w:val="24"/>
          <w:szCs w:val="24"/>
          <w:lang w:val="en-US"/>
        </w:rPr>
        <w:instrText xml:space="preserve"> ADDIN ZOTERO_ITEM CSL_CITATION {"citationID":"TRbZIU7S","properties":{"unsorted":true,"formattedCitation":"(10,61)","plainCitation":"(10,61)","noteIndex":0},"citationItems":[{"id":2125,"uris":["http://zotero.org/users/46719/items/XV558T9I"],"uri":["http://zotero.org/users/46719/items/XV558T9I"],"itemData":{"id":2125,"type":"article-journal","title":"Fat, fibre and cancer risk in African Americans and rural Africans","container-title":"Nature Communications","page":"6342","volume":"6","source":"PubMed","abstract":"Rates of colon cancer are much higher in African Americans (65:100,000) than in rural South Africans (&lt;5:100,000). The higher rates are associated with higher animal protein and fat, and lower fibre consumption, higher colonic secondary bile acids, lower colonic short-chain fatty acid quantities and higher mucosal proliferative biomarkers of cancer risk in otherwise healthy middle-aged volunteers. Here we investigate further the role of fat and fibre in this association. We performed 2-week food exchanges in subjects from the same populations, where African Americans were fed a high-fibre, low-fat African-style diet and rural Africans a high-fat, low-fibre western-style diet, under close supervision. In comparison with their usual diets, the food changes resulted in remarkable reciprocal changes in mucosal biomarkers of cancer risk and in aspects of the microbiota and metabolome known to affect cancer risk, best illustrated by increased saccharolytic fermentation and butyrogenesis, and suppressed secondary bile acid synthesis in the African Americans.","DOI":"10.1038/ncomms7342","ISSN":"2041-1723","note":"PMID: 25919227","journalAbbreviation":"Nat Commun","language":"ENG","author":[{"family":"O'Keefe","given":"Stephen J. D."},{"family":"Li","given":"Jia V."},{"family":"Lahti","given":"Leo"},{"family":"Ou","given":"Junhai"},{"family":"Carbonero","given":"Franck"},{"family":"Mohammed","given":"Khaled"},{"family":"Posma","given":"Joram M."},{"family":"Kinross","given":"James"},{"family":"Wahl","given":"Elaine"},{"family":"Ruder","given":"Elizabeth"},{"family":"Vipperla","given":"Kishore"},{"family":"Naidoo","given":"Vasudevan"},{"family":"Mtshali","given":"Lungile"},{"family":"Tims","given":"Sebastian"},{"family":"Puylaert","given":"Philippe G. B."},{"family":"DeLany","given":"James"},{"family":"Krasinskas","given":"Alyssa"},{"family":"Benefiel","given":"Ann C."},{"family":"Kaseb","given":"Hatem O."},{"family":"Newton","given":"Keith"},{"family":"Nicholson","given":"Jeremy K."},{"family":"Vos","given":"Willem M.","non-dropping-particle":"de"},{"family":"Gaskins","given":"H. Rex"},{"family":"Zoetendal","given":"Erwin G."}],"issued":{"date-parts":[["2015"]]}}},{"id":4026,"uris":["http://zotero.org/users/46719/items/DZ28VD92"],"uri":["http://zotero.org/users/46719/items/DZ28VD92"],"itemData":{"id":4026,"type":"article-journal","title":"Correlations of Fecal Metabonomic and Microbiomic Changes Induced by High-fat Diet in the Pre-Obesity State","container-title":"Scientific Reports","volume":"6","source":"PubMed Central","abstract":"Obesity resulting from interactions of genetic and environmental factors becomes a serious public health problem worldwide with alterations of the metabolic phenotypes in multiple biological matrices involving multiple metabolic pathways. To understand the contributions of gut microbiota to obesity development, we analyzed dynamic alterations in fecal metabonomic phenotype using NMR and fecal microorganism composition in rats using pyrosequencing technology during the high-fat diet (HFD) feeding for 81 days (pre-obesity state). Integrated analysis of these two phenotypic datasets was further conducted to establish correlations between the altered rat fecal metabonome and gut microbiome. We found that one-week HFD feeding already caused significant changes in rat fecal metabonome and such changes sustained throughout 81-days feeding with the host and gut microbiota co-metabolites clearly featured. We also found that HFD caused outstanding decreases in most fecal metabolites implying enhancement of gut absorptions. We further established comprehensive correlations between the HFD-induced changes in fecal metabonome and fecal microbial composition indicating contributions of gut microbiota in pathogenesis and progression of the HFD-induced obesity. These findings provided essential information about the functions of gut microbiota in pathogenesis of metabolic disorders which could be potentially important for developing obesity prevention and treatment therapies.","DOI":"10.1038/srep21618","ISSN":"2045-2322","note":"PMID: 26916743\nPMCID: PMC4768318","journalAbbreviation":"Sci Rep","author":[{"family":"Lin","given":"Hong"},{"family":"An","given":"Yanpeng"},{"family":"Hao","given":"Fuhua"},{"family":"Wang","given":"Yulan"},{"family":"Tang","given":"Huiru"}],"issued":{"date-parts":[["2016",2,26]]},"accessed":{"date-parts":[["2018",8,13]]}}}],"schema":"https://github.com/citation-style-language/schema/raw/master/csl-citation.json"} </w:instrText>
      </w:r>
      <w:r w:rsidR="006E7E57" w:rsidRPr="00123003">
        <w:rPr>
          <w:sz w:val="24"/>
          <w:szCs w:val="24"/>
          <w:lang w:val="en-US"/>
        </w:rPr>
        <w:fldChar w:fldCharType="separate"/>
      </w:r>
      <w:r w:rsidR="00AB6F81" w:rsidRPr="00E8450F">
        <w:rPr>
          <w:rFonts w:ascii="Calibri" w:hAnsi="Calibri" w:cs="Calibri"/>
          <w:sz w:val="24"/>
          <w:lang w:val="en-US"/>
        </w:rPr>
        <w:t>(10,61)</w:t>
      </w:r>
      <w:r w:rsidR="006E7E57" w:rsidRPr="00123003">
        <w:rPr>
          <w:sz w:val="24"/>
          <w:szCs w:val="24"/>
          <w:lang w:val="en-US"/>
        </w:rPr>
        <w:fldChar w:fldCharType="end"/>
      </w:r>
      <w:r w:rsidR="006E7E57" w:rsidRPr="00123003">
        <w:rPr>
          <w:sz w:val="24"/>
          <w:szCs w:val="24"/>
          <w:lang w:val="en-US"/>
        </w:rPr>
        <w:t xml:space="preserve">. Choline can be converted by </w:t>
      </w:r>
      <w:r w:rsidR="006E7E57" w:rsidRPr="00BE05D2">
        <w:rPr>
          <w:sz w:val="24"/>
          <w:szCs w:val="24"/>
          <w:lang w:val="en-US"/>
        </w:rPr>
        <w:t>the gut microbiota to trimethylamine, which is then oxidized in the liver to produce trimethylamine</w:t>
      </w:r>
      <w:r w:rsidR="006E7E57" w:rsidRPr="00280A6D">
        <w:rPr>
          <w:i/>
          <w:sz w:val="24"/>
          <w:szCs w:val="24"/>
          <w:lang w:val="en-US"/>
        </w:rPr>
        <w:t xml:space="preserve"> N</w:t>
      </w:r>
      <w:r w:rsidR="006E7E57" w:rsidRPr="00280A6D">
        <w:rPr>
          <w:sz w:val="24"/>
          <w:szCs w:val="24"/>
          <w:lang w:val="en-US"/>
        </w:rPr>
        <w:t>-oxide. Plasma levels of trimethylamine</w:t>
      </w:r>
      <w:r w:rsidR="006E7E57" w:rsidRPr="00280A6D">
        <w:rPr>
          <w:i/>
          <w:sz w:val="24"/>
          <w:szCs w:val="24"/>
          <w:lang w:val="en-US"/>
        </w:rPr>
        <w:t xml:space="preserve"> N</w:t>
      </w:r>
      <w:r w:rsidR="006E7E57" w:rsidRPr="00280A6D">
        <w:rPr>
          <w:sz w:val="24"/>
          <w:szCs w:val="24"/>
          <w:lang w:val="en-US"/>
        </w:rPr>
        <w:t xml:space="preserve">-oxide </w:t>
      </w:r>
      <w:r w:rsidR="00B83CB4" w:rsidRPr="00280A6D">
        <w:rPr>
          <w:sz w:val="24"/>
          <w:szCs w:val="24"/>
          <w:lang w:val="en-US"/>
        </w:rPr>
        <w:t>a</w:t>
      </w:r>
      <w:r w:rsidR="006E7E57" w:rsidRPr="00280A6D">
        <w:rPr>
          <w:sz w:val="24"/>
          <w:szCs w:val="24"/>
          <w:lang w:val="en-US"/>
        </w:rPr>
        <w:t xml:space="preserve">re positively associated with and genetically related to CRC </w:t>
      </w:r>
      <w:r w:rsidR="006E7E57" w:rsidRPr="00BE05D2">
        <w:rPr>
          <w:sz w:val="24"/>
          <w:szCs w:val="24"/>
          <w:lang w:val="en-US"/>
        </w:rPr>
        <w:fldChar w:fldCharType="begin"/>
      </w:r>
      <w:r w:rsidR="00AB6F81">
        <w:rPr>
          <w:sz w:val="24"/>
          <w:szCs w:val="24"/>
          <w:lang w:val="en-US"/>
        </w:rPr>
        <w:instrText xml:space="preserve"> ADDIN ZOTERO_ITEM CSL_CITATION {"citationID":"a8slg1s60","properties":{"unsorted":true,"formattedCitation":"(62,63)","plainCitation":"(62,63)","noteIndex":0},"citationItems":[{"id":4129,"uris":["http://zotero.org/users/46719/items/VEC7G986"],"uri":["http://zotero.org/users/46719/items/VEC7G986"],"itemData":{"id":4129,"type":"article-journal","title":"Plasma choline metabolites and colorectal cancer risk in the Women's Health Initiative Observational Study","container-title":"Cancer Research","page":"7442-7452","volume":"74","issue":"24","source":"PubMed","abstract":"Few studies have examined associations between plasma choline metabolites and risk of colorectal cancer. Therefore, we investigated associations between plasma biomarkers of choline metabolism [choline, betaine, dimethylglycine, and trimethylamine N-oxide (TMAO)] and colorectal cancer risk among postmenopausal women in a case-control study nested within the Women's Health Initiative Observational Study. We selected 835 matched case-control pairs, and cases were further stratified by tumor site (proximal, distal, or rectal) and stage (local/regional or metastatic). Colorectal cancer was assessed by self-report and confirmed by medical records over the mean of 5.2 years of follow-up. Baseline plasma choline metabolites were measured by LC/MS-MS. In multivariable-adjusted conditional logistic regression models, plasma choline tended to be positively associated with rectal cancer risk [OR (95% confidence interval, CI)(highest vs. lowest quartile) = 2.44 (0.93-6.40); P trend = 0.08], whereas plasma betaine was inversely associated with colorectal cancer overall [0.68 (0.47-0.99); P trend = 0.01] and with local/regional tumors [0.64 (0.42-0.99); P trend = 0.009]. Notably, the plasma betaine:choline ratio was inversely associated with colorectal cancer overall [0.56 (0.39-0.82); P trend = 0.004] as well as with proximal [0.66 (0.41-1.06); P trend = 0.049], rectal [0.27 (0.10-0.78); P trend = 0.02], and local/regional [0.50 (0.33-0.76); P trend = 0.001] tumors. Finally, plasma TMAO, an oxidative derivative of choline produced by intestinal bacteria, was positively associated with rectal cancer [3.38 (1.25-9.16); P trend = 0.02] and with overall colorectal cancer risk among women with lower (vs. higher) plasma vitamin B12 levels (P interaction = 0.003). Collectively, these data suggest that alterations in choline metabolism, which may arise early in disease development, may be associated with higher risk of colorectal cancer. The positive association between plasma TMAO and colorectal cancer risk is consistent with an involvement of the gut microbiome in colorectal cancer pathogenesis.","DOI":"10.1158/0008-5472.CAN-14-1835","ISSN":"1538-7445","note":"PMID: 25336191\nPMCID: PMC4268282","journalAbbreviation":"Cancer Res.","language":"eng","author":[{"family":"Bae","given":"Sajin"},{"family":"Ulrich","given":"Cornelia M."},{"family":"Neuhouser","given":"Marian L."},{"family":"Malysheva","given":"Olga"},{"family":"Bailey","given":"Lynn B."},{"family":"Xiao","given":"Liren"},{"family":"Brown","given":"Elissa C."},{"family":"Cushing-Haugen","given":"Kara L."},{"family":"Zheng","given":"Yingye"},{"family":"Cheng","given":"Ting-Yuan David"},{"family":"Miller","given":"Joshua W."},{"family":"Green","given":"Ralph"},{"family":"Lane","given":"Dorothy S."},{"family":"Beresford","given":"Shirley A. A."},{"family":"Caudill","given":"Marie A."}],"issued":{"date-parts":[["2014",12,15]]}}},{"id":4130,"uris":["http://zotero.org/users/46719/items/H8RUFLN5"],"uri":["http://zotero.org/users/46719/items/H8RUFLN5"],"itemData":{"id":4130,"type":"article-journal","title":"A genome-wide systems analysis reveals strong link between colorectal cancer and trimethylamine N-oxide (TMAO), a gut microbial metabolite of dietary meat and fat","container-title":"BMC genomics","page":"S4","volume":"16 Suppl 7","source":"PubMed","abstract":"BACKGROUND: Dietary intakes of red meat and fat are established risk factors for both colorectal cancer (CRC) and cardiovascular disease (CVDs). Recent studies have shown a mechanistic link between TMAO, an intestinal microbial metabolite of red meat and fat, and risk of CVDs. Data linking TMAO directly to CRC is, however, lacking. Here, we present an unbiased data-driven network-based systems approach to uncover a potential genetic relationship between TMAO and CRC.\nMATERIALS AND METHODS: We constructed two different epigenetic interaction networks (EINs) using chemical-gene, disease-gene and protein-protein interaction data from multiple large-scale data resources. We developed a network-based ranking algorithm to ascertain TMAO-related diseases from EINs. We systematically analyzed disease categories among TMAO-related diseases at different ranking cutoffs. We then determined which genetic pathways were associated with both TMAO and CRC.\nRESULTS: We show that CVDs and their major risk factors were ranked highly among TMAO-related diseases, confirming the newly discovered mechanistic link between CVDs and TMAO, and thus validating our algorithms. CRC was ranked highly among TMAO-related disease retrieved from both EINs (top 0.02%, #1 out of 4,372 diseases retrieved based on Mendelian genetics and top 10.9% among 882 diseases based on genome-wide association genetics), providing strong supporting evidence for our hypothesis that TMAO is genetically related to CRC. We have also identified putative genetic pathways that may link TMAO to CRC, which warrants further investigation. Through systematic disease enrichment analysis, we also demonstrated that TMAO is related to metabolic syndromes and cancers in general.\nCONCLUSIONS: Our genome-wide analysis demonstrates that systems approaches to studying the epigenetic interactions among diet, microbiome metabolisms, and disease genetics hold promise for understanding disease pathogenesis. Our results show that TMAO is genetically associated with CRC. This study suggests that TMAO may be an important intermediate marker linking dietary meat and fat and gut microbiota metabolism to risk of CRC, underscoring opportunities for the development of new gut microbiome-dependent diagnostic tests and therapeutics for CRC.","DOI":"10.1186/1471-2164-16-S7-S4","ISSN":"1471-2164","note":"PMID: 26100814\nPMCID: PMC4474417","journalAbbreviation":"BMC Genomics","language":"eng","author":[{"family":"Xu","given":"Rong"},{"family":"Wang","given":"QuanQiu"},{"family":"Li","given":"Li"}],"issued":{"date-parts":[["2015"]]}}}],"schema":"https://github.com/citation-style-language/schema/raw/master/csl-citation.json"} </w:instrText>
      </w:r>
      <w:r w:rsidR="006E7E57" w:rsidRPr="00BE05D2">
        <w:rPr>
          <w:sz w:val="24"/>
          <w:szCs w:val="24"/>
          <w:lang w:val="en-US"/>
        </w:rPr>
        <w:fldChar w:fldCharType="separate"/>
      </w:r>
      <w:r w:rsidR="00AB6F81" w:rsidRPr="00AB6F81">
        <w:rPr>
          <w:rFonts w:ascii="Calibri" w:hAnsi="Calibri" w:cs="Calibri"/>
          <w:sz w:val="24"/>
        </w:rPr>
        <w:t>(62,63)</w:t>
      </w:r>
      <w:r w:rsidR="006E7E57" w:rsidRPr="00BE05D2">
        <w:rPr>
          <w:sz w:val="24"/>
          <w:szCs w:val="24"/>
          <w:lang w:val="en-US"/>
        </w:rPr>
        <w:fldChar w:fldCharType="end"/>
      </w:r>
      <w:r w:rsidR="006E7E57" w:rsidRPr="00BE05D2">
        <w:rPr>
          <w:sz w:val="24"/>
          <w:szCs w:val="24"/>
          <w:lang w:val="en-US"/>
        </w:rPr>
        <w:t xml:space="preserve"> or adverse cardiovascular advents </w:t>
      </w:r>
      <w:r w:rsidR="006E7E57" w:rsidRPr="00BE05D2">
        <w:rPr>
          <w:sz w:val="24"/>
          <w:szCs w:val="24"/>
          <w:lang w:val="en-US"/>
        </w:rPr>
        <w:fldChar w:fldCharType="begin"/>
      </w:r>
      <w:r w:rsidR="00AB6F81">
        <w:rPr>
          <w:sz w:val="24"/>
          <w:szCs w:val="24"/>
          <w:lang w:val="en-US"/>
        </w:rPr>
        <w:instrText xml:space="preserve"> ADDIN ZOTERO_ITEM CSL_CITATION {"citationID":"ab7o1ipc33","properties":{"unsorted":true,"formattedCitation":"(64,65)","plainCitation":"(64,65)","noteIndex":0},"citationItems":[{"id":4290,"uris":["http://zotero.org/users/46719/items/N8J22ZAY"],"uri":["http://zotero.org/users/46719/items/N8J22ZAY"],"itemData":{"id":4290,"type":"article-journal","title":"Intestinal microbial metabolism of phosphatidylcholine and cardiovascular risk","container-title":"The New England Journal of Medicine","page":"1575-1584","volume":"368","issue":"17","source":"PubMed","abstract":"BACKGROUND: Recent studies in animals have shown a mechanistic link between intestinal microbial metabolism of the choline moiety in dietary phosphatidylcholine (lecithin) and coronary artery disease through the production of a proatherosclerotic metabolite, trimethylamine-N-oxide (TMAO). We investigated the relationship among intestinal microbiota-dependent metabolism of dietary phosphatidylcholine, TMAO levels, and adverse cardiovascular events in humans.\nMETHODS: We quantified plasma and urinary levels of TMAO and plasma choline and betaine levels by means of liquid chromatography and online tandem mass spectrometry after a phosphatidylcholine challenge (ingestion of two hard-boiled eggs and deuterium [d9]-labeled phosphatidylcholine) in healthy participants before and after the suppression of intestinal microbiota with oral broad-spectrum antibiotics. We further examined the relationship between fasting plasma levels of TMAO and incident major adverse cardiovascular events (death, myocardial infarction, or stroke) during 3 years of follow-up in 4007 patients undergoing elective coronary angiography.\nRESULTS: Time-dependent increases in levels of both TMAO and its d9 isotopologue, as well as other choline metabolites, were detected after the phosphatidylcholine challenge. Plasma levels of TMAO were markedly suppressed after the administration of antibiotics and then reappeared after withdrawal of antibiotics. Increased plasma levels of TMAO were associated with an increased risk of a major adverse cardiovascular event (hazard ratio for highest vs. lowest TMAO quartile, 2.54; 95% confidence interval, 1.96 to 3.28; P&lt;0.001). An elevated TMAO level predicted an increased risk of major adverse cardiovascular events after adjustment for traditional risk factors (P&lt;0.001), as well as in lower-risk subgroups.\nCONCLUSIONS: The production of TMAO from dietary phosphatidylcholine is dependent on metabolism by the intestinal microbiota. Increased TMAO levels are associated with an increased risk of incident major adverse cardiovascular events. (Funded by the National Institutes of Health and others.).","DOI":"10.1056/NEJMoa1109400","ISSN":"1533-4406","note":"PMID: 23614584\nPMCID: PMC3701945","journalAbbreviation":"N. Engl. J. Med.","language":"eng","author":[{"family":"Tang","given":"W. H. Wilson"},{"family":"Wang","given":"Zeneng"},{"family":"Levison","given":"Bruce S."},{"family":"Koeth","given":"Robert A."},{"family":"Britt","given":"Earl B."},{"family":"Fu","given":"Xiaoming"},{"family":"Wu","given":"Yuping"},{"family":"Hazen","given":"Stanley L."}],"issued":{"date-parts":[["2013",4,25]]}}},{"id":4291,"uris":["http://zotero.org/users/46719/items/XB35I55U"],"uri":["http://zotero.org/users/46719/items/XB35I55U"],"itemData":{"id":4291,"type":"article-journal","title":"Gut Microbiota Metabolites and Risk of Major Adverse Cardiovascular Disease Events and Death: A Systematic Review and Meta-Analysis of Prospective Studies","container-title":"Journal of the American Heart Association","volume":"6","issue":"7","source":"PubMed","abstract":"BACKGROUND: Gut microbial metabolites have been implicated as novel risk factors for cardiovascular events and premature death. The strength and consistency of associations between blood concentrations of the gut microbial metabolites, trimethylamine-N-oxide (TMAO) and its precursors, with major adverse cardiovascular events (MACE) or death have not been comprehensively assessed. We quantified associations of blood concentrations of TMAO and its precursors with risks of MACE and mortality.\nMETHODS AND RESULTS: PubMed and Embase databases were searched up, and a total of 19 prospective studies from 16 publications (n=19 256, including 3315 incident cases) with quantitative estimates of the associations of TMAO with the development of MACE or death were included in our main analysis. Multivariate-adjusted relative risks (RRs) were used when these were available. Elevated concentrations of TMAO were associated with a pooled RR of 1.62 (95% CI, 1.45, 1.80; Pheterogeneity=0.2; I2=23.5%) for MACE compared with low TMAO levels, and 1 study of black participants influenced the heterogeneity of the association. After excluding the data of blacks, the RRs were not different according to body mass index, prevalence of diabetes mellitus, history of cardiovascular diseases, and kidney dysfunction. Furthermore, elevated TMAO concentrations were associated with a pooled RR of 1.63 (1.36, 1.95) for all-cause mortality. Individuals with elevated concentrations of TMAO precursors (l-carnitine, choline, or betaine) had an approximately 1.3 to 1.4 times higher risk for MACE compared to those with low concentrations.\nCONCLUSIONS: Elevated concentrations of TMAO and its precursors were associated with increased risks of MACE and all-cause mortality independently of traditional risk factors.","DOI":"10.1161/JAHA.116.004947","ISSN":"2047-9980","note":"PMID: 28663251\nPMCID: PMC5586261","title-short":"Gut Microbiota Metabolites and Risk of Major Adverse Cardiovascular Disease Events and Death","journalAbbreviation":"J Am Heart Assoc","language":"eng","author":[{"family":"Heianza","given":"Yoriko"},{"family":"Ma","given":"Wenjie"},{"family":"Manson","given":"JoAnn E."},{"family":"Rexrode","given":"Kathryn M."},{"family":"Qi","given":"Lu"}],"issued":{"date-parts":[["2017",6,29]]}}}],"schema":"https://github.com/citation-style-language/schema/raw/master/csl-citation.json"} </w:instrText>
      </w:r>
      <w:r w:rsidR="006E7E57" w:rsidRPr="00BE05D2">
        <w:rPr>
          <w:sz w:val="24"/>
          <w:szCs w:val="24"/>
          <w:lang w:val="en-US"/>
        </w:rPr>
        <w:fldChar w:fldCharType="separate"/>
      </w:r>
      <w:r w:rsidR="00AB6F81" w:rsidRPr="00AB6F81">
        <w:rPr>
          <w:rFonts w:ascii="Calibri" w:hAnsi="Calibri" w:cs="Calibri"/>
          <w:sz w:val="24"/>
        </w:rPr>
        <w:t>(64,65)</w:t>
      </w:r>
      <w:r w:rsidR="006E7E57" w:rsidRPr="00BE05D2">
        <w:rPr>
          <w:sz w:val="24"/>
          <w:szCs w:val="24"/>
          <w:lang w:val="en-US"/>
        </w:rPr>
        <w:fldChar w:fldCharType="end"/>
      </w:r>
      <w:r w:rsidR="006E7E57" w:rsidRPr="00BE05D2">
        <w:rPr>
          <w:sz w:val="24"/>
          <w:szCs w:val="24"/>
          <w:lang w:val="en-US"/>
        </w:rPr>
        <w:t>.</w:t>
      </w:r>
    </w:p>
    <w:p w:rsidR="00BE05D2" w:rsidRPr="00400516" w:rsidRDefault="00CB657D" w:rsidP="00280A6D">
      <w:pPr>
        <w:spacing w:line="480" w:lineRule="auto"/>
        <w:jc w:val="both"/>
        <w:rPr>
          <w:sz w:val="24"/>
          <w:szCs w:val="24"/>
          <w:lang w:val="en-US"/>
        </w:rPr>
      </w:pPr>
      <w:r w:rsidRPr="00280A6D">
        <w:rPr>
          <w:sz w:val="24"/>
          <w:szCs w:val="24"/>
          <w:lang w:val="en-US"/>
        </w:rPr>
        <w:t xml:space="preserve">In contrast to previous studies, we did not find major differences in microbiota signatures between </w:t>
      </w:r>
      <w:proofErr w:type="gramStart"/>
      <w:r w:rsidRPr="00280A6D">
        <w:rPr>
          <w:sz w:val="24"/>
          <w:szCs w:val="24"/>
          <w:lang w:val="en-US"/>
        </w:rPr>
        <w:t>AN</w:t>
      </w:r>
      <w:proofErr w:type="gramEnd"/>
      <w:r w:rsidRPr="00280A6D">
        <w:rPr>
          <w:sz w:val="24"/>
          <w:szCs w:val="24"/>
          <w:lang w:val="en-US"/>
        </w:rPr>
        <w:t xml:space="preserve"> participants with or without polyps. In a study by </w:t>
      </w:r>
      <w:proofErr w:type="spellStart"/>
      <w:r w:rsidRPr="00280A6D">
        <w:rPr>
          <w:i/>
          <w:sz w:val="24"/>
          <w:szCs w:val="24"/>
          <w:lang w:val="en-US"/>
        </w:rPr>
        <w:t>Zackular</w:t>
      </w:r>
      <w:proofErr w:type="spellEnd"/>
      <w:r w:rsidRPr="00280A6D">
        <w:rPr>
          <w:i/>
          <w:sz w:val="24"/>
          <w:szCs w:val="24"/>
          <w:lang w:val="en-US"/>
        </w:rPr>
        <w:t xml:space="preserve"> et al.</w:t>
      </w:r>
      <w:r w:rsidRPr="00280A6D">
        <w:rPr>
          <w:sz w:val="24"/>
          <w:szCs w:val="24"/>
          <w:lang w:val="en-US"/>
        </w:rPr>
        <w:t xml:space="preserve">, adenoma polyp individuals had a lower abundance of </w:t>
      </w:r>
      <w:proofErr w:type="spellStart"/>
      <w:r w:rsidRPr="00280A6D">
        <w:rPr>
          <w:i/>
          <w:sz w:val="24"/>
          <w:szCs w:val="24"/>
          <w:lang w:val="en-US"/>
        </w:rPr>
        <w:t>Bacteroides</w:t>
      </w:r>
      <w:proofErr w:type="spellEnd"/>
      <w:r w:rsidRPr="00280A6D">
        <w:rPr>
          <w:sz w:val="24"/>
          <w:szCs w:val="24"/>
          <w:lang w:val="en-US"/>
        </w:rPr>
        <w:t xml:space="preserve">, </w:t>
      </w:r>
      <w:proofErr w:type="spellStart"/>
      <w:r w:rsidRPr="00280A6D">
        <w:rPr>
          <w:i/>
          <w:sz w:val="24"/>
          <w:szCs w:val="24"/>
          <w:lang w:val="en-US"/>
        </w:rPr>
        <w:t>Lachnospiraceae</w:t>
      </w:r>
      <w:proofErr w:type="spellEnd"/>
      <w:r w:rsidRPr="00280A6D">
        <w:rPr>
          <w:sz w:val="24"/>
          <w:szCs w:val="24"/>
          <w:lang w:val="en-US"/>
        </w:rPr>
        <w:t xml:space="preserve">, </w:t>
      </w:r>
      <w:proofErr w:type="spellStart"/>
      <w:r w:rsidRPr="00280A6D">
        <w:rPr>
          <w:i/>
          <w:sz w:val="24"/>
          <w:szCs w:val="24"/>
          <w:lang w:val="en-US"/>
        </w:rPr>
        <w:t>Clostridiales</w:t>
      </w:r>
      <w:proofErr w:type="spellEnd"/>
      <w:r w:rsidRPr="00280A6D">
        <w:rPr>
          <w:sz w:val="24"/>
          <w:szCs w:val="24"/>
          <w:lang w:val="en-US"/>
        </w:rPr>
        <w:t xml:space="preserve"> and some </w:t>
      </w:r>
      <w:r w:rsidRPr="00280A6D">
        <w:rPr>
          <w:i/>
          <w:sz w:val="24"/>
          <w:szCs w:val="24"/>
          <w:lang w:val="en-US"/>
        </w:rPr>
        <w:t>Clostridium</w:t>
      </w:r>
      <w:r w:rsidRPr="00280A6D">
        <w:rPr>
          <w:sz w:val="24"/>
          <w:szCs w:val="24"/>
          <w:lang w:val="en-US"/>
        </w:rPr>
        <w:t xml:space="preserve"> genera compared to healthy controls </w:t>
      </w:r>
      <w:r w:rsidRPr="00280A6D">
        <w:rPr>
          <w:sz w:val="24"/>
          <w:szCs w:val="24"/>
          <w:lang w:val="en-US"/>
        </w:rPr>
        <w:fldChar w:fldCharType="begin"/>
      </w:r>
      <w:r w:rsidR="00AB6F81">
        <w:rPr>
          <w:sz w:val="24"/>
          <w:szCs w:val="24"/>
          <w:lang w:val="en-US"/>
        </w:rPr>
        <w:instrText xml:space="preserve"> ADDIN ZOTERO_ITEM CSL_CITATION {"citationID":"a2olqr9duso","properties":{"formattedCitation":"(66)","plainCitation":"(66)","noteIndex":0},"citationItems":[{"id":4439,"uris":["http://zotero.org/users/46719/items/6AAYF6DZ"],"uri":["http://zotero.org/users/46719/items/6AAYF6DZ"],"itemData":{"id":4439,"type":"article-journal","title":"The human gut microbiome as a screening tool for colorectal cancer","container-title":"Cancer Prevention Research (Philadelphia, Pa.)","page":"1112-1121","volume":"7","issue":"11","source":"PubMed","abstract":"Recent studies have suggested that the gut microbiome may be an important factor in the development of colorectal cancer. Abnormalities in the gut microbiome have been reported in patients with colorectal cancer; however, this microbial community has not been explored as a potential screen for early-stage disease. We characterized the gut microbiome in patients from three clinical groups representing the stages of colorectal cancer development: healthy, adenoma, and carcinoma. Analysis of the gut microbiome from stool samples revealed both an enrichment and depletion of several bacterial populations associated with adenomas and carcinomas. Combined with known clinical risk factors of colorectal cancer (e.g., BMI, age, race), data from the gut microbiome significantly improved the ability to differentiate between healthy, adenoma, and carcinoma clinical groups relative to risk factors alone. Using Bayesian methods, we determined that using gut microbiome data as a screening tool improved the pretest to posttest probability of adenoma more than 50-fold. For example, the pretest probability in a 65-year-old was 0.17% and, after using the microbiome data, this increased to 10.67% (1 in 9 chance of having an adenoma). Taken together, the results of our study demonstrate the feasibility of using the composition of the gut microbiome to detect the presence of precancerous and cancerous lesions. Furthermore, these results support the need for more cross-sectional studies with diverse populations and linkage to other stool markers, dietary data, and personal health information.","DOI":"10.1158/1940-6207.CAPR-14-0129","ISSN":"1940-6215","note":"PMID: 25104642\nPMCID: PMC4221363","journalAbbreviation":"Cancer Prev Res (Phila)","language":"eng","author":[{"family":"Zackular","given":"Joseph P."},{"family":"Rogers","given":"Mary A. M."},{"family":"Ruffin","given":"Mack T."},{"family":"Schloss","given":"Patrick D."}],"issued":{"date-parts":[["2014",11]]}}}],"schema":"https://github.com/citation-style-language/schema/raw/master/csl-citation.json"} </w:instrText>
      </w:r>
      <w:r w:rsidRPr="00280A6D">
        <w:rPr>
          <w:sz w:val="24"/>
          <w:szCs w:val="24"/>
          <w:lang w:val="en-US"/>
        </w:rPr>
        <w:fldChar w:fldCharType="separate"/>
      </w:r>
      <w:r w:rsidR="00AB6F81" w:rsidRPr="00AB6F81">
        <w:rPr>
          <w:rFonts w:ascii="Calibri" w:hAnsi="Calibri" w:cs="Calibri"/>
          <w:sz w:val="24"/>
          <w:lang w:val="en-US"/>
        </w:rPr>
        <w:t>(66)</w:t>
      </w:r>
      <w:r w:rsidRPr="00280A6D">
        <w:rPr>
          <w:sz w:val="24"/>
          <w:szCs w:val="24"/>
          <w:lang w:val="en-US"/>
        </w:rPr>
        <w:fldChar w:fldCharType="end"/>
      </w:r>
      <w:r w:rsidRPr="00280A6D">
        <w:rPr>
          <w:sz w:val="24"/>
          <w:szCs w:val="24"/>
          <w:lang w:val="en-US"/>
        </w:rPr>
        <w:t xml:space="preserve">, which was not confirmed in our AN study cohort. Colonic polyps have been reported to be associated with higher abundance of the genus </w:t>
      </w:r>
      <w:proofErr w:type="spellStart"/>
      <w:r w:rsidRPr="00280A6D">
        <w:rPr>
          <w:i/>
          <w:sz w:val="24"/>
          <w:szCs w:val="24"/>
          <w:lang w:val="en-US"/>
        </w:rPr>
        <w:t>Bilophila</w:t>
      </w:r>
      <w:proofErr w:type="spellEnd"/>
      <w:r w:rsidRPr="00280A6D">
        <w:rPr>
          <w:sz w:val="24"/>
          <w:szCs w:val="24"/>
          <w:lang w:val="en-US"/>
        </w:rPr>
        <w:t xml:space="preserve">, </w:t>
      </w:r>
      <w:r w:rsidRPr="00280A6D">
        <w:rPr>
          <w:i/>
          <w:sz w:val="24"/>
          <w:szCs w:val="24"/>
          <w:lang w:val="en-US"/>
        </w:rPr>
        <w:t xml:space="preserve">Fusobacterium </w:t>
      </w:r>
      <w:proofErr w:type="spellStart"/>
      <w:r w:rsidRPr="00280A6D">
        <w:rPr>
          <w:i/>
          <w:sz w:val="24"/>
          <w:szCs w:val="24"/>
          <w:lang w:val="en-US"/>
        </w:rPr>
        <w:t>nucleatum</w:t>
      </w:r>
      <w:proofErr w:type="spellEnd"/>
      <w:r w:rsidRPr="00280A6D">
        <w:rPr>
          <w:sz w:val="24"/>
          <w:szCs w:val="24"/>
          <w:lang w:val="en-US"/>
        </w:rPr>
        <w:t xml:space="preserve">, increased microbial bile acid metabolism and lower abundance of butyrate-producing bacteria </w:t>
      </w:r>
      <w:r w:rsidRPr="00280A6D">
        <w:rPr>
          <w:sz w:val="24"/>
          <w:szCs w:val="24"/>
          <w:lang w:val="en-US"/>
        </w:rPr>
        <w:fldChar w:fldCharType="begin"/>
      </w:r>
      <w:r w:rsidR="00AB6F81">
        <w:rPr>
          <w:sz w:val="24"/>
          <w:szCs w:val="24"/>
          <w:lang w:val="en-US"/>
        </w:rPr>
        <w:instrText xml:space="preserve"> ADDIN ZOTERO_ITEM CSL_CITATION {"citationID":"K5IxSHV7","properties":{"formattedCitation":"(66\\uc0\\u8211{}68)","plainCitation":"(66–68)","noteIndex":0},"citationItems":[{"id":4439,"uris":["http://zotero.org/users/46719/items/6AAYF6DZ"],"uri":["http://zotero.org/users/46719/items/6AAYF6DZ"],"itemData":{"id":4439,"type":"article-journal","title":"The human gut microbiome as a screening tool for colorectal cancer","container-title":"Cancer Prevention Research (Philadelphia, Pa.)","page":"1112-1121","volume":"7","issue":"11","source":"PubMed","abstract":"Recent studies have suggested that the gut microbiome may be an important factor in the development of colorectal cancer. Abnormalities in the gut microbiome have been reported in patients with colorectal cancer; however, this microbial community has not been explored as a potential screen for early-stage disease. We characterized the gut microbiome in patients from three clinical groups representing the stages of colorectal cancer development: healthy, adenoma, and carcinoma. Analysis of the gut microbiome from stool samples revealed both an enrichment and depletion of several bacterial populations associated with adenomas and carcinomas. Combined with known clinical risk factors of colorectal cancer (e.g., BMI, age, race), data from the gut microbiome significantly improved the ability to differentiate between healthy, adenoma, and carcinoma clinical groups relative to risk factors alone. Using Bayesian methods, we determined that using gut microbiome data as a screening tool improved the pretest to posttest probability of adenoma more than 50-fold. For example, the pretest probability in a 65-year-old was 0.17% and, after using the microbiome data, this increased to 10.67% (1 in 9 chance of having an adenoma). Taken together, the results of our study demonstrate the feasibility of using the composition of the gut microbiome to detect the presence of precancerous and cancerous lesions. Furthermore, these results support the need for more cross-sectional studies with diverse populations and linkage to other stool markers, dietary data, and personal health information.","DOI":"10.1158/1940-6207.CAPR-14-0129","ISSN":"1940-6215","note":"PMID: 25104642\nPMCID: PMC4221363","journalAbbreviation":"Cancer Prev Res (Phila)","language":"eng","author":[{"family":"Zackular","given":"Joseph P."},{"family":"Rogers","given":"Mary A. M."},{"family":"Ruffin","given":"Mack T."},{"family":"Schloss","given":"Patrick D."}],"issued":{"date-parts":[["2014",11]]}}},{"id":4438,"uris":["http://zotero.org/users/46719/items/6M63H54V"],"uri":["http://zotero.org/users/46719/items/6M63H54V"],"itemData":{"id":4438,"type":"article-journal","title":"Shifts in the Fecal Microbiota Associated with Adenomatous Polyps","container-title":"Cancer Epidemiology, Biomarkers &amp; Prevention: A Publication of the American Association for Cancer Research, Cosponsored by the American Society of Preventive Oncology","page":"85-94","volume":"26","issue":"1","source":"PubMed","abstract":"BACKGROUND: Adenomatous polyps are the most common precursor to colorectal cancer, the second leading cause of cancer-related death in the United States. We sought to learn more about early events of carcinogenesis by investigating shifts in the gut microbiota of patients with adenomas.\nMETHODS: We analyzed 16S rRNA gene sequences from the fecal microbiota of patients with adenomas (n = 233) and without (n = 547).\nRESULTS: Multiple taxa were significantly more abundant in patients with adenomas, including Bilophila, Desulfovibrio, proinflammatory bacteria in the genus Mogibacterium, and multiple Bacteroidetes species. Patients without adenomas had greater abundances of Veillonella, Firmicutes (Order Clostridia), and Actinobacteria (family Bifidobacteriales). Our findings were consistent with previously reported shifts in the gut microbiota of colorectal cancer patients. Importantly, the altered adenoma profile is predicted to increase primary and secondary bile acid production, as well as starch, sucrose, lipid, and phenylpropanoid metabolism.\nCONCLUSIONS: These data hint that increased sugar, protein, and lipid metabolism along with increased bile acid production could promote a colonic environment that supports the growth of bile-tolerant microbes such as Bilophilia and Desulfovibrio In turn, these microbes may produce genotoxic or inflammatory metabolites such as H2S and secondary bile acids, which could play a role in catalyzing adenoma development and eventually colorectal cancer.\nIMPACT: This study suggests a plausible biological mechanism to explain the links between shifts in the microbiota and colorectal cancer. This represents a first step toward resolving the complex interactions that shape the adenoma-carcinoma sequence of colorectal cancer and may facilitate personalized therapeutics focused on the microbiota. Cancer Epidemiol Biomarkers Prev; 26(1); 85-94. ©2016 AACR.","DOI":"10.1158/1055-9965.EPI-16-0337","ISSN":"1538-7755","note":"PMID: 27672054\nPMCID: PMC5225053","journalAbbreviation":"Cancer Epidemiol. Biomarkers Prev.","language":"eng","author":[{"family":"Hale","given":"Vanessa L."},{"family":"Chen","given":"Jun"},{"family":"Johnson","given":"Stephen"},{"family":"Harrington","given":"Sean C."},{"family":"Yab","given":"Tracy C."},{"family":"Smyrk","given":"Thomas C."},{"family":"Nelson","given":"Heidi"},{"family":"Boardman","given":"Lisa A."},{"family":"Druliner","given":"Brooke R."},{"family":"Levin","given":"Theodore R."},{"family":"Rex","given":"Douglas K."},{"family":"Ahnen","given":"Dennis J."},{"family":"Lance","given":"Peter"},{"family":"Ahlquist","given":"David A."},{"family":"Chia","given":"Nicholas"}],"issued":{"date-parts":[["2017"]]}}},{"id":4437,"uris":["http://zotero.org/users/46719/items/GCL5W5RD"],"uri":["http://zotero.org/users/46719/items/GCL5W5RD"],"itemData":{"id":4437,"type":"article-journal","title":"Mucosal microbiota of intestinal polyps reveals putative biomarkers of colorectal cancer","container-title":"Scientific Reports","page":"13974","volume":"8","issue":"1","source":"PubMed","abstract":"The human intestine retains a complex microbial ecosystem, which performs crucial functions that impact on host health. Several studies have indicated that intestinal dysbiosis may impact on the establishment of life-threatening intestinal diseases such as colorectal cancer. An adenomatous polyp is the result of abnormal tissue growth, which is benign but is considered to be associated with a high risk of developing colorectal cancer, based on its grade of dysplasia. Development of diagnostic tools that are based on surveying the gut microbiota and are aimed at early detection of colorectal cancer represent highly desirable target. For this purpose, we performed a pilot study in which we applied a metataxonomic analysis based on 16S rRNA gene sequencing approach to unveil the composition of microbial communities of intestinal polyps. Moreover, we performed a meta-analysis involving the reconstructed microbiota composition of adenomatous polyps and publicly available metagenomics datasets of colorectal cancer. These analyses allowed the identification of microbial taxa such as Faecalibacterium, Bacteroides and Romboutsia, which appear to be depleted in cancerogenic mucosa as well as in adenomatous polyps, thus representing novel microbial biomarkers associated with early tumor formation. Furthermore, an absolute quantification of Fusubacterium nucleatum in polyps further compounded the important role of this microorganism as a valuable putative microbial biomarker for early diagnosis of colorectal cancer.","DOI":"10.1038/s41598-018-32413-2","ISSN":"2045-2322","note":"PMID: 30228361\nPMCID: PMC6143603","journalAbbreviation":"Sci Rep","language":"eng","author":[{"family":"Mangifesta","given":"Marta"},{"family":"Mancabelli","given":"Leonardo"},{"family":"Milani","given":"Christian"},{"family":"Gaiani","given":"Federica"},{"family":"Angelis","given":"Nicola","non-dropping-particle":"de'"},{"family":"Angelis","given":"Gian Luigi","non-dropping-particle":"de'"},{"family":"Sinderen","given":"Douwe","non-dropping-particle":"van"},{"family":"Ventura","given":"Marco"},{"family":"Turroni","given":"Francesca"}],"issued":{"date-parts":[["2018",9,18]]}}}],"schema":"https://github.com/citation-style-language/schema/raw/master/csl-citation.json"} </w:instrText>
      </w:r>
      <w:r w:rsidRPr="00280A6D">
        <w:rPr>
          <w:sz w:val="24"/>
          <w:szCs w:val="24"/>
          <w:lang w:val="en-US"/>
        </w:rPr>
        <w:fldChar w:fldCharType="separate"/>
      </w:r>
      <w:r w:rsidR="00AB6F81" w:rsidRPr="00E8450F">
        <w:rPr>
          <w:rFonts w:ascii="Calibri" w:hAnsi="Calibri" w:cs="Calibri"/>
          <w:sz w:val="24"/>
          <w:szCs w:val="24"/>
          <w:lang w:val="en-US"/>
        </w:rPr>
        <w:t>(66–68)</w:t>
      </w:r>
      <w:r w:rsidRPr="00280A6D">
        <w:rPr>
          <w:sz w:val="24"/>
          <w:szCs w:val="24"/>
          <w:lang w:val="en-US"/>
        </w:rPr>
        <w:fldChar w:fldCharType="end"/>
      </w:r>
      <w:r w:rsidRPr="00280A6D">
        <w:rPr>
          <w:sz w:val="24"/>
          <w:szCs w:val="24"/>
          <w:lang w:val="en-US"/>
        </w:rPr>
        <w:t>.</w:t>
      </w:r>
      <w:r w:rsidR="00EF5EC3" w:rsidRPr="00280A6D">
        <w:rPr>
          <w:sz w:val="24"/>
          <w:szCs w:val="24"/>
          <w:lang w:val="en-US"/>
        </w:rPr>
        <w:t xml:space="preserve"> W</w:t>
      </w:r>
      <w:r w:rsidRPr="00280A6D">
        <w:rPr>
          <w:sz w:val="24"/>
          <w:szCs w:val="24"/>
          <w:lang w:val="en-US"/>
        </w:rPr>
        <w:t xml:space="preserve">e detected most of these polyp-associated changes in AN </w:t>
      </w:r>
      <w:proofErr w:type="spellStart"/>
      <w:r w:rsidRPr="00280A6D">
        <w:rPr>
          <w:sz w:val="24"/>
          <w:szCs w:val="24"/>
          <w:lang w:val="en-US"/>
        </w:rPr>
        <w:t>individuals</w:t>
      </w:r>
      <w:proofErr w:type="spellEnd"/>
      <w:r w:rsidRPr="00280A6D">
        <w:rPr>
          <w:sz w:val="24"/>
          <w:szCs w:val="24"/>
          <w:lang w:val="en-US"/>
        </w:rPr>
        <w:t xml:space="preserve"> even when no polyps were present</w:t>
      </w:r>
      <w:r w:rsidR="0065507C" w:rsidRPr="00280A6D">
        <w:rPr>
          <w:sz w:val="24"/>
          <w:szCs w:val="24"/>
          <w:lang w:val="en-US"/>
        </w:rPr>
        <w:t>, highlighting the tumor-promoting colonic milieu in</w:t>
      </w:r>
      <w:r w:rsidRPr="00280A6D">
        <w:rPr>
          <w:sz w:val="24"/>
          <w:szCs w:val="24"/>
          <w:lang w:val="en-US"/>
        </w:rPr>
        <w:t xml:space="preserve"> </w:t>
      </w:r>
      <w:r w:rsidR="0065507C" w:rsidRPr="00280A6D">
        <w:rPr>
          <w:sz w:val="24"/>
          <w:szCs w:val="24"/>
          <w:lang w:val="en-US"/>
        </w:rPr>
        <w:t xml:space="preserve">healthy AN individuals. This also suggests that compositional shifts in the gut microbiota </w:t>
      </w:r>
      <w:r w:rsidR="00EF5EC3" w:rsidRPr="00280A6D">
        <w:rPr>
          <w:sz w:val="24"/>
          <w:szCs w:val="24"/>
          <w:lang w:val="en-US"/>
        </w:rPr>
        <w:t>may</w:t>
      </w:r>
      <w:r w:rsidR="0065507C" w:rsidRPr="00280A6D">
        <w:rPr>
          <w:sz w:val="24"/>
          <w:szCs w:val="24"/>
          <w:lang w:val="en-US"/>
        </w:rPr>
        <w:t xml:space="preserve"> not </w:t>
      </w:r>
      <w:r w:rsidR="00EF5EC3" w:rsidRPr="00280A6D">
        <w:rPr>
          <w:sz w:val="24"/>
          <w:szCs w:val="24"/>
          <w:lang w:val="en-US"/>
        </w:rPr>
        <w:t>serve as</w:t>
      </w:r>
      <w:r w:rsidR="0065507C" w:rsidRPr="00280A6D">
        <w:rPr>
          <w:sz w:val="24"/>
          <w:szCs w:val="24"/>
          <w:lang w:val="en-US"/>
        </w:rPr>
        <w:t xml:space="preserve"> </w:t>
      </w:r>
      <w:r w:rsidR="005E1E64" w:rsidRPr="00280A6D">
        <w:rPr>
          <w:sz w:val="24"/>
          <w:szCs w:val="24"/>
          <w:lang w:val="en-US"/>
        </w:rPr>
        <w:t xml:space="preserve">screening </w:t>
      </w:r>
      <w:r w:rsidR="0065507C" w:rsidRPr="00280A6D">
        <w:rPr>
          <w:sz w:val="24"/>
          <w:szCs w:val="24"/>
          <w:lang w:val="en-US"/>
        </w:rPr>
        <w:t>marker for polyp</w:t>
      </w:r>
      <w:r w:rsidR="005E1E64" w:rsidRPr="00280A6D">
        <w:rPr>
          <w:sz w:val="24"/>
          <w:szCs w:val="24"/>
          <w:lang w:val="en-US"/>
        </w:rPr>
        <w:t>s</w:t>
      </w:r>
      <w:r w:rsidR="0065507C" w:rsidRPr="00280A6D">
        <w:rPr>
          <w:sz w:val="24"/>
          <w:szCs w:val="24"/>
          <w:lang w:val="en-US"/>
        </w:rPr>
        <w:t xml:space="preserve"> in this population, where other factors may determine whether this </w:t>
      </w:r>
      <w:r w:rsidR="00EF5EC3" w:rsidRPr="00BE05D2">
        <w:rPr>
          <w:sz w:val="24"/>
          <w:szCs w:val="24"/>
          <w:lang w:val="en-US"/>
        </w:rPr>
        <w:t xml:space="preserve">colonic </w:t>
      </w:r>
      <w:r w:rsidR="0065507C" w:rsidRPr="00BE05D2">
        <w:rPr>
          <w:sz w:val="24"/>
          <w:szCs w:val="24"/>
          <w:lang w:val="en-US"/>
        </w:rPr>
        <w:t xml:space="preserve">environment triggers neoplastic change. </w:t>
      </w:r>
      <w:r w:rsidR="00EF5EC3" w:rsidRPr="00BE05D2">
        <w:rPr>
          <w:sz w:val="24"/>
          <w:szCs w:val="24"/>
          <w:lang w:val="en-US"/>
        </w:rPr>
        <w:t xml:space="preserve">Since diet was not analyzed/reported in the previous studies </w:t>
      </w:r>
      <w:r w:rsidR="00EF5EC3" w:rsidRPr="00400516">
        <w:rPr>
          <w:sz w:val="24"/>
          <w:szCs w:val="24"/>
          <w:lang w:val="en-US"/>
        </w:rPr>
        <w:fldChar w:fldCharType="begin"/>
      </w:r>
      <w:r w:rsidR="00AB6F81">
        <w:rPr>
          <w:sz w:val="24"/>
          <w:szCs w:val="24"/>
          <w:lang w:val="en-US"/>
        </w:rPr>
        <w:instrText xml:space="preserve"> ADDIN ZOTERO_ITEM CSL_CITATION {"citationID":"a1f1t7r65ao","properties":{"formattedCitation":"(66\\uc0\\u8211{}68)","plainCitation":"(66–68)","noteIndex":0},"citationItems":[{"id":4439,"uris":["http://zotero.org/users/46719/items/6AAYF6DZ"],"uri":["http://zotero.org/users/46719/items/6AAYF6DZ"],"itemData":{"id":4439,"type":"article-journal","title":"The human gut microbiome as a screening tool for colorectal cancer","container-title":"Cancer Prevention Research (Philadelphia, Pa.)","page":"1112-1121","volume":"7","issue":"11","source":"PubMed","abstract":"Recent studies have suggested that the gut microbiome may be an important factor in the development of colorectal cancer. Abnormalities in the gut microbiome have been reported in patients with colorectal cancer; however, this microbial community has not been explored as a potential screen for early-stage disease. We characterized the gut microbiome in patients from three clinical groups representing the stages of colorectal cancer development: healthy, adenoma, and carcinoma. Analysis of the gut microbiome from stool samples revealed both an enrichment and depletion of several bacterial populations associated with adenomas and carcinomas. Combined with known clinical risk factors of colorectal cancer (e.g., BMI, age, race), data from the gut microbiome significantly improved the ability to differentiate between healthy, adenoma, and carcinoma clinical groups relative to risk factors alone. Using Bayesian methods, we determined that using gut microbiome data as a screening tool improved the pretest to posttest probability of adenoma more than 50-fold. For example, the pretest probability in a 65-year-old was 0.17% and, after using the microbiome data, this increased to 10.67% (1 in 9 chance of having an adenoma). Taken together, the results of our study demonstrate the feasibility of using the composition of the gut microbiome to detect the presence of precancerous and cancerous lesions. Furthermore, these results support the need for more cross-sectional studies with diverse populations and linkage to other stool markers, dietary data, and personal health information.","DOI":"10.1158/1940-6207.CAPR-14-0129","ISSN":"1940-6215","note":"PMID: 25104642\nPMCID: PMC4221363","journalAbbreviation":"Cancer Prev Res (Phila)","language":"eng","author":[{"family":"Zackular","given":"Joseph P."},{"family":"Rogers","given":"Mary A. M."},{"family":"Ruffin","given":"Mack T."},{"family":"Schloss","given":"Patrick D."}],"issued":{"date-parts":[["2014",11]]}}},{"id":4438,"uris":["http://zotero.org/users/46719/items/6M63H54V"],"uri":["http://zotero.org/users/46719/items/6M63H54V"],"itemData":{"id":4438,"type":"article-journal","title":"Shifts in the Fecal Microbiota Associated with Adenomatous Polyps","container-title":"Cancer Epidemiology, Biomarkers &amp; Prevention: A Publication of the American Association for Cancer Research, Cosponsored by the American Society of Preventive Oncology","page":"85-94","volume":"26","issue":"1","source":"PubMed","abstract":"BACKGROUND: Adenomatous polyps are the most common precursor to colorectal cancer, the second leading cause of cancer-related death in the United States. We sought to learn more about early events of carcinogenesis by investigating shifts in the gut microbiota of patients with adenomas.\nMETHODS: We analyzed 16S rRNA gene sequences from the fecal microbiota of patients with adenomas (n = 233) and without (n = 547).\nRESULTS: Multiple taxa were significantly more abundant in patients with adenomas, including Bilophila, Desulfovibrio, proinflammatory bacteria in the genus Mogibacterium, and multiple Bacteroidetes species. Patients without adenomas had greater abundances of Veillonella, Firmicutes (Order Clostridia), and Actinobacteria (family Bifidobacteriales). Our findings were consistent with previously reported shifts in the gut microbiota of colorectal cancer patients. Importantly, the altered adenoma profile is predicted to increase primary and secondary bile acid production, as well as starch, sucrose, lipid, and phenylpropanoid metabolism.\nCONCLUSIONS: These data hint that increased sugar, protein, and lipid metabolism along with increased bile acid production could promote a colonic environment that supports the growth of bile-tolerant microbes such as Bilophilia and Desulfovibrio In turn, these microbes may produce genotoxic or inflammatory metabolites such as H2S and secondary bile acids, which could play a role in catalyzing adenoma development and eventually colorectal cancer.\nIMPACT: This study suggests a plausible biological mechanism to explain the links between shifts in the microbiota and colorectal cancer. This represents a first step toward resolving the complex interactions that shape the adenoma-carcinoma sequence of colorectal cancer and may facilitate personalized therapeutics focused on the microbiota. Cancer Epidemiol Biomarkers Prev; 26(1); 85-94. ©2016 AACR.","DOI":"10.1158/1055-9965.EPI-16-0337","ISSN":"1538-7755","note":"PMID: 27672054\nPMCID: PMC5225053","journalAbbreviation":"Cancer Epidemiol. Biomarkers Prev.","language":"eng","author":[{"family":"Hale","given":"Vanessa L."},{"family":"Chen","given":"Jun"},{"family":"Johnson","given":"Stephen"},{"family":"Harrington","given":"Sean C."},{"family":"Yab","given":"Tracy C."},{"family":"Smyrk","given":"Thomas C."},{"family":"Nelson","given":"Heidi"},{"family":"Boardman","given":"Lisa A."},{"family":"Druliner","given":"Brooke R."},{"family":"Levin","given":"Theodore R."},{"family":"Rex","given":"Douglas K."},{"family":"Ahnen","given":"Dennis J."},{"family":"Lance","given":"Peter"},{"family":"Ahlquist","given":"David A."},{"family":"Chia","given":"Nicholas"}],"issued":{"date-parts":[["2017"]]}}},{"id":4437,"uris":["http://zotero.org/users/46719/items/GCL5W5RD"],"uri":["http://zotero.org/users/46719/items/GCL5W5RD"],"itemData":{"id":4437,"type":"article-journal","title":"Mucosal microbiota of intestinal polyps reveals putative biomarkers of colorectal cancer","container-title":"Scientific Reports","page":"13974","volume":"8","issue":"1","source":"PubMed","abstract":"The human intestine retains a complex microbial ecosystem, which performs crucial functions that impact on host health. Several studies have indicated that intestinal dysbiosis may impact on the establishment of life-threatening intestinal diseases such as colorectal cancer. An adenomatous polyp is the result of abnormal tissue growth, which is benign but is considered to be associated with a high risk of developing colorectal cancer, based on its grade of dysplasia. Development of diagnostic tools that are based on surveying the gut microbiota and are aimed at early detection of colorectal cancer represent highly desirable target. For this purpose, we performed a pilot study in which we applied a metataxonomic analysis based on 16S rRNA gene sequencing approach to unveil the composition of microbial communities of intestinal polyps. Moreover, we performed a meta-analysis involving the reconstructed microbiota composition of adenomatous polyps and publicly available metagenomics datasets of colorectal cancer. These analyses allowed the identification of microbial taxa such as Faecalibacterium, Bacteroides and Romboutsia, which appear to be depleted in cancerogenic mucosa as well as in adenomatous polyps, thus representing novel microbial biomarkers associated with early tumor formation. Furthermore, an absolute quantification of Fusubacterium nucleatum in polyps further compounded the important role of this microorganism as a valuable putative microbial biomarker for early diagnosis of colorectal cancer.","DOI":"10.1038/s41598-018-32413-2","ISSN":"2045-2322","note":"PMID: 30228361\nPMCID: PMC6143603","journalAbbreviation":"Sci Rep","language":"eng","author":[{"family":"Mangifesta","given":"Marta"},{"family":"Mancabelli","given":"Leonardo"},{"family":"Milani","given":"Christian"},{"family":"Gaiani","given":"Federica"},{"family":"Angelis","given":"Nicola","non-dropping-particle":"de'"},{"family":"Angelis","given":"Gian Luigi","non-dropping-particle":"de'"},{"family":"Sinderen","given":"Douwe","non-dropping-particle":"van"},{"family":"Ventura","given":"Marco"},{"family":"Turroni","given":"Francesca"}],"issued":{"date-parts":[["2018",9,18]]}}}],"schema":"https://github.com/citation-style-language/schema/raw/master/csl-citation.json"} </w:instrText>
      </w:r>
      <w:r w:rsidR="00EF5EC3" w:rsidRPr="00400516">
        <w:rPr>
          <w:sz w:val="24"/>
          <w:szCs w:val="24"/>
          <w:lang w:val="en-US"/>
        </w:rPr>
        <w:fldChar w:fldCharType="separate"/>
      </w:r>
      <w:r w:rsidR="00AB6F81" w:rsidRPr="00AB6F81">
        <w:rPr>
          <w:rFonts w:ascii="Calibri" w:hAnsi="Calibri" w:cs="Calibri"/>
          <w:sz w:val="24"/>
          <w:szCs w:val="24"/>
          <w:lang w:val="en-US"/>
        </w:rPr>
        <w:t>(66–68)</w:t>
      </w:r>
      <w:r w:rsidR="00EF5EC3" w:rsidRPr="00400516">
        <w:rPr>
          <w:sz w:val="24"/>
          <w:szCs w:val="24"/>
          <w:lang w:val="en-US"/>
        </w:rPr>
        <w:fldChar w:fldCharType="end"/>
      </w:r>
      <w:r w:rsidR="00EF5EC3" w:rsidRPr="00400516">
        <w:rPr>
          <w:sz w:val="24"/>
          <w:szCs w:val="24"/>
          <w:lang w:val="en-US"/>
        </w:rPr>
        <w:t xml:space="preserve">, our results also suggests that polyp-associated alterations in the (fecal) gut microbiota may be not primarily related to polyp presence but diet patterns associated with CRC risk. </w:t>
      </w:r>
    </w:p>
    <w:p w:rsidR="00AB6F81" w:rsidRDefault="00BE05D2" w:rsidP="00280A6D">
      <w:pPr>
        <w:spacing w:line="480" w:lineRule="auto"/>
        <w:jc w:val="both"/>
        <w:rPr>
          <w:sz w:val="24"/>
          <w:szCs w:val="24"/>
          <w:lang w:val="en-US"/>
        </w:rPr>
      </w:pPr>
      <w:r w:rsidRPr="00400516">
        <w:rPr>
          <w:sz w:val="24"/>
          <w:szCs w:val="24"/>
          <w:lang w:val="en-US"/>
        </w:rPr>
        <w:t xml:space="preserve">There are limitations to this observational study, which may have benefited from more participants, several time points of sampling and the collection of mucosal biopsies during colonoscopy. Being a general limitation of observational studies, we described associations of diets and metabolites linked to CRC risk, but not causation. However, this study provides an initial baseline characterization for a population at very high CRC risk and signifies which </w:t>
      </w:r>
      <w:r w:rsidRPr="00400516">
        <w:rPr>
          <w:sz w:val="24"/>
          <w:szCs w:val="24"/>
          <w:lang w:val="en-US"/>
        </w:rPr>
        <w:lastRenderedPageBreak/>
        <w:t xml:space="preserve">approaches, especially with regard to larger-scale follow-up intervention studies, might best reduce CRC risk. </w:t>
      </w:r>
    </w:p>
    <w:p w:rsidR="003179CC" w:rsidRPr="00123003" w:rsidRDefault="00D16939" w:rsidP="00280A6D">
      <w:pPr>
        <w:spacing w:line="480" w:lineRule="auto"/>
        <w:jc w:val="both"/>
        <w:rPr>
          <w:sz w:val="24"/>
          <w:szCs w:val="24"/>
          <w:lang w:val="en-US"/>
        </w:rPr>
      </w:pPr>
      <w:r w:rsidRPr="00BE05D2">
        <w:rPr>
          <w:sz w:val="24"/>
          <w:szCs w:val="24"/>
          <w:lang w:val="en-US"/>
        </w:rPr>
        <w:t xml:space="preserve">In conclusion, </w:t>
      </w:r>
      <w:r w:rsidR="00DD0115" w:rsidRPr="00BE05D2">
        <w:rPr>
          <w:sz w:val="24"/>
          <w:szCs w:val="24"/>
          <w:lang w:val="en-US"/>
        </w:rPr>
        <w:t xml:space="preserve">our results strongly support the hypothesis that </w:t>
      </w:r>
      <w:r w:rsidR="00023143" w:rsidRPr="00BE05D2">
        <w:rPr>
          <w:sz w:val="24"/>
          <w:szCs w:val="24"/>
          <w:lang w:val="en-US"/>
        </w:rPr>
        <w:t xml:space="preserve">a </w:t>
      </w:r>
      <w:r w:rsidRPr="00280A6D">
        <w:rPr>
          <w:sz w:val="24"/>
          <w:szCs w:val="24"/>
          <w:lang w:val="en-US"/>
        </w:rPr>
        <w:t xml:space="preserve">diet low in fiber and rich in fat </w:t>
      </w:r>
      <w:r w:rsidR="001301EB" w:rsidRPr="00280A6D">
        <w:rPr>
          <w:sz w:val="24"/>
          <w:szCs w:val="24"/>
          <w:lang w:val="en-US"/>
        </w:rPr>
        <w:t xml:space="preserve">promotes </w:t>
      </w:r>
      <w:r w:rsidRPr="00280A6D">
        <w:rPr>
          <w:sz w:val="24"/>
          <w:szCs w:val="24"/>
          <w:lang w:val="en-US"/>
        </w:rPr>
        <w:t>a colonic environment that contribute</w:t>
      </w:r>
      <w:r w:rsidR="009339D6" w:rsidRPr="00280A6D">
        <w:rPr>
          <w:sz w:val="24"/>
          <w:szCs w:val="24"/>
          <w:lang w:val="en-US"/>
        </w:rPr>
        <w:t>s</w:t>
      </w:r>
      <w:r w:rsidRPr="00280A6D">
        <w:rPr>
          <w:sz w:val="24"/>
          <w:szCs w:val="24"/>
          <w:lang w:val="en-US"/>
        </w:rPr>
        <w:t xml:space="preserve"> to the </w:t>
      </w:r>
      <w:r w:rsidR="00B74775" w:rsidRPr="00280A6D">
        <w:rPr>
          <w:sz w:val="24"/>
          <w:szCs w:val="24"/>
          <w:lang w:val="en-US"/>
        </w:rPr>
        <w:t xml:space="preserve">high </w:t>
      </w:r>
      <w:r w:rsidRPr="00280A6D">
        <w:rPr>
          <w:sz w:val="24"/>
          <w:szCs w:val="24"/>
          <w:lang w:val="en-US"/>
        </w:rPr>
        <w:t xml:space="preserve">rate of CRC in </w:t>
      </w:r>
      <w:proofErr w:type="gramStart"/>
      <w:r w:rsidRPr="00280A6D">
        <w:rPr>
          <w:sz w:val="24"/>
          <w:szCs w:val="24"/>
          <w:lang w:val="en-US"/>
        </w:rPr>
        <w:t>AN</w:t>
      </w:r>
      <w:proofErr w:type="gramEnd"/>
      <w:r w:rsidRPr="00280A6D">
        <w:rPr>
          <w:sz w:val="24"/>
          <w:szCs w:val="24"/>
          <w:lang w:val="en-US"/>
        </w:rPr>
        <w:t xml:space="preserve"> people. </w:t>
      </w:r>
      <w:r w:rsidR="004F65C9" w:rsidRPr="00280A6D">
        <w:rPr>
          <w:sz w:val="24"/>
          <w:szCs w:val="24"/>
          <w:lang w:val="en-US"/>
        </w:rPr>
        <w:t>The loss of colonic butyrate may predispose the colonic epithelium to a high susceptibility to</w:t>
      </w:r>
      <w:r w:rsidR="00F415E2" w:rsidRPr="00280A6D">
        <w:rPr>
          <w:sz w:val="24"/>
          <w:szCs w:val="24"/>
          <w:lang w:val="en-US"/>
        </w:rPr>
        <w:t>wards tumor-promoting DCA</w:t>
      </w:r>
      <w:r w:rsidR="00206FBF" w:rsidRPr="00280A6D">
        <w:rPr>
          <w:sz w:val="24"/>
          <w:szCs w:val="24"/>
          <w:lang w:val="en-US"/>
        </w:rPr>
        <w:t>,</w:t>
      </w:r>
      <w:r w:rsidR="004F65C9" w:rsidRPr="00280A6D">
        <w:rPr>
          <w:sz w:val="24"/>
          <w:szCs w:val="24"/>
          <w:lang w:val="en-US"/>
        </w:rPr>
        <w:t xml:space="preserve"> </w:t>
      </w:r>
      <w:r w:rsidR="0057246C" w:rsidRPr="00280A6D">
        <w:rPr>
          <w:sz w:val="24"/>
          <w:szCs w:val="24"/>
          <w:lang w:val="en-US"/>
        </w:rPr>
        <w:t>triggered by high-fat</w:t>
      </w:r>
      <w:r w:rsidR="00206FBF" w:rsidRPr="00280A6D">
        <w:rPr>
          <w:sz w:val="24"/>
          <w:szCs w:val="24"/>
          <w:lang w:val="en-US"/>
        </w:rPr>
        <w:t xml:space="preserve"> diet,</w:t>
      </w:r>
      <w:r w:rsidR="0057246C" w:rsidRPr="00280A6D">
        <w:rPr>
          <w:sz w:val="24"/>
          <w:szCs w:val="24"/>
          <w:lang w:val="en-US"/>
        </w:rPr>
        <w:t xml:space="preserve"> </w:t>
      </w:r>
      <w:r w:rsidR="004F65C9" w:rsidRPr="00280A6D">
        <w:rPr>
          <w:sz w:val="24"/>
          <w:szCs w:val="24"/>
          <w:lang w:val="en-US"/>
        </w:rPr>
        <w:t>and pro-carcinogenic metabolites</w:t>
      </w:r>
      <w:r w:rsidR="00206FBF" w:rsidRPr="00280A6D">
        <w:rPr>
          <w:sz w:val="24"/>
          <w:szCs w:val="24"/>
          <w:lang w:val="en-US"/>
        </w:rPr>
        <w:t>,</w:t>
      </w:r>
      <w:r w:rsidR="004F65C9" w:rsidRPr="00280A6D">
        <w:rPr>
          <w:sz w:val="24"/>
          <w:szCs w:val="24"/>
          <w:lang w:val="en-US"/>
        </w:rPr>
        <w:t xml:space="preserve"> derived from </w:t>
      </w:r>
      <w:r w:rsidR="0057246C" w:rsidRPr="00280A6D">
        <w:rPr>
          <w:sz w:val="24"/>
          <w:szCs w:val="24"/>
          <w:lang w:val="en-US"/>
        </w:rPr>
        <w:t>high-</w:t>
      </w:r>
      <w:r w:rsidR="004F65C9" w:rsidRPr="00280A6D">
        <w:rPr>
          <w:sz w:val="24"/>
          <w:szCs w:val="24"/>
          <w:lang w:val="en-US"/>
        </w:rPr>
        <w:t xml:space="preserve">meat intake. </w:t>
      </w:r>
      <w:r w:rsidR="00F415E2" w:rsidRPr="00280A6D">
        <w:rPr>
          <w:sz w:val="24"/>
          <w:szCs w:val="24"/>
          <w:lang w:val="en-US"/>
        </w:rPr>
        <w:t>Critically, th</w:t>
      </w:r>
      <w:r w:rsidR="00206FBF" w:rsidRPr="00280A6D">
        <w:rPr>
          <w:sz w:val="24"/>
          <w:szCs w:val="24"/>
          <w:lang w:val="en-US"/>
        </w:rPr>
        <w:t>i</w:t>
      </w:r>
      <w:r w:rsidR="00F415E2" w:rsidRPr="00280A6D">
        <w:rPr>
          <w:sz w:val="24"/>
          <w:szCs w:val="24"/>
          <w:lang w:val="en-US"/>
        </w:rPr>
        <w:t xml:space="preserve">s </w:t>
      </w:r>
      <w:r w:rsidR="00206FBF" w:rsidRPr="00280A6D">
        <w:rPr>
          <w:sz w:val="24"/>
          <w:szCs w:val="24"/>
          <w:lang w:val="en-US"/>
        </w:rPr>
        <w:t>is</w:t>
      </w:r>
      <w:r w:rsidR="00F415E2" w:rsidRPr="00280A6D">
        <w:rPr>
          <w:sz w:val="24"/>
          <w:szCs w:val="24"/>
          <w:lang w:val="en-US"/>
        </w:rPr>
        <w:t xml:space="preserve"> driven by altered metabolic activity</w:t>
      </w:r>
      <w:r w:rsidR="00DD0115" w:rsidRPr="00280A6D">
        <w:rPr>
          <w:sz w:val="24"/>
          <w:szCs w:val="24"/>
          <w:lang w:val="en-US"/>
        </w:rPr>
        <w:t xml:space="preserve"> in</w:t>
      </w:r>
      <w:r w:rsidR="00F415E2" w:rsidRPr="00280A6D">
        <w:rPr>
          <w:sz w:val="24"/>
          <w:szCs w:val="24"/>
          <w:lang w:val="en-US"/>
        </w:rPr>
        <w:t xml:space="preserve"> the</w:t>
      </w:r>
      <w:r w:rsidR="00E354EF" w:rsidRPr="00280A6D">
        <w:rPr>
          <w:sz w:val="24"/>
          <w:szCs w:val="24"/>
          <w:lang w:val="en-US"/>
        </w:rPr>
        <w:t xml:space="preserve"> </w:t>
      </w:r>
      <w:proofErr w:type="gramStart"/>
      <w:r w:rsidR="00E354EF" w:rsidRPr="00280A6D">
        <w:rPr>
          <w:sz w:val="24"/>
          <w:szCs w:val="24"/>
          <w:lang w:val="en-US"/>
        </w:rPr>
        <w:t>AN</w:t>
      </w:r>
      <w:proofErr w:type="gramEnd"/>
      <w:r w:rsidR="00F415E2" w:rsidRPr="00280A6D">
        <w:rPr>
          <w:sz w:val="24"/>
          <w:szCs w:val="24"/>
          <w:lang w:val="en-US"/>
        </w:rPr>
        <w:t xml:space="preserve"> microbiota, </w:t>
      </w:r>
      <w:r w:rsidR="00E354EF" w:rsidRPr="00280A6D">
        <w:rPr>
          <w:sz w:val="24"/>
          <w:szCs w:val="24"/>
          <w:lang w:val="en-US"/>
        </w:rPr>
        <w:t>characterized by impaired</w:t>
      </w:r>
      <w:r w:rsidR="00F415E2" w:rsidRPr="00280A6D">
        <w:rPr>
          <w:sz w:val="24"/>
          <w:szCs w:val="24"/>
          <w:lang w:val="en-US"/>
        </w:rPr>
        <w:t xml:space="preserve"> metabolic and microbial diversity</w:t>
      </w:r>
      <w:r w:rsidR="00E354EF" w:rsidRPr="00280A6D">
        <w:rPr>
          <w:sz w:val="24"/>
          <w:szCs w:val="24"/>
          <w:lang w:val="en-US"/>
        </w:rPr>
        <w:t xml:space="preserve"> in the colon</w:t>
      </w:r>
      <w:r w:rsidR="00F415E2" w:rsidRPr="00280A6D">
        <w:rPr>
          <w:sz w:val="24"/>
          <w:szCs w:val="24"/>
          <w:lang w:val="en-US"/>
        </w:rPr>
        <w:t xml:space="preserve">. </w:t>
      </w:r>
      <w:r w:rsidR="004C6930" w:rsidRPr="00280A6D">
        <w:rPr>
          <w:sz w:val="24"/>
          <w:szCs w:val="24"/>
          <w:lang w:val="en-US"/>
        </w:rPr>
        <w:t>At the other end of the CRC risk</w:t>
      </w:r>
      <w:r w:rsidR="00470FB7" w:rsidRPr="00280A6D">
        <w:rPr>
          <w:sz w:val="24"/>
          <w:szCs w:val="24"/>
          <w:lang w:val="en-US"/>
        </w:rPr>
        <w:t xml:space="preserve"> chart</w:t>
      </w:r>
      <w:r w:rsidR="004C6930" w:rsidRPr="00280A6D">
        <w:rPr>
          <w:sz w:val="24"/>
          <w:szCs w:val="24"/>
          <w:lang w:val="en-US"/>
        </w:rPr>
        <w:t xml:space="preserve">, the results from RA </w:t>
      </w:r>
      <w:r w:rsidR="00B058CB" w:rsidRPr="00280A6D">
        <w:rPr>
          <w:sz w:val="24"/>
          <w:szCs w:val="24"/>
          <w:lang w:val="en-US"/>
        </w:rPr>
        <w:t>participants</w:t>
      </w:r>
      <w:r w:rsidR="004C6930" w:rsidRPr="00280A6D">
        <w:rPr>
          <w:sz w:val="24"/>
          <w:szCs w:val="24"/>
          <w:lang w:val="en-US"/>
        </w:rPr>
        <w:t xml:space="preserve"> highlight the importance of a high-fiber, low-fat </w:t>
      </w:r>
      <w:r w:rsidR="005E7645" w:rsidRPr="00280A6D">
        <w:rPr>
          <w:sz w:val="24"/>
          <w:szCs w:val="24"/>
          <w:lang w:val="en-US"/>
        </w:rPr>
        <w:t>and -</w:t>
      </w:r>
      <w:r w:rsidR="00D67BEB" w:rsidRPr="00280A6D">
        <w:rPr>
          <w:sz w:val="24"/>
          <w:szCs w:val="24"/>
          <w:lang w:val="en-US"/>
        </w:rPr>
        <w:t xml:space="preserve">meat </w:t>
      </w:r>
      <w:r w:rsidR="004C6930" w:rsidRPr="00280A6D">
        <w:rPr>
          <w:sz w:val="24"/>
          <w:szCs w:val="24"/>
          <w:lang w:val="en-US"/>
        </w:rPr>
        <w:t xml:space="preserve">diet for colonic health. </w:t>
      </w:r>
      <w:r w:rsidR="00470FB7" w:rsidRPr="00280A6D">
        <w:rPr>
          <w:sz w:val="24"/>
          <w:szCs w:val="24"/>
          <w:lang w:val="en-US"/>
        </w:rPr>
        <w:t>T</w:t>
      </w:r>
      <w:r w:rsidR="007F4BAB" w:rsidRPr="00280A6D">
        <w:rPr>
          <w:sz w:val="24"/>
          <w:szCs w:val="24"/>
          <w:lang w:val="en-US"/>
        </w:rPr>
        <w:t>he RA diet</w:t>
      </w:r>
      <w:r w:rsidR="00F079FE" w:rsidRPr="00280A6D">
        <w:rPr>
          <w:sz w:val="24"/>
          <w:szCs w:val="24"/>
          <w:lang w:val="en-US"/>
        </w:rPr>
        <w:t xml:space="preserve"> provide</w:t>
      </w:r>
      <w:r w:rsidR="007F4BAB" w:rsidRPr="00280A6D">
        <w:rPr>
          <w:sz w:val="24"/>
          <w:szCs w:val="24"/>
          <w:lang w:val="en-US"/>
        </w:rPr>
        <w:t>s</w:t>
      </w:r>
      <w:r w:rsidR="00F079FE" w:rsidRPr="00280A6D">
        <w:rPr>
          <w:sz w:val="24"/>
          <w:szCs w:val="24"/>
          <w:lang w:val="en-US"/>
        </w:rPr>
        <w:t xml:space="preserve"> </w:t>
      </w:r>
      <w:r w:rsidR="007F4BAB" w:rsidRPr="00280A6D">
        <w:rPr>
          <w:sz w:val="24"/>
          <w:szCs w:val="24"/>
          <w:lang w:val="en-US"/>
        </w:rPr>
        <w:t xml:space="preserve">a blueprint for </w:t>
      </w:r>
      <w:r w:rsidR="002C6246" w:rsidRPr="00280A6D">
        <w:rPr>
          <w:sz w:val="24"/>
          <w:szCs w:val="24"/>
          <w:lang w:val="en-US"/>
        </w:rPr>
        <w:t xml:space="preserve">efficient CRC risk reduction by </w:t>
      </w:r>
      <w:r w:rsidR="00A32F00" w:rsidRPr="00280A6D">
        <w:rPr>
          <w:sz w:val="24"/>
          <w:szCs w:val="24"/>
          <w:lang w:val="en-US"/>
        </w:rPr>
        <w:t>improving</w:t>
      </w:r>
      <w:r w:rsidR="00B760F3" w:rsidRPr="00280A6D">
        <w:rPr>
          <w:sz w:val="24"/>
          <w:szCs w:val="24"/>
          <w:lang w:val="en-US"/>
        </w:rPr>
        <w:t xml:space="preserve"> butyrate synthesis</w:t>
      </w:r>
      <w:r w:rsidR="002C6246" w:rsidRPr="00280A6D">
        <w:rPr>
          <w:sz w:val="24"/>
          <w:szCs w:val="24"/>
          <w:lang w:val="en-US"/>
        </w:rPr>
        <w:t xml:space="preserve"> of the gut microbiota, while containing biotransformation of bile acids</w:t>
      </w:r>
      <w:r w:rsidR="00437602" w:rsidRPr="00280A6D">
        <w:rPr>
          <w:sz w:val="24"/>
          <w:szCs w:val="24"/>
          <w:lang w:val="en-US"/>
        </w:rPr>
        <w:t>, despite its relative deficiency in some micro</w:t>
      </w:r>
      <w:r w:rsidR="00D85B01" w:rsidRPr="00280A6D">
        <w:rPr>
          <w:sz w:val="24"/>
          <w:szCs w:val="24"/>
          <w:lang w:val="en-US"/>
        </w:rPr>
        <w:t>nutrients (</w:t>
      </w:r>
      <w:r w:rsidR="00437602" w:rsidRPr="00280A6D">
        <w:rPr>
          <w:sz w:val="24"/>
          <w:szCs w:val="24"/>
          <w:lang w:val="en-US"/>
        </w:rPr>
        <w:t>e.g.</w:t>
      </w:r>
      <w:r w:rsidR="00D85B01" w:rsidRPr="00280A6D">
        <w:rPr>
          <w:sz w:val="24"/>
          <w:szCs w:val="24"/>
          <w:lang w:val="en-US"/>
        </w:rPr>
        <w:t>,</w:t>
      </w:r>
      <w:r w:rsidR="00437602" w:rsidRPr="00280A6D">
        <w:rPr>
          <w:sz w:val="24"/>
          <w:szCs w:val="24"/>
          <w:lang w:val="en-US"/>
        </w:rPr>
        <w:t xml:space="preserve"> vitamin A</w:t>
      </w:r>
      <w:r w:rsidR="00D85B01" w:rsidRPr="00280A6D">
        <w:rPr>
          <w:sz w:val="24"/>
          <w:szCs w:val="24"/>
          <w:lang w:val="en-US"/>
        </w:rPr>
        <w:t>)</w:t>
      </w:r>
      <w:r w:rsidR="002C6246" w:rsidRPr="00280A6D">
        <w:rPr>
          <w:sz w:val="24"/>
          <w:szCs w:val="24"/>
          <w:lang w:val="en-US"/>
        </w:rPr>
        <w:t xml:space="preserve">. </w:t>
      </w:r>
      <w:r w:rsidR="007F4BAB" w:rsidRPr="00280A6D">
        <w:rPr>
          <w:sz w:val="24"/>
          <w:szCs w:val="24"/>
          <w:lang w:val="en-US"/>
        </w:rPr>
        <w:t>Due to</w:t>
      </w:r>
      <w:r w:rsidR="003179CC" w:rsidRPr="00280A6D">
        <w:rPr>
          <w:sz w:val="24"/>
          <w:szCs w:val="24"/>
          <w:lang w:val="en-US"/>
        </w:rPr>
        <w:t xml:space="preserve"> the</w:t>
      </w:r>
      <w:r w:rsidR="00470FB7" w:rsidRPr="00280A6D">
        <w:rPr>
          <w:sz w:val="24"/>
          <w:szCs w:val="24"/>
          <w:lang w:val="en-US"/>
        </w:rPr>
        <w:t xml:space="preserve"> </w:t>
      </w:r>
      <w:r w:rsidR="00B74775" w:rsidRPr="00280A6D">
        <w:rPr>
          <w:sz w:val="24"/>
          <w:szCs w:val="24"/>
          <w:lang w:val="en-US"/>
        </w:rPr>
        <w:t xml:space="preserve">very high </w:t>
      </w:r>
      <w:r w:rsidR="00232649" w:rsidRPr="00280A6D">
        <w:rPr>
          <w:sz w:val="24"/>
          <w:szCs w:val="24"/>
          <w:lang w:val="en-US"/>
        </w:rPr>
        <w:t xml:space="preserve">CRC rates, </w:t>
      </w:r>
      <w:proofErr w:type="gramStart"/>
      <w:r w:rsidR="00232649" w:rsidRPr="00280A6D">
        <w:rPr>
          <w:sz w:val="24"/>
          <w:szCs w:val="24"/>
          <w:lang w:val="en-US"/>
        </w:rPr>
        <w:t>AN</w:t>
      </w:r>
      <w:proofErr w:type="gramEnd"/>
      <w:r w:rsidR="00232649" w:rsidRPr="00280A6D">
        <w:rPr>
          <w:sz w:val="24"/>
          <w:szCs w:val="24"/>
          <w:lang w:val="en-US"/>
        </w:rPr>
        <w:t xml:space="preserve"> people </w:t>
      </w:r>
      <w:r w:rsidR="003179CC" w:rsidRPr="00280A6D">
        <w:rPr>
          <w:sz w:val="24"/>
          <w:szCs w:val="24"/>
          <w:lang w:val="en-US"/>
        </w:rPr>
        <w:t>p</w:t>
      </w:r>
      <w:r w:rsidR="00232649" w:rsidRPr="00280A6D">
        <w:rPr>
          <w:sz w:val="24"/>
          <w:szCs w:val="24"/>
          <w:lang w:val="en-US"/>
        </w:rPr>
        <w:t xml:space="preserve">resent a unique </w:t>
      </w:r>
      <w:r w:rsidR="00B83CB4" w:rsidRPr="00280A6D">
        <w:rPr>
          <w:sz w:val="24"/>
          <w:szCs w:val="24"/>
          <w:lang w:val="en-US"/>
        </w:rPr>
        <w:t xml:space="preserve">opportunity </w:t>
      </w:r>
      <w:r w:rsidR="00232649" w:rsidRPr="00280A6D">
        <w:rPr>
          <w:sz w:val="24"/>
          <w:szCs w:val="24"/>
          <w:lang w:val="en-US"/>
        </w:rPr>
        <w:t>for proof-of-concept</w:t>
      </w:r>
      <w:r w:rsidR="003179CC" w:rsidRPr="00280A6D">
        <w:rPr>
          <w:sz w:val="24"/>
          <w:szCs w:val="24"/>
          <w:lang w:val="en-US"/>
        </w:rPr>
        <w:t xml:space="preserve"> dietary modifications to prevent CRC</w:t>
      </w:r>
      <w:r w:rsidR="00D85B01" w:rsidRPr="00280A6D">
        <w:rPr>
          <w:sz w:val="24"/>
          <w:szCs w:val="24"/>
          <w:lang w:val="en-US"/>
        </w:rPr>
        <w:t xml:space="preserve"> and for mechanistic</w:t>
      </w:r>
      <w:r w:rsidR="00D85B01" w:rsidRPr="00123003">
        <w:rPr>
          <w:sz w:val="24"/>
          <w:szCs w:val="24"/>
          <w:lang w:val="en-US"/>
        </w:rPr>
        <w:t xml:space="preserve"> analysi</w:t>
      </w:r>
      <w:r w:rsidR="00D472EA" w:rsidRPr="00123003">
        <w:rPr>
          <w:sz w:val="24"/>
          <w:szCs w:val="24"/>
          <w:lang w:val="en-US"/>
        </w:rPr>
        <w:t>s of the antagonistic relationship of butyrate and DCA</w:t>
      </w:r>
      <w:r w:rsidR="003179CC" w:rsidRPr="00123003">
        <w:rPr>
          <w:sz w:val="24"/>
          <w:szCs w:val="24"/>
          <w:lang w:val="en-US"/>
        </w:rPr>
        <w:t>.</w:t>
      </w:r>
      <w:r w:rsidR="007F4BAB" w:rsidRPr="00123003">
        <w:rPr>
          <w:sz w:val="24"/>
          <w:szCs w:val="24"/>
          <w:lang w:val="en-US"/>
        </w:rPr>
        <w:t xml:space="preserve"> </w:t>
      </w:r>
      <w:r w:rsidR="00B83CB4">
        <w:rPr>
          <w:sz w:val="24"/>
          <w:szCs w:val="24"/>
          <w:lang w:val="en-US"/>
        </w:rPr>
        <w:t>S</w:t>
      </w:r>
      <w:r w:rsidR="007F4BAB" w:rsidRPr="00123003">
        <w:rPr>
          <w:sz w:val="24"/>
          <w:szCs w:val="24"/>
          <w:lang w:val="en-US"/>
        </w:rPr>
        <w:t>upplementation of the AN diet with fiber to increase luminal butyrate</w:t>
      </w:r>
      <w:r w:rsidR="00470FB7" w:rsidRPr="00123003">
        <w:rPr>
          <w:sz w:val="24"/>
          <w:szCs w:val="24"/>
          <w:lang w:val="en-US"/>
        </w:rPr>
        <w:t xml:space="preserve"> levels</w:t>
      </w:r>
      <w:r w:rsidR="00232649" w:rsidRPr="00123003">
        <w:rPr>
          <w:sz w:val="24"/>
          <w:szCs w:val="24"/>
          <w:lang w:val="en-US"/>
        </w:rPr>
        <w:t xml:space="preserve">, </w:t>
      </w:r>
      <w:r w:rsidR="007F4BAB" w:rsidRPr="00123003">
        <w:rPr>
          <w:sz w:val="24"/>
          <w:szCs w:val="24"/>
          <w:lang w:val="en-US"/>
        </w:rPr>
        <w:t xml:space="preserve">followed by a reduction in </w:t>
      </w:r>
      <w:r w:rsidR="00762251" w:rsidRPr="00123003">
        <w:rPr>
          <w:sz w:val="24"/>
          <w:szCs w:val="24"/>
          <w:lang w:val="en-US"/>
        </w:rPr>
        <w:t>saturated animal-derived</w:t>
      </w:r>
      <w:r w:rsidR="007F4BAB" w:rsidRPr="00123003">
        <w:rPr>
          <w:sz w:val="24"/>
          <w:szCs w:val="24"/>
          <w:lang w:val="en-US"/>
        </w:rPr>
        <w:t xml:space="preserve"> fat to </w:t>
      </w:r>
      <w:r w:rsidR="00762251" w:rsidRPr="00123003">
        <w:rPr>
          <w:sz w:val="24"/>
          <w:szCs w:val="24"/>
          <w:lang w:val="en-US"/>
        </w:rPr>
        <w:t>limit</w:t>
      </w:r>
      <w:r w:rsidR="007F4BAB" w:rsidRPr="00123003">
        <w:rPr>
          <w:sz w:val="24"/>
          <w:szCs w:val="24"/>
          <w:lang w:val="en-US"/>
        </w:rPr>
        <w:t xml:space="preserve"> colonic DCA levels</w:t>
      </w:r>
      <w:r w:rsidR="00A32F00" w:rsidRPr="00123003">
        <w:rPr>
          <w:sz w:val="24"/>
          <w:szCs w:val="24"/>
          <w:lang w:val="en-US"/>
        </w:rPr>
        <w:t xml:space="preserve">, </w:t>
      </w:r>
      <w:r w:rsidR="005E2FAD" w:rsidRPr="00123003">
        <w:rPr>
          <w:sz w:val="24"/>
          <w:szCs w:val="24"/>
          <w:lang w:val="en-US"/>
        </w:rPr>
        <w:t>is warra</w:t>
      </w:r>
      <w:r w:rsidR="00232649" w:rsidRPr="00123003">
        <w:rPr>
          <w:sz w:val="24"/>
          <w:szCs w:val="24"/>
          <w:lang w:val="en-US"/>
        </w:rPr>
        <w:t>nted</w:t>
      </w:r>
      <w:r w:rsidR="007F4BAB" w:rsidRPr="00123003">
        <w:rPr>
          <w:sz w:val="24"/>
          <w:szCs w:val="24"/>
          <w:lang w:val="en-US"/>
        </w:rPr>
        <w:t xml:space="preserve"> to reduce </w:t>
      </w:r>
      <w:r w:rsidR="005E2FAD" w:rsidRPr="00123003">
        <w:rPr>
          <w:sz w:val="24"/>
          <w:szCs w:val="24"/>
          <w:lang w:val="en-US"/>
        </w:rPr>
        <w:t xml:space="preserve">the high rates of </w:t>
      </w:r>
      <w:r w:rsidR="007F4BAB" w:rsidRPr="00123003">
        <w:rPr>
          <w:sz w:val="24"/>
          <w:szCs w:val="24"/>
          <w:lang w:val="en-US"/>
        </w:rPr>
        <w:t xml:space="preserve">CRC in the </w:t>
      </w:r>
      <w:r w:rsidR="001252AA" w:rsidRPr="00123003">
        <w:rPr>
          <w:sz w:val="24"/>
          <w:szCs w:val="24"/>
          <w:lang w:val="en-US"/>
        </w:rPr>
        <w:t>A</w:t>
      </w:r>
      <w:r w:rsidR="007F4BAB" w:rsidRPr="00123003">
        <w:rPr>
          <w:sz w:val="24"/>
          <w:szCs w:val="24"/>
          <w:lang w:val="en-US"/>
        </w:rPr>
        <w:t xml:space="preserve">N population. </w:t>
      </w:r>
    </w:p>
    <w:p w:rsidR="008604D5" w:rsidRPr="00123003" w:rsidRDefault="00DB7E1B" w:rsidP="00123003">
      <w:pPr>
        <w:spacing w:line="480" w:lineRule="auto"/>
        <w:jc w:val="both"/>
        <w:rPr>
          <w:sz w:val="24"/>
          <w:szCs w:val="24"/>
          <w:lang w:val="en-US"/>
        </w:rPr>
      </w:pPr>
      <w:r w:rsidRPr="00123003">
        <w:rPr>
          <w:b/>
          <w:sz w:val="24"/>
          <w:szCs w:val="24"/>
          <w:lang w:val="en-US"/>
        </w:rPr>
        <w:t>Acknowledgements</w:t>
      </w:r>
      <w:r w:rsidR="00421656" w:rsidRPr="00123003">
        <w:rPr>
          <w:b/>
          <w:sz w:val="24"/>
          <w:szCs w:val="24"/>
          <w:lang w:val="en-US"/>
        </w:rPr>
        <w:t xml:space="preserve">: </w:t>
      </w:r>
      <w:r w:rsidR="003C6CF2" w:rsidRPr="00123003">
        <w:rPr>
          <w:sz w:val="24"/>
          <w:szCs w:val="24"/>
          <w:lang w:val="en-US"/>
        </w:rPr>
        <w:t xml:space="preserve">We wish to thank the administration and outpatient clinic and pharmacy staffs at the Alaska Native Medical Center in Anchorage and Samuel Simmonds Memorial Hospital in </w:t>
      </w:r>
      <w:proofErr w:type="spellStart"/>
      <w:r w:rsidR="00B83CB4" w:rsidRPr="00123003">
        <w:rPr>
          <w:sz w:val="24"/>
          <w:szCs w:val="24"/>
          <w:lang w:val="en-US"/>
        </w:rPr>
        <w:t>Utqiagvik</w:t>
      </w:r>
      <w:proofErr w:type="spellEnd"/>
      <w:r w:rsidR="003C6CF2" w:rsidRPr="00123003">
        <w:rPr>
          <w:sz w:val="24"/>
          <w:szCs w:val="24"/>
          <w:lang w:val="en-US"/>
        </w:rPr>
        <w:t xml:space="preserve">, Alaska for their support of this project. </w:t>
      </w:r>
      <w:r w:rsidR="00554559">
        <w:rPr>
          <w:sz w:val="24"/>
          <w:szCs w:val="24"/>
          <w:lang w:val="en-US"/>
        </w:rPr>
        <w:t xml:space="preserve">We thank Timothy Stevenson for dietary data transformation and entry, enabling nutrient data analysis. </w:t>
      </w:r>
      <w:r w:rsidR="00651EEA" w:rsidRPr="00123003">
        <w:rPr>
          <w:sz w:val="24"/>
          <w:szCs w:val="24"/>
          <w:lang w:val="en-US"/>
        </w:rPr>
        <w:t xml:space="preserve">We thank </w:t>
      </w:r>
      <w:proofErr w:type="spellStart"/>
      <w:r w:rsidR="00651EEA" w:rsidRPr="00123003">
        <w:rPr>
          <w:sz w:val="24"/>
          <w:szCs w:val="24"/>
          <w:lang w:val="en-US"/>
        </w:rPr>
        <w:t>Chadd</w:t>
      </w:r>
      <w:proofErr w:type="spellEnd"/>
      <w:r w:rsidR="00651EEA" w:rsidRPr="00123003">
        <w:rPr>
          <w:sz w:val="24"/>
          <w:szCs w:val="24"/>
          <w:lang w:val="en-US"/>
        </w:rPr>
        <w:t xml:space="preserve"> and Kate Bain, and the </w:t>
      </w:r>
      <w:proofErr w:type="spellStart"/>
      <w:r w:rsidR="00651EEA" w:rsidRPr="00123003">
        <w:rPr>
          <w:sz w:val="24"/>
          <w:szCs w:val="24"/>
          <w:lang w:val="en-US"/>
        </w:rPr>
        <w:t>iZulu</w:t>
      </w:r>
      <w:proofErr w:type="spellEnd"/>
      <w:r w:rsidR="00651EEA" w:rsidRPr="00123003">
        <w:rPr>
          <w:sz w:val="24"/>
          <w:szCs w:val="24"/>
          <w:lang w:val="en-US"/>
        </w:rPr>
        <w:t xml:space="preserve"> Lodge and </w:t>
      </w:r>
      <w:r w:rsidR="00555D13" w:rsidRPr="00123003">
        <w:rPr>
          <w:sz w:val="24"/>
          <w:szCs w:val="24"/>
          <w:lang w:val="en-US"/>
        </w:rPr>
        <w:t>Orphanage P</w:t>
      </w:r>
      <w:r w:rsidR="00651EEA" w:rsidRPr="00123003">
        <w:rPr>
          <w:sz w:val="24"/>
          <w:szCs w:val="24"/>
          <w:lang w:val="en-US"/>
        </w:rPr>
        <w:t xml:space="preserve">rojects team in KwaZulu-Natal, for help with the recruitment </w:t>
      </w:r>
      <w:r w:rsidR="00555D13" w:rsidRPr="00123003">
        <w:rPr>
          <w:sz w:val="24"/>
          <w:szCs w:val="24"/>
          <w:lang w:val="en-US"/>
        </w:rPr>
        <w:t>of the African volunteers</w:t>
      </w:r>
      <w:r w:rsidR="00651EEA" w:rsidRPr="00123003">
        <w:rPr>
          <w:sz w:val="24"/>
          <w:szCs w:val="24"/>
          <w:lang w:val="en-US"/>
        </w:rPr>
        <w:t>.</w:t>
      </w:r>
    </w:p>
    <w:p w:rsidR="00937FA5" w:rsidRPr="00123003" w:rsidRDefault="00937FA5" w:rsidP="00123003">
      <w:pPr>
        <w:spacing w:line="480" w:lineRule="auto"/>
        <w:jc w:val="both"/>
        <w:rPr>
          <w:bCs/>
          <w:sz w:val="24"/>
          <w:szCs w:val="24"/>
          <w:lang w:val="en-US"/>
        </w:rPr>
      </w:pPr>
      <w:r w:rsidRPr="00123003">
        <w:rPr>
          <w:b/>
          <w:bCs/>
          <w:sz w:val="24"/>
          <w:szCs w:val="24"/>
          <w:lang w:val="en-US"/>
        </w:rPr>
        <w:lastRenderedPageBreak/>
        <w:t>Conflict of interests:</w:t>
      </w:r>
      <w:r w:rsidRPr="00123003">
        <w:rPr>
          <w:bCs/>
          <w:sz w:val="24"/>
          <w:szCs w:val="24"/>
          <w:lang w:val="en-US"/>
        </w:rPr>
        <w:t xml:space="preserve"> None declared.</w:t>
      </w:r>
    </w:p>
    <w:p w:rsidR="00164E6C" w:rsidRPr="00123003" w:rsidRDefault="00164E6C" w:rsidP="00123003">
      <w:pPr>
        <w:spacing w:line="480" w:lineRule="auto"/>
        <w:jc w:val="both"/>
        <w:rPr>
          <w:rFonts w:eastAsia="Times New Roman" w:cstheme="minorHAnsi"/>
          <w:bCs/>
          <w:color w:val="000000"/>
          <w:sz w:val="24"/>
          <w:szCs w:val="24"/>
          <w:lang w:val="en-US"/>
        </w:rPr>
      </w:pPr>
      <w:r w:rsidRPr="00123003">
        <w:rPr>
          <w:rFonts w:eastAsia="Times New Roman" w:cstheme="minorHAnsi"/>
          <w:b/>
          <w:bCs/>
          <w:color w:val="000000"/>
          <w:sz w:val="24"/>
          <w:szCs w:val="24"/>
          <w:lang w:val="en-US"/>
        </w:rPr>
        <w:t xml:space="preserve">Specific author contributions: </w:t>
      </w:r>
      <w:r w:rsidRPr="00123003">
        <w:rPr>
          <w:rFonts w:eastAsia="Times New Roman" w:cstheme="minorHAnsi"/>
          <w:bCs/>
          <w:color w:val="000000"/>
          <w:sz w:val="24"/>
          <w:szCs w:val="24"/>
          <w:lang w:val="en-US"/>
        </w:rPr>
        <w:t xml:space="preserve">KRK, TKT, JKN, </w:t>
      </w:r>
      <w:r w:rsidRPr="00123003">
        <w:rPr>
          <w:rFonts w:eastAsia="Times New Roman" w:cstheme="minorHAnsi"/>
          <w:bCs/>
          <w:sz w:val="24"/>
          <w:szCs w:val="24"/>
          <w:lang w:val="en-US"/>
        </w:rPr>
        <w:t>SJO</w:t>
      </w:r>
      <w:r w:rsidRPr="00123003">
        <w:rPr>
          <w:rFonts w:eastAsia="Times New Roman" w:cstheme="minorHAnsi"/>
          <w:bCs/>
          <w:color w:val="000000"/>
          <w:sz w:val="24"/>
          <w:szCs w:val="24"/>
          <w:lang w:val="en-US"/>
        </w:rPr>
        <w:t xml:space="preserve"> designed research</w:t>
      </w:r>
      <w:r w:rsidRPr="00123003">
        <w:rPr>
          <w:rFonts w:eastAsia="Times New Roman" w:cstheme="minorHAnsi"/>
          <w:bCs/>
          <w:sz w:val="24"/>
          <w:szCs w:val="24"/>
          <w:lang w:val="en-US"/>
        </w:rPr>
        <w:t xml:space="preserve">; SOC, ASW, JMP, JVL, KRK, GMD, CAF, JEO, PES, FDS, FRS, AMW, KNE, FBR, JPD MBE CNA DSO FBH BME AFI AMO HRG conducted research; SOC, </w:t>
      </w:r>
      <w:r w:rsidRPr="00123003">
        <w:rPr>
          <w:rFonts w:eastAsia="Times New Roman" w:cstheme="minorHAnsi"/>
          <w:bCs/>
          <w:color w:val="000000"/>
          <w:sz w:val="24"/>
          <w:szCs w:val="24"/>
          <w:lang w:val="en-US"/>
        </w:rPr>
        <w:t>JKI, SJO wrote the manuscript</w:t>
      </w:r>
      <w:r w:rsidRPr="00123003">
        <w:rPr>
          <w:rFonts w:eastAsia="Times New Roman" w:cstheme="minorHAnsi"/>
          <w:bCs/>
          <w:sz w:val="24"/>
          <w:szCs w:val="24"/>
          <w:lang w:val="en-US"/>
        </w:rPr>
        <w:t xml:space="preserve">; </w:t>
      </w:r>
      <w:r w:rsidRPr="00123003">
        <w:rPr>
          <w:rFonts w:eastAsia="Times New Roman" w:cstheme="minorHAnsi"/>
          <w:bCs/>
          <w:color w:val="000000"/>
          <w:sz w:val="24"/>
          <w:szCs w:val="24"/>
          <w:lang w:val="en-US"/>
        </w:rPr>
        <w:t>SJO had primary responsibility for final content. All authors have read and approved the final draft submitted.</w:t>
      </w:r>
    </w:p>
    <w:p w:rsidR="00DB7E1B" w:rsidRPr="00123003" w:rsidRDefault="008E1D57" w:rsidP="00870BDF">
      <w:pPr>
        <w:pStyle w:val="KeinLeerraum"/>
        <w:suppressLineNumbers/>
        <w:spacing w:line="480" w:lineRule="auto"/>
        <w:jc w:val="both"/>
        <w:rPr>
          <w:b/>
          <w:sz w:val="24"/>
          <w:szCs w:val="24"/>
          <w:lang w:val="en-US"/>
        </w:rPr>
      </w:pPr>
      <w:r w:rsidRPr="00123003">
        <w:rPr>
          <w:b/>
          <w:sz w:val="24"/>
          <w:szCs w:val="24"/>
          <w:lang w:val="en-US"/>
        </w:rPr>
        <w:t>REFERENCES</w:t>
      </w:r>
    </w:p>
    <w:p w:rsidR="00AB6F81" w:rsidRPr="00AB6F81" w:rsidRDefault="004B36B0" w:rsidP="00E136F5">
      <w:pPr>
        <w:pStyle w:val="Literaturverzeichnis"/>
        <w:suppressLineNumbers/>
        <w:spacing w:line="276" w:lineRule="auto"/>
        <w:jc w:val="both"/>
        <w:rPr>
          <w:lang w:val="en-US"/>
        </w:rPr>
      </w:pPr>
      <w:r w:rsidRPr="00274E8B">
        <w:rPr>
          <w:lang w:val="en-US"/>
        </w:rPr>
        <w:fldChar w:fldCharType="begin"/>
      </w:r>
      <w:r w:rsidR="00B3358F" w:rsidRPr="00274E8B">
        <w:rPr>
          <w:lang w:val="en-US"/>
        </w:rPr>
        <w:instrText xml:space="preserve"> ADDIN ZOTERO_BIBL {"uncited":[],"omitted":[],"custom":[]} CSL_BIBLIOGRAPHY </w:instrText>
      </w:r>
      <w:r w:rsidRPr="00274E8B">
        <w:rPr>
          <w:lang w:val="en-US"/>
        </w:rPr>
        <w:fldChar w:fldCharType="separate"/>
      </w:r>
      <w:r w:rsidR="00AB6F81" w:rsidRPr="00AB6F81">
        <w:rPr>
          <w:lang w:val="en-US"/>
        </w:rPr>
        <w:t xml:space="preserve">1. </w:t>
      </w:r>
      <w:r w:rsidR="00AB6F81" w:rsidRPr="00AB6F81">
        <w:rPr>
          <w:lang w:val="en-US"/>
        </w:rPr>
        <w:tab/>
        <w:t xml:space="preserve">Ferlay J, Colombet M, Soerjomataram I, Mathers C, Parkin DM, Piñeros M, Znaor A, Bray F. Estimating the global cancer incidence and mortality in 2018: GLOBOCAN sources and methods. Int J Cancer. 2019;144:1941–53.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2. </w:t>
      </w:r>
      <w:r w:rsidRPr="00AB6F81">
        <w:rPr>
          <w:lang w:val="en-US"/>
        </w:rPr>
        <w:tab/>
        <w:t xml:space="preserve">Arnold M, Sierra MS, Laversanne M, Soerjomataram I, Jemal A, Bray F. Global patterns and trends in colorectal cancer incidence and mortality. Gut. 2017;66:683–91.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3. </w:t>
      </w:r>
      <w:r w:rsidRPr="00AB6F81">
        <w:rPr>
          <w:lang w:val="en-US"/>
        </w:rPr>
        <w:tab/>
        <w:t xml:space="preserve">Jasperson KW, Tuohy TM, Neklason DW, Burt RW. Hereditary and familial colon cancer. Gastroenterology. 2010;138:2044–58.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4. </w:t>
      </w:r>
      <w:r w:rsidRPr="00AB6F81">
        <w:rPr>
          <w:lang w:val="en-US"/>
        </w:rPr>
        <w:tab/>
        <w:t xml:space="preserve">Doll R, Peto R. The causes of cancer: quantitative estimates of avoidable risks of cancer in the United States today. J Natl Cancer Inst. 1981;66:1191–308.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5. </w:t>
      </w:r>
      <w:r w:rsidRPr="00AB6F81">
        <w:rPr>
          <w:lang w:val="en-US"/>
        </w:rPr>
        <w:tab/>
        <w:t>World Cancer Research Fund / American Institute for Cancer Research. Continuous Update Project Report. Food, Nutrition, Physical Activity, and the Prevention of Colorectal Cancer. 2011; Available from: http://www.wcrf.org/sites/default/files/Colorectal-Cancer-2011-Report.pdf</w:t>
      </w:r>
    </w:p>
    <w:p w:rsidR="00AB6F81" w:rsidRPr="00AB6F81" w:rsidRDefault="00AB6F81" w:rsidP="00E136F5">
      <w:pPr>
        <w:pStyle w:val="Literaturverzeichnis"/>
        <w:suppressLineNumbers/>
        <w:spacing w:line="276" w:lineRule="auto"/>
        <w:jc w:val="both"/>
        <w:rPr>
          <w:lang w:val="en-US"/>
        </w:rPr>
      </w:pPr>
      <w:r w:rsidRPr="00AB6F81">
        <w:rPr>
          <w:lang w:val="en-US"/>
        </w:rPr>
        <w:t xml:space="preserve">6. </w:t>
      </w:r>
      <w:r w:rsidRPr="00AB6F81">
        <w:rPr>
          <w:lang w:val="en-US"/>
        </w:rPr>
        <w:tab/>
        <w:t>Reynolds A, Mann J, Cummings J, Winter N, Mete E, Morenga LT. Carbohydrate quality and human health: a series of systematic reviews an</w:t>
      </w:r>
      <w:r w:rsidR="00E136F5">
        <w:rPr>
          <w:lang w:val="en-US"/>
        </w:rPr>
        <w:t>d meta-analyses. The Lancet. 2019;0.</w:t>
      </w:r>
    </w:p>
    <w:p w:rsidR="00AB6F81" w:rsidRPr="00AB6F81" w:rsidRDefault="00AB6F81" w:rsidP="00E136F5">
      <w:pPr>
        <w:pStyle w:val="Literaturverzeichnis"/>
        <w:suppressLineNumbers/>
        <w:spacing w:line="276" w:lineRule="auto"/>
        <w:jc w:val="both"/>
        <w:rPr>
          <w:lang w:val="en-US"/>
        </w:rPr>
      </w:pPr>
      <w:r w:rsidRPr="00AB6F81">
        <w:rPr>
          <w:lang w:val="en-US"/>
        </w:rPr>
        <w:t xml:space="preserve">7. </w:t>
      </w:r>
      <w:r w:rsidRPr="00AB6F81">
        <w:rPr>
          <w:lang w:val="en-US"/>
        </w:rPr>
        <w:tab/>
        <w:t xml:space="preserve">O’Keefe SJD. Diet, microorganisms and their metabolites, and colon cancer. Nat Rev Gastroenterol Hepatol. 2016;13:691–706.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8. </w:t>
      </w:r>
      <w:r w:rsidRPr="00AB6F81">
        <w:rPr>
          <w:lang w:val="en-US"/>
        </w:rPr>
        <w:tab/>
        <w:t xml:space="preserve">Ocvirk S, O’Keefe SJ. Influence of Bile Acids on Colorectal Cancer Risk: Potential Mechanisms Mediated by Diet - Gut Microbiota Interactions. Curr Nutr Rep. 2017;6:315–22.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9. </w:t>
      </w:r>
      <w:r w:rsidRPr="00AB6F81">
        <w:rPr>
          <w:lang w:val="en-US"/>
        </w:rPr>
        <w:tab/>
        <w:t xml:space="preserve">Ou J, Carbonero F, Zoetendal EG, DeLany JP, Wang M, Newton K, Gaskins HR, O’Keefe SJ. Diet, microbiota, and microbial metabolites in colon cancer risk in rural Africans and African Americans. Am J Clin Nutr. 2013;98:111–20. </w:t>
      </w:r>
    </w:p>
    <w:p w:rsidR="00AB6F81" w:rsidRPr="00E8450F" w:rsidRDefault="00AB6F81" w:rsidP="00E136F5">
      <w:pPr>
        <w:pStyle w:val="Literaturverzeichnis"/>
        <w:suppressLineNumbers/>
        <w:spacing w:line="276" w:lineRule="auto"/>
        <w:jc w:val="both"/>
        <w:rPr>
          <w:lang w:val="en-US"/>
        </w:rPr>
      </w:pPr>
      <w:r w:rsidRPr="00AB6F81">
        <w:rPr>
          <w:lang w:val="en-US"/>
        </w:rPr>
        <w:t xml:space="preserve">10. </w:t>
      </w:r>
      <w:r w:rsidRPr="00AB6F81">
        <w:rPr>
          <w:lang w:val="en-US"/>
        </w:rPr>
        <w:tab/>
        <w:t xml:space="preserve">O’Keefe SJD, Li JV, Lahti L, Ou J, Carbonero F, Mohammed K, Posma JM, Kinross J, Wahl E, Ruder E, et al. Fat, fibre and cancer risk in African Americans and rural Africans. </w:t>
      </w:r>
      <w:r w:rsidRPr="00E8450F">
        <w:rPr>
          <w:lang w:val="en-US"/>
        </w:rPr>
        <w:t xml:space="preserve">Nat Commun. 2015;6:6342. </w:t>
      </w:r>
    </w:p>
    <w:p w:rsidR="00AB6F81" w:rsidRPr="00AB6F81" w:rsidRDefault="00AB6F81" w:rsidP="00E136F5">
      <w:pPr>
        <w:pStyle w:val="Literaturverzeichnis"/>
        <w:suppressLineNumbers/>
        <w:spacing w:line="276" w:lineRule="auto"/>
        <w:jc w:val="both"/>
        <w:rPr>
          <w:lang w:val="en-US"/>
        </w:rPr>
      </w:pPr>
      <w:r w:rsidRPr="00E8450F">
        <w:rPr>
          <w:lang w:val="en-US"/>
        </w:rPr>
        <w:lastRenderedPageBreak/>
        <w:t xml:space="preserve">11. </w:t>
      </w:r>
      <w:r w:rsidRPr="00E8450F">
        <w:rPr>
          <w:lang w:val="en-US"/>
        </w:rPr>
        <w:tab/>
        <w:t xml:space="preserve">Brown MO, Lanier AP, Becker TM. </w:t>
      </w:r>
      <w:r w:rsidRPr="00AB6F81">
        <w:rPr>
          <w:lang w:val="en-US"/>
        </w:rPr>
        <w:t xml:space="preserve">Colorectal cancer incidence and survival among Alaska Natives, 1969-1993. Int J Epidemiol. 1998;27:388–96.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12. </w:t>
      </w:r>
      <w:r w:rsidRPr="00AB6F81">
        <w:rPr>
          <w:lang w:val="en-US"/>
        </w:rPr>
        <w:tab/>
        <w:t xml:space="preserve">Boardman LA, Lanier AP, French AJ, Schowalter KV, Burgart LJ, Koller KR, McDonnell SK, Schaid DJ, Thibodeau SN. Frequency of defective DNA mismatch repair in colorectal cancer among the Alaska Native people. Cancer Epidemiol Biomarkers Prev. 2007;16:2344–50.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13. </w:t>
      </w:r>
      <w:r w:rsidRPr="00AB6F81">
        <w:rPr>
          <w:lang w:val="en-US"/>
        </w:rPr>
        <w:tab/>
        <w:t xml:space="preserve">Kelly JJ, Alberts SR, Sacco F, Lanier AP. Colorectal Cancer in Alaska Native People, 2005–2009. Gastrointest Cancer Res. 2012;5:149–54.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14. </w:t>
      </w:r>
      <w:r w:rsidRPr="00AB6F81">
        <w:rPr>
          <w:lang w:val="en-US"/>
        </w:rPr>
        <w:tab/>
        <w:t xml:space="preserve">Perdue DG, Haverkamp D, Perkins C, Daley CM, Provost E. Geographic variation in colorectal cancer incidence and mortality, age of onset, and stage at diagnosis among American Indian and Alaska Native people, 1990-2009. Am J Public Health. 2014;104 Suppl 3:S404-414.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15. </w:t>
      </w:r>
      <w:r w:rsidRPr="00AB6F81">
        <w:rPr>
          <w:lang w:val="en-US"/>
        </w:rPr>
        <w:tab/>
        <w:t xml:space="preserve">Johnson JS, Nobmann ED, Asay E, Lanier AP. Developing a validated Alaska Native food frequency questionnaire for western Alaska, 2002-2006. Int J Circumpolar Health. 2009;68:99–108.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16. </w:t>
      </w:r>
      <w:r w:rsidRPr="00AB6F81">
        <w:rPr>
          <w:lang w:val="en-US"/>
        </w:rPr>
        <w:tab/>
        <w:t xml:space="preserve">Caporaso JG, Lauber CL, Walters WA, Berg-Lyons D, Huntley J, Fierer N, Owens SM, Betley J, Fraser L, Bauer M, et al. Ultra-high-throughput microbial community analysis on the Illumina HiSeq and MiSeq platforms. ISME J. 2012;6:1621–4.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17. </w:t>
      </w:r>
      <w:r w:rsidRPr="00AB6F81">
        <w:rPr>
          <w:lang w:val="en-US"/>
        </w:rPr>
        <w:tab/>
        <w:t xml:space="preserve">Dona AC, Jiménez B, Schäfer H, Humpfer E, Spraul M, Lewis MR, Pearce JTM, Holmes E, Lindon JC, Nicholson JK. Precision high-throughput proton NMR spectroscopy of human urine, serum, and plasma for large-scale metabolic phenotyping. Anal Chem. 2014;86:9887–94.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18. </w:t>
      </w:r>
      <w:r w:rsidRPr="00AB6F81">
        <w:rPr>
          <w:lang w:val="en-US"/>
        </w:rPr>
        <w:tab/>
        <w:t xml:space="preserve">Gratton J, Phetcharaburanin J, Mullish BH, Williams HRT, Thursz M, Nicholson JK, Holmes E, Marchesi JR, Li JV. Optimized Sample Handling Strategy for Metabolic Profiling of Human Feces. Anal Chem. 2016;88:4661–8.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19. </w:t>
      </w:r>
      <w:r w:rsidRPr="00AB6F81">
        <w:rPr>
          <w:lang w:val="en-US"/>
        </w:rPr>
        <w:tab/>
        <w:t xml:space="preserve">Posma JM, Garcia-Perez I, Heaton JC, Burdisso P, Mathers JC, Draper J, Lewis M, Lindon JC, Frost G, Holmes E, et al. Integrated Analytical and Statistical Two-Dimensional Spectroscopy Strategy for Metabolite Identification: Application to Dietary Biomarkers. Anal Chem. 2017;89:3300–9.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20. </w:t>
      </w:r>
      <w:r w:rsidRPr="00AB6F81">
        <w:rPr>
          <w:lang w:val="en-US"/>
        </w:rPr>
        <w:tab/>
        <w:t xml:space="preserve">Lagkouvardos I, Fischer S, Kumar N, Clavel T. Rhea: a transparent and modular R pipeline for microbial profiling based on 16S rRNA gene amplicons. PeerJ. 2017;5:e2836.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21. </w:t>
      </w:r>
      <w:r w:rsidRPr="00AB6F81">
        <w:rPr>
          <w:lang w:val="en-US"/>
        </w:rPr>
        <w:tab/>
        <w:t xml:space="preserve">Posma JM, Garcia-Perez I, Ebbels TMD, Lindon JC, Stamler J, Elliott P, Holmes E, Nicholson JK. Optimized Phenotypic Biomarker Discovery and Confounder Elimination via Covariate-Adjusted Projection to Latent Structures from Metabolic Spectroscopy Data. J Proteome Res. 2018;17:1586–95.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22. </w:t>
      </w:r>
      <w:r w:rsidRPr="00AB6F81">
        <w:rPr>
          <w:lang w:val="en-US"/>
        </w:rPr>
        <w:tab/>
        <w:t xml:space="preserve">Posma JM, Robinette SL, Holmes E, Nicholson JK. MetaboNetworks, an interactive Matlab-based toolbox for creating, customizing and exploring sub-networks from KEGG. Bioinformatics. 2014;30:893–5. </w:t>
      </w:r>
    </w:p>
    <w:p w:rsidR="00AB6F81" w:rsidRPr="00AB6F81" w:rsidRDefault="00AB6F81" w:rsidP="00E136F5">
      <w:pPr>
        <w:pStyle w:val="Literaturverzeichnis"/>
        <w:suppressLineNumbers/>
        <w:spacing w:line="276" w:lineRule="auto"/>
        <w:jc w:val="both"/>
        <w:rPr>
          <w:lang w:val="en-US"/>
        </w:rPr>
      </w:pPr>
      <w:r w:rsidRPr="00AB6F81">
        <w:rPr>
          <w:lang w:val="en-US"/>
        </w:rPr>
        <w:lastRenderedPageBreak/>
        <w:t xml:space="preserve">23. </w:t>
      </w:r>
      <w:r w:rsidRPr="00AB6F81">
        <w:rPr>
          <w:lang w:val="en-US"/>
        </w:rPr>
        <w:tab/>
        <w:t>Wirth JP, Petry N, Tanumihardjo SA, Rogers LM, McLean E, Greig A, Garrett GS, Klemm RDW, Rohner F. Vitamin A Supplementation Programs and Country-Level Evidence of Vita</w:t>
      </w:r>
      <w:r w:rsidR="00E136F5">
        <w:rPr>
          <w:lang w:val="en-US"/>
        </w:rPr>
        <w:t>min A Deficiency. Nutrients. 2017</w:t>
      </w:r>
      <w:r w:rsidRPr="00AB6F81">
        <w:rPr>
          <w:lang w:val="en-US"/>
        </w:rPr>
        <w:t>;9.</w:t>
      </w:r>
    </w:p>
    <w:p w:rsidR="00AB6F81" w:rsidRPr="00AB6F81" w:rsidRDefault="00AB6F81" w:rsidP="00E136F5">
      <w:pPr>
        <w:pStyle w:val="Literaturverzeichnis"/>
        <w:suppressLineNumbers/>
        <w:spacing w:line="276" w:lineRule="auto"/>
        <w:jc w:val="both"/>
        <w:rPr>
          <w:lang w:val="en-US"/>
        </w:rPr>
      </w:pPr>
      <w:r w:rsidRPr="00AB6F81">
        <w:rPr>
          <w:lang w:val="en-US"/>
        </w:rPr>
        <w:t xml:space="preserve">24. </w:t>
      </w:r>
      <w:r w:rsidRPr="00AB6F81">
        <w:rPr>
          <w:lang w:val="en-US"/>
        </w:rPr>
        <w:tab/>
        <w:t xml:space="preserve">Yap IKS, Li JV, Saric J, Martin F-P, Davies H, Wang Y, Wilson ID, Nicholson JK, Utzinger J, Marchesi JR, et al. Metabonomic and microbiological analysis of the dynamic effect of vancomycin-induced gut microbiota modification in the mouse. J Proteome Res. 2008;7:3718–28.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25. </w:t>
      </w:r>
      <w:r w:rsidRPr="00AB6F81">
        <w:rPr>
          <w:lang w:val="en-US"/>
        </w:rPr>
        <w:tab/>
        <w:t xml:space="preserve">Madrid-Gambin F, Brunius C, Garcia-Aloy M, Estruel-Amades S, Landberg R, Andres-Lacueva C. Untargeted 1H NMR-Based Metabolomics Analysis of Urine and Serum Profiles after Consumption of Lentils, Chickpeas, and Beans: An Extended Meal Study To Discover Dietary Biomarkers of Pulses. J Agric Food Chem. 2018;66:6997–7005. </w:t>
      </w:r>
    </w:p>
    <w:p w:rsidR="00AB6F81" w:rsidRPr="00E136F5" w:rsidRDefault="00AB6F81" w:rsidP="00E136F5">
      <w:pPr>
        <w:pStyle w:val="Literaturverzeichnis"/>
        <w:suppressLineNumbers/>
        <w:spacing w:line="276" w:lineRule="auto"/>
        <w:jc w:val="both"/>
        <w:rPr>
          <w:lang w:val="en-US"/>
        </w:rPr>
      </w:pPr>
      <w:r w:rsidRPr="00AB6F81">
        <w:rPr>
          <w:lang w:val="en-US"/>
        </w:rPr>
        <w:t xml:space="preserve">26. </w:t>
      </w:r>
      <w:r w:rsidRPr="00AB6F81">
        <w:rPr>
          <w:lang w:val="en-US"/>
        </w:rPr>
        <w:tab/>
        <w:t xml:space="preserve">Flint HJ, Scott KP, Duncan SH, Louis P, Forano E. Microbial degradation of complex carbohydrates in the gut. </w:t>
      </w:r>
      <w:r w:rsidRPr="00E136F5">
        <w:rPr>
          <w:lang w:val="en-US"/>
        </w:rPr>
        <w:t xml:space="preserve">Gut Microbes. 2012;3:289–306. </w:t>
      </w:r>
    </w:p>
    <w:p w:rsidR="00AB6F81" w:rsidRPr="00AB6F81" w:rsidRDefault="00AB6F81" w:rsidP="00E136F5">
      <w:pPr>
        <w:pStyle w:val="Literaturverzeichnis"/>
        <w:suppressLineNumbers/>
        <w:spacing w:line="276" w:lineRule="auto"/>
        <w:jc w:val="both"/>
        <w:rPr>
          <w:lang w:val="en-US"/>
        </w:rPr>
      </w:pPr>
      <w:r w:rsidRPr="00E136F5">
        <w:rPr>
          <w:lang w:val="en-US"/>
        </w:rPr>
        <w:t xml:space="preserve">27. </w:t>
      </w:r>
      <w:r w:rsidRPr="00E136F5">
        <w:rPr>
          <w:lang w:val="en-US"/>
        </w:rPr>
        <w:tab/>
        <w:t xml:space="preserve">Vital M, Karch A, Pieper DH. </w:t>
      </w:r>
      <w:r w:rsidRPr="00AB6F81">
        <w:rPr>
          <w:lang w:val="en-US"/>
        </w:rPr>
        <w:t>Colonic Butyrate-Producing Communities in Humans: an Overview Using Om</w:t>
      </w:r>
      <w:r w:rsidR="00E136F5">
        <w:rPr>
          <w:lang w:val="en-US"/>
        </w:rPr>
        <w:t>ics Data. mSystems. 2017</w:t>
      </w:r>
      <w:r w:rsidRPr="00AB6F81">
        <w:rPr>
          <w:lang w:val="en-US"/>
        </w:rPr>
        <w:t>;2.</w:t>
      </w:r>
    </w:p>
    <w:p w:rsidR="00AB6F81" w:rsidRPr="00AB6F81" w:rsidRDefault="00AB6F81" w:rsidP="00E136F5">
      <w:pPr>
        <w:pStyle w:val="Literaturverzeichnis"/>
        <w:suppressLineNumbers/>
        <w:spacing w:line="276" w:lineRule="auto"/>
        <w:jc w:val="both"/>
        <w:rPr>
          <w:lang w:val="en-US"/>
        </w:rPr>
      </w:pPr>
      <w:r w:rsidRPr="00AB6F81">
        <w:rPr>
          <w:lang w:val="en-US"/>
        </w:rPr>
        <w:t xml:space="preserve">28. </w:t>
      </w:r>
      <w:r w:rsidRPr="00AB6F81">
        <w:rPr>
          <w:lang w:val="en-US"/>
        </w:rPr>
        <w:tab/>
        <w:t xml:space="preserve">Hannan LM, Jacobs EJ, Thun MJ. The Association between Cigarette Smoking and Risk of Colorectal Cancer in a Large Prospective Cohort from the United States. Cancer Epidemiol Biomarkers Prev. 2009;18:3362–7.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29. </w:t>
      </w:r>
      <w:r w:rsidRPr="00AB6F81">
        <w:rPr>
          <w:lang w:val="en-US"/>
        </w:rPr>
        <w:tab/>
        <w:t>Chu K-M, Shin CHC and VY. Nicotine and Gastrointestinal Disorders: Its Role in Ulceration a</w:t>
      </w:r>
      <w:r w:rsidR="00E136F5">
        <w:rPr>
          <w:lang w:val="en-US"/>
        </w:rPr>
        <w:t>nd Cancer Development</w:t>
      </w:r>
      <w:r w:rsidRPr="00AB6F81">
        <w:rPr>
          <w:lang w:val="en-US"/>
        </w:rPr>
        <w:t xml:space="preserve">. Current </w:t>
      </w:r>
      <w:r w:rsidR="00E136F5">
        <w:rPr>
          <w:lang w:val="en-US"/>
        </w:rPr>
        <w:t>Pharmaceutical Design. 2012.</w:t>
      </w:r>
    </w:p>
    <w:p w:rsidR="00AB6F81" w:rsidRPr="00AB6F81" w:rsidRDefault="00AB6F81" w:rsidP="00E136F5">
      <w:pPr>
        <w:pStyle w:val="Literaturverzeichnis"/>
        <w:suppressLineNumbers/>
        <w:spacing w:line="276" w:lineRule="auto"/>
        <w:jc w:val="both"/>
        <w:rPr>
          <w:lang w:val="en-US"/>
        </w:rPr>
      </w:pPr>
      <w:r w:rsidRPr="00AB6F81">
        <w:rPr>
          <w:lang w:val="en-US"/>
        </w:rPr>
        <w:t xml:space="preserve">30. </w:t>
      </w:r>
      <w:r w:rsidRPr="00AB6F81">
        <w:rPr>
          <w:lang w:val="en-US"/>
        </w:rPr>
        <w:tab/>
        <w:t xml:space="preserve">Clarke JM, Topping DL, Bird AR, Young GP, Cobiac L. Effects of high-amylose maize starch and butyrylated high-amylose maize starch on azoxymethane-induced intestinal cancer in rats. Carcinogenesis. 2008;29:2190–4.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31. </w:t>
      </w:r>
      <w:r w:rsidRPr="00AB6F81">
        <w:rPr>
          <w:lang w:val="en-US"/>
        </w:rPr>
        <w:tab/>
        <w:t xml:space="preserve">Donohoe DR, Holley D, Collins LB, Montgomery SA, Whitmore AC, Hillhouse A, Curry KP, Renner SW, Greenwalt A, Ryan EP, et al. A gnotobiotic mouse model demonstrates that dietary fiber protects against colorectal tumorigenesis in a microbiota- and butyrate-dependent manner. Cancer Discov. 2014;4:1387–97. </w:t>
      </w:r>
    </w:p>
    <w:p w:rsidR="00AB6F81" w:rsidRPr="00E8450F" w:rsidRDefault="00AB6F81" w:rsidP="00E136F5">
      <w:pPr>
        <w:pStyle w:val="Literaturverzeichnis"/>
        <w:suppressLineNumbers/>
        <w:spacing w:line="276" w:lineRule="auto"/>
        <w:jc w:val="both"/>
        <w:rPr>
          <w:lang w:val="en-US"/>
        </w:rPr>
      </w:pPr>
      <w:r w:rsidRPr="00AB6F81">
        <w:rPr>
          <w:lang w:val="en-US"/>
        </w:rPr>
        <w:t xml:space="preserve">32. </w:t>
      </w:r>
      <w:r w:rsidRPr="00AB6F81">
        <w:rPr>
          <w:lang w:val="en-US"/>
        </w:rPr>
        <w:tab/>
        <w:t xml:space="preserve">Schulz MD, Atay C, Heringer J, Romrig FK, Schwitalla S, Aydin B, Ziegler PK, Varga J, Reindl W, Pommerenke C, et al. High-fat-diet-mediated dysbiosis promotes intestinal carcinogenesis independently of obesity. </w:t>
      </w:r>
      <w:r w:rsidRPr="00E8450F">
        <w:rPr>
          <w:lang w:val="en-US"/>
        </w:rPr>
        <w:t xml:space="preserve">Nature. 2014;514:508–12. </w:t>
      </w:r>
    </w:p>
    <w:p w:rsidR="00AB6F81" w:rsidRDefault="00AB6F81" w:rsidP="00E136F5">
      <w:pPr>
        <w:pStyle w:val="Literaturverzeichnis"/>
        <w:suppressLineNumbers/>
        <w:spacing w:line="276" w:lineRule="auto"/>
        <w:jc w:val="both"/>
      </w:pPr>
      <w:r w:rsidRPr="00E8450F">
        <w:rPr>
          <w:lang w:val="en-US"/>
        </w:rPr>
        <w:t xml:space="preserve">33. </w:t>
      </w:r>
      <w:r w:rsidRPr="00E8450F">
        <w:rPr>
          <w:lang w:val="en-US"/>
        </w:rPr>
        <w:tab/>
        <w:t xml:space="preserve">Sonnenburg ED, Smits SA, Tikhonov M, Higginbottom SK, Wingreen NS, Sonnenburg JL. </w:t>
      </w:r>
      <w:r w:rsidRPr="00AB6F81">
        <w:rPr>
          <w:lang w:val="en-US"/>
        </w:rPr>
        <w:t xml:space="preserve">Diet-induced extinctions in the gut microbiota compound over generations. </w:t>
      </w:r>
      <w:r>
        <w:t xml:space="preserve">Nature. 2016;529:212–5. </w:t>
      </w:r>
    </w:p>
    <w:p w:rsidR="00AB6F81" w:rsidRPr="00AB6F81" w:rsidRDefault="00AB6F81" w:rsidP="00E136F5">
      <w:pPr>
        <w:pStyle w:val="Literaturverzeichnis"/>
        <w:suppressLineNumbers/>
        <w:spacing w:line="276" w:lineRule="auto"/>
        <w:jc w:val="both"/>
        <w:rPr>
          <w:lang w:val="en-US"/>
        </w:rPr>
      </w:pPr>
      <w:r>
        <w:t xml:space="preserve">34. </w:t>
      </w:r>
      <w:r>
        <w:tab/>
        <w:t xml:space="preserve">Wu GD, Compher C, Chen EZ, Smith SA, Shah RD, Bittinger K, Chehoud C, Albenberg LG, Nessel L, Gilroy E, et al. </w:t>
      </w:r>
      <w:r w:rsidRPr="00AB6F81">
        <w:rPr>
          <w:lang w:val="en-US"/>
        </w:rPr>
        <w:t xml:space="preserve">Comparative metabolomics in vegans and omnivores reveal constraints on diet-dependent gut microbiota metabolite production. Gut. 2016;65:63–72. </w:t>
      </w:r>
    </w:p>
    <w:p w:rsidR="00AB6F81" w:rsidRPr="00E8450F" w:rsidRDefault="00AB6F81" w:rsidP="00E136F5">
      <w:pPr>
        <w:pStyle w:val="Literaturverzeichnis"/>
        <w:suppressLineNumbers/>
        <w:spacing w:line="276" w:lineRule="auto"/>
        <w:jc w:val="both"/>
      </w:pPr>
      <w:r w:rsidRPr="00AB6F81">
        <w:rPr>
          <w:lang w:val="en-US"/>
        </w:rPr>
        <w:lastRenderedPageBreak/>
        <w:t xml:space="preserve">35. </w:t>
      </w:r>
      <w:r w:rsidRPr="00AB6F81">
        <w:rPr>
          <w:lang w:val="en-US"/>
        </w:rPr>
        <w:tab/>
        <w:t>De Filippo C, Di Paola M, Ramazzotti M, Albanese D, Pieraccini G, Banci E, Miglietta F, Cavalieri D, Lionetti P. Diet, Environments, and Gut Microbiota. A Preliminary Investigation in Children Living in Rural and Urban Burkina Faso and</w:t>
      </w:r>
      <w:r w:rsidR="00E136F5">
        <w:rPr>
          <w:lang w:val="en-US"/>
        </w:rPr>
        <w:t xml:space="preserve"> Italy. </w:t>
      </w:r>
      <w:r w:rsidR="00E136F5" w:rsidRPr="00E8450F">
        <w:t>Front Microbiol. 2017;8.</w:t>
      </w:r>
    </w:p>
    <w:p w:rsidR="00AB6F81" w:rsidRPr="00AB6F81" w:rsidRDefault="00AB6F81" w:rsidP="00E136F5">
      <w:pPr>
        <w:pStyle w:val="Literaturverzeichnis"/>
        <w:suppressLineNumbers/>
        <w:spacing w:line="276" w:lineRule="auto"/>
        <w:jc w:val="both"/>
        <w:rPr>
          <w:lang w:val="en-US"/>
        </w:rPr>
      </w:pPr>
      <w:r>
        <w:t xml:space="preserve">36. </w:t>
      </w:r>
      <w:r>
        <w:tab/>
        <w:t xml:space="preserve">Beyer-Sehlmeyer G, Glei M, Hartmann E, Hughes R, Persin C, Böhm V, Rowland I, Schubert R, Jahreis G, Pool-Zobel BL. </w:t>
      </w:r>
      <w:r w:rsidRPr="00AB6F81">
        <w:rPr>
          <w:lang w:val="en-US"/>
        </w:rPr>
        <w:t xml:space="preserve">Butyrate is only one of several growth inhibitors produced during gut flora-mediated fermentation of dietary fibre sources. Br J Nutr. 2003;90:1057–70.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37. </w:t>
      </w:r>
      <w:r w:rsidRPr="00AB6F81">
        <w:rPr>
          <w:lang w:val="en-US"/>
        </w:rPr>
        <w:tab/>
        <w:t xml:space="preserve">Desai MS, Seekatz AM, Koropatkin NM, Kamada N, Hickey CA, Wolter M, Pudlo NA, Kitamoto S, Terrapon N, Muller A, et al. A Dietary Fiber-Deprived Gut Microbiota Degrades the Colonic Mucus Barrier and Enhances Pathogen Susceptibility. Cell. 2016;167:1339-1353.e21.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38. </w:t>
      </w:r>
      <w:r w:rsidRPr="00AB6F81">
        <w:rPr>
          <w:lang w:val="en-US"/>
        </w:rPr>
        <w:tab/>
        <w:t xml:space="preserve">Schroeder BO, Birchenough GMH, Ståhlman M, Arike L, Johansson MEV, Hansson GC, Bäckhed F. Bifidobacteria or Fiber Protects against Diet-Induced Microbiota-Mediated Colonic Mucus Deterioration. Cell Host &amp; Microbe. 2018;23:27-40.e7. </w:t>
      </w:r>
    </w:p>
    <w:p w:rsidR="00AB6F81" w:rsidRDefault="00AB6F81" w:rsidP="00E136F5">
      <w:pPr>
        <w:pStyle w:val="Literaturverzeichnis"/>
        <w:suppressLineNumbers/>
        <w:spacing w:line="276" w:lineRule="auto"/>
        <w:jc w:val="both"/>
      </w:pPr>
      <w:r w:rsidRPr="00AB6F81">
        <w:rPr>
          <w:lang w:val="en-US"/>
        </w:rPr>
        <w:t xml:space="preserve">39. </w:t>
      </w:r>
      <w:r w:rsidRPr="00AB6F81">
        <w:rPr>
          <w:lang w:val="en-US"/>
        </w:rPr>
        <w:tab/>
        <w:t xml:space="preserve">Sheng L, Jena PK, Hu Y, Liu H-X, Nagar N, Kalanetra KM, French SW, French SW, Mills DA, Wan Y-JY. Hepatic inflammation caused by dysregulated bile acid synthesis is reversible by butyrate supplementation. </w:t>
      </w:r>
      <w:r>
        <w:t xml:space="preserve">J Pathol. 2017;243:431–41. </w:t>
      </w:r>
    </w:p>
    <w:p w:rsidR="00AB6F81" w:rsidRPr="00AB6F81" w:rsidRDefault="00AB6F81" w:rsidP="00E136F5">
      <w:pPr>
        <w:pStyle w:val="Literaturverzeichnis"/>
        <w:suppressLineNumbers/>
        <w:spacing w:line="276" w:lineRule="auto"/>
        <w:jc w:val="both"/>
        <w:rPr>
          <w:lang w:val="en-US"/>
        </w:rPr>
      </w:pPr>
      <w:r>
        <w:t xml:space="preserve">40. </w:t>
      </w:r>
      <w:r>
        <w:tab/>
        <w:t xml:space="preserve">Narisawa T, Magadia NE, Weisburger JH, Wynder EL. </w:t>
      </w:r>
      <w:r w:rsidRPr="00AB6F81">
        <w:rPr>
          <w:lang w:val="en-US"/>
        </w:rPr>
        <w:t xml:space="preserve">Promoting effect of bile acids on colon carcinogenesis after intrarectal instillation of N-methyl-N’-nitro-N-nitrosoguanidine in rats. J Natl Cancer Inst. 1974;53:1093–7.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41. </w:t>
      </w:r>
      <w:r w:rsidRPr="00AB6F81">
        <w:rPr>
          <w:lang w:val="en-US"/>
        </w:rPr>
        <w:tab/>
        <w:t xml:space="preserve">Flynn C, Montrose DC, Swank DL, Nakanishi M, Ilsley JNM, Rosenberg DW. Deoxycholic acid promotes the growth of colonic aberrant crypt foci. Mol Carcinog. 2007;46:60–70.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42. </w:t>
      </w:r>
      <w:r w:rsidRPr="00AB6F81">
        <w:rPr>
          <w:lang w:val="en-US"/>
        </w:rPr>
        <w:tab/>
        <w:t xml:space="preserve">Cao H, Xu M, Dong W, Deng B, Wang S, Zhang Y, Wang S, Luo S, Wang W, Qi Y, et al. Secondary bile acid-induced dysbiosis promotes intestinal carcinogenesis. Int J Cancer. 2017;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43. </w:t>
      </w:r>
      <w:r w:rsidRPr="00AB6F81">
        <w:rPr>
          <w:lang w:val="en-US"/>
        </w:rPr>
        <w:tab/>
        <w:t xml:space="preserve">Theriot CM, Bowman AA, Young VB. Antibiotic-Induced Alterations of the Gut Microbiota Alter Secondary Bile Acid Production and Allow for Clostridium difficile Spore Germination and Outgrowth in the </w:t>
      </w:r>
      <w:r w:rsidR="00E136F5">
        <w:rPr>
          <w:lang w:val="en-US"/>
        </w:rPr>
        <w:t>Large Intestine. mSphere. 2016;1.</w:t>
      </w:r>
    </w:p>
    <w:p w:rsidR="00AB6F81" w:rsidRPr="00AB6F81" w:rsidRDefault="00AB6F81" w:rsidP="00E136F5">
      <w:pPr>
        <w:pStyle w:val="Literaturverzeichnis"/>
        <w:suppressLineNumbers/>
        <w:spacing w:line="276" w:lineRule="auto"/>
        <w:jc w:val="both"/>
        <w:rPr>
          <w:lang w:val="en-US"/>
        </w:rPr>
      </w:pPr>
      <w:r w:rsidRPr="00AB6F81">
        <w:rPr>
          <w:lang w:val="en-US"/>
        </w:rPr>
        <w:t xml:space="preserve">44. </w:t>
      </w:r>
      <w:r w:rsidRPr="00AB6F81">
        <w:rPr>
          <w:lang w:val="en-US"/>
        </w:rPr>
        <w:tab/>
        <w:t xml:space="preserve">Ridlon JM, Harris SC, Bhowmik S, Kang D-J, Hylemon PB. Consequences of bile salt biotransformations by intestinal bacteria. Gut Microbes. 2016;7:22–39.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45. </w:t>
      </w:r>
      <w:r w:rsidRPr="00AB6F81">
        <w:rPr>
          <w:lang w:val="en-US"/>
        </w:rPr>
        <w:tab/>
        <w:t xml:space="preserve">Islam KBMS, Fukiya S, Hagio M, Fujii N, Ishizuka S, Ooka T, Ogura Y, Hayashi T, Yokota A. Bile acid is a host factor that regulates the composition of the cecal microbiota in rats. Gastroenterology. 2011;141:1773–81.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46. </w:t>
      </w:r>
      <w:r w:rsidRPr="00AB6F81">
        <w:rPr>
          <w:lang w:val="en-US"/>
        </w:rPr>
        <w:tab/>
        <w:t xml:space="preserve">Ridlon JM, Alves JM, Hylemon PB, Bajaj JS. Cirrhosis, bile acids and gut microbiota. Gut Microbes. 2013;4:382–7.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47. </w:t>
      </w:r>
      <w:r w:rsidRPr="00AB6F81">
        <w:rPr>
          <w:lang w:val="en-US"/>
        </w:rPr>
        <w:tab/>
        <w:t xml:space="preserve">Kakiyama G, Pandak WM, Gillevet PM, Hylemon PB, Heuman DM, Daita K, Takei H, Muto A, Nittono H, Ridlon JM, et al. Modulation of the fecal bile acid profile by gut microbiota in cirrhosis. J Hepatol. 2013;58:949–55. </w:t>
      </w:r>
    </w:p>
    <w:p w:rsidR="00AB6F81" w:rsidRDefault="00AB6F81" w:rsidP="00E136F5">
      <w:pPr>
        <w:pStyle w:val="Literaturverzeichnis"/>
        <w:suppressLineNumbers/>
        <w:spacing w:line="276" w:lineRule="auto"/>
        <w:jc w:val="both"/>
      </w:pPr>
      <w:r w:rsidRPr="00AB6F81">
        <w:rPr>
          <w:lang w:val="en-US"/>
        </w:rPr>
        <w:lastRenderedPageBreak/>
        <w:t xml:space="preserve">48. </w:t>
      </w:r>
      <w:r w:rsidRPr="00AB6F81">
        <w:rPr>
          <w:lang w:val="en-US"/>
        </w:rPr>
        <w:tab/>
        <w:t xml:space="preserve">Bajaj JS, Heuman DM, Hylemon PB, Sanyal AJ, White MB, Monteith P, Noble NA, Unser AB, Daita K, Fisher AR, et al. Altered profile of human gut microbiome is associated with cirrhosis and its complications. </w:t>
      </w:r>
      <w:r>
        <w:t xml:space="preserve">J Hepatol. 2014;60:940–7. </w:t>
      </w:r>
    </w:p>
    <w:p w:rsidR="00AB6F81" w:rsidRPr="00AB6F81" w:rsidRDefault="00AB6F81" w:rsidP="00E136F5">
      <w:pPr>
        <w:pStyle w:val="Literaturverzeichnis"/>
        <w:suppressLineNumbers/>
        <w:spacing w:line="276" w:lineRule="auto"/>
        <w:jc w:val="both"/>
        <w:rPr>
          <w:lang w:val="en-US"/>
        </w:rPr>
      </w:pPr>
      <w:r>
        <w:t xml:space="preserve">49. </w:t>
      </w:r>
      <w:r>
        <w:tab/>
        <w:t xml:space="preserve">Baxter NT, Zackular JP, Chen GY, Schloss PD. </w:t>
      </w:r>
      <w:r w:rsidRPr="00AB6F81">
        <w:rPr>
          <w:lang w:val="en-US"/>
        </w:rPr>
        <w:t xml:space="preserve">Structure of the gut microbiome following colonization with human feces determines colonic tumor burden. Microbiome. 2014;2:20.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50. </w:t>
      </w:r>
      <w:r w:rsidRPr="00AB6F81">
        <w:rPr>
          <w:lang w:val="en-US"/>
        </w:rPr>
        <w:tab/>
        <w:t xml:space="preserve">Wirbel J, Pyl PT, Kartal E, Zych K, Kashani A, Milanese A, Fleck JS, Voigt AY, Palleja A, Ponnudurai R, et al. Meta-analysis of fecal metagenomes reveals global microbial signatures that are specific for colorectal cancer. Nature Medicine. 2019;25:679.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51. </w:t>
      </w:r>
      <w:r w:rsidRPr="00AB6F81">
        <w:rPr>
          <w:lang w:val="en-US"/>
        </w:rPr>
        <w:tab/>
        <w:t xml:space="preserve">Begley M, Gahan CGM, Hill C. The interaction between bacteria and bile. FEMS Microbiol Rev. 2005;29:625–51.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52. </w:t>
      </w:r>
      <w:r w:rsidRPr="00AB6F81">
        <w:rPr>
          <w:lang w:val="en-US"/>
        </w:rPr>
        <w:tab/>
        <w:t xml:space="preserve">Devkota S, Wang Y, Musch MW, Leone V, Fehlner-Peach H, Nadimpalli A, Antonopoulos DA, Jabri B, Chang EB. Dietary-fat-induced taurocholic acid promotes pathobiont expansion and colitis in Il10-/- mice. Nature. 2012;487:104–8.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53. </w:t>
      </w:r>
      <w:r w:rsidRPr="00AB6F81">
        <w:rPr>
          <w:lang w:val="en-US"/>
        </w:rPr>
        <w:tab/>
        <w:t xml:space="preserve">Yazici C, Wolf PG, Kim H, Cross T-WL, Vermillion K, Carroll T, Augustus GJ, Mutlu E, Tussing-Humphreys L, Braunschweig C, et al. Race-dependent association of sulfidogenic bacteria with colorectal cancer. Gut. 2017;66:1983–94.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54. </w:t>
      </w:r>
      <w:r w:rsidRPr="00AB6F81">
        <w:rPr>
          <w:lang w:val="en-US"/>
        </w:rPr>
        <w:tab/>
        <w:t xml:space="preserve">Castellarin M, Warren RL, Freeman JD, Dreolini L, Krzywinski M, Strauss J, Barnes R, Watson P, Allen-Vercoe E, Moore RA, et al. Fusobacterium nucleatum infection is prevalent in human colorectal carcinoma. Genome Res. 2012;22:299–306.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55. </w:t>
      </w:r>
      <w:r w:rsidRPr="00AB6F81">
        <w:rPr>
          <w:lang w:val="en-US"/>
        </w:rPr>
        <w:tab/>
        <w:t xml:space="preserve">Mehta RS, Nishihara R, Cao Y, Song M, Mima K, Qian ZR, Nowak JA, Kosumi K, Hamada T, Masugi Y, et al. Association of Dietary Patterns With Risk of Colorectal Cancer Subtypes Classified by Fusobacterium Nucleatum in Tumor Tissue. JAMA Oncol. 2017;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56. </w:t>
      </w:r>
      <w:r w:rsidRPr="00AB6F81">
        <w:rPr>
          <w:lang w:val="en-US"/>
        </w:rPr>
        <w:tab/>
        <w:t xml:space="preserve">Winter J, Nyskohus L, Young GP, Hu Y, Conlon MA, Bird AR, Topping DL, Le Leu RK. Inhibition by resistant starch of red meat-induced promutagenic adducts in mouse colon. Cancer Prev Res (Phila). 2011;4:1920–8.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57. </w:t>
      </w:r>
      <w:r w:rsidRPr="00AB6F81">
        <w:rPr>
          <w:lang w:val="en-US"/>
        </w:rPr>
        <w:tab/>
        <w:t xml:space="preserve">Le Leu RK, Winter JM, Christophersen CT, Young GP, Humphreys KJ, Hu Y, Gratz SW, Miller RB, Topping DL, Bird AR, et al. Butyrylated starch intake can prevent red meat-induced O6-methyl-2-deoxyguanosine adducts in human rectal tissue: a randomised clinical trial. Br J Nutr. 2015;114:220–30.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58. </w:t>
      </w:r>
      <w:r w:rsidRPr="00AB6F81">
        <w:rPr>
          <w:lang w:val="en-US"/>
        </w:rPr>
        <w:tab/>
        <w:t xml:space="preserve">Redwood D, Lanier AP, Renner C, Smith J, Tom-Orme L, Slattery ML. Differences in cigarette and smokeless tobacco use among American Indian and Alaska Native people living in Alaska and the Southwest United States. Nicotine Tob Res. 2010;12:791–6.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59. </w:t>
      </w:r>
      <w:r w:rsidRPr="00AB6F81">
        <w:rPr>
          <w:lang w:val="en-US"/>
        </w:rPr>
        <w:tab/>
        <w:t>Dilley JA, Peterson E, Hiratsuka VY, Rohde K. Discovering unique tobacco use patterns among Alaska Native pe</w:t>
      </w:r>
      <w:r w:rsidR="00E136F5">
        <w:rPr>
          <w:lang w:val="en-US"/>
        </w:rPr>
        <w:t>ople. Int J Circumpolar Health. 2013;72.</w:t>
      </w:r>
    </w:p>
    <w:p w:rsidR="00AB6F81" w:rsidRPr="00AB6F81" w:rsidRDefault="00AB6F81" w:rsidP="00E136F5">
      <w:pPr>
        <w:pStyle w:val="Literaturverzeichnis"/>
        <w:suppressLineNumbers/>
        <w:spacing w:line="276" w:lineRule="auto"/>
        <w:jc w:val="both"/>
        <w:rPr>
          <w:lang w:val="en-US"/>
        </w:rPr>
      </w:pPr>
      <w:r w:rsidRPr="00AB6F81">
        <w:rPr>
          <w:lang w:val="en-US"/>
        </w:rPr>
        <w:lastRenderedPageBreak/>
        <w:t xml:space="preserve">60. </w:t>
      </w:r>
      <w:r w:rsidRPr="00AB6F81">
        <w:rPr>
          <w:lang w:val="en-US"/>
        </w:rPr>
        <w:tab/>
        <w:t xml:space="preserve">Caesar R, Tremaroli V, Kovatcheva-Datchary P, Cani PD, Bäckhed F. Crosstalk between Gut Microbiota and Dietary Lipids Aggravates WAT Inflammation through TLR Signaling. Cell Metab. 2015;22:658–68.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61. </w:t>
      </w:r>
      <w:r w:rsidRPr="00AB6F81">
        <w:rPr>
          <w:lang w:val="en-US"/>
        </w:rPr>
        <w:tab/>
        <w:t xml:space="preserve">Lin H, An Y, Hao F, Wang Y, Tang H. Correlations of Fecal Metabonomic and Microbiomic Changes Induced by High-fat Diet in the Pre-Obesity State. Sci Rep. 2016;6.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62. </w:t>
      </w:r>
      <w:r w:rsidRPr="00AB6F81">
        <w:rPr>
          <w:lang w:val="en-US"/>
        </w:rPr>
        <w:tab/>
        <w:t xml:space="preserve">Bae S, Ulrich CM, Neuhouser ML, Malysheva O, Bailey LB, Xiao L, Brown EC, Cushing-Haugen KL, Zheng Y, Cheng T-YD, et al. Plasma choline metabolites and colorectal cancer risk in the Women’s Health Initiative Observational Study. Cancer Res. 2014;74:7442–52.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63. </w:t>
      </w:r>
      <w:r w:rsidRPr="00AB6F81">
        <w:rPr>
          <w:lang w:val="en-US"/>
        </w:rPr>
        <w:tab/>
        <w:t xml:space="preserve">Xu R, Wang Q, Li L. A genome-wide systems analysis reveals strong link between colorectal cancer and trimethylamine N-oxide (TMAO), a gut microbial metabolite of dietary meat and fat. BMC Genomics. 2015;16 Suppl 7:S4.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64. </w:t>
      </w:r>
      <w:r w:rsidRPr="00AB6F81">
        <w:rPr>
          <w:lang w:val="en-US"/>
        </w:rPr>
        <w:tab/>
        <w:t xml:space="preserve">Tang WHW, Wang Z, Levison BS, Koeth RA, Britt EB, Fu X, Wu Y, Hazen SL. Intestinal microbial metabolism of phosphatidylcholine and cardiovascular risk. N Engl J Med. 2013;368:1575–84. </w:t>
      </w:r>
    </w:p>
    <w:p w:rsidR="00AB6F81" w:rsidRPr="00E8450F" w:rsidRDefault="00AB6F81" w:rsidP="00E136F5">
      <w:pPr>
        <w:pStyle w:val="Literaturverzeichnis"/>
        <w:suppressLineNumbers/>
        <w:spacing w:line="276" w:lineRule="auto"/>
        <w:jc w:val="both"/>
        <w:rPr>
          <w:lang w:val="en-US"/>
        </w:rPr>
      </w:pPr>
      <w:r w:rsidRPr="00AB6F81">
        <w:rPr>
          <w:lang w:val="en-US"/>
        </w:rPr>
        <w:t xml:space="preserve">65. </w:t>
      </w:r>
      <w:r w:rsidRPr="00AB6F81">
        <w:rPr>
          <w:lang w:val="en-US"/>
        </w:rPr>
        <w:tab/>
        <w:t xml:space="preserve">Heianza Y, Ma W, Manson JE, Rexrode KM, Qi L. Gut Microbiota Metabolites and Risk of Major Adverse Cardiovascular Disease Events and Death: A Systematic Review and Meta-Analysis of Prospective Studies. </w:t>
      </w:r>
      <w:r w:rsidRPr="00E8450F">
        <w:rPr>
          <w:lang w:val="en-US"/>
        </w:rPr>
        <w:t xml:space="preserve">J Am Heart Assoc. 2017;6. </w:t>
      </w:r>
    </w:p>
    <w:p w:rsidR="00AB6F81" w:rsidRPr="00AB6F81" w:rsidRDefault="00AB6F81" w:rsidP="00E136F5">
      <w:pPr>
        <w:pStyle w:val="Literaturverzeichnis"/>
        <w:suppressLineNumbers/>
        <w:spacing w:line="276" w:lineRule="auto"/>
        <w:jc w:val="both"/>
        <w:rPr>
          <w:lang w:val="en-US"/>
        </w:rPr>
      </w:pPr>
      <w:r w:rsidRPr="00E8450F">
        <w:rPr>
          <w:lang w:val="en-US"/>
        </w:rPr>
        <w:t xml:space="preserve">66. </w:t>
      </w:r>
      <w:r w:rsidRPr="00E8450F">
        <w:rPr>
          <w:lang w:val="en-US"/>
        </w:rPr>
        <w:tab/>
        <w:t xml:space="preserve">Zackular JP, Rogers MAM, Ruffin MT, Schloss PD. </w:t>
      </w:r>
      <w:r w:rsidRPr="00AB6F81">
        <w:rPr>
          <w:lang w:val="en-US"/>
        </w:rPr>
        <w:t xml:space="preserve">The human gut microbiome as a screening tool for colorectal cancer. Cancer Prev Res (Phila). 2014;7:1112–21. </w:t>
      </w:r>
    </w:p>
    <w:p w:rsidR="00AB6F81" w:rsidRPr="00AB6F81" w:rsidRDefault="00AB6F81" w:rsidP="00E136F5">
      <w:pPr>
        <w:pStyle w:val="Literaturverzeichnis"/>
        <w:suppressLineNumbers/>
        <w:spacing w:line="276" w:lineRule="auto"/>
        <w:jc w:val="both"/>
        <w:rPr>
          <w:lang w:val="en-US"/>
        </w:rPr>
      </w:pPr>
      <w:r w:rsidRPr="00AB6F81">
        <w:rPr>
          <w:lang w:val="en-US"/>
        </w:rPr>
        <w:t xml:space="preserve">67. </w:t>
      </w:r>
      <w:r w:rsidRPr="00AB6F81">
        <w:rPr>
          <w:lang w:val="en-US"/>
        </w:rPr>
        <w:tab/>
        <w:t xml:space="preserve">Hale VL, Chen J, Johnson S, Harrington SC, Yab TC, Smyrk TC, Nelson H, Boardman LA, Druliner BR, Levin TR, et al. Shifts in the Fecal Microbiota Associated with Adenomatous Polyps. Cancer Epidemiol Biomarkers Prev. 2017;26:85–94. </w:t>
      </w:r>
    </w:p>
    <w:p w:rsidR="00AB6F81" w:rsidRDefault="00AB6F81" w:rsidP="00E136F5">
      <w:pPr>
        <w:pStyle w:val="Literaturverzeichnis"/>
        <w:suppressLineNumbers/>
        <w:spacing w:line="276" w:lineRule="auto"/>
        <w:jc w:val="both"/>
      </w:pPr>
      <w:r w:rsidRPr="00AB6F81">
        <w:rPr>
          <w:lang w:val="en-US"/>
        </w:rPr>
        <w:t xml:space="preserve">68. </w:t>
      </w:r>
      <w:r w:rsidRPr="00AB6F81">
        <w:rPr>
          <w:lang w:val="en-US"/>
        </w:rPr>
        <w:tab/>
        <w:t xml:space="preserve">Mangifesta M, Mancabelli L, Milani C, Gaiani F, de’Angelis N, de’Angelis GL, van Sinderen D, Ventura M, Turroni F. Mucosal microbiota of intestinal polyps reveals putative biomarkers of colorectal cancer. </w:t>
      </w:r>
      <w:r>
        <w:t xml:space="preserve">Sci Rep. 2018;8:13974. </w:t>
      </w:r>
    </w:p>
    <w:p w:rsidR="00900B7A" w:rsidRDefault="004B36B0" w:rsidP="00E136F5">
      <w:pPr>
        <w:pStyle w:val="Literaturverzeichnis"/>
        <w:suppressLineNumbers/>
        <w:spacing w:line="276" w:lineRule="auto"/>
        <w:jc w:val="both"/>
        <w:rPr>
          <w:lang w:val="en-US"/>
        </w:rPr>
      </w:pPr>
      <w:r w:rsidRPr="00274E8B">
        <w:rPr>
          <w:sz w:val="24"/>
          <w:szCs w:val="24"/>
          <w:lang w:val="en-US"/>
        </w:rPr>
        <w:fldChar w:fldCharType="end"/>
      </w:r>
      <w:r w:rsidR="00900B7A">
        <w:rPr>
          <w:lang w:val="en-US"/>
        </w:rPr>
        <w:br w:type="page"/>
      </w:r>
    </w:p>
    <w:p w:rsidR="00421656" w:rsidRPr="00430DDF" w:rsidRDefault="00421656" w:rsidP="00870BDF">
      <w:pPr>
        <w:pStyle w:val="KeinLeerraum"/>
        <w:suppressLineNumbers/>
        <w:spacing w:line="276" w:lineRule="auto"/>
        <w:jc w:val="both"/>
        <w:rPr>
          <w:b/>
          <w:sz w:val="24"/>
          <w:lang w:val="en-US"/>
        </w:rPr>
      </w:pPr>
      <w:r w:rsidRPr="00430DDF">
        <w:rPr>
          <w:b/>
          <w:sz w:val="24"/>
          <w:lang w:val="en-US"/>
        </w:rPr>
        <w:lastRenderedPageBreak/>
        <w:t>TABLES</w:t>
      </w:r>
    </w:p>
    <w:p w:rsidR="00421656" w:rsidRPr="00430DDF" w:rsidRDefault="00421656" w:rsidP="00870BDF">
      <w:pPr>
        <w:pStyle w:val="KeinLeerraum"/>
        <w:suppressLineNumbers/>
        <w:spacing w:line="276" w:lineRule="auto"/>
        <w:jc w:val="both"/>
        <w:rPr>
          <w:b/>
          <w:sz w:val="24"/>
          <w:lang w:val="en-US"/>
        </w:rPr>
      </w:pPr>
      <w:r w:rsidRPr="00430DDF">
        <w:rPr>
          <w:b/>
          <w:sz w:val="24"/>
          <w:lang w:val="en-US"/>
        </w:rPr>
        <w:t xml:space="preserve"> </w:t>
      </w:r>
      <w:proofErr w:type="gramStart"/>
      <w:r w:rsidRPr="00430DDF">
        <w:rPr>
          <w:b/>
          <w:sz w:val="24"/>
          <w:lang w:val="en-US"/>
        </w:rPr>
        <w:t xml:space="preserve">Table </w:t>
      </w:r>
      <w:r w:rsidRPr="00430DDF">
        <w:rPr>
          <w:b/>
          <w:sz w:val="24"/>
        </w:rPr>
        <w:fldChar w:fldCharType="begin"/>
      </w:r>
      <w:r w:rsidRPr="00430DDF">
        <w:rPr>
          <w:b/>
          <w:sz w:val="24"/>
          <w:lang w:val="en-US"/>
        </w:rPr>
        <w:instrText xml:space="preserve"> SEQ Table \* ARABIC </w:instrText>
      </w:r>
      <w:r w:rsidRPr="00430DDF">
        <w:rPr>
          <w:b/>
          <w:sz w:val="24"/>
        </w:rPr>
        <w:fldChar w:fldCharType="separate"/>
      </w:r>
      <w:r w:rsidRPr="00430DDF">
        <w:rPr>
          <w:b/>
          <w:noProof/>
          <w:sz w:val="24"/>
          <w:lang w:val="en-US"/>
        </w:rPr>
        <w:t>1</w:t>
      </w:r>
      <w:r w:rsidRPr="00430DDF">
        <w:rPr>
          <w:b/>
          <w:sz w:val="24"/>
        </w:rPr>
        <w:fldChar w:fldCharType="end"/>
      </w:r>
      <w:r w:rsidRPr="00430DDF">
        <w:rPr>
          <w:b/>
          <w:sz w:val="24"/>
          <w:lang w:val="en-US"/>
        </w:rPr>
        <w:t>: Demographic data of study participants.</w:t>
      </w:r>
      <w:proofErr w:type="gramEnd"/>
    </w:p>
    <w:tbl>
      <w:tblPr>
        <w:tblW w:w="4962" w:type="pct"/>
        <w:tblInd w:w="70" w:type="dxa"/>
        <w:tblCellMar>
          <w:left w:w="70" w:type="dxa"/>
          <w:right w:w="70" w:type="dxa"/>
        </w:tblCellMar>
        <w:tblLook w:val="04A0" w:firstRow="1" w:lastRow="0" w:firstColumn="1" w:lastColumn="0" w:noHBand="0" w:noVBand="1"/>
      </w:tblPr>
      <w:tblGrid>
        <w:gridCol w:w="1538"/>
        <w:gridCol w:w="582"/>
        <w:gridCol w:w="684"/>
        <w:gridCol w:w="583"/>
        <w:gridCol w:w="2531"/>
        <w:gridCol w:w="1613"/>
        <w:gridCol w:w="1611"/>
      </w:tblGrid>
      <w:tr w:rsidR="00FB1F72" w:rsidRPr="00555D13" w:rsidTr="00FB1F72">
        <w:trPr>
          <w:trHeight w:val="25"/>
        </w:trPr>
        <w:tc>
          <w:tcPr>
            <w:tcW w:w="841" w:type="pct"/>
            <w:tcBorders>
              <w:top w:val="single" w:sz="24" w:space="0" w:color="auto"/>
              <w:left w:val="nil"/>
              <w:bottom w:val="single" w:sz="12" w:space="0" w:color="auto"/>
              <w:right w:val="nil"/>
            </w:tcBorders>
            <w:noWrap/>
            <w:vAlign w:val="center"/>
          </w:tcPr>
          <w:p w:rsidR="00FB1F72" w:rsidRPr="00FC05E4" w:rsidRDefault="00FB1F72" w:rsidP="00870BDF">
            <w:pPr>
              <w:pStyle w:val="KeinLeerraum"/>
              <w:suppressLineNumbers/>
              <w:spacing w:line="276" w:lineRule="auto"/>
              <w:rPr>
                <w:b/>
                <w:sz w:val="18"/>
                <w:szCs w:val="18"/>
                <w:lang w:val="en-US" w:eastAsia="de-DE"/>
              </w:rPr>
            </w:pPr>
          </w:p>
        </w:tc>
        <w:tc>
          <w:tcPr>
            <w:tcW w:w="319" w:type="pct"/>
            <w:tcBorders>
              <w:top w:val="single" w:sz="24" w:space="0" w:color="auto"/>
              <w:left w:val="nil"/>
              <w:bottom w:val="single" w:sz="12" w:space="0" w:color="auto"/>
              <w:right w:val="nil"/>
            </w:tcBorders>
            <w:vAlign w:val="center"/>
          </w:tcPr>
          <w:p w:rsidR="00FB1F72" w:rsidRPr="00555D13" w:rsidRDefault="00FB1F72" w:rsidP="00870BDF">
            <w:pPr>
              <w:pStyle w:val="KeinLeerraum"/>
              <w:suppressLineNumbers/>
              <w:spacing w:line="276" w:lineRule="auto"/>
              <w:rPr>
                <w:b/>
                <w:sz w:val="18"/>
                <w:szCs w:val="18"/>
                <w:lang w:val="en-US" w:eastAsia="de-DE"/>
              </w:rPr>
            </w:pPr>
            <w:r w:rsidRPr="00555D13">
              <w:rPr>
                <w:b/>
                <w:sz w:val="18"/>
                <w:szCs w:val="18"/>
                <w:lang w:val="en-US" w:eastAsia="de-DE"/>
              </w:rPr>
              <w:t>Total</w:t>
            </w:r>
          </w:p>
        </w:tc>
        <w:tc>
          <w:tcPr>
            <w:tcW w:w="374" w:type="pct"/>
            <w:tcBorders>
              <w:top w:val="single" w:sz="24" w:space="0" w:color="auto"/>
              <w:left w:val="nil"/>
              <w:bottom w:val="single" w:sz="12" w:space="0" w:color="auto"/>
              <w:right w:val="nil"/>
            </w:tcBorders>
            <w:noWrap/>
            <w:vAlign w:val="center"/>
            <w:hideMark/>
          </w:tcPr>
          <w:p w:rsidR="00FB1F72" w:rsidRPr="00555D13" w:rsidRDefault="00FB1F72" w:rsidP="00870BDF">
            <w:pPr>
              <w:pStyle w:val="KeinLeerraum"/>
              <w:suppressLineNumbers/>
              <w:spacing w:line="276" w:lineRule="auto"/>
              <w:rPr>
                <w:b/>
                <w:sz w:val="18"/>
                <w:szCs w:val="18"/>
                <w:lang w:val="en-US" w:eastAsia="de-DE"/>
              </w:rPr>
            </w:pPr>
            <w:r w:rsidRPr="00555D13">
              <w:rPr>
                <w:b/>
                <w:sz w:val="18"/>
                <w:szCs w:val="18"/>
                <w:lang w:val="en-US" w:eastAsia="de-DE"/>
              </w:rPr>
              <w:t>Female</w:t>
            </w:r>
          </w:p>
        </w:tc>
        <w:tc>
          <w:tcPr>
            <w:tcW w:w="319" w:type="pct"/>
            <w:tcBorders>
              <w:top w:val="single" w:sz="24" w:space="0" w:color="auto"/>
              <w:left w:val="nil"/>
              <w:bottom w:val="single" w:sz="12" w:space="0" w:color="auto"/>
              <w:right w:val="nil"/>
            </w:tcBorders>
            <w:vAlign w:val="center"/>
          </w:tcPr>
          <w:p w:rsidR="00FB1F72" w:rsidRPr="00555D13" w:rsidRDefault="00FB1F72" w:rsidP="00870BDF">
            <w:pPr>
              <w:pStyle w:val="KeinLeerraum"/>
              <w:suppressLineNumbers/>
              <w:spacing w:line="276" w:lineRule="auto"/>
              <w:rPr>
                <w:b/>
                <w:sz w:val="18"/>
                <w:szCs w:val="18"/>
                <w:lang w:val="en-US" w:eastAsia="de-DE"/>
              </w:rPr>
            </w:pPr>
            <w:r w:rsidRPr="00555D13">
              <w:rPr>
                <w:b/>
                <w:sz w:val="18"/>
                <w:szCs w:val="18"/>
                <w:lang w:val="en-US" w:eastAsia="de-DE"/>
              </w:rPr>
              <w:t>Male</w:t>
            </w:r>
          </w:p>
        </w:tc>
        <w:tc>
          <w:tcPr>
            <w:tcW w:w="1384" w:type="pct"/>
            <w:tcBorders>
              <w:top w:val="single" w:sz="24" w:space="0" w:color="auto"/>
              <w:left w:val="nil"/>
              <w:bottom w:val="single" w:sz="12" w:space="0" w:color="auto"/>
              <w:right w:val="nil"/>
            </w:tcBorders>
            <w:vAlign w:val="center"/>
          </w:tcPr>
          <w:p w:rsidR="00FB1F72" w:rsidRPr="00555D13" w:rsidRDefault="00FB1F72" w:rsidP="00870BDF">
            <w:pPr>
              <w:pStyle w:val="KeinLeerraum"/>
              <w:suppressLineNumbers/>
              <w:spacing w:line="276" w:lineRule="auto"/>
              <w:rPr>
                <w:b/>
                <w:color w:val="000000"/>
                <w:sz w:val="18"/>
                <w:szCs w:val="18"/>
                <w:lang w:val="en-US" w:eastAsia="de-DE"/>
              </w:rPr>
            </w:pPr>
            <w:r w:rsidRPr="00555D13">
              <w:rPr>
                <w:b/>
                <w:color w:val="000000"/>
                <w:sz w:val="18"/>
                <w:szCs w:val="18"/>
                <w:lang w:val="en-US" w:eastAsia="de-DE"/>
              </w:rPr>
              <w:t>Geographic area (n)</w:t>
            </w:r>
          </w:p>
        </w:tc>
        <w:tc>
          <w:tcPr>
            <w:tcW w:w="882" w:type="pct"/>
            <w:tcBorders>
              <w:top w:val="single" w:sz="24" w:space="0" w:color="auto"/>
              <w:left w:val="nil"/>
              <w:bottom w:val="single" w:sz="12" w:space="0" w:color="auto"/>
              <w:right w:val="nil"/>
            </w:tcBorders>
            <w:noWrap/>
            <w:vAlign w:val="center"/>
            <w:hideMark/>
          </w:tcPr>
          <w:p w:rsidR="00FB1F72" w:rsidRPr="00555D13" w:rsidRDefault="00FB1F72" w:rsidP="00870BDF">
            <w:pPr>
              <w:pStyle w:val="KeinLeerraum"/>
              <w:suppressLineNumbers/>
              <w:spacing w:line="276" w:lineRule="auto"/>
              <w:rPr>
                <w:b/>
                <w:color w:val="000000"/>
                <w:sz w:val="18"/>
                <w:szCs w:val="18"/>
                <w:lang w:val="en-US" w:eastAsia="de-DE"/>
              </w:rPr>
            </w:pPr>
            <w:r w:rsidRPr="00555D13">
              <w:rPr>
                <w:b/>
                <w:color w:val="000000"/>
                <w:sz w:val="18"/>
                <w:szCs w:val="18"/>
                <w:lang w:val="en-US" w:eastAsia="de-DE"/>
              </w:rPr>
              <w:t>Age (</w:t>
            </w:r>
            <w:r w:rsidRPr="00555D13">
              <w:rPr>
                <w:b/>
                <w:sz w:val="18"/>
                <w:szCs w:val="18"/>
                <w:lang w:val="en-US" w:eastAsia="de-DE"/>
              </w:rPr>
              <w:t xml:space="preserve">Mean </w:t>
            </w:r>
            <w:r w:rsidRPr="00555D13">
              <w:rPr>
                <w:rFonts w:cs="Arial"/>
                <w:b/>
                <w:sz w:val="18"/>
                <w:szCs w:val="18"/>
                <w:lang w:val="en-US"/>
              </w:rPr>
              <w:t>±</w:t>
            </w:r>
            <w:r w:rsidRPr="00555D13">
              <w:rPr>
                <w:b/>
                <w:sz w:val="18"/>
                <w:szCs w:val="18"/>
                <w:lang w:val="en-US" w:eastAsia="de-DE"/>
              </w:rPr>
              <w:t xml:space="preserve"> SEM)</w:t>
            </w:r>
          </w:p>
        </w:tc>
        <w:tc>
          <w:tcPr>
            <w:tcW w:w="882" w:type="pct"/>
            <w:tcBorders>
              <w:top w:val="single" w:sz="24" w:space="0" w:color="auto"/>
              <w:left w:val="nil"/>
              <w:bottom w:val="single" w:sz="12" w:space="0" w:color="auto"/>
              <w:right w:val="nil"/>
            </w:tcBorders>
          </w:tcPr>
          <w:p w:rsidR="00FB1F72" w:rsidRPr="00555D13" w:rsidRDefault="00FB1F72" w:rsidP="00870BDF">
            <w:pPr>
              <w:pStyle w:val="KeinLeerraum"/>
              <w:suppressLineNumbers/>
              <w:spacing w:line="276" w:lineRule="auto"/>
              <w:rPr>
                <w:b/>
                <w:color w:val="000000"/>
                <w:sz w:val="18"/>
                <w:szCs w:val="18"/>
                <w:lang w:val="en-US" w:eastAsia="de-DE"/>
              </w:rPr>
            </w:pPr>
            <w:r w:rsidRPr="00555D13">
              <w:rPr>
                <w:b/>
                <w:color w:val="000000"/>
                <w:sz w:val="18"/>
                <w:szCs w:val="18"/>
                <w:lang w:val="en-US" w:eastAsia="de-DE"/>
              </w:rPr>
              <w:t>Polyps detected</w:t>
            </w:r>
            <w:r w:rsidR="005B2D92" w:rsidRPr="005B2D92">
              <w:rPr>
                <w:b/>
                <w:color w:val="000000"/>
                <w:sz w:val="18"/>
                <w:szCs w:val="18"/>
                <w:vertAlign w:val="superscript"/>
                <w:lang w:val="en-US" w:eastAsia="de-DE"/>
              </w:rPr>
              <w:t>1</w:t>
            </w:r>
          </w:p>
        </w:tc>
      </w:tr>
      <w:tr w:rsidR="00FB1F72" w:rsidRPr="00555D13" w:rsidTr="00FB1F72">
        <w:trPr>
          <w:trHeight w:val="343"/>
        </w:trPr>
        <w:tc>
          <w:tcPr>
            <w:tcW w:w="841" w:type="pct"/>
            <w:tcBorders>
              <w:top w:val="single" w:sz="12" w:space="0" w:color="auto"/>
              <w:left w:val="nil"/>
              <w:right w:val="nil"/>
            </w:tcBorders>
            <w:noWrap/>
            <w:vAlign w:val="center"/>
          </w:tcPr>
          <w:p w:rsidR="00FB1F72" w:rsidRPr="00555D13" w:rsidRDefault="00FB1F72" w:rsidP="00870BDF">
            <w:pPr>
              <w:pStyle w:val="KeinLeerraum"/>
              <w:suppressLineNumbers/>
              <w:spacing w:line="276" w:lineRule="auto"/>
              <w:rPr>
                <w:b/>
                <w:sz w:val="18"/>
                <w:szCs w:val="18"/>
                <w:lang w:val="en-US" w:eastAsia="de-DE"/>
              </w:rPr>
            </w:pPr>
            <w:r w:rsidRPr="00555D13">
              <w:rPr>
                <w:b/>
                <w:sz w:val="18"/>
                <w:szCs w:val="18"/>
                <w:lang w:val="en-US" w:eastAsia="de-DE"/>
              </w:rPr>
              <w:t xml:space="preserve">Alaska Native </w:t>
            </w:r>
            <w:r w:rsidRPr="00555D13">
              <w:rPr>
                <w:sz w:val="18"/>
                <w:szCs w:val="18"/>
                <w:lang w:val="en-US" w:eastAsia="de-DE"/>
              </w:rPr>
              <w:t>(</w:t>
            </w:r>
            <w:r w:rsidRPr="00555D13">
              <w:rPr>
                <w:b/>
                <w:sz w:val="18"/>
                <w:szCs w:val="18"/>
                <w:lang w:val="en-US" w:eastAsia="de-DE"/>
              </w:rPr>
              <w:t>AN</w:t>
            </w:r>
            <w:r w:rsidRPr="00555D13">
              <w:rPr>
                <w:sz w:val="18"/>
                <w:szCs w:val="18"/>
                <w:lang w:val="en-US" w:eastAsia="de-DE"/>
              </w:rPr>
              <w:t>)</w:t>
            </w:r>
          </w:p>
        </w:tc>
        <w:tc>
          <w:tcPr>
            <w:tcW w:w="319" w:type="pct"/>
            <w:tcBorders>
              <w:top w:val="single" w:sz="12" w:space="0" w:color="auto"/>
              <w:left w:val="nil"/>
              <w:right w:val="nil"/>
            </w:tcBorders>
            <w:vAlign w:val="center"/>
          </w:tcPr>
          <w:p w:rsidR="00FB1F72" w:rsidRPr="00555D13" w:rsidRDefault="00FB1F72" w:rsidP="00870BDF">
            <w:pPr>
              <w:pStyle w:val="KeinLeerraum"/>
              <w:suppressLineNumbers/>
              <w:spacing w:line="276" w:lineRule="auto"/>
              <w:rPr>
                <w:rFonts w:cs="Arial"/>
                <w:sz w:val="18"/>
                <w:szCs w:val="18"/>
              </w:rPr>
            </w:pPr>
            <w:r w:rsidRPr="00555D13">
              <w:rPr>
                <w:rFonts w:cs="Arial"/>
                <w:sz w:val="18"/>
                <w:szCs w:val="18"/>
              </w:rPr>
              <w:t>32</w:t>
            </w:r>
          </w:p>
        </w:tc>
        <w:tc>
          <w:tcPr>
            <w:tcW w:w="374" w:type="pct"/>
            <w:tcBorders>
              <w:top w:val="single" w:sz="12" w:space="0" w:color="auto"/>
              <w:left w:val="nil"/>
              <w:right w:val="nil"/>
            </w:tcBorders>
            <w:noWrap/>
            <w:vAlign w:val="center"/>
          </w:tcPr>
          <w:p w:rsidR="00FB1F72" w:rsidRPr="00555D13" w:rsidRDefault="00FB1F72" w:rsidP="00870BDF">
            <w:pPr>
              <w:pStyle w:val="KeinLeerraum"/>
              <w:suppressLineNumbers/>
              <w:spacing w:line="276" w:lineRule="auto"/>
              <w:rPr>
                <w:rFonts w:cs="Arial"/>
                <w:sz w:val="18"/>
                <w:szCs w:val="18"/>
              </w:rPr>
            </w:pPr>
            <w:r w:rsidRPr="00555D13">
              <w:rPr>
                <w:rFonts w:cs="Arial"/>
                <w:sz w:val="18"/>
                <w:szCs w:val="18"/>
              </w:rPr>
              <w:t>24</w:t>
            </w:r>
          </w:p>
        </w:tc>
        <w:tc>
          <w:tcPr>
            <w:tcW w:w="319" w:type="pct"/>
            <w:tcBorders>
              <w:top w:val="single" w:sz="12" w:space="0" w:color="auto"/>
              <w:left w:val="nil"/>
              <w:right w:val="nil"/>
            </w:tcBorders>
            <w:vAlign w:val="center"/>
          </w:tcPr>
          <w:p w:rsidR="00FB1F72" w:rsidRPr="00555D13" w:rsidRDefault="00FB1F72" w:rsidP="00870BDF">
            <w:pPr>
              <w:pStyle w:val="KeinLeerraum"/>
              <w:suppressLineNumbers/>
              <w:spacing w:line="276" w:lineRule="auto"/>
              <w:rPr>
                <w:rFonts w:cs="Arial"/>
                <w:sz w:val="18"/>
                <w:szCs w:val="18"/>
              </w:rPr>
            </w:pPr>
            <w:r w:rsidRPr="00555D13">
              <w:rPr>
                <w:rFonts w:cs="Arial"/>
                <w:sz w:val="18"/>
                <w:szCs w:val="18"/>
              </w:rPr>
              <w:t>8</w:t>
            </w:r>
          </w:p>
        </w:tc>
        <w:tc>
          <w:tcPr>
            <w:tcW w:w="1384" w:type="pct"/>
            <w:tcBorders>
              <w:top w:val="single" w:sz="12" w:space="0" w:color="auto"/>
              <w:left w:val="nil"/>
              <w:right w:val="nil"/>
            </w:tcBorders>
            <w:vAlign w:val="center"/>
          </w:tcPr>
          <w:p w:rsidR="00FB1F72" w:rsidRPr="00555D13" w:rsidRDefault="00FB1F72" w:rsidP="00870BDF">
            <w:pPr>
              <w:pStyle w:val="KeinLeerraum"/>
              <w:suppressLineNumbers/>
              <w:spacing w:line="276" w:lineRule="auto"/>
              <w:rPr>
                <w:sz w:val="18"/>
                <w:szCs w:val="18"/>
                <w:lang w:val="en-US"/>
              </w:rPr>
            </w:pPr>
            <w:r w:rsidRPr="00555D13">
              <w:rPr>
                <w:sz w:val="18"/>
                <w:szCs w:val="18"/>
                <w:lang w:val="en-US"/>
              </w:rPr>
              <w:t xml:space="preserve">Anchorage (22), </w:t>
            </w:r>
            <w:proofErr w:type="spellStart"/>
            <w:r w:rsidRPr="00555D13">
              <w:rPr>
                <w:sz w:val="18"/>
                <w:szCs w:val="18"/>
                <w:lang w:val="en-US"/>
              </w:rPr>
              <w:t>Utqiagvik</w:t>
            </w:r>
            <w:proofErr w:type="spellEnd"/>
            <w:r w:rsidRPr="00555D13">
              <w:rPr>
                <w:sz w:val="18"/>
                <w:szCs w:val="18"/>
                <w:lang w:val="en-US"/>
              </w:rPr>
              <w:t xml:space="preserve"> (10)</w:t>
            </w:r>
          </w:p>
        </w:tc>
        <w:tc>
          <w:tcPr>
            <w:tcW w:w="882" w:type="pct"/>
            <w:tcBorders>
              <w:top w:val="single" w:sz="12" w:space="0" w:color="auto"/>
              <w:left w:val="nil"/>
              <w:right w:val="nil"/>
            </w:tcBorders>
            <w:noWrap/>
            <w:vAlign w:val="center"/>
          </w:tcPr>
          <w:p w:rsidR="00FB1F72" w:rsidRPr="00555D13" w:rsidRDefault="00FB1F72" w:rsidP="00870BDF">
            <w:pPr>
              <w:pStyle w:val="KeinLeerraum"/>
              <w:suppressLineNumbers/>
              <w:spacing w:line="276" w:lineRule="auto"/>
              <w:rPr>
                <w:rFonts w:cs="Arial"/>
                <w:sz w:val="18"/>
                <w:szCs w:val="18"/>
              </w:rPr>
            </w:pPr>
            <w:r w:rsidRPr="00555D13">
              <w:rPr>
                <w:sz w:val="18"/>
                <w:szCs w:val="18"/>
                <w:lang w:val="en-US"/>
              </w:rPr>
              <w:t>51.0 ± 8.9 years</w:t>
            </w:r>
          </w:p>
        </w:tc>
        <w:tc>
          <w:tcPr>
            <w:tcW w:w="882" w:type="pct"/>
            <w:tcBorders>
              <w:top w:val="single" w:sz="12" w:space="0" w:color="auto"/>
              <w:left w:val="nil"/>
              <w:right w:val="nil"/>
            </w:tcBorders>
          </w:tcPr>
          <w:p w:rsidR="00FB1F72" w:rsidRPr="00555D13" w:rsidRDefault="00081E7F" w:rsidP="00870BDF">
            <w:pPr>
              <w:pStyle w:val="KeinLeerraum"/>
              <w:suppressLineNumbers/>
              <w:spacing w:line="276" w:lineRule="auto"/>
              <w:rPr>
                <w:sz w:val="18"/>
                <w:szCs w:val="18"/>
                <w:lang w:val="en-US"/>
              </w:rPr>
            </w:pPr>
            <w:r w:rsidRPr="00555D13">
              <w:rPr>
                <w:sz w:val="18"/>
                <w:szCs w:val="18"/>
                <w:lang w:val="en-US"/>
              </w:rPr>
              <w:t>16</w:t>
            </w:r>
            <w:r w:rsidR="00FB1F72" w:rsidRPr="00555D13">
              <w:rPr>
                <w:sz w:val="18"/>
                <w:szCs w:val="18"/>
                <w:lang w:val="en-US"/>
              </w:rPr>
              <w:t>/</w:t>
            </w:r>
            <w:r w:rsidR="00594313">
              <w:rPr>
                <w:sz w:val="18"/>
                <w:szCs w:val="18"/>
                <w:lang w:val="en-US"/>
              </w:rPr>
              <w:t>32</w:t>
            </w:r>
          </w:p>
        </w:tc>
      </w:tr>
      <w:tr w:rsidR="00FB1F72" w:rsidRPr="00555D13" w:rsidTr="00FB1F72">
        <w:trPr>
          <w:trHeight w:val="343"/>
        </w:trPr>
        <w:tc>
          <w:tcPr>
            <w:tcW w:w="841" w:type="pct"/>
            <w:tcBorders>
              <w:left w:val="nil"/>
              <w:bottom w:val="single" w:sz="24" w:space="0" w:color="auto"/>
              <w:right w:val="nil"/>
            </w:tcBorders>
            <w:noWrap/>
            <w:vAlign w:val="center"/>
            <w:hideMark/>
          </w:tcPr>
          <w:p w:rsidR="00FB1F72" w:rsidRPr="00555D13" w:rsidRDefault="00FB1F72" w:rsidP="00870BDF">
            <w:pPr>
              <w:pStyle w:val="KeinLeerraum"/>
              <w:suppressLineNumbers/>
              <w:spacing w:line="276" w:lineRule="auto"/>
              <w:rPr>
                <w:b/>
                <w:sz w:val="18"/>
                <w:szCs w:val="18"/>
                <w:lang w:val="en-US" w:eastAsia="de-DE"/>
              </w:rPr>
            </w:pPr>
            <w:r w:rsidRPr="00555D13">
              <w:rPr>
                <w:b/>
                <w:sz w:val="18"/>
                <w:szCs w:val="18"/>
                <w:lang w:val="en-US" w:eastAsia="de-DE"/>
              </w:rPr>
              <w:t xml:space="preserve">Rural African </w:t>
            </w:r>
            <w:r w:rsidRPr="00555D13">
              <w:rPr>
                <w:sz w:val="18"/>
                <w:szCs w:val="18"/>
                <w:lang w:val="en-US" w:eastAsia="de-DE"/>
              </w:rPr>
              <w:t>(</w:t>
            </w:r>
            <w:r w:rsidRPr="00555D13">
              <w:rPr>
                <w:b/>
                <w:sz w:val="18"/>
                <w:szCs w:val="18"/>
                <w:lang w:val="en-US" w:eastAsia="de-DE"/>
              </w:rPr>
              <w:t>RA</w:t>
            </w:r>
            <w:r w:rsidRPr="00555D13">
              <w:rPr>
                <w:sz w:val="18"/>
                <w:szCs w:val="18"/>
                <w:lang w:val="en-US" w:eastAsia="de-DE"/>
              </w:rPr>
              <w:t>)</w:t>
            </w:r>
          </w:p>
        </w:tc>
        <w:tc>
          <w:tcPr>
            <w:tcW w:w="319" w:type="pct"/>
            <w:tcBorders>
              <w:left w:val="nil"/>
              <w:bottom w:val="single" w:sz="24" w:space="0" w:color="auto"/>
              <w:right w:val="nil"/>
            </w:tcBorders>
            <w:vAlign w:val="center"/>
          </w:tcPr>
          <w:p w:rsidR="00FB1F72" w:rsidRPr="00555D13" w:rsidRDefault="00FB1F72" w:rsidP="00870BDF">
            <w:pPr>
              <w:pStyle w:val="KeinLeerraum"/>
              <w:suppressLineNumbers/>
              <w:spacing w:line="276" w:lineRule="auto"/>
              <w:rPr>
                <w:rFonts w:cs="Arial"/>
                <w:sz w:val="18"/>
                <w:szCs w:val="18"/>
              </w:rPr>
            </w:pPr>
            <w:r w:rsidRPr="00555D13">
              <w:rPr>
                <w:rFonts w:cs="Arial"/>
                <w:sz w:val="18"/>
                <w:szCs w:val="18"/>
              </w:rPr>
              <w:t>21</w:t>
            </w:r>
          </w:p>
        </w:tc>
        <w:tc>
          <w:tcPr>
            <w:tcW w:w="374" w:type="pct"/>
            <w:tcBorders>
              <w:left w:val="nil"/>
              <w:bottom w:val="single" w:sz="24" w:space="0" w:color="auto"/>
              <w:right w:val="nil"/>
            </w:tcBorders>
            <w:noWrap/>
            <w:vAlign w:val="center"/>
          </w:tcPr>
          <w:p w:rsidR="00FB1F72" w:rsidRPr="00555D13" w:rsidRDefault="00FB1F72" w:rsidP="00870BDF">
            <w:pPr>
              <w:pStyle w:val="KeinLeerraum"/>
              <w:suppressLineNumbers/>
              <w:spacing w:line="276" w:lineRule="auto"/>
              <w:rPr>
                <w:rFonts w:cs="Arial"/>
                <w:sz w:val="18"/>
                <w:szCs w:val="18"/>
              </w:rPr>
            </w:pPr>
            <w:r w:rsidRPr="00555D13">
              <w:rPr>
                <w:rFonts w:cs="Arial"/>
                <w:sz w:val="18"/>
                <w:szCs w:val="18"/>
              </w:rPr>
              <w:t>12</w:t>
            </w:r>
          </w:p>
        </w:tc>
        <w:tc>
          <w:tcPr>
            <w:tcW w:w="319" w:type="pct"/>
            <w:tcBorders>
              <w:left w:val="nil"/>
              <w:bottom w:val="single" w:sz="24" w:space="0" w:color="auto"/>
              <w:right w:val="nil"/>
            </w:tcBorders>
            <w:vAlign w:val="center"/>
          </w:tcPr>
          <w:p w:rsidR="00FB1F72" w:rsidRPr="00555D13" w:rsidRDefault="00FB1F72" w:rsidP="00870BDF">
            <w:pPr>
              <w:pStyle w:val="KeinLeerraum"/>
              <w:suppressLineNumbers/>
              <w:spacing w:line="276" w:lineRule="auto"/>
              <w:rPr>
                <w:rFonts w:cs="Arial"/>
                <w:sz w:val="18"/>
                <w:szCs w:val="18"/>
              </w:rPr>
            </w:pPr>
            <w:r w:rsidRPr="00555D13">
              <w:rPr>
                <w:rFonts w:cs="Arial"/>
                <w:sz w:val="18"/>
                <w:szCs w:val="18"/>
              </w:rPr>
              <w:t>9</w:t>
            </w:r>
          </w:p>
        </w:tc>
        <w:tc>
          <w:tcPr>
            <w:tcW w:w="1384" w:type="pct"/>
            <w:tcBorders>
              <w:left w:val="nil"/>
              <w:bottom w:val="single" w:sz="24" w:space="0" w:color="auto"/>
              <w:right w:val="nil"/>
            </w:tcBorders>
            <w:vAlign w:val="center"/>
          </w:tcPr>
          <w:p w:rsidR="00FB1F72" w:rsidRPr="00555D13" w:rsidRDefault="00FB1F72" w:rsidP="00870BDF">
            <w:pPr>
              <w:pStyle w:val="KeinLeerraum"/>
              <w:suppressLineNumbers/>
              <w:spacing w:line="276" w:lineRule="auto"/>
              <w:rPr>
                <w:rFonts w:cs="Arial"/>
                <w:sz w:val="18"/>
                <w:szCs w:val="18"/>
              </w:rPr>
            </w:pPr>
            <w:r w:rsidRPr="00555D13">
              <w:rPr>
                <w:sz w:val="18"/>
                <w:szCs w:val="18"/>
                <w:lang w:val="en-US"/>
              </w:rPr>
              <w:t>Rural KwaZulu-Natal (21)</w:t>
            </w:r>
          </w:p>
        </w:tc>
        <w:tc>
          <w:tcPr>
            <w:tcW w:w="882" w:type="pct"/>
            <w:tcBorders>
              <w:left w:val="nil"/>
              <w:bottom w:val="single" w:sz="24" w:space="0" w:color="auto"/>
              <w:right w:val="nil"/>
            </w:tcBorders>
            <w:noWrap/>
            <w:vAlign w:val="center"/>
          </w:tcPr>
          <w:p w:rsidR="00FB1F72" w:rsidRPr="00555D13" w:rsidRDefault="00FB1F72" w:rsidP="00870BDF">
            <w:pPr>
              <w:pStyle w:val="KeinLeerraum"/>
              <w:suppressLineNumbers/>
              <w:spacing w:line="276" w:lineRule="auto"/>
              <w:rPr>
                <w:rFonts w:cs="Arial"/>
                <w:sz w:val="18"/>
                <w:szCs w:val="18"/>
              </w:rPr>
            </w:pPr>
            <w:r w:rsidRPr="00555D13">
              <w:rPr>
                <w:rFonts w:cs="Arial"/>
                <w:sz w:val="18"/>
                <w:szCs w:val="18"/>
              </w:rPr>
              <w:t xml:space="preserve">53.3 </w:t>
            </w:r>
            <w:r w:rsidRPr="00555D13">
              <w:rPr>
                <w:sz w:val="18"/>
                <w:szCs w:val="18"/>
                <w:lang w:val="en-US"/>
              </w:rPr>
              <w:t>± 11.5 years</w:t>
            </w:r>
          </w:p>
        </w:tc>
        <w:tc>
          <w:tcPr>
            <w:tcW w:w="882" w:type="pct"/>
            <w:tcBorders>
              <w:left w:val="nil"/>
              <w:bottom w:val="single" w:sz="24" w:space="0" w:color="auto"/>
              <w:right w:val="nil"/>
            </w:tcBorders>
          </w:tcPr>
          <w:p w:rsidR="00FB1F72" w:rsidRPr="00555D13" w:rsidRDefault="00FB1F72" w:rsidP="00870BDF">
            <w:pPr>
              <w:pStyle w:val="KeinLeerraum"/>
              <w:suppressLineNumbers/>
              <w:spacing w:line="276" w:lineRule="auto"/>
              <w:rPr>
                <w:rFonts w:cs="Arial"/>
                <w:sz w:val="18"/>
                <w:szCs w:val="18"/>
              </w:rPr>
            </w:pPr>
            <w:r w:rsidRPr="00555D13">
              <w:rPr>
                <w:rFonts w:cs="Arial"/>
                <w:sz w:val="18"/>
                <w:szCs w:val="18"/>
              </w:rPr>
              <w:t>0/21</w:t>
            </w:r>
          </w:p>
        </w:tc>
      </w:tr>
    </w:tbl>
    <w:p w:rsidR="00421656" w:rsidRDefault="00421656" w:rsidP="00870BDF">
      <w:pPr>
        <w:suppressLineNumbers/>
        <w:jc w:val="both"/>
        <w:rPr>
          <w:lang w:val="en-US"/>
        </w:rPr>
      </w:pPr>
      <w:r w:rsidRPr="00555D13">
        <w:rPr>
          <w:sz w:val="18"/>
          <w:lang w:val="en-US"/>
        </w:rPr>
        <w:t>SEM = Standard error of mean</w:t>
      </w:r>
      <w:r w:rsidR="00FB1F72" w:rsidRPr="00555D13">
        <w:rPr>
          <w:sz w:val="18"/>
          <w:lang w:val="en-US"/>
        </w:rPr>
        <w:t xml:space="preserve">; </w:t>
      </w:r>
      <w:r w:rsidR="005B2D92" w:rsidRPr="005B2D92">
        <w:rPr>
          <w:sz w:val="18"/>
          <w:vertAlign w:val="superscript"/>
          <w:lang w:val="en-US"/>
        </w:rPr>
        <w:t>1</w:t>
      </w:r>
      <w:r w:rsidR="00FB1F72" w:rsidRPr="00555D13">
        <w:rPr>
          <w:sz w:val="18"/>
          <w:lang w:val="en-US"/>
        </w:rPr>
        <w:t xml:space="preserve">polyps detected </w:t>
      </w:r>
      <w:r w:rsidR="00651EEA" w:rsidRPr="00555D13">
        <w:rPr>
          <w:sz w:val="18"/>
          <w:lang w:val="en-US"/>
        </w:rPr>
        <w:t>(</w:t>
      </w:r>
      <w:r w:rsidR="00594313">
        <w:rPr>
          <w:b/>
          <w:sz w:val="18"/>
          <w:lang w:val="en-US"/>
        </w:rPr>
        <w:t>participants with polyps</w:t>
      </w:r>
      <w:r w:rsidR="00651EEA" w:rsidRPr="00555D13">
        <w:rPr>
          <w:b/>
          <w:sz w:val="18"/>
          <w:lang w:val="en-US"/>
        </w:rPr>
        <w:t>/</w:t>
      </w:r>
      <w:r w:rsidR="00594313">
        <w:rPr>
          <w:b/>
          <w:sz w:val="18"/>
          <w:lang w:val="en-US"/>
        </w:rPr>
        <w:t>total number of participants</w:t>
      </w:r>
      <w:r w:rsidR="00651EEA" w:rsidRPr="00555D13">
        <w:rPr>
          <w:sz w:val="18"/>
          <w:lang w:val="en-US"/>
        </w:rPr>
        <w:t xml:space="preserve">) and </w:t>
      </w:r>
      <w:r w:rsidR="00651EEA" w:rsidRPr="00A65823">
        <w:rPr>
          <w:sz w:val="18"/>
          <w:szCs w:val="18"/>
          <w:lang w:val="en-US"/>
        </w:rPr>
        <w:t xml:space="preserve">removed </w:t>
      </w:r>
      <w:r w:rsidR="00FB1F72" w:rsidRPr="00A65823">
        <w:rPr>
          <w:sz w:val="18"/>
          <w:szCs w:val="18"/>
          <w:lang w:val="en-US"/>
        </w:rPr>
        <w:t>during colonoscopy</w:t>
      </w:r>
    </w:p>
    <w:p w:rsidR="007C193D" w:rsidRDefault="007C193D" w:rsidP="00870BDF">
      <w:pPr>
        <w:suppressLineNumbers/>
        <w:rPr>
          <w:b/>
          <w:lang w:val="en-US"/>
        </w:rPr>
      </w:pPr>
      <w:r>
        <w:rPr>
          <w:b/>
          <w:lang w:val="en-US"/>
        </w:rPr>
        <w:br w:type="page"/>
      </w:r>
    </w:p>
    <w:p w:rsidR="00421656" w:rsidRPr="00430DDF" w:rsidRDefault="00421656" w:rsidP="00870BDF">
      <w:pPr>
        <w:pStyle w:val="KeinLeerraum"/>
        <w:suppressLineNumbers/>
        <w:spacing w:line="276" w:lineRule="auto"/>
        <w:jc w:val="both"/>
        <w:rPr>
          <w:b/>
          <w:sz w:val="24"/>
          <w:u w:val="single"/>
          <w:lang w:val="en-US"/>
        </w:rPr>
      </w:pPr>
      <w:r w:rsidRPr="00430DDF">
        <w:rPr>
          <w:b/>
          <w:sz w:val="24"/>
          <w:lang w:val="en-US"/>
        </w:rPr>
        <w:lastRenderedPageBreak/>
        <w:t xml:space="preserve">Table 2: Mean dietary intake of macro- and micronutrients in </w:t>
      </w:r>
      <w:r w:rsidR="00B83CB4">
        <w:rPr>
          <w:b/>
          <w:sz w:val="24"/>
          <w:lang w:val="en-US"/>
        </w:rPr>
        <w:t>Alaska Native and rural African</w:t>
      </w:r>
      <w:r w:rsidR="00B83CB4" w:rsidRPr="00430DDF">
        <w:rPr>
          <w:b/>
          <w:sz w:val="24"/>
          <w:lang w:val="en-US"/>
        </w:rPr>
        <w:t xml:space="preserve"> </w:t>
      </w:r>
      <w:r w:rsidRPr="00430DDF">
        <w:rPr>
          <w:b/>
          <w:sz w:val="24"/>
          <w:lang w:val="en-US"/>
        </w:rPr>
        <w:t>study populations.</w:t>
      </w:r>
    </w:p>
    <w:tbl>
      <w:tblPr>
        <w:tblW w:w="4980" w:type="pct"/>
        <w:tblInd w:w="70" w:type="dxa"/>
        <w:tblCellMar>
          <w:left w:w="70" w:type="dxa"/>
          <w:right w:w="70" w:type="dxa"/>
        </w:tblCellMar>
        <w:tblLook w:val="04A0" w:firstRow="1" w:lastRow="0" w:firstColumn="1" w:lastColumn="0" w:noHBand="0" w:noVBand="1"/>
      </w:tblPr>
      <w:tblGrid>
        <w:gridCol w:w="3112"/>
        <w:gridCol w:w="2657"/>
        <w:gridCol w:w="2661"/>
        <w:gridCol w:w="745"/>
      </w:tblGrid>
      <w:tr w:rsidR="00421656" w:rsidRPr="007A07AD" w:rsidTr="00B15B8A">
        <w:trPr>
          <w:trHeight w:val="20"/>
        </w:trPr>
        <w:tc>
          <w:tcPr>
            <w:tcW w:w="1696" w:type="pct"/>
            <w:tcBorders>
              <w:top w:val="single" w:sz="24" w:space="0" w:color="auto"/>
              <w:left w:val="nil"/>
              <w:bottom w:val="single" w:sz="12" w:space="0" w:color="auto"/>
              <w:right w:val="nil"/>
            </w:tcBorders>
            <w:noWrap/>
            <w:vAlign w:val="center"/>
            <w:hideMark/>
          </w:tcPr>
          <w:p w:rsidR="00421656" w:rsidRPr="007A07AD" w:rsidRDefault="00421656" w:rsidP="00870BDF">
            <w:pPr>
              <w:pStyle w:val="KeinLeerraum"/>
              <w:spacing w:line="276" w:lineRule="auto"/>
              <w:rPr>
                <w:b/>
                <w:sz w:val="18"/>
                <w:szCs w:val="18"/>
                <w:lang w:val="en-US" w:eastAsia="de-DE"/>
              </w:rPr>
            </w:pPr>
            <w:r w:rsidRPr="007A07AD">
              <w:rPr>
                <w:b/>
                <w:sz w:val="18"/>
                <w:szCs w:val="18"/>
                <w:lang w:val="en-US" w:eastAsia="de-DE"/>
              </w:rPr>
              <w:t>Diet component</w:t>
            </w:r>
          </w:p>
        </w:tc>
        <w:tc>
          <w:tcPr>
            <w:tcW w:w="1448" w:type="pct"/>
            <w:tcBorders>
              <w:top w:val="single" w:sz="24" w:space="0" w:color="auto"/>
              <w:left w:val="nil"/>
              <w:bottom w:val="single" w:sz="12" w:space="0" w:color="auto"/>
              <w:right w:val="nil"/>
            </w:tcBorders>
            <w:noWrap/>
            <w:vAlign w:val="center"/>
            <w:hideMark/>
          </w:tcPr>
          <w:p w:rsidR="00421656" w:rsidRPr="007A07AD" w:rsidRDefault="00421656" w:rsidP="00870BDF">
            <w:pPr>
              <w:pStyle w:val="KeinLeerraum"/>
              <w:spacing w:line="276" w:lineRule="auto"/>
              <w:rPr>
                <w:b/>
                <w:sz w:val="18"/>
                <w:szCs w:val="18"/>
                <w:lang w:val="en-US" w:eastAsia="de-DE"/>
              </w:rPr>
            </w:pPr>
            <w:r w:rsidRPr="007A07AD">
              <w:rPr>
                <w:b/>
                <w:sz w:val="18"/>
                <w:szCs w:val="18"/>
                <w:lang w:val="en-US" w:eastAsia="de-DE"/>
              </w:rPr>
              <w:t xml:space="preserve">Alaska Native (AN) (Mean </w:t>
            </w:r>
            <w:r w:rsidRPr="007A07AD">
              <w:rPr>
                <w:rFonts w:cs="Arial"/>
                <w:b/>
                <w:sz w:val="18"/>
                <w:szCs w:val="18"/>
                <w:lang w:val="en-US"/>
              </w:rPr>
              <w:t xml:space="preserve">± </w:t>
            </w:r>
            <w:r w:rsidRPr="007A07AD">
              <w:rPr>
                <w:b/>
                <w:sz w:val="18"/>
                <w:szCs w:val="18"/>
                <w:lang w:val="en-US" w:eastAsia="de-DE"/>
              </w:rPr>
              <w:t>SEM)</w:t>
            </w:r>
          </w:p>
        </w:tc>
        <w:tc>
          <w:tcPr>
            <w:tcW w:w="1450" w:type="pct"/>
            <w:tcBorders>
              <w:top w:val="single" w:sz="24" w:space="0" w:color="auto"/>
              <w:left w:val="nil"/>
              <w:bottom w:val="single" w:sz="12" w:space="0" w:color="auto"/>
              <w:right w:val="nil"/>
            </w:tcBorders>
            <w:vAlign w:val="center"/>
          </w:tcPr>
          <w:p w:rsidR="00421656" w:rsidRPr="007A07AD" w:rsidRDefault="00421656" w:rsidP="00870BDF">
            <w:pPr>
              <w:pStyle w:val="KeinLeerraum"/>
              <w:spacing w:line="276" w:lineRule="auto"/>
              <w:rPr>
                <w:b/>
                <w:sz w:val="18"/>
                <w:szCs w:val="18"/>
                <w:lang w:val="en-US" w:eastAsia="de-DE"/>
              </w:rPr>
            </w:pPr>
            <w:r w:rsidRPr="007A07AD">
              <w:rPr>
                <w:b/>
                <w:sz w:val="18"/>
                <w:szCs w:val="18"/>
                <w:lang w:val="en-US" w:eastAsia="de-DE"/>
              </w:rPr>
              <w:t xml:space="preserve">Rural Africa (RA) (Mean </w:t>
            </w:r>
            <w:r w:rsidRPr="007A07AD">
              <w:rPr>
                <w:rFonts w:cs="Arial"/>
                <w:b/>
                <w:sz w:val="18"/>
                <w:szCs w:val="18"/>
                <w:lang w:val="en-US"/>
              </w:rPr>
              <w:t>±</w:t>
            </w:r>
            <w:r w:rsidRPr="007A07AD">
              <w:rPr>
                <w:b/>
                <w:sz w:val="18"/>
                <w:szCs w:val="18"/>
                <w:lang w:val="en-US" w:eastAsia="de-DE"/>
              </w:rPr>
              <w:t xml:space="preserve"> SEM)</w:t>
            </w:r>
          </w:p>
        </w:tc>
        <w:tc>
          <w:tcPr>
            <w:tcW w:w="407" w:type="pct"/>
            <w:tcBorders>
              <w:top w:val="single" w:sz="24" w:space="0" w:color="auto"/>
              <w:left w:val="nil"/>
              <w:bottom w:val="single" w:sz="12" w:space="0" w:color="auto"/>
              <w:right w:val="nil"/>
            </w:tcBorders>
            <w:noWrap/>
            <w:vAlign w:val="center"/>
            <w:hideMark/>
          </w:tcPr>
          <w:p w:rsidR="00421656" w:rsidRPr="007A07AD" w:rsidRDefault="00421656" w:rsidP="00870BDF">
            <w:pPr>
              <w:pStyle w:val="KeinLeerraum"/>
              <w:spacing w:line="276" w:lineRule="auto"/>
              <w:jc w:val="center"/>
              <w:rPr>
                <w:b/>
                <w:color w:val="000000"/>
                <w:sz w:val="18"/>
                <w:szCs w:val="18"/>
                <w:lang w:val="en-US" w:eastAsia="de-DE"/>
              </w:rPr>
            </w:pPr>
            <w:r>
              <w:rPr>
                <w:b/>
                <w:i/>
                <w:color w:val="000000"/>
                <w:sz w:val="18"/>
                <w:szCs w:val="18"/>
                <w:lang w:val="en-US" w:eastAsia="de-DE"/>
              </w:rPr>
              <w:t>p</w:t>
            </w:r>
            <w:r w:rsidRPr="007A07AD">
              <w:rPr>
                <w:b/>
                <w:color w:val="000000"/>
                <w:sz w:val="18"/>
                <w:szCs w:val="18"/>
                <w:lang w:val="en-US" w:eastAsia="de-DE"/>
              </w:rPr>
              <w:t>-value</w:t>
            </w:r>
          </w:p>
        </w:tc>
      </w:tr>
      <w:tr w:rsidR="00421656" w:rsidRPr="007A07AD" w:rsidTr="00B15B8A">
        <w:trPr>
          <w:trHeight w:val="283"/>
        </w:trPr>
        <w:tc>
          <w:tcPr>
            <w:tcW w:w="1696" w:type="pct"/>
            <w:tcBorders>
              <w:top w:val="single" w:sz="12" w:space="0" w:color="auto"/>
              <w:left w:val="nil"/>
              <w:right w:val="nil"/>
            </w:tcBorders>
            <w:noWrap/>
            <w:vAlign w:val="center"/>
          </w:tcPr>
          <w:p w:rsidR="00421656" w:rsidRPr="007A07AD" w:rsidRDefault="00421656" w:rsidP="00870BDF">
            <w:pPr>
              <w:pStyle w:val="KeinLeerraum"/>
              <w:spacing w:line="276" w:lineRule="auto"/>
              <w:rPr>
                <w:sz w:val="18"/>
                <w:szCs w:val="18"/>
                <w:lang w:val="en-US" w:eastAsia="de-DE"/>
              </w:rPr>
            </w:pPr>
            <w:r w:rsidRPr="007A07AD">
              <w:rPr>
                <w:sz w:val="18"/>
                <w:szCs w:val="18"/>
                <w:lang w:val="en-US" w:eastAsia="de-DE"/>
              </w:rPr>
              <w:t>Energy (kcal)</w:t>
            </w:r>
          </w:p>
        </w:tc>
        <w:tc>
          <w:tcPr>
            <w:tcW w:w="1448" w:type="pct"/>
            <w:tcBorders>
              <w:top w:val="single" w:sz="12" w:space="0" w:color="auto"/>
              <w:left w:val="nil"/>
              <w:right w:val="nil"/>
            </w:tcBorders>
            <w:noWrap/>
            <w:vAlign w:val="center"/>
          </w:tcPr>
          <w:p w:rsidR="00421656" w:rsidRPr="007A07AD" w:rsidRDefault="00421656" w:rsidP="00870BDF">
            <w:pPr>
              <w:pStyle w:val="KeinLeerraum"/>
              <w:spacing w:line="276" w:lineRule="auto"/>
              <w:rPr>
                <w:rFonts w:cs="Arial"/>
                <w:sz w:val="18"/>
                <w:szCs w:val="18"/>
              </w:rPr>
            </w:pPr>
            <w:r w:rsidRPr="007A07AD">
              <w:rPr>
                <w:rFonts w:cs="Arial"/>
                <w:sz w:val="18"/>
                <w:szCs w:val="18"/>
              </w:rPr>
              <w:t>3414</w:t>
            </w:r>
            <w:r>
              <w:rPr>
                <w:rFonts w:cs="Arial"/>
                <w:sz w:val="18"/>
                <w:szCs w:val="18"/>
              </w:rPr>
              <w:t xml:space="preserve"> </w:t>
            </w:r>
            <w:r w:rsidRPr="007A07AD">
              <w:rPr>
                <w:rFonts w:cs="Arial"/>
                <w:sz w:val="18"/>
                <w:szCs w:val="18"/>
                <w:lang w:val="en-US"/>
              </w:rPr>
              <w:t>±</w:t>
            </w:r>
            <w:r>
              <w:rPr>
                <w:rFonts w:cs="Arial"/>
                <w:sz w:val="18"/>
                <w:szCs w:val="18"/>
                <w:lang w:val="en-US"/>
              </w:rPr>
              <w:t xml:space="preserve"> </w:t>
            </w:r>
            <w:r>
              <w:rPr>
                <w:rFonts w:cs="Arial"/>
                <w:sz w:val="18"/>
                <w:szCs w:val="18"/>
              </w:rPr>
              <w:t>314</w:t>
            </w:r>
          </w:p>
        </w:tc>
        <w:tc>
          <w:tcPr>
            <w:tcW w:w="1450" w:type="pct"/>
            <w:tcBorders>
              <w:top w:val="single" w:sz="12" w:space="0" w:color="auto"/>
              <w:left w:val="nil"/>
              <w:right w:val="nil"/>
            </w:tcBorders>
            <w:vAlign w:val="center"/>
          </w:tcPr>
          <w:p w:rsidR="00421656" w:rsidRPr="007A07AD" w:rsidRDefault="00421656" w:rsidP="00870BDF">
            <w:pPr>
              <w:pStyle w:val="KeinLeerraum"/>
              <w:spacing w:line="276" w:lineRule="auto"/>
              <w:rPr>
                <w:rFonts w:cs="Arial"/>
                <w:sz w:val="18"/>
                <w:szCs w:val="18"/>
              </w:rPr>
            </w:pPr>
            <w:r w:rsidRPr="007A07AD">
              <w:rPr>
                <w:rFonts w:cs="Arial"/>
                <w:sz w:val="18"/>
                <w:szCs w:val="18"/>
              </w:rPr>
              <w:t>2404</w:t>
            </w:r>
            <w:r>
              <w:rPr>
                <w:rFonts w:cs="Arial"/>
                <w:sz w:val="18"/>
                <w:szCs w:val="18"/>
              </w:rPr>
              <w:t xml:space="preserve"> </w:t>
            </w:r>
            <w:r w:rsidRPr="007A07AD">
              <w:rPr>
                <w:rFonts w:cs="Arial"/>
                <w:sz w:val="18"/>
                <w:szCs w:val="18"/>
                <w:lang w:val="en-US"/>
              </w:rPr>
              <w:t>±</w:t>
            </w:r>
            <w:r>
              <w:rPr>
                <w:rFonts w:cs="Arial"/>
                <w:sz w:val="18"/>
                <w:szCs w:val="18"/>
                <w:lang w:val="en-US"/>
              </w:rPr>
              <w:t xml:space="preserve"> </w:t>
            </w:r>
            <w:r>
              <w:rPr>
                <w:rFonts w:cs="Arial"/>
                <w:sz w:val="18"/>
                <w:szCs w:val="18"/>
              </w:rPr>
              <w:t>140</w:t>
            </w:r>
          </w:p>
        </w:tc>
        <w:tc>
          <w:tcPr>
            <w:tcW w:w="407" w:type="pct"/>
            <w:tcBorders>
              <w:top w:val="single" w:sz="12" w:space="0" w:color="auto"/>
              <w:left w:val="nil"/>
              <w:right w:val="nil"/>
            </w:tcBorders>
            <w:noWrap/>
            <w:vAlign w:val="center"/>
          </w:tcPr>
          <w:p w:rsidR="00421656" w:rsidRPr="007A07AD" w:rsidRDefault="00421656" w:rsidP="00870BDF">
            <w:pPr>
              <w:pStyle w:val="KeinLeerraum"/>
              <w:spacing w:line="276" w:lineRule="auto"/>
              <w:jc w:val="center"/>
              <w:rPr>
                <w:rFonts w:cs="Arial"/>
                <w:sz w:val="18"/>
                <w:szCs w:val="18"/>
              </w:rPr>
            </w:pPr>
            <w:r>
              <w:rPr>
                <w:rFonts w:cs="Arial"/>
                <w:sz w:val="18"/>
                <w:szCs w:val="18"/>
              </w:rPr>
              <w:t>0.</w:t>
            </w:r>
            <w:r w:rsidRPr="007A07AD">
              <w:rPr>
                <w:rFonts w:cs="Arial"/>
                <w:sz w:val="18"/>
                <w:szCs w:val="18"/>
              </w:rPr>
              <w:t>0739</w:t>
            </w:r>
          </w:p>
        </w:tc>
      </w:tr>
      <w:tr w:rsidR="00421656" w:rsidRPr="007A07AD" w:rsidTr="00B15B8A">
        <w:trPr>
          <w:trHeight w:val="283"/>
        </w:trPr>
        <w:tc>
          <w:tcPr>
            <w:tcW w:w="1696" w:type="pct"/>
            <w:tcBorders>
              <w:left w:val="nil"/>
              <w:right w:val="nil"/>
            </w:tcBorders>
            <w:noWrap/>
            <w:vAlign w:val="center"/>
            <w:hideMark/>
          </w:tcPr>
          <w:p w:rsidR="00421656" w:rsidRPr="007A07AD" w:rsidRDefault="00421656" w:rsidP="00870BDF">
            <w:pPr>
              <w:pStyle w:val="KeinLeerraum"/>
              <w:spacing w:line="276" w:lineRule="auto"/>
              <w:rPr>
                <w:sz w:val="18"/>
                <w:szCs w:val="18"/>
                <w:lang w:val="en-US" w:eastAsia="de-DE"/>
              </w:rPr>
            </w:pPr>
            <w:r w:rsidRPr="007A07AD">
              <w:rPr>
                <w:sz w:val="18"/>
                <w:szCs w:val="18"/>
                <w:lang w:val="en-US" w:eastAsia="de-DE"/>
              </w:rPr>
              <w:t>Total Fat (g</w:t>
            </w:r>
            <w:r>
              <w:rPr>
                <w:sz w:val="18"/>
                <w:szCs w:val="18"/>
                <w:lang w:val="en-US" w:eastAsia="de-DE"/>
              </w:rPr>
              <w:t>/1000 kcal</w:t>
            </w:r>
            <w:r w:rsidRPr="007A07AD">
              <w:rPr>
                <w:sz w:val="18"/>
                <w:szCs w:val="18"/>
                <w:lang w:val="en-US" w:eastAsia="de-DE"/>
              </w:rPr>
              <w:t>)</w:t>
            </w:r>
          </w:p>
        </w:tc>
        <w:tc>
          <w:tcPr>
            <w:tcW w:w="1448" w:type="pct"/>
            <w:tcBorders>
              <w:left w:val="nil"/>
              <w:right w:val="nil"/>
            </w:tcBorders>
            <w:noWrap/>
            <w:vAlign w:val="center"/>
            <w:hideMark/>
          </w:tcPr>
          <w:p w:rsidR="00421656" w:rsidRPr="007A07AD" w:rsidRDefault="00421656" w:rsidP="00870BDF">
            <w:pPr>
              <w:pStyle w:val="KeinLeerraum"/>
              <w:spacing w:line="276" w:lineRule="auto"/>
              <w:rPr>
                <w:rFonts w:cs="Arial"/>
                <w:sz w:val="18"/>
                <w:szCs w:val="18"/>
              </w:rPr>
            </w:pPr>
            <w:r w:rsidRPr="007A07AD">
              <w:rPr>
                <w:rFonts w:cs="Arial"/>
                <w:sz w:val="18"/>
                <w:szCs w:val="18"/>
                <w:lang w:val="en-US"/>
              </w:rPr>
              <w:t xml:space="preserve">45.15 ± </w:t>
            </w:r>
            <w:r>
              <w:rPr>
                <w:rFonts w:cs="Arial"/>
                <w:sz w:val="18"/>
                <w:szCs w:val="18"/>
              </w:rPr>
              <w:t>1.56</w:t>
            </w:r>
          </w:p>
        </w:tc>
        <w:tc>
          <w:tcPr>
            <w:tcW w:w="1450" w:type="pct"/>
            <w:tcBorders>
              <w:left w:val="nil"/>
              <w:right w:val="nil"/>
            </w:tcBorders>
            <w:vAlign w:val="center"/>
          </w:tcPr>
          <w:p w:rsidR="00421656" w:rsidRPr="007A07AD" w:rsidRDefault="00421656" w:rsidP="00870BDF">
            <w:pPr>
              <w:pStyle w:val="KeinLeerraum"/>
              <w:spacing w:line="276" w:lineRule="auto"/>
              <w:rPr>
                <w:rFonts w:cs="Arial"/>
                <w:sz w:val="18"/>
                <w:szCs w:val="18"/>
              </w:rPr>
            </w:pPr>
            <w:r w:rsidRPr="007A07AD">
              <w:rPr>
                <w:rFonts w:cs="Arial"/>
                <w:sz w:val="18"/>
                <w:szCs w:val="18"/>
              </w:rPr>
              <w:t>18</w:t>
            </w:r>
            <w:r>
              <w:rPr>
                <w:rFonts w:cs="Arial"/>
                <w:sz w:val="18"/>
                <w:szCs w:val="18"/>
              </w:rPr>
              <w:t>.</w:t>
            </w:r>
            <w:r w:rsidRPr="007A07AD">
              <w:rPr>
                <w:rFonts w:cs="Arial"/>
                <w:sz w:val="18"/>
                <w:szCs w:val="18"/>
              </w:rPr>
              <w:t>39</w:t>
            </w:r>
            <w:r>
              <w:rPr>
                <w:rFonts w:cs="Arial"/>
                <w:sz w:val="18"/>
                <w:szCs w:val="18"/>
              </w:rPr>
              <w:t xml:space="preserve"> </w:t>
            </w:r>
            <w:r w:rsidRPr="007A07AD">
              <w:rPr>
                <w:rFonts w:cs="Arial"/>
                <w:sz w:val="18"/>
                <w:szCs w:val="18"/>
                <w:lang w:val="en-US"/>
              </w:rPr>
              <w:t>±</w:t>
            </w:r>
            <w:r>
              <w:rPr>
                <w:rFonts w:cs="Arial"/>
                <w:sz w:val="18"/>
                <w:szCs w:val="18"/>
                <w:lang w:val="en-US"/>
              </w:rPr>
              <w:t xml:space="preserve"> </w:t>
            </w:r>
            <w:r>
              <w:rPr>
                <w:rFonts w:cs="Arial"/>
                <w:sz w:val="18"/>
                <w:szCs w:val="18"/>
              </w:rPr>
              <w:t>2.</w:t>
            </w:r>
            <w:r w:rsidRPr="007A07AD">
              <w:rPr>
                <w:rFonts w:cs="Arial"/>
                <w:sz w:val="18"/>
                <w:szCs w:val="18"/>
              </w:rPr>
              <w:t>87</w:t>
            </w:r>
          </w:p>
        </w:tc>
        <w:tc>
          <w:tcPr>
            <w:tcW w:w="407" w:type="pct"/>
            <w:tcBorders>
              <w:left w:val="nil"/>
              <w:right w:val="nil"/>
            </w:tcBorders>
            <w:noWrap/>
            <w:vAlign w:val="center"/>
            <w:hideMark/>
          </w:tcPr>
          <w:p w:rsidR="00421656" w:rsidRPr="007A07AD" w:rsidRDefault="00421656" w:rsidP="00870BDF">
            <w:pPr>
              <w:pStyle w:val="KeinLeerraum"/>
              <w:spacing w:line="276" w:lineRule="auto"/>
              <w:jc w:val="center"/>
              <w:rPr>
                <w:rFonts w:cs="Arial"/>
                <w:sz w:val="18"/>
                <w:szCs w:val="18"/>
              </w:rPr>
            </w:pPr>
            <w:r>
              <w:rPr>
                <w:rFonts w:cs="Arial"/>
                <w:sz w:val="18"/>
                <w:szCs w:val="18"/>
              </w:rPr>
              <w:t>&lt;0.0001</w:t>
            </w:r>
          </w:p>
        </w:tc>
      </w:tr>
      <w:tr w:rsidR="00421656" w:rsidRPr="007A07AD" w:rsidTr="00B15B8A">
        <w:trPr>
          <w:trHeight w:val="283"/>
        </w:trPr>
        <w:tc>
          <w:tcPr>
            <w:tcW w:w="1696" w:type="pct"/>
            <w:noWrap/>
            <w:vAlign w:val="center"/>
          </w:tcPr>
          <w:p w:rsidR="00421656" w:rsidRPr="007A07AD" w:rsidRDefault="00421656" w:rsidP="00870BDF">
            <w:pPr>
              <w:pStyle w:val="KeinLeerraum"/>
              <w:spacing w:line="276" w:lineRule="auto"/>
              <w:rPr>
                <w:sz w:val="18"/>
                <w:szCs w:val="18"/>
                <w:lang w:val="en-US" w:eastAsia="de-DE"/>
              </w:rPr>
            </w:pPr>
            <w:r w:rsidRPr="007A07AD">
              <w:rPr>
                <w:sz w:val="18"/>
                <w:szCs w:val="18"/>
                <w:lang w:val="en-US" w:eastAsia="de-DE"/>
              </w:rPr>
              <w:t>Total Carbohydrate (g</w:t>
            </w:r>
            <w:r>
              <w:rPr>
                <w:sz w:val="18"/>
                <w:szCs w:val="18"/>
                <w:lang w:val="en-US" w:eastAsia="de-DE"/>
              </w:rPr>
              <w:t>/1000 kcal</w:t>
            </w:r>
            <w:r w:rsidRPr="007A07AD">
              <w:rPr>
                <w:sz w:val="18"/>
                <w:szCs w:val="18"/>
                <w:lang w:val="en-US" w:eastAsia="de-DE"/>
              </w:rPr>
              <w:t>)</w:t>
            </w:r>
          </w:p>
        </w:tc>
        <w:tc>
          <w:tcPr>
            <w:tcW w:w="1448" w:type="pct"/>
            <w:noWrap/>
            <w:vAlign w:val="center"/>
          </w:tcPr>
          <w:p w:rsidR="00421656" w:rsidRPr="007A07AD" w:rsidRDefault="00421656" w:rsidP="00870BDF">
            <w:pPr>
              <w:pStyle w:val="KeinLeerraum"/>
              <w:spacing w:line="276" w:lineRule="auto"/>
              <w:rPr>
                <w:rFonts w:cs="Arial"/>
                <w:sz w:val="18"/>
                <w:szCs w:val="18"/>
              </w:rPr>
            </w:pPr>
            <w:r w:rsidRPr="007A07AD">
              <w:rPr>
                <w:rFonts w:cs="Arial"/>
                <w:sz w:val="18"/>
                <w:szCs w:val="18"/>
                <w:lang w:val="en-US"/>
              </w:rPr>
              <w:t>101.6 ±</w:t>
            </w:r>
            <w:r>
              <w:rPr>
                <w:rFonts w:cs="Arial"/>
                <w:sz w:val="18"/>
                <w:szCs w:val="18"/>
                <w:lang w:val="en-US"/>
              </w:rPr>
              <w:t xml:space="preserve"> </w:t>
            </w:r>
            <w:r>
              <w:rPr>
                <w:rFonts w:cs="Arial"/>
                <w:sz w:val="18"/>
                <w:szCs w:val="18"/>
              </w:rPr>
              <w:t>5.5</w:t>
            </w:r>
          </w:p>
        </w:tc>
        <w:tc>
          <w:tcPr>
            <w:tcW w:w="1450" w:type="pct"/>
            <w:vAlign w:val="center"/>
          </w:tcPr>
          <w:p w:rsidR="00421656" w:rsidRPr="007A07AD" w:rsidRDefault="00421656" w:rsidP="00870BDF">
            <w:pPr>
              <w:pStyle w:val="KeinLeerraum"/>
              <w:spacing w:line="276" w:lineRule="auto"/>
              <w:rPr>
                <w:rFonts w:cs="Arial"/>
                <w:sz w:val="18"/>
                <w:szCs w:val="18"/>
              </w:rPr>
            </w:pPr>
            <w:r w:rsidRPr="007A07AD">
              <w:rPr>
                <w:rFonts w:cs="Arial"/>
                <w:sz w:val="18"/>
                <w:szCs w:val="18"/>
              </w:rPr>
              <w:t>164</w:t>
            </w:r>
            <w:r>
              <w:rPr>
                <w:rFonts w:cs="Arial"/>
                <w:sz w:val="18"/>
                <w:szCs w:val="18"/>
              </w:rPr>
              <w:t>.</w:t>
            </w:r>
            <w:r w:rsidRPr="007A07AD">
              <w:rPr>
                <w:rFonts w:cs="Arial"/>
                <w:sz w:val="18"/>
                <w:szCs w:val="18"/>
              </w:rPr>
              <w:t>6</w:t>
            </w:r>
            <w:r>
              <w:rPr>
                <w:rFonts w:cs="Arial"/>
                <w:sz w:val="18"/>
                <w:szCs w:val="18"/>
              </w:rPr>
              <w:t xml:space="preserve"> </w:t>
            </w:r>
            <w:r w:rsidRPr="007A07AD">
              <w:rPr>
                <w:rFonts w:cs="Arial"/>
                <w:sz w:val="18"/>
                <w:szCs w:val="18"/>
                <w:lang w:val="en-US"/>
              </w:rPr>
              <w:t>±</w:t>
            </w:r>
            <w:r>
              <w:rPr>
                <w:rFonts w:cs="Arial"/>
                <w:sz w:val="18"/>
                <w:szCs w:val="18"/>
                <w:lang w:val="en-US"/>
              </w:rPr>
              <w:t xml:space="preserve"> </w:t>
            </w:r>
            <w:r>
              <w:rPr>
                <w:rFonts w:cs="Arial"/>
                <w:sz w:val="18"/>
                <w:szCs w:val="18"/>
              </w:rPr>
              <w:t>5.9</w:t>
            </w:r>
          </w:p>
        </w:tc>
        <w:tc>
          <w:tcPr>
            <w:tcW w:w="407" w:type="pct"/>
            <w:noWrap/>
            <w:vAlign w:val="center"/>
          </w:tcPr>
          <w:p w:rsidR="00421656" w:rsidRPr="007A07AD" w:rsidRDefault="00421656" w:rsidP="00870BDF">
            <w:pPr>
              <w:pStyle w:val="KeinLeerraum"/>
              <w:spacing w:line="276" w:lineRule="auto"/>
              <w:jc w:val="center"/>
              <w:rPr>
                <w:rFonts w:cs="Arial"/>
                <w:sz w:val="18"/>
                <w:szCs w:val="18"/>
              </w:rPr>
            </w:pPr>
            <w:r>
              <w:rPr>
                <w:rFonts w:cs="Arial"/>
                <w:sz w:val="18"/>
                <w:szCs w:val="18"/>
              </w:rPr>
              <w:t>&lt;0.0001</w:t>
            </w:r>
          </w:p>
        </w:tc>
      </w:tr>
      <w:tr w:rsidR="00421656" w:rsidRPr="007A07AD" w:rsidTr="00B15B8A">
        <w:trPr>
          <w:trHeight w:val="283"/>
        </w:trPr>
        <w:tc>
          <w:tcPr>
            <w:tcW w:w="1696" w:type="pct"/>
            <w:noWrap/>
            <w:vAlign w:val="center"/>
          </w:tcPr>
          <w:p w:rsidR="00421656" w:rsidRPr="007A07AD" w:rsidRDefault="00421656" w:rsidP="00870BDF">
            <w:pPr>
              <w:pStyle w:val="KeinLeerraum"/>
              <w:spacing w:line="276" w:lineRule="auto"/>
              <w:rPr>
                <w:color w:val="000000"/>
                <w:sz w:val="18"/>
                <w:szCs w:val="18"/>
                <w:lang w:val="en-US" w:eastAsia="de-DE"/>
              </w:rPr>
            </w:pPr>
            <w:r w:rsidRPr="007A07AD">
              <w:rPr>
                <w:color w:val="000000"/>
                <w:sz w:val="18"/>
                <w:szCs w:val="18"/>
                <w:lang w:val="en-US" w:eastAsia="de-DE"/>
              </w:rPr>
              <w:t>Total Protein (g</w:t>
            </w:r>
            <w:r>
              <w:rPr>
                <w:color w:val="000000"/>
                <w:sz w:val="18"/>
                <w:szCs w:val="18"/>
                <w:lang w:val="en-US" w:eastAsia="de-DE"/>
              </w:rPr>
              <w:t>/1000 kcal</w:t>
            </w:r>
            <w:r w:rsidRPr="007A07AD">
              <w:rPr>
                <w:color w:val="000000"/>
                <w:sz w:val="18"/>
                <w:szCs w:val="18"/>
                <w:lang w:val="en-US" w:eastAsia="de-DE"/>
              </w:rPr>
              <w:t>)</w:t>
            </w:r>
          </w:p>
        </w:tc>
        <w:tc>
          <w:tcPr>
            <w:tcW w:w="1448" w:type="pct"/>
            <w:noWrap/>
            <w:vAlign w:val="center"/>
          </w:tcPr>
          <w:p w:rsidR="00421656" w:rsidRPr="007A07AD" w:rsidRDefault="00421656" w:rsidP="00870BDF">
            <w:pPr>
              <w:pStyle w:val="KeinLeerraum"/>
              <w:spacing w:line="276" w:lineRule="auto"/>
              <w:rPr>
                <w:rFonts w:cs="Arial"/>
                <w:sz w:val="18"/>
                <w:szCs w:val="18"/>
              </w:rPr>
            </w:pPr>
            <w:r w:rsidRPr="007A07AD">
              <w:rPr>
                <w:rFonts w:cs="Arial"/>
                <w:sz w:val="18"/>
                <w:szCs w:val="18"/>
                <w:lang w:val="en-US"/>
              </w:rPr>
              <w:t xml:space="preserve">47.89 ± </w:t>
            </w:r>
            <w:r>
              <w:rPr>
                <w:rFonts w:cs="Arial"/>
                <w:sz w:val="18"/>
                <w:szCs w:val="18"/>
              </w:rPr>
              <w:t>2.10</w:t>
            </w:r>
          </w:p>
        </w:tc>
        <w:tc>
          <w:tcPr>
            <w:tcW w:w="1450" w:type="pct"/>
            <w:vAlign w:val="center"/>
          </w:tcPr>
          <w:p w:rsidR="00421656" w:rsidRPr="007A07AD" w:rsidRDefault="00421656" w:rsidP="00870BDF">
            <w:pPr>
              <w:pStyle w:val="KeinLeerraum"/>
              <w:spacing w:line="276" w:lineRule="auto"/>
              <w:rPr>
                <w:rFonts w:cs="Arial"/>
                <w:sz w:val="18"/>
                <w:szCs w:val="18"/>
              </w:rPr>
            </w:pPr>
            <w:r>
              <w:rPr>
                <w:rFonts w:cs="Arial"/>
                <w:sz w:val="18"/>
                <w:szCs w:val="18"/>
              </w:rPr>
              <w:t>28.</w:t>
            </w:r>
            <w:r w:rsidRPr="007A07AD">
              <w:rPr>
                <w:rFonts w:cs="Arial"/>
                <w:sz w:val="18"/>
                <w:szCs w:val="18"/>
              </w:rPr>
              <w:t>75</w:t>
            </w:r>
            <w:r>
              <w:rPr>
                <w:rFonts w:cs="Arial"/>
                <w:sz w:val="18"/>
                <w:szCs w:val="18"/>
              </w:rPr>
              <w:t xml:space="preserve"> </w:t>
            </w:r>
            <w:r w:rsidRPr="007A07AD">
              <w:rPr>
                <w:rFonts w:cs="Arial"/>
                <w:sz w:val="18"/>
                <w:szCs w:val="18"/>
                <w:lang w:val="en-US"/>
              </w:rPr>
              <w:t>±</w:t>
            </w:r>
            <w:r>
              <w:rPr>
                <w:rFonts w:cs="Arial"/>
                <w:sz w:val="18"/>
                <w:szCs w:val="18"/>
                <w:lang w:val="en-US"/>
              </w:rPr>
              <w:t xml:space="preserve"> </w:t>
            </w:r>
            <w:r>
              <w:rPr>
                <w:rFonts w:cs="Arial"/>
                <w:sz w:val="18"/>
                <w:szCs w:val="18"/>
              </w:rPr>
              <w:t>2.32</w:t>
            </w:r>
          </w:p>
        </w:tc>
        <w:tc>
          <w:tcPr>
            <w:tcW w:w="407" w:type="pct"/>
            <w:noWrap/>
            <w:vAlign w:val="center"/>
          </w:tcPr>
          <w:p w:rsidR="00421656" w:rsidRPr="007A07AD" w:rsidRDefault="00421656" w:rsidP="00870BDF">
            <w:pPr>
              <w:pStyle w:val="KeinLeerraum"/>
              <w:spacing w:line="276" w:lineRule="auto"/>
              <w:jc w:val="center"/>
              <w:rPr>
                <w:rFonts w:cs="Arial"/>
                <w:sz w:val="18"/>
                <w:szCs w:val="18"/>
              </w:rPr>
            </w:pPr>
            <w:r>
              <w:rPr>
                <w:rFonts w:cs="Arial"/>
                <w:sz w:val="18"/>
                <w:szCs w:val="18"/>
              </w:rPr>
              <w:t>&lt;0.0001</w:t>
            </w:r>
          </w:p>
        </w:tc>
      </w:tr>
      <w:tr w:rsidR="00421656" w:rsidRPr="007A07AD" w:rsidTr="00B15B8A">
        <w:trPr>
          <w:trHeight w:val="283"/>
        </w:trPr>
        <w:tc>
          <w:tcPr>
            <w:tcW w:w="1696" w:type="pct"/>
            <w:noWrap/>
            <w:vAlign w:val="center"/>
          </w:tcPr>
          <w:p w:rsidR="00421656" w:rsidRPr="007A07AD" w:rsidRDefault="00421656" w:rsidP="00870BDF">
            <w:pPr>
              <w:pStyle w:val="KeinLeerraum"/>
              <w:spacing w:line="276" w:lineRule="auto"/>
              <w:rPr>
                <w:sz w:val="18"/>
                <w:szCs w:val="18"/>
                <w:lang w:val="en-US" w:eastAsia="de-DE"/>
              </w:rPr>
            </w:pPr>
            <w:r w:rsidRPr="007A07AD">
              <w:rPr>
                <w:sz w:val="18"/>
                <w:szCs w:val="18"/>
                <w:lang w:val="en-US" w:eastAsia="de-DE"/>
              </w:rPr>
              <w:t>Total Animal Protein (g</w:t>
            </w:r>
            <w:r>
              <w:rPr>
                <w:sz w:val="18"/>
                <w:szCs w:val="18"/>
                <w:lang w:val="en-US" w:eastAsia="de-DE"/>
              </w:rPr>
              <w:t>/1000 kcal</w:t>
            </w:r>
            <w:r w:rsidRPr="007A07AD">
              <w:rPr>
                <w:sz w:val="18"/>
                <w:szCs w:val="18"/>
                <w:lang w:val="en-US" w:eastAsia="de-DE"/>
              </w:rPr>
              <w:t>)</w:t>
            </w:r>
          </w:p>
        </w:tc>
        <w:tc>
          <w:tcPr>
            <w:tcW w:w="1448" w:type="pct"/>
            <w:noWrap/>
            <w:vAlign w:val="center"/>
          </w:tcPr>
          <w:p w:rsidR="00421656" w:rsidRPr="007A07AD" w:rsidRDefault="00421656" w:rsidP="00870BDF">
            <w:pPr>
              <w:pStyle w:val="KeinLeerraum"/>
              <w:spacing w:line="276" w:lineRule="auto"/>
              <w:rPr>
                <w:rFonts w:cs="Arial"/>
                <w:sz w:val="18"/>
                <w:szCs w:val="18"/>
              </w:rPr>
            </w:pPr>
            <w:r w:rsidRPr="007A07AD">
              <w:rPr>
                <w:rFonts w:cs="Arial"/>
                <w:sz w:val="18"/>
                <w:szCs w:val="18"/>
              </w:rPr>
              <w:t>37</w:t>
            </w:r>
            <w:r>
              <w:rPr>
                <w:rFonts w:cs="Arial"/>
                <w:sz w:val="18"/>
                <w:szCs w:val="18"/>
              </w:rPr>
              <w:t>.</w:t>
            </w:r>
            <w:r w:rsidRPr="007A07AD">
              <w:rPr>
                <w:rFonts w:cs="Arial"/>
                <w:sz w:val="18"/>
                <w:szCs w:val="18"/>
              </w:rPr>
              <w:t>51</w:t>
            </w:r>
            <w:r>
              <w:rPr>
                <w:rFonts w:cs="Arial"/>
                <w:sz w:val="18"/>
                <w:szCs w:val="18"/>
              </w:rPr>
              <w:t xml:space="preserve"> </w:t>
            </w:r>
            <w:r w:rsidRPr="007A07AD">
              <w:rPr>
                <w:rFonts w:cs="Arial"/>
                <w:sz w:val="18"/>
                <w:szCs w:val="18"/>
                <w:lang w:val="en-US"/>
              </w:rPr>
              <w:t>±</w:t>
            </w:r>
            <w:r>
              <w:rPr>
                <w:rFonts w:cs="Arial"/>
                <w:sz w:val="18"/>
                <w:szCs w:val="18"/>
                <w:lang w:val="en-US"/>
              </w:rPr>
              <w:t xml:space="preserve"> </w:t>
            </w:r>
            <w:r>
              <w:rPr>
                <w:rFonts w:cs="Arial"/>
                <w:sz w:val="18"/>
                <w:szCs w:val="18"/>
              </w:rPr>
              <w:t>2.41</w:t>
            </w:r>
          </w:p>
        </w:tc>
        <w:tc>
          <w:tcPr>
            <w:tcW w:w="1450" w:type="pct"/>
            <w:vAlign w:val="center"/>
          </w:tcPr>
          <w:p w:rsidR="00421656" w:rsidRPr="007A07AD" w:rsidRDefault="00421656" w:rsidP="00870BDF">
            <w:pPr>
              <w:pStyle w:val="KeinLeerraum"/>
              <w:spacing w:line="276" w:lineRule="auto"/>
              <w:rPr>
                <w:rFonts w:cs="Arial"/>
                <w:sz w:val="18"/>
                <w:szCs w:val="18"/>
              </w:rPr>
            </w:pPr>
            <w:r>
              <w:rPr>
                <w:rFonts w:cs="Arial"/>
                <w:sz w:val="18"/>
                <w:szCs w:val="18"/>
              </w:rPr>
              <w:t xml:space="preserve">9.38 </w:t>
            </w:r>
            <w:r w:rsidRPr="007A07AD">
              <w:rPr>
                <w:rFonts w:cs="Arial"/>
                <w:sz w:val="18"/>
                <w:szCs w:val="18"/>
                <w:lang w:val="en-US"/>
              </w:rPr>
              <w:t>±</w:t>
            </w:r>
            <w:r>
              <w:rPr>
                <w:rFonts w:cs="Arial"/>
                <w:sz w:val="18"/>
                <w:szCs w:val="18"/>
                <w:lang w:val="en-US"/>
              </w:rPr>
              <w:t xml:space="preserve"> </w:t>
            </w:r>
            <w:r>
              <w:rPr>
                <w:rFonts w:cs="Arial"/>
                <w:sz w:val="18"/>
                <w:szCs w:val="18"/>
              </w:rPr>
              <w:t>2.60</w:t>
            </w:r>
          </w:p>
        </w:tc>
        <w:tc>
          <w:tcPr>
            <w:tcW w:w="407" w:type="pct"/>
            <w:noWrap/>
            <w:vAlign w:val="center"/>
          </w:tcPr>
          <w:p w:rsidR="00421656" w:rsidRPr="007A07AD" w:rsidRDefault="00421656" w:rsidP="00870BDF">
            <w:pPr>
              <w:pStyle w:val="KeinLeerraum"/>
              <w:spacing w:line="276" w:lineRule="auto"/>
              <w:jc w:val="center"/>
              <w:rPr>
                <w:rFonts w:cs="Arial"/>
                <w:sz w:val="18"/>
                <w:szCs w:val="18"/>
              </w:rPr>
            </w:pPr>
            <w:r>
              <w:rPr>
                <w:rFonts w:cs="Arial"/>
                <w:sz w:val="18"/>
                <w:szCs w:val="18"/>
              </w:rPr>
              <w:t>&lt;0.0001</w:t>
            </w:r>
          </w:p>
        </w:tc>
      </w:tr>
      <w:tr w:rsidR="00421656" w:rsidRPr="007A07AD" w:rsidTr="00B15B8A">
        <w:trPr>
          <w:trHeight w:val="283"/>
        </w:trPr>
        <w:tc>
          <w:tcPr>
            <w:tcW w:w="1696" w:type="pct"/>
            <w:noWrap/>
            <w:vAlign w:val="center"/>
          </w:tcPr>
          <w:p w:rsidR="00421656" w:rsidRPr="007A07AD" w:rsidRDefault="00421656" w:rsidP="00870BDF">
            <w:pPr>
              <w:pStyle w:val="KeinLeerraum"/>
              <w:spacing w:line="276" w:lineRule="auto"/>
              <w:rPr>
                <w:sz w:val="18"/>
                <w:szCs w:val="18"/>
                <w:lang w:val="en-US" w:eastAsia="de-DE"/>
              </w:rPr>
            </w:pPr>
            <w:r w:rsidRPr="007A07AD">
              <w:rPr>
                <w:sz w:val="18"/>
                <w:szCs w:val="18"/>
                <w:lang w:val="en-US" w:eastAsia="de-DE"/>
              </w:rPr>
              <w:t>Total Vegetable Protein (g</w:t>
            </w:r>
            <w:r>
              <w:rPr>
                <w:sz w:val="18"/>
                <w:szCs w:val="18"/>
                <w:lang w:val="en-US" w:eastAsia="de-DE"/>
              </w:rPr>
              <w:t>/1000 kcal</w:t>
            </w:r>
            <w:r w:rsidRPr="007A07AD">
              <w:rPr>
                <w:sz w:val="18"/>
                <w:szCs w:val="18"/>
                <w:lang w:val="en-US" w:eastAsia="de-DE"/>
              </w:rPr>
              <w:t>)</w:t>
            </w:r>
          </w:p>
        </w:tc>
        <w:tc>
          <w:tcPr>
            <w:tcW w:w="1448" w:type="pct"/>
            <w:noWrap/>
            <w:vAlign w:val="center"/>
          </w:tcPr>
          <w:p w:rsidR="00421656" w:rsidRPr="007A07AD" w:rsidRDefault="00421656" w:rsidP="00870BDF">
            <w:pPr>
              <w:pStyle w:val="KeinLeerraum"/>
              <w:spacing w:line="276" w:lineRule="auto"/>
              <w:rPr>
                <w:rFonts w:cs="Arial"/>
                <w:sz w:val="18"/>
                <w:szCs w:val="18"/>
              </w:rPr>
            </w:pPr>
            <w:r>
              <w:rPr>
                <w:rFonts w:cs="Arial"/>
                <w:sz w:val="18"/>
                <w:szCs w:val="18"/>
              </w:rPr>
              <w:t>10.</w:t>
            </w:r>
            <w:r w:rsidRPr="007A07AD">
              <w:rPr>
                <w:rFonts w:cs="Arial"/>
                <w:sz w:val="18"/>
                <w:szCs w:val="18"/>
              </w:rPr>
              <w:t>38</w:t>
            </w:r>
            <w:r>
              <w:rPr>
                <w:rFonts w:cs="Arial"/>
                <w:sz w:val="18"/>
                <w:szCs w:val="18"/>
              </w:rPr>
              <w:t xml:space="preserve"> </w:t>
            </w:r>
            <w:r w:rsidRPr="007A07AD">
              <w:rPr>
                <w:rFonts w:cs="Arial"/>
                <w:sz w:val="18"/>
                <w:szCs w:val="18"/>
                <w:lang w:val="en-US"/>
              </w:rPr>
              <w:t>±</w:t>
            </w:r>
            <w:r>
              <w:rPr>
                <w:rFonts w:cs="Arial"/>
                <w:sz w:val="18"/>
                <w:szCs w:val="18"/>
                <w:lang w:val="en-US"/>
              </w:rPr>
              <w:t xml:space="preserve"> </w:t>
            </w:r>
            <w:r>
              <w:rPr>
                <w:rFonts w:cs="Arial"/>
                <w:sz w:val="18"/>
                <w:szCs w:val="18"/>
              </w:rPr>
              <w:t>0.74</w:t>
            </w:r>
          </w:p>
        </w:tc>
        <w:tc>
          <w:tcPr>
            <w:tcW w:w="1450" w:type="pct"/>
            <w:vAlign w:val="center"/>
          </w:tcPr>
          <w:p w:rsidR="00421656" w:rsidRPr="007A07AD" w:rsidRDefault="00421656" w:rsidP="00870BDF">
            <w:pPr>
              <w:pStyle w:val="KeinLeerraum"/>
              <w:spacing w:line="276" w:lineRule="auto"/>
              <w:rPr>
                <w:rFonts w:cs="Arial"/>
                <w:sz w:val="18"/>
                <w:szCs w:val="18"/>
              </w:rPr>
            </w:pPr>
            <w:r>
              <w:rPr>
                <w:rFonts w:cs="Arial"/>
                <w:sz w:val="18"/>
                <w:szCs w:val="18"/>
              </w:rPr>
              <w:t xml:space="preserve">19.38 </w:t>
            </w:r>
            <w:r w:rsidRPr="007A07AD">
              <w:rPr>
                <w:rFonts w:cs="Arial"/>
                <w:sz w:val="18"/>
                <w:szCs w:val="18"/>
                <w:lang w:val="en-US"/>
              </w:rPr>
              <w:t>±</w:t>
            </w:r>
            <w:r>
              <w:rPr>
                <w:rFonts w:cs="Arial"/>
                <w:sz w:val="18"/>
                <w:szCs w:val="18"/>
                <w:lang w:val="en-US"/>
              </w:rPr>
              <w:t xml:space="preserve"> </w:t>
            </w:r>
            <w:r>
              <w:rPr>
                <w:rFonts w:cs="Arial"/>
                <w:sz w:val="18"/>
                <w:szCs w:val="18"/>
              </w:rPr>
              <w:t>1.53</w:t>
            </w:r>
          </w:p>
        </w:tc>
        <w:tc>
          <w:tcPr>
            <w:tcW w:w="407" w:type="pct"/>
            <w:noWrap/>
            <w:vAlign w:val="center"/>
          </w:tcPr>
          <w:p w:rsidR="00421656" w:rsidRPr="007A07AD" w:rsidRDefault="00421656" w:rsidP="00870BDF">
            <w:pPr>
              <w:pStyle w:val="KeinLeerraum"/>
              <w:spacing w:line="276" w:lineRule="auto"/>
              <w:jc w:val="center"/>
              <w:rPr>
                <w:rFonts w:cs="Arial"/>
                <w:sz w:val="18"/>
                <w:szCs w:val="18"/>
              </w:rPr>
            </w:pPr>
            <w:r>
              <w:rPr>
                <w:rFonts w:cs="Arial"/>
                <w:sz w:val="18"/>
                <w:szCs w:val="18"/>
              </w:rPr>
              <w:t>&lt;0.0001</w:t>
            </w:r>
          </w:p>
        </w:tc>
      </w:tr>
      <w:tr w:rsidR="00421656" w:rsidRPr="007A07AD" w:rsidTr="00B15B8A">
        <w:trPr>
          <w:trHeight w:val="283"/>
        </w:trPr>
        <w:tc>
          <w:tcPr>
            <w:tcW w:w="1696" w:type="pct"/>
            <w:noWrap/>
            <w:vAlign w:val="center"/>
          </w:tcPr>
          <w:p w:rsidR="00421656" w:rsidRPr="007A07AD" w:rsidRDefault="00421656" w:rsidP="00870BDF">
            <w:pPr>
              <w:pStyle w:val="KeinLeerraum"/>
              <w:spacing w:line="276" w:lineRule="auto"/>
              <w:rPr>
                <w:sz w:val="18"/>
                <w:szCs w:val="18"/>
                <w:lang w:val="en-US" w:eastAsia="de-DE"/>
              </w:rPr>
            </w:pPr>
            <w:r w:rsidRPr="007A07AD">
              <w:rPr>
                <w:sz w:val="18"/>
                <w:szCs w:val="18"/>
                <w:lang w:val="en-US" w:eastAsia="de-DE"/>
              </w:rPr>
              <w:t xml:space="preserve">Total </w:t>
            </w:r>
            <w:r>
              <w:rPr>
                <w:sz w:val="18"/>
                <w:szCs w:val="18"/>
                <w:lang w:val="en-US" w:eastAsia="de-DE"/>
              </w:rPr>
              <w:t xml:space="preserve">Dietary </w:t>
            </w:r>
            <w:r w:rsidRPr="007A07AD">
              <w:rPr>
                <w:sz w:val="18"/>
                <w:szCs w:val="18"/>
                <w:lang w:val="en-US" w:eastAsia="de-DE"/>
              </w:rPr>
              <w:t xml:space="preserve">Fiber </w:t>
            </w:r>
            <w:r>
              <w:rPr>
                <w:sz w:val="18"/>
                <w:szCs w:val="18"/>
                <w:lang w:val="en-US" w:eastAsia="de-DE"/>
              </w:rPr>
              <w:t>(g/1000 kcal)</w:t>
            </w:r>
          </w:p>
        </w:tc>
        <w:tc>
          <w:tcPr>
            <w:tcW w:w="1448" w:type="pct"/>
            <w:noWrap/>
            <w:vAlign w:val="center"/>
          </w:tcPr>
          <w:p w:rsidR="00421656" w:rsidRPr="007A07AD" w:rsidRDefault="00421656" w:rsidP="00870BDF">
            <w:pPr>
              <w:pStyle w:val="KeinLeerraum"/>
              <w:spacing w:line="276" w:lineRule="auto"/>
              <w:rPr>
                <w:rFonts w:cs="Arial"/>
                <w:sz w:val="18"/>
                <w:szCs w:val="18"/>
              </w:rPr>
            </w:pPr>
            <w:r>
              <w:rPr>
                <w:rFonts w:cs="Arial"/>
                <w:sz w:val="18"/>
                <w:szCs w:val="18"/>
              </w:rPr>
              <w:t xml:space="preserve">8.83 </w:t>
            </w:r>
            <w:r w:rsidRPr="007A07AD">
              <w:rPr>
                <w:rFonts w:cs="Arial"/>
                <w:sz w:val="18"/>
                <w:szCs w:val="18"/>
                <w:lang w:val="en-US"/>
              </w:rPr>
              <w:t>±</w:t>
            </w:r>
            <w:r>
              <w:rPr>
                <w:rFonts w:cs="Arial"/>
                <w:sz w:val="18"/>
                <w:szCs w:val="18"/>
                <w:lang w:val="en-US"/>
              </w:rPr>
              <w:t xml:space="preserve"> </w:t>
            </w:r>
            <w:r>
              <w:rPr>
                <w:rFonts w:cs="Arial"/>
                <w:sz w:val="18"/>
                <w:szCs w:val="18"/>
              </w:rPr>
              <w:t>0.72</w:t>
            </w:r>
          </w:p>
        </w:tc>
        <w:tc>
          <w:tcPr>
            <w:tcW w:w="1450" w:type="pct"/>
            <w:vAlign w:val="center"/>
          </w:tcPr>
          <w:p w:rsidR="00421656" w:rsidRPr="007A07AD" w:rsidRDefault="00421656" w:rsidP="00870BDF">
            <w:pPr>
              <w:pStyle w:val="KeinLeerraum"/>
              <w:spacing w:line="276" w:lineRule="auto"/>
              <w:rPr>
                <w:rFonts w:cs="Arial"/>
                <w:sz w:val="18"/>
                <w:szCs w:val="18"/>
              </w:rPr>
            </w:pPr>
            <w:r>
              <w:rPr>
                <w:rFonts w:cs="Arial"/>
                <w:sz w:val="18"/>
                <w:szCs w:val="18"/>
              </w:rPr>
              <w:t>27.</w:t>
            </w:r>
            <w:r w:rsidRPr="007A07AD">
              <w:rPr>
                <w:rFonts w:cs="Arial"/>
                <w:sz w:val="18"/>
                <w:szCs w:val="18"/>
              </w:rPr>
              <w:t>91</w:t>
            </w:r>
            <w:r>
              <w:rPr>
                <w:rFonts w:cs="Arial"/>
                <w:sz w:val="18"/>
                <w:szCs w:val="18"/>
              </w:rPr>
              <w:t xml:space="preserve"> </w:t>
            </w:r>
            <w:r w:rsidRPr="007A07AD">
              <w:rPr>
                <w:rFonts w:cs="Arial"/>
                <w:sz w:val="18"/>
                <w:szCs w:val="18"/>
                <w:lang w:val="en-US"/>
              </w:rPr>
              <w:t>±</w:t>
            </w:r>
            <w:r>
              <w:rPr>
                <w:rFonts w:cs="Arial"/>
                <w:sz w:val="18"/>
                <w:szCs w:val="18"/>
                <w:lang w:val="en-US"/>
              </w:rPr>
              <w:t xml:space="preserve"> </w:t>
            </w:r>
            <w:r>
              <w:rPr>
                <w:rFonts w:cs="Arial"/>
                <w:sz w:val="18"/>
                <w:szCs w:val="18"/>
              </w:rPr>
              <w:t>1.60</w:t>
            </w:r>
            <w:r w:rsidR="005B2D92" w:rsidRPr="005B2D92">
              <w:rPr>
                <w:rFonts w:cs="Arial"/>
                <w:sz w:val="18"/>
                <w:szCs w:val="18"/>
                <w:vertAlign w:val="superscript"/>
              </w:rPr>
              <w:t>1</w:t>
            </w:r>
          </w:p>
        </w:tc>
        <w:tc>
          <w:tcPr>
            <w:tcW w:w="407" w:type="pct"/>
            <w:noWrap/>
            <w:vAlign w:val="center"/>
          </w:tcPr>
          <w:p w:rsidR="00421656" w:rsidRPr="007A07AD" w:rsidRDefault="00421656" w:rsidP="00870BDF">
            <w:pPr>
              <w:pStyle w:val="KeinLeerraum"/>
              <w:spacing w:line="276" w:lineRule="auto"/>
              <w:jc w:val="center"/>
              <w:rPr>
                <w:rFonts w:cs="Arial"/>
                <w:sz w:val="18"/>
                <w:szCs w:val="18"/>
              </w:rPr>
            </w:pPr>
            <w:r>
              <w:rPr>
                <w:rFonts w:cs="Arial"/>
                <w:sz w:val="18"/>
                <w:szCs w:val="18"/>
              </w:rPr>
              <w:t>&lt;0.0001</w:t>
            </w:r>
          </w:p>
        </w:tc>
      </w:tr>
      <w:tr w:rsidR="00421656" w:rsidRPr="007A07AD" w:rsidTr="00B15B8A">
        <w:trPr>
          <w:trHeight w:val="283"/>
        </w:trPr>
        <w:tc>
          <w:tcPr>
            <w:tcW w:w="1696" w:type="pct"/>
            <w:noWrap/>
            <w:vAlign w:val="center"/>
          </w:tcPr>
          <w:p w:rsidR="00421656" w:rsidRPr="007A07AD" w:rsidRDefault="00421656" w:rsidP="00870BDF">
            <w:pPr>
              <w:pStyle w:val="KeinLeerraum"/>
              <w:spacing w:line="276" w:lineRule="auto"/>
              <w:rPr>
                <w:sz w:val="18"/>
                <w:szCs w:val="18"/>
                <w:lang w:val="en-US" w:eastAsia="de-DE"/>
              </w:rPr>
            </w:pPr>
            <w:r w:rsidRPr="007A07AD">
              <w:rPr>
                <w:sz w:val="18"/>
                <w:szCs w:val="18"/>
                <w:lang w:val="en-US" w:eastAsia="de-DE"/>
              </w:rPr>
              <w:t>F</w:t>
            </w:r>
            <w:r>
              <w:rPr>
                <w:sz w:val="18"/>
                <w:szCs w:val="18"/>
                <w:lang w:val="en-US" w:eastAsia="de-DE"/>
              </w:rPr>
              <w:t>olate (mcg/1000 kcal)</w:t>
            </w:r>
          </w:p>
        </w:tc>
        <w:tc>
          <w:tcPr>
            <w:tcW w:w="1448" w:type="pct"/>
            <w:noWrap/>
            <w:vAlign w:val="center"/>
          </w:tcPr>
          <w:p w:rsidR="00421656" w:rsidRPr="007A07AD" w:rsidRDefault="00421656" w:rsidP="00870BDF">
            <w:pPr>
              <w:pStyle w:val="KeinLeerraum"/>
              <w:spacing w:line="276" w:lineRule="auto"/>
              <w:rPr>
                <w:rFonts w:cs="Arial"/>
                <w:sz w:val="18"/>
                <w:szCs w:val="18"/>
              </w:rPr>
            </w:pPr>
            <w:r w:rsidRPr="007A07AD">
              <w:rPr>
                <w:rFonts w:cs="Arial"/>
                <w:sz w:val="18"/>
                <w:szCs w:val="18"/>
                <w:lang w:val="en-US"/>
              </w:rPr>
              <w:t>180.2 ±</w:t>
            </w:r>
            <w:r>
              <w:rPr>
                <w:rFonts w:cs="Arial"/>
                <w:sz w:val="18"/>
                <w:szCs w:val="18"/>
                <w:lang w:val="en-US"/>
              </w:rPr>
              <w:t xml:space="preserve"> </w:t>
            </w:r>
            <w:r>
              <w:rPr>
                <w:rFonts w:cs="Arial"/>
                <w:sz w:val="18"/>
                <w:szCs w:val="18"/>
              </w:rPr>
              <w:t>15.4</w:t>
            </w:r>
          </w:p>
        </w:tc>
        <w:tc>
          <w:tcPr>
            <w:tcW w:w="1450" w:type="pct"/>
            <w:vAlign w:val="center"/>
          </w:tcPr>
          <w:p w:rsidR="00421656" w:rsidRPr="007A07AD" w:rsidRDefault="00421656" w:rsidP="00870BDF">
            <w:pPr>
              <w:pStyle w:val="KeinLeerraum"/>
              <w:spacing w:line="276" w:lineRule="auto"/>
              <w:rPr>
                <w:rFonts w:cs="Arial"/>
                <w:sz w:val="18"/>
                <w:szCs w:val="18"/>
              </w:rPr>
            </w:pPr>
            <w:r w:rsidRPr="007A07AD">
              <w:rPr>
                <w:rFonts w:cs="Arial"/>
                <w:sz w:val="18"/>
                <w:szCs w:val="18"/>
              </w:rPr>
              <w:t>148</w:t>
            </w:r>
            <w:r>
              <w:rPr>
                <w:rFonts w:cs="Arial"/>
                <w:sz w:val="18"/>
                <w:szCs w:val="18"/>
              </w:rPr>
              <w:t>.</w:t>
            </w:r>
            <w:r w:rsidRPr="007A07AD">
              <w:rPr>
                <w:rFonts w:cs="Arial"/>
                <w:sz w:val="18"/>
                <w:szCs w:val="18"/>
              </w:rPr>
              <w:t>8</w:t>
            </w:r>
            <w:r>
              <w:rPr>
                <w:rFonts w:cs="Arial"/>
                <w:sz w:val="18"/>
                <w:szCs w:val="18"/>
              </w:rPr>
              <w:t xml:space="preserve"> </w:t>
            </w:r>
            <w:r w:rsidRPr="007A07AD">
              <w:rPr>
                <w:rFonts w:cs="Arial"/>
                <w:sz w:val="18"/>
                <w:szCs w:val="18"/>
                <w:lang w:val="en-US"/>
              </w:rPr>
              <w:t>±</w:t>
            </w:r>
            <w:r>
              <w:rPr>
                <w:rFonts w:cs="Arial"/>
                <w:sz w:val="18"/>
                <w:szCs w:val="18"/>
                <w:lang w:val="en-US"/>
              </w:rPr>
              <w:t xml:space="preserve"> </w:t>
            </w:r>
            <w:r>
              <w:rPr>
                <w:rFonts w:cs="Arial"/>
                <w:sz w:val="18"/>
                <w:szCs w:val="18"/>
              </w:rPr>
              <w:t>40.0</w:t>
            </w:r>
          </w:p>
        </w:tc>
        <w:tc>
          <w:tcPr>
            <w:tcW w:w="407" w:type="pct"/>
            <w:noWrap/>
            <w:vAlign w:val="center"/>
          </w:tcPr>
          <w:p w:rsidR="00421656" w:rsidRPr="007A07AD" w:rsidRDefault="00421656" w:rsidP="00870BDF">
            <w:pPr>
              <w:pStyle w:val="KeinLeerraum"/>
              <w:spacing w:line="276" w:lineRule="auto"/>
              <w:jc w:val="center"/>
              <w:rPr>
                <w:rFonts w:cs="Arial"/>
                <w:sz w:val="18"/>
                <w:szCs w:val="18"/>
              </w:rPr>
            </w:pPr>
            <w:r>
              <w:rPr>
                <w:rFonts w:cs="Arial"/>
                <w:sz w:val="18"/>
                <w:szCs w:val="18"/>
              </w:rPr>
              <w:t>0.0562</w:t>
            </w:r>
          </w:p>
        </w:tc>
      </w:tr>
      <w:tr w:rsidR="00421656" w:rsidRPr="002C7AD9" w:rsidTr="00B15B8A">
        <w:trPr>
          <w:trHeight w:val="283"/>
        </w:trPr>
        <w:tc>
          <w:tcPr>
            <w:tcW w:w="1696" w:type="pct"/>
            <w:noWrap/>
            <w:vAlign w:val="center"/>
          </w:tcPr>
          <w:p w:rsidR="00421656" w:rsidRPr="007A07AD" w:rsidRDefault="00421656" w:rsidP="00870BDF">
            <w:pPr>
              <w:pStyle w:val="KeinLeerraum"/>
              <w:spacing w:line="276" w:lineRule="auto"/>
              <w:rPr>
                <w:sz w:val="18"/>
                <w:szCs w:val="18"/>
                <w:lang w:val="en-US" w:eastAsia="de-DE"/>
              </w:rPr>
            </w:pPr>
            <w:r>
              <w:rPr>
                <w:sz w:val="18"/>
                <w:szCs w:val="18"/>
                <w:lang w:val="en-US" w:eastAsia="de-DE"/>
              </w:rPr>
              <w:t>Calcium (mg/1000 kcal)</w:t>
            </w:r>
          </w:p>
        </w:tc>
        <w:tc>
          <w:tcPr>
            <w:tcW w:w="1448" w:type="pct"/>
            <w:noWrap/>
            <w:vAlign w:val="center"/>
          </w:tcPr>
          <w:p w:rsidR="00421656" w:rsidRPr="007A07AD" w:rsidRDefault="00421656" w:rsidP="00870BDF">
            <w:pPr>
              <w:pStyle w:val="KeinLeerraum"/>
              <w:spacing w:line="276" w:lineRule="auto"/>
              <w:rPr>
                <w:rFonts w:cs="Arial"/>
                <w:sz w:val="18"/>
                <w:szCs w:val="18"/>
              </w:rPr>
            </w:pPr>
            <w:r w:rsidRPr="007A07AD">
              <w:rPr>
                <w:rFonts w:cs="Arial"/>
                <w:sz w:val="18"/>
                <w:szCs w:val="18"/>
                <w:lang w:val="en-US"/>
              </w:rPr>
              <w:t>317 ±</w:t>
            </w:r>
            <w:r>
              <w:rPr>
                <w:rFonts w:cs="Arial"/>
                <w:sz w:val="18"/>
                <w:szCs w:val="18"/>
                <w:lang w:val="en-US"/>
              </w:rPr>
              <w:t xml:space="preserve"> </w:t>
            </w:r>
            <w:r>
              <w:rPr>
                <w:rFonts w:cs="Arial"/>
                <w:sz w:val="18"/>
                <w:szCs w:val="18"/>
              </w:rPr>
              <w:t>22.0</w:t>
            </w:r>
          </w:p>
        </w:tc>
        <w:tc>
          <w:tcPr>
            <w:tcW w:w="1450" w:type="pct"/>
            <w:vAlign w:val="center"/>
          </w:tcPr>
          <w:p w:rsidR="00421656" w:rsidRPr="007A07AD" w:rsidRDefault="00421656" w:rsidP="00870BDF">
            <w:pPr>
              <w:pStyle w:val="KeinLeerraum"/>
              <w:spacing w:line="276" w:lineRule="auto"/>
              <w:rPr>
                <w:rFonts w:cs="Arial"/>
                <w:sz w:val="18"/>
                <w:szCs w:val="18"/>
              </w:rPr>
            </w:pPr>
            <w:r w:rsidRPr="007A07AD">
              <w:rPr>
                <w:rFonts w:cs="Arial"/>
                <w:sz w:val="18"/>
                <w:szCs w:val="18"/>
              </w:rPr>
              <w:t>118</w:t>
            </w:r>
            <w:r>
              <w:rPr>
                <w:rFonts w:cs="Arial"/>
                <w:sz w:val="18"/>
                <w:szCs w:val="18"/>
              </w:rPr>
              <w:t>.</w:t>
            </w:r>
            <w:r w:rsidRPr="007A07AD">
              <w:rPr>
                <w:rFonts w:cs="Arial"/>
                <w:sz w:val="18"/>
                <w:szCs w:val="18"/>
              </w:rPr>
              <w:t>7</w:t>
            </w:r>
            <w:r>
              <w:rPr>
                <w:rFonts w:cs="Arial"/>
                <w:sz w:val="18"/>
                <w:szCs w:val="18"/>
              </w:rPr>
              <w:t xml:space="preserve"> </w:t>
            </w:r>
            <w:r w:rsidRPr="007A07AD">
              <w:rPr>
                <w:rFonts w:cs="Arial"/>
                <w:sz w:val="18"/>
                <w:szCs w:val="18"/>
                <w:lang w:val="en-US"/>
              </w:rPr>
              <w:t>±</w:t>
            </w:r>
            <w:r>
              <w:rPr>
                <w:rFonts w:cs="Arial"/>
                <w:sz w:val="18"/>
                <w:szCs w:val="18"/>
                <w:lang w:val="en-US"/>
              </w:rPr>
              <w:t xml:space="preserve"> </w:t>
            </w:r>
            <w:r>
              <w:rPr>
                <w:rFonts w:cs="Arial"/>
                <w:sz w:val="18"/>
                <w:szCs w:val="18"/>
              </w:rPr>
              <w:t>29.8</w:t>
            </w:r>
          </w:p>
        </w:tc>
        <w:tc>
          <w:tcPr>
            <w:tcW w:w="407" w:type="pct"/>
            <w:noWrap/>
            <w:vAlign w:val="center"/>
          </w:tcPr>
          <w:p w:rsidR="00421656" w:rsidRPr="002C7AD9" w:rsidRDefault="00421656" w:rsidP="00870BDF">
            <w:pPr>
              <w:pStyle w:val="KeinLeerraum"/>
              <w:spacing w:line="276" w:lineRule="auto"/>
              <w:jc w:val="center"/>
              <w:rPr>
                <w:rFonts w:cs="Arial"/>
                <w:sz w:val="18"/>
                <w:szCs w:val="18"/>
                <w:lang w:val="en-US"/>
              </w:rPr>
            </w:pPr>
            <w:r>
              <w:rPr>
                <w:rFonts w:cs="Arial"/>
                <w:sz w:val="18"/>
                <w:szCs w:val="18"/>
              </w:rPr>
              <w:t>&lt;0.</w:t>
            </w:r>
            <w:r w:rsidRPr="002C7AD9">
              <w:rPr>
                <w:rFonts w:cs="Arial"/>
                <w:sz w:val="18"/>
                <w:szCs w:val="18"/>
                <w:lang w:val="en-US"/>
              </w:rPr>
              <w:t>0001</w:t>
            </w:r>
          </w:p>
        </w:tc>
      </w:tr>
      <w:tr w:rsidR="00421656" w:rsidRPr="002C7AD9" w:rsidTr="00B15B8A">
        <w:trPr>
          <w:trHeight w:val="283"/>
        </w:trPr>
        <w:tc>
          <w:tcPr>
            <w:tcW w:w="1696" w:type="pct"/>
            <w:noWrap/>
            <w:vAlign w:val="center"/>
          </w:tcPr>
          <w:p w:rsidR="00421656" w:rsidRPr="007A07AD" w:rsidRDefault="00421656" w:rsidP="00870BDF">
            <w:pPr>
              <w:pStyle w:val="KeinLeerraum"/>
              <w:spacing w:line="276" w:lineRule="auto"/>
              <w:rPr>
                <w:sz w:val="18"/>
                <w:szCs w:val="18"/>
                <w:lang w:val="en-US" w:eastAsia="de-DE"/>
              </w:rPr>
            </w:pPr>
            <w:r>
              <w:rPr>
                <w:sz w:val="18"/>
                <w:szCs w:val="18"/>
                <w:lang w:val="en-US" w:eastAsia="de-DE"/>
              </w:rPr>
              <w:t>β</w:t>
            </w:r>
            <w:r w:rsidRPr="007A07AD">
              <w:rPr>
                <w:sz w:val="18"/>
                <w:szCs w:val="18"/>
                <w:lang w:val="en-US" w:eastAsia="de-DE"/>
              </w:rPr>
              <w:t xml:space="preserve">-carotene </w:t>
            </w:r>
            <w:r>
              <w:rPr>
                <w:sz w:val="18"/>
                <w:szCs w:val="18"/>
                <w:lang w:val="en-US" w:eastAsia="de-DE"/>
              </w:rPr>
              <w:t>equivalents (mcg/1000 kcal)</w:t>
            </w:r>
          </w:p>
        </w:tc>
        <w:tc>
          <w:tcPr>
            <w:tcW w:w="1448" w:type="pct"/>
            <w:noWrap/>
            <w:vAlign w:val="center"/>
          </w:tcPr>
          <w:p w:rsidR="00421656" w:rsidRPr="002C7AD9" w:rsidRDefault="00421656" w:rsidP="00870BDF">
            <w:pPr>
              <w:pStyle w:val="KeinLeerraum"/>
              <w:spacing w:line="276" w:lineRule="auto"/>
              <w:rPr>
                <w:rFonts w:cs="Arial"/>
                <w:sz w:val="18"/>
                <w:szCs w:val="18"/>
                <w:lang w:val="en-US"/>
              </w:rPr>
            </w:pPr>
            <w:r w:rsidRPr="002C7AD9">
              <w:rPr>
                <w:rFonts w:cs="Arial"/>
                <w:sz w:val="18"/>
                <w:szCs w:val="18"/>
                <w:lang w:val="en-US"/>
              </w:rPr>
              <w:t xml:space="preserve">2288 </w:t>
            </w:r>
            <w:r w:rsidRPr="007A07AD">
              <w:rPr>
                <w:rFonts w:cs="Arial"/>
                <w:sz w:val="18"/>
                <w:szCs w:val="18"/>
                <w:lang w:val="en-US"/>
              </w:rPr>
              <w:t xml:space="preserve">± </w:t>
            </w:r>
            <w:r w:rsidRPr="002C7AD9">
              <w:rPr>
                <w:rFonts w:cs="Arial"/>
                <w:sz w:val="18"/>
                <w:szCs w:val="18"/>
                <w:lang w:val="en-US"/>
              </w:rPr>
              <w:t>840</w:t>
            </w:r>
          </w:p>
        </w:tc>
        <w:tc>
          <w:tcPr>
            <w:tcW w:w="1450" w:type="pct"/>
            <w:vAlign w:val="center"/>
          </w:tcPr>
          <w:p w:rsidR="00421656" w:rsidRPr="002C7AD9" w:rsidRDefault="00421656" w:rsidP="00870BDF">
            <w:pPr>
              <w:pStyle w:val="KeinLeerraum"/>
              <w:spacing w:line="276" w:lineRule="auto"/>
              <w:rPr>
                <w:rFonts w:cs="Arial"/>
                <w:sz w:val="18"/>
                <w:szCs w:val="18"/>
                <w:lang w:val="en-US"/>
              </w:rPr>
            </w:pPr>
            <w:r w:rsidRPr="002C7AD9">
              <w:rPr>
                <w:rFonts w:cs="Arial"/>
                <w:sz w:val="18"/>
                <w:szCs w:val="18"/>
                <w:lang w:val="en-US"/>
              </w:rPr>
              <w:t xml:space="preserve">2206 </w:t>
            </w:r>
            <w:r w:rsidRPr="007A07AD">
              <w:rPr>
                <w:rFonts w:cs="Arial"/>
                <w:sz w:val="18"/>
                <w:szCs w:val="18"/>
                <w:lang w:val="en-US"/>
              </w:rPr>
              <w:t xml:space="preserve">± </w:t>
            </w:r>
            <w:r w:rsidRPr="002C7AD9">
              <w:rPr>
                <w:rFonts w:cs="Arial"/>
                <w:sz w:val="18"/>
                <w:szCs w:val="18"/>
                <w:lang w:val="en-US"/>
              </w:rPr>
              <w:t>1205</w:t>
            </w:r>
          </w:p>
        </w:tc>
        <w:tc>
          <w:tcPr>
            <w:tcW w:w="407" w:type="pct"/>
            <w:noWrap/>
            <w:vAlign w:val="center"/>
          </w:tcPr>
          <w:p w:rsidR="00421656" w:rsidRPr="002C7AD9" w:rsidRDefault="00421656" w:rsidP="00870BDF">
            <w:pPr>
              <w:pStyle w:val="KeinLeerraum"/>
              <w:spacing w:line="276" w:lineRule="auto"/>
              <w:jc w:val="center"/>
              <w:rPr>
                <w:rFonts w:cs="Arial"/>
                <w:sz w:val="18"/>
                <w:szCs w:val="18"/>
                <w:lang w:val="en-US"/>
              </w:rPr>
            </w:pPr>
            <w:r>
              <w:rPr>
                <w:rFonts w:cs="Arial"/>
                <w:sz w:val="18"/>
                <w:szCs w:val="18"/>
                <w:lang w:val="en-US"/>
              </w:rPr>
              <w:t>0.</w:t>
            </w:r>
            <w:r w:rsidRPr="002C7AD9">
              <w:rPr>
                <w:rFonts w:cs="Arial"/>
                <w:sz w:val="18"/>
                <w:szCs w:val="18"/>
                <w:lang w:val="en-US"/>
              </w:rPr>
              <w:t>0390</w:t>
            </w:r>
          </w:p>
        </w:tc>
      </w:tr>
      <w:tr w:rsidR="00421656" w:rsidRPr="002C7AD9" w:rsidTr="00B15B8A">
        <w:trPr>
          <w:trHeight w:val="283"/>
        </w:trPr>
        <w:tc>
          <w:tcPr>
            <w:tcW w:w="1696" w:type="pct"/>
            <w:noWrap/>
            <w:vAlign w:val="center"/>
          </w:tcPr>
          <w:p w:rsidR="00421656" w:rsidRPr="00CF4619" w:rsidRDefault="00421656" w:rsidP="00870BDF">
            <w:pPr>
              <w:pStyle w:val="KeinLeerraum"/>
              <w:spacing w:line="276" w:lineRule="auto"/>
              <w:rPr>
                <w:sz w:val="18"/>
                <w:szCs w:val="18"/>
                <w:lang w:val="en-US" w:eastAsia="de-DE"/>
              </w:rPr>
            </w:pPr>
            <w:bookmarkStart w:id="2" w:name="OLE_LINK2"/>
            <w:r w:rsidRPr="00CF4619">
              <w:rPr>
                <w:sz w:val="18"/>
                <w:szCs w:val="18"/>
                <w:lang w:val="en-US" w:eastAsia="de-DE"/>
              </w:rPr>
              <w:t>Retinol (mcg/1000</w:t>
            </w:r>
            <w:r>
              <w:rPr>
                <w:sz w:val="18"/>
                <w:szCs w:val="18"/>
                <w:lang w:val="en-US" w:eastAsia="de-DE"/>
              </w:rPr>
              <w:t xml:space="preserve"> </w:t>
            </w:r>
            <w:r w:rsidRPr="00CF4619">
              <w:rPr>
                <w:sz w:val="18"/>
                <w:szCs w:val="18"/>
                <w:lang w:val="en-US" w:eastAsia="de-DE"/>
              </w:rPr>
              <w:t>kcal)</w:t>
            </w:r>
            <w:bookmarkEnd w:id="2"/>
          </w:p>
        </w:tc>
        <w:tc>
          <w:tcPr>
            <w:tcW w:w="1448" w:type="pct"/>
            <w:noWrap/>
            <w:vAlign w:val="center"/>
          </w:tcPr>
          <w:p w:rsidR="00421656" w:rsidRPr="00CF4619" w:rsidRDefault="00421656" w:rsidP="00870BDF">
            <w:pPr>
              <w:pStyle w:val="KeinLeerraum"/>
              <w:spacing w:line="276" w:lineRule="auto"/>
              <w:rPr>
                <w:rFonts w:cs="Arial"/>
                <w:sz w:val="18"/>
                <w:szCs w:val="18"/>
                <w:lang w:val="en-US"/>
              </w:rPr>
            </w:pPr>
            <w:r>
              <w:rPr>
                <w:rFonts w:cs="Arial"/>
                <w:sz w:val="18"/>
                <w:szCs w:val="18"/>
                <w:lang w:val="en-US"/>
              </w:rPr>
              <w:t>1041 ± 371</w:t>
            </w:r>
          </w:p>
        </w:tc>
        <w:tc>
          <w:tcPr>
            <w:tcW w:w="1450" w:type="pct"/>
            <w:vAlign w:val="center"/>
          </w:tcPr>
          <w:p w:rsidR="00421656" w:rsidRPr="00CF4619" w:rsidRDefault="00421656" w:rsidP="00870BDF">
            <w:pPr>
              <w:pStyle w:val="KeinLeerraum"/>
              <w:spacing w:line="276" w:lineRule="auto"/>
              <w:rPr>
                <w:rFonts w:cs="Arial"/>
                <w:sz w:val="18"/>
                <w:szCs w:val="18"/>
                <w:lang w:val="en-US"/>
              </w:rPr>
            </w:pPr>
            <w:r>
              <w:rPr>
                <w:rFonts w:cs="Arial"/>
                <w:sz w:val="18"/>
                <w:szCs w:val="18"/>
                <w:lang w:val="en-US"/>
              </w:rPr>
              <w:t>2.74 ± 1.79</w:t>
            </w:r>
          </w:p>
        </w:tc>
        <w:tc>
          <w:tcPr>
            <w:tcW w:w="407" w:type="pct"/>
            <w:noWrap/>
            <w:vAlign w:val="center"/>
          </w:tcPr>
          <w:p w:rsidR="00421656" w:rsidRPr="002C7AD9" w:rsidRDefault="00421656" w:rsidP="00870BDF">
            <w:pPr>
              <w:pStyle w:val="KeinLeerraum"/>
              <w:spacing w:line="276" w:lineRule="auto"/>
              <w:jc w:val="center"/>
              <w:rPr>
                <w:rFonts w:cs="Arial"/>
                <w:sz w:val="18"/>
                <w:szCs w:val="18"/>
                <w:lang w:val="en-US"/>
              </w:rPr>
            </w:pPr>
            <w:r w:rsidRPr="00CF4619">
              <w:rPr>
                <w:rFonts w:cs="Arial"/>
                <w:sz w:val="18"/>
                <w:szCs w:val="18"/>
                <w:lang w:val="en-US"/>
              </w:rPr>
              <w:t>&lt;0.0001</w:t>
            </w:r>
          </w:p>
        </w:tc>
      </w:tr>
      <w:tr w:rsidR="00421656" w:rsidRPr="007A07AD" w:rsidTr="00B15B8A">
        <w:trPr>
          <w:trHeight w:val="283"/>
        </w:trPr>
        <w:tc>
          <w:tcPr>
            <w:tcW w:w="1696" w:type="pct"/>
            <w:noWrap/>
            <w:vAlign w:val="center"/>
          </w:tcPr>
          <w:p w:rsidR="00421656" w:rsidRPr="007A07AD" w:rsidRDefault="00421656" w:rsidP="00870BDF">
            <w:pPr>
              <w:pStyle w:val="KeinLeerraum"/>
              <w:spacing w:line="276" w:lineRule="auto"/>
              <w:rPr>
                <w:sz w:val="18"/>
                <w:szCs w:val="18"/>
                <w:lang w:val="en-US" w:eastAsia="de-DE"/>
              </w:rPr>
            </w:pPr>
            <w:r>
              <w:rPr>
                <w:sz w:val="18"/>
                <w:szCs w:val="18"/>
                <w:lang w:val="en-US" w:eastAsia="de-DE"/>
              </w:rPr>
              <w:t>Calciferol (mcg/1000 kcal)</w:t>
            </w:r>
          </w:p>
        </w:tc>
        <w:tc>
          <w:tcPr>
            <w:tcW w:w="1448" w:type="pct"/>
            <w:noWrap/>
            <w:vAlign w:val="center"/>
          </w:tcPr>
          <w:p w:rsidR="00421656" w:rsidRPr="007A07AD" w:rsidRDefault="00421656" w:rsidP="00870BDF">
            <w:pPr>
              <w:pStyle w:val="KeinLeerraum"/>
              <w:spacing w:line="276" w:lineRule="auto"/>
              <w:rPr>
                <w:rFonts w:cs="Arial"/>
                <w:sz w:val="18"/>
                <w:szCs w:val="18"/>
              </w:rPr>
            </w:pPr>
            <w:r>
              <w:rPr>
                <w:rFonts w:cs="Arial"/>
                <w:sz w:val="18"/>
                <w:szCs w:val="18"/>
              </w:rPr>
              <w:t xml:space="preserve">6.87 </w:t>
            </w:r>
            <w:r w:rsidRPr="007A07AD">
              <w:rPr>
                <w:rFonts w:cs="Arial"/>
                <w:sz w:val="18"/>
                <w:szCs w:val="18"/>
                <w:lang w:val="en-US"/>
              </w:rPr>
              <w:t>±</w:t>
            </w:r>
            <w:r>
              <w:rPr>
                <w:rFonts w:cs="Arial"/>
                <w:sz w:val="18"/>
                <w:szCs w:val="18"/>
                <w:lang w:val="en-US"/>
              </w:rPr>
              <w:t xml:space="preserve"> </w:t>
            </w:r>
            <w:r w:rsidRPr="007A07AD">
              <w:rPr>
                <w:rFonts w:cs="Arial"/>
                <w:sz w:val="18"/>
                <w:szCs w:val="18"/>
              </w:rPr>
              <w:t>0</w:t>
            </w:r>
            <w:r>
              <w:rPr>
                <w:rFonts w:cs="Arial"/>
                <w:sz w:val="18"/>
                <w:szCs w:val="18"/>
              </w:rPr>
              <w:t>.80</w:t>
            </w:r>
          </w:p>
        </w:tc>
        <w:tc>
          <w:tcPr>
            <w:tcW w:w="1450" w:type="pct"/>
            <w:vAlign w:val="center"/>
          </w:tcPr>
          <w:p w:rsidR="00421656" w:rsidRPr="007A07AD" w:rsidRDefault="00421656" w:rsidP="00870BDF">
            <w:pPr>
              <w:pStyle w:val="KeinLeerraum"/>
              <w:spacing w:line="276" w:lineRule="auto"/>
              <w:rPr>
                <w:rFonts w:cs="Arial"/>
                <w:sz w:val="18"/>
                <w:szCs w:val="18"/>
              </w:rPr>
            </w:pPr>
            <w:r>
              <w:rPr>
                <w:rFonts w:cs="Arial"/>
                <w:sz w:val="18"/>
                <w:szCs w:val="18"/>
              </w:rPr>
              <w:t xml:space="preserve">0.73 </w:t>
            </w:r>
            <w:r w:rsidRPr="007A07AD">
              <w:rPr>
                <w:rFonts w:cs="Arial"/>
                <w:sz w:val="18"/>
                <w:szCs w:val="18"/>
                <w:lang w:val="en-US"/>
              </w:rPr>
              <w:t>±</w:t>
            </w:r>
            <w:r>
              <w:rPr>
                <w:rFonts w:cs="Arial"/>
                <w:sz w:val="18"/>
                <w:szCs w:val="18"/>
                <w:lang w:val="en-US"/>
              </w:rPr>
              <w:t xml:space="preserve"> </w:t>
            </w:r>
            <w:r>
              <w:rPr>
                <w:rFonts w:cs="Arial"/>
                <w:sz w:val="18"/>
                <w:szCs w:val="18"/>
              </w:rPr>
              <w:t>0.25</w:t>
            </w:r>
          </w:p>
        </w:tc>
        <w:tc>
          <w:tcPr>
            <w:tcW w:w="407" w:type="pct"/>
            <w:noWrap/>
            <w:vAlign w:val="center"/>
          </w:tcPr>
          <w:p w:rsidR="00421656" w:rsidRPr="007A07AD" w:rsidRDefault="00421656" w:rsidP="00870BDF">
            <w:pPr>
              <w:pStyle w:val="KeinLeerraum"/>
              <w:spacing w:line="276" w:lineRule="auto"/>
              <w:jc w:val="center"/>
              <w:rPr>
                <w:rFonts w:cs="Arial"/>
                <w:sz w:val="18"/>
                <w:szCs w:val="18"/>
              </w:rPr>
            </w:pPr>
            <w:r>
              <w:rPr>
                <w:rFonts w:cs="Arial"/>
                <w:sz w:val="18"/>
                <w:szCs w:val="18"/>
              </w:rPr>
              <w:t>&lt;0.</w:t>
            </w:r>
            <w:r w:rsidRPr="007A07AD">
              <w:rPr>
                <w:rFonts w:cs="Arial"/>
                <w:sz w:val="18"/>
                <w:szCs w:val="18"/>
              </w:rPr>
              <w:t>0001</w:t>
            </w:r>
          </w:p>
        </w:tc>
      </w:tr>
      <w:tr w:rsidR="00421656" w:rsidRPr="002C7AD9" w:rsidTr="00B15B8A">
        <w:trPr>
          <w:trHeight w:val="283"/>
        </w:trPr>
        <w:tc>
          <w:tcPr>
            <w:tcW w:w="1696" w:type="pct"/>
            <w:tcBorders>
              <w:bottom w:val="single" w:sz="24" w:space="0" w:color="auto"/>
            </w:tcBorders>
            <w:noWrap/>
            <w:vAlign w:val="center"/>
          </w:tcPr>
          <w:p w:rsidR="00421656" w:rsidRPr="007A07AD" w:rsidRDefault="00421656" w:rsidP="00870BDF">
            <w:pPr>
              <w:pStyle w:val="KeinLeerraum"/>
              <w:spacing w:line="276" w:lineRule="auto"/>
              <w:rPr>
                <w:sz w:val="18"/>
                <w:szCs w:val="18"/>
                <w:lang w:val="en-US" w:eastAsia="de-DE"/>
              </w:rPr>
            </w:pPr>
            <w:r w:rsidRPr="007A07AD">
              <w:rPr>
                <w:sz w:val="18"/>
                <w:szCs w:val="18"/>
                <w:lang w:val="en-US" w:eastAsia="de-DE"/>
              </w:rPr>
              <w:t>Ascorbic acid (mg</w:t>
            </w:r>
            <w:r>
              <w:rPr>
                <w:sz w:val="18"/>
                <w:szCs w:val="18"/>
                <w:lang w:val="en-US" w:eastAsia="de-DE"/>
              </w:rPr>
              <w:t>/1000 kcal</w:t>
            </w:r>
            <w:r w:rsidRPr="007A07AD">
              <w:rPr>
                <w:sz w:val="18"/>
                <w:szCs w:val="18"/>
                <w:lang w:val="en-US" w:eastAsia="de-DE"/>
              </w:rPr>
              <w:t>)</w:t>
            </w:r>
          </w:p>
        </w:tc>
        <w:tc>
          <w:tcPr>
            <w:tcW w:w="1448" w:type="pct"/>
            <w:tcBorders>
              <w:bottom w:val="single" w:sz="24" w:space="0" w:color="auto"/>
            </w:tcBorders>
            <w:noWrap/>
            <w:vAlign w:val="center"/>
          </w:tcPr>
          <w:p w:rsidR="00421656" w:rsidRPr="007A07AD" w:rsidRDefault="00421656" w:rsidP="00870BDF">
            <w:pPr>
              <w:pStyle w:val="KeinLeerraum"/>
              <w:spacing w:line="276" w:lineRule="auto"/>
              <w:rPr>
                <w:rFonts w:cs="Arial"/>
                <w:sz w:val="18"/>
                <w:szCs w:val="18"/>
                <w:lang w:val="en-US"/>
              </w:rPr>
            </w:pPr>
            <w:r w:rsidRPr="007A07AD">
              <w:rPr>
                <w:rFonts w:cs="Arial"/>
                <w:sz w:val="18"/>
                <w:szCs w:val="18"/>
                <w:lang w:val="en-US"/>
              </w:rPr>
              <w:t xml:space="preserve">42.55 ± </w:t>
            </w:r>
            <w:r>
              <w:rPr>
                <w:rFonts w:cs="Arial"/>
                <w:sz w:val="18"/>
                <w:szCs w:val="18"/>
              </w:rPr>
              <w:t>7.0</w:t>
            </w:r>
          </w:p>
        </w:tc>
        <w:tc>
          <w:tcPr>
            <w:tcW w:w="1450" w:type="pct"/>
            <w:tcBorders>
              <w:bottom w:val="single" w:sz="24" w:space="0" w:color="auto"/>
            </w:tcBorders>
            <w:vAlign w:val="center"/>
          </w:tcPr>
          <w:p w:rsidR="00421656" w:rsidRPr="002C7AD9" w:rsidRDefault="00421656" w:rsidP="00870BDF">
            <w:pPr>
              <w:pStyle w:val="KeinLeerraum"/>
              <w:spacing w:line="276" w:lineRule="auto"/>
              <w:rPr>
                <w:rFonts w:cs="Arial"/>
                <w:sz w:val="18"/>
                <w:szCs w:val="18"/>
                <w:lang w:val="en-US"/>
              </w:rPr>
            </w:pPr>
            <w:r w:rsidRPr="002C7AD9">
              <w:rPr>
                <w:rFonts w:cs="Arial"/>
                <w:sz w:val="18"/>
                <w:szCs w:val="18"/>
                <w:lang w:val="en-US"/>
              </w:rPr>
              <w:t xml:space="preserve">20.83 </w:t>
            </w:r>
            <w:r w:rsidRPr="007A07AD">
              <w:rPr>
                <w:rFonts w:cs="Arial"/>
                <w:sz w:val="18"/>
                <w:szCs w:val="18"/>
                <w:lang w:val="en-US"/>
              </w:rPr>
              <w:t>±</w:t>
            </w:r>
            <w:r>
              <w:rPr>
                <w:rFonts w:cs="Arial"/>
                <w:sz w:val="18"/>
                <w:szCs w:val="18"/>
                <w:lang w:val="en-US"/>
              </w:rPr>
              <w:t xml:space="preserve"> 6.25</w:t>
            </w:r>
          </w:p>
        </w:tc>
        <w:tc>
          <w:tcPr>
            <w:tcW w:w="407" w:type="pct"/>
            <w:tcBorders>
              <w:bottom w:val="single" w:sz="24" w:space="0" w:color="auto"/>
            </w:tcBorders>
            <w:noWrap/>
            <w:vAlign w:val="center"/>
          </w:tcPr>
          <w:p w:rsidR="00421656" w:rsidRPr="002C7AD9" w:rsidRDefault="00421656" w:rsidP="00870BDF">
            <w:pPr>
              <w:pStyle w:val="KeinLeerraum"/>
              <w:spacing w:line="276" w:lineRule="auto"/>
              <w:jc w:val="center"/>
              <w:rPr>
                <w:rFonts w:cs="Arial"/>
                <w:sz w:val="18"/>
                <w:szCs w:val="18"/>
                <w:lang w:val="en-US"/>
              </w:rPr>
            </w:pPr>
            <w:r>
              <w:rPr>
                <w:rFonts w:cs="Arial"/>
                <w:sz w:val="18"/>
                <w:szCs w:val="18"/>
                <w:lang w:val="en-US"/>
              </w:rPr>
              <w:t>0.</w:t>
            </w:r>
            <w:r w:rsidRPr="002C7AD9">
              <w:rPr>
                <w:rFonts w:cs="Arial"/>
                <w:sz w:val="18"/>
                <w:szCs w:val="18"/>
                <w:lang w:val="en-US"/>
              </w:rPr>
              <w:t>0207</w:t>
            </w:r>
          </w:p>
        </w:tc>
      </w:tr>
    </w:tbl>
    <w:p w:rsidR="00421656" w:rsidRPr="00EA4CC6" w:rsidRDefault="005B2D92" w:rsidP="00870BDF">
      <w:pPr>
        <w:suppressLineNumbers/>
        <w:jc w:val="both"/>
        <w:rPr>
          <w:sz w:val="18"/>
          <w:lang w:val="en-US"/>
        </w:rPr>
      </w:pPr>
      <w:r w:rsidRPr="005B2D92">
        <w:rPr>
          <w:sz w:val="18"/>
          <w:vertAlign w:val="superscript"/>
          <w:lang w:val="en-US"/>
        </w:rPr>
        <w:t>1</w:t>
      </w:r>
      <w:r w:rsidR="00421656">
        <w:rPr>
          <w:sz w:val="18"/>
          <w:lang w:val="en-US"/>
        </w:rPr>
        <w:t xml:space="preserve">includes resistant starch </w:t>
      </w:r>
      <w:r w:rsidR="00421656" w:rsidRPr="00EA4CC6">
        <w:rPr>
          <w:sz w:val="18"/>
          <w:lang w:val="en-US"/>
        </w:rPr>
        <w:t xml:space="preserve">+10% carbohydrates, which is predominantly resistant starch in the cooked African cornmeal diet (as described before </w:t>
      </w:r>
      <w:r w:rsidR="00421656" w:rsidRPr="00EA4CC6">
        <w:rPr>
          <w:sz w:val="18"/>
          <w:lang w:val="en-US"/>
        </w:rPr>
        <w:fldChar w:fldCharType="begin"/>
      </w:r>
      <w:r w:rsidR="00F61B70">
        <w:rPr>
          <w:sz w:val="18"/>
          <w:lang w:val="en-US"/>
        </w:rPr>
        <w:instrText xml:space="preserve"> ADDIN ZOTERO_ITEM CSL_CITATION {"citationID":"a2lf3l68t3j","properties":{"formattedCitation":"(10)","plainCitation":"(10)","noteIndex":0},"citationItems":[{"id":2125,"uris":["http://zotero.org/users/46719/items/XV558T9I"],"uri":["http://zotero.org/users/46719/items/XV558T9I"],"itemData":{"id":2125,"type":"article-journal","title":"Fat, fibre and cancer risk in African Americans and rural Africans","container-title":"Nature Communications","page":"6342","volume":"6","source":"PubMed","abstract":"Rates of colon cancer are much higher in African Americans (65:100,000) than in rural South Africans (&lt;5:100,000). The higher rates are associated with higher animal protein and fat, and lower fibre consumption, higher colonic secondary bile acids, lower colonic short-chain fatty acid quantities and higher mucosal proliferative biomarkers of cancer risk in otherwise healthy middle-aged volunteers. Here we investigate further the role of fat and fibre in this association. We performed 2-week food exchanges in subjects from the same populations, where African Americans were fed a high-fibre, low-fat African-style diet and rural Africans a high-fat, low-fibre western-style diet, under close supervision. In comparison with their usual diets, the food changes resulted in remarkable reciprocal changes in mucosal biomarkers of cancer risk and in aspects of the microbiota and metabolome known to affect cancer risk, best illustrated by increased saccharolytic fermentation and butyrogenesis, and suppressed secondary bile acid synthesis in the African Americans.","DOI":"10.1038/ncomms7342","ISSN":"2041-1723","note":"PMID: 25919227","journalAbbreviation":"Nat Commun","language":"ENG","author":[{"family":"O'Keefe","given":"Stephen J. D."},{"family":"Li","given":"Jia V."},{"family":"Lahti","given":"Leo"},{"family":"Ou","given":"Junhai"},{"family":"Carbonero","given":"Franck"},{"family":"Mohammed","given":"Khaled"},{"family":"Posma","given":"Joram M."},{"family":"Kinross","given":"James"},{"family":"Wahl","given":"Elaine"},{"family":"Ruder","given":"Elizabeth"},{"family":"Vipperla","given":"Kishore"},{"family":"Naidoo","given":"Vasudevan"},{"family":"Mtshali","given":"Lungile"},{"family":"Tims","given":"Sebastian"},{"family":"Puylaert","given":"Philippe G. B."},{"family":"DeLany","given":"James"},{"family":"Krasinskas","given":"Alyssa"},{"family":"Benefiel","given":"Ann C."},{"family":"Kaseb","given":"Hatem O."},{"family":"Newton","given":"Keith"},{"family":"Nicholson","given":"Jeremy K."},{"family":"Vos","given":"Willem M.","non-dropping-particle":"de"},{"family":"Gaskins","given":"H. Rex"},{"family":"Zoetendal","given":"Erwin G."}],"issued":{"date-parts":[["2015"]]}}}],"schema":"https://github.com/citation-style-language/schema/raw/master/csl-citation.json"} </w:instrText>
      </w:r>
      <w:r w:rsidR="00421656" w:rsidRPr="00EA4CC6">
        <w:rPr>
          <w:sz w:val="18"/>
          <w:lang w:val="en-US"/>
        </w:rPr>
        <w:fldChar w:fldCharType="separate"/>
      </w:r>
      <w:r w:rsidR="00164E6C" w:rsidRPr="00164E6C">
        <w:rPr>
          <w:rFonts w:ascii="Calibri" w:hAnsi="Calibri"/>
          <w:sz w:val="18"/>
          <w:lang w:val="en-US"/>
        </w:rPr>
        <w:t>(10)</w:t>
      </w:r>
      <w:r w:rsidR="00421656" w:rsidRPr="00EA4CC6">
        <w:rPr>
          <w:sz w:val="18"/>
          <w:lang w:val="en-US"/>
        </w:rPr>
        <w:fldChar w:fldCharType="end"/>
      </w:r>
      <w:r w:rsidR="00421656">
        <w:rPr>
          <w:sz w:val="18"/>
          <w:lang w:val="en-US"/>
        </w:rPr>
        <w:t>)</w:t>
      </w:r>
      <w:r w:rsidR="00A65823">
        <w:rPr>
          <w:sz w:val="18"/>
          <w:lang w:val="en-US"/>
        </w:rPr>
        <w:t>;</w:t>
      </w:r>
      <w:r w:rsidR="00421656" w:rsidRPr="00EA4CC6">
        <w:rPr>
          <w:sz w:val="18"/>
          <w:lang w:val="en-US"/>
        </w:rPr>
        <w:t xml:space="preserve"> SEM = Standard error of mean</w:t>
      </w:r>
      <w:r w:rsidR="00A65823">
        <w:rPr>
          <w:sz w:val="18"/>
          <w:lang w:val="en-US"/>
        </w:rPr>
        <w:t xml:space="preserve">; </w:t>
      </w:r>
      <w:r w:rsidR="00A65823" w:rsidRPr="00A65823">
        <w:rPr>
          <w:rFonts w:cs="Times New Roman"/>
          <w:sz w:val="18"/>
          <w:szCs w:val="18"/>
          <w:lang w:val="en-US"/>
        </w:rPr>
        <w:t xml:space="preserve">Statistical analysis by unpaired t-test (data normally distributed) or non-parametric Mann-Whitney-U-test (data not normally distributed) with </w:t>
      </w:r>
      <w:r w:rsidR="00A65823" w:rsidRPr="00A65823">
        <w:rPr>
          <w:sz w:val="18"/>
          <w:szCs w:val="18"/>
          <w:lang w:val="en-US"/>
        </w:rPr>
        <w:t>AN n=32, RA n=21 samples.</w:t>
      </w:r>
    </w:p>
    <w:p w:rsidR="007C193D" w:rsidRDefault="007C193D" w:rsidP="00870BDF">
      <w:pPr>
        <w:suppressLineNumbers/>
        <w:spacing w:line="480" w:lineRule="auto"/>
        <w:rPr>
          <w:b/>
          <w:lang w:val="en-US"/>
        </w:rPr>
      </w:pPr>
      <w:r>
        <w:rPr>
          <w:b/>
          <w:lang w:val="en-US"/>
        </w:rPr>
        <w:br w:type="page"/>
      </w:r>
    </w:p>
    <w:p w:rsidR="00421656" w:rsidRPr="00430DDF" w:rsidRDefault="00421656" w:rsidP="00870BDF">
      <w:pPr>
        <w:pStyle w:val="KeinLeerraum"/>
        <w:suppressLineNumbers/>
        <w:spacing w:line="276" w:lineRule="auto"/>
        <w:jc w:val="both"/>
        <w:rPr>
          <w:sz w:val="24"/>
          <w:lang w:val="en-US"/>
        </w:rPr>
      </w:pPr>
      <w:r w:rsidRPr="00430DDF">
        <w:rPr>
          <w:b/>
          <w:sz w:val="24"/>
          <w:lang w:val="en-US"/>
        </w:rPr>
        <w:lastRenderedPageBreak/>
        <w:t>Table 3: Identified metabolites in feces and urine with statistically significant differences between Alaska Native (AN) and rural African (RA) participants.</w:t>
      </w:r>
      <w:r w:rsidRPr="00430DDF">
        <w:rPr>
          <w:sz w:val="24"/>
          <w:lang w:val="en-US"/>
        </w:rPr>
        <w:t xml:space="preserve"> </w:t>
      </w:r>
    </w:p>
    <w:p w:rsidR="00421656" w:rsidRPr="00560997" w:rsidRDefault="00421656" w:rsidP="00870BDF">
      <w:pPr>
        <w:pStyle w:val="KeinLeerraum"/>
        <w:suppressLineNumbers/>
        <w:spacing w:line="276" w:lineRule="auto"/>
        <w:jc w:val="both"/>
        <w:rPr>
          <w:u w:val="single"/>
          <w:lang w:val="en-US"/>
        </w:rPr>
      </w:pPr>
      <w:proofErr w:type="gramStart"/>
      <w:r w:rsidRPr="00560997">
        <w:rPr>
          <w:lang w:val="en-US"/>
        </w:rPr>
        <w:t xml:space="preserve">Lists the compound name, chemical shifts (in ppm) and peak multiplicity, </w:t>
      </w:r>
      <w:r w:rsidRPr="00560997">
        <w:rPr>
          <w:i/>
          <w:lang w:val="en-US"/>
        </w:rPr>
        <w:t>p</w:t>
      </w:r>
      <w:r w:rsidRPr="00560997">
        <w:rPr>
          <w:lang w:val="en-US"/>
        </w:rPr>
        <w:t>-value and Q-value (FDR).</w:t>
      </w:r>
      <w:proofErr w:type="gramEnd"/>
    </w:p>
    <w:tbl>
      <w:tblPr>
        <w:tblW w:w="9098" w:type="dxa"/>
        <w:tblInd w:w="82" w:type="dxa"/>
        <w:tblCellMar>
          <w:left w:w="0" w:type="dxa"/>
          <w:right w:w="0" w:type="dxa"/>
        </w:tblCellMar>
        <w:tblLook w:val="04A0" w:firstRow="1" w:lastRow="0" w:firstColumn="1" w:lastColumn="0" w:noHBand="0" w:noVBand="1"/>
      </w:tblPr>
      <w:tblGrid>
        <w:gridCol w:w="3176"/>
        <w:gridCol w:w="85"/>
        <w:gridCol w:w="3626"/>
        <w:gridCol w:w="1105"/>
        <w:gridCol w:w="1106"/>
      </w:tblGrid>
      <w:tr w:rsidR="00421656" w:rsidRPr="00954461" w:rsidTr="00B15B8A">
        <w:trPr>
          <w:trHeight w:val="283"/>
        </w:trPr>
        <w:tc>
          <w:tcPr>
            <w:tcW w:w="3176" w:type="dxa"/>
            <w:tcBorders>
              <w:top w:val="single" w:sz="24" w:space="0" w:color="auto"/>
              <w:left w:val="nil"/>
              <w:bottom w:val="single" w:sz="12" w:space="0" w:color="auto"/>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b/>
                <w:sz w:val="18"/>
                <w:szCs w:val="18"/>
                <w:lang w:val="en-US" w:eastAsia="de-DE"/>
              </w:rPr>
            </w:pPr>
            <w:r w:rsidRPr="00954461">
              <w:rPr>
                <w:b/>
                <w:sz w:val="18"/>
                <w:szCs w:val="18"/>
                <w:lang w:val="en-US" w:eastAsia="de-DE"/>
              </w:rPr>
              <w:t>Compound name</w:t>
            </w:r>
          </w:p>
        </w:tc>
        <w:tc>
          <w:tcPr>
            <w:tcW w:w="3711" w:type="dxa"/>
            <w:gridSpan w:val="2"/>
            <w:tcBorders>
              <w:top w:val="single" w:sz="24" w:space="0" w:color="auto"/>
              <w:left w:val="nil"/>
              <w:bottom w:val="single" w:sz="12" w:space="0" w:color="auto"/>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b/>
                <w:sz w:val="18"/>
                <w:szCs w:val="18"/>
                <w:lang w:val="en-US" w:eastAsia="de-DE"/>
              </w:rPr>
            </w:pPr>
            <w:r w:rsidRPr="00954461">
              <w:rPr>
                <w:b/>
                <w:sz w:val="18"/>
                <w:szCs w:val="18"/>
                <w:lang w:val="en-US" w:eastAsia="de-DE"/>
              </w:rPr>
              <w:t>Chemical shift in ppm (multiplicity)</w:t>
            </w:r>
          </w:p>
        </w:tc>
        <w:tc>
          <w:tcPr>
            <w:tcW w:w="1105" w:type="dxa"/>
            <w:tcBorders>
              <w:top w:val="single" w:sz="24" w:space="0" w:color="auto"/>
              <w:left w:val="nil"/>
              <w:bottom w:val="single" w:sz="12" w:space="0" w:color="auto"/>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b/>
                <w:sz w:val="18"/>
                <w:szCs w:val="18"/>
                <w:lang w:val="en-US" w:eastAsia="de-DE"/>
              </w:rPr>
            </w:pPr>
            <w:r>
              <w:rPr>
                <w:b/>
                <w:i/>
                <w:iCs/>
                <w:sz w:val="18"/>
                <w:szCs w:val="18"/>
                <w:lang w:val="en-US" w:eastAsia="de-DE"/>
              </w:rPr>
              <w:t>p</w:t>
            </w:r>
            <w:r w:rsidRPr="00954461">
              <w:rPr>
                <w:b/>
                <w:sz w:val="18"/>
                <w:szCs w:val="18"/>
                <w:lang w:val="en-US" w:eastAsia="de-DE"/>
              </w:rPr>
              <w:t>-value</w:t>
            </w:r>
          </w:p>
        </w:tc>
        <w:tc>
          <w:tcPr>
            <w:tcW w:w="1106" w:type="dxa"/>
            <w:tcBorders>
              <w:top w:val="single" w:sz="24" w:space="0" w:color="auto"/>
              <w:left w:val="nil"/>
              <w:bottom w:val="single" w:sz="12" w:space="0" w:color="auto"/>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b/>
                <w:sz w:val="18"/>
                <w:szCs w:val="18"/>
                <w:lang w:val="en-US" w:eastAsia="de-DE"/>
              </w:rPr>
            </w:pPr>
            <w:r w:rsidRPr="00954461">
              <w:rPr>
                <w:b/>
                <w:sz w:val="18"/>
                <w:szCs w:val="18"/>
                <w:lang w:val="en-US" w:eastAsia="de-DE"/>
              </w:rPr>
              <w:t>Q-value</w:t>
            </w:r>
          </w:p>
        </w:tc>
      </w:tr>
      <w:tr w:rsidR="00421656" w:rsidRPr="009321E1" w:rsidTr="00B15B8A">
        <w:trPr>
          <w:trHeight w:val="283"/>
        </w:trPr>
        <w:tc>
          <w:tcPr>
            <w:tcW w:w="9098" w:type="dxa"/>
            <w:gridSpan w:val="5"/>
            <w:tcBorders>
              <w:top w:val="single" w:sz="8" w:space="0" w:color="000000"/>
              <w:left w:val="nil"/>
              <w:bottom w:val="single" w:sz="8" w:space="0" w:color="000000"/>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b/>
                <w:sz w:val="18"/>
                <w:szCs w:val="18"/>
                <w:lang w:val="en-US" w:eastAsia="de-DE"/>
              </w:rPr>
            </w:pPr>
            <w:r>
              <w:rPr>
                <w:b/>
                <w:bCs/>
                <w:sz w:val="18"/>
                <w:szCs w:val="18"/>
                <w:lang w:val="en-US" w:eastAsia="de-DE"/>
              </w:rPr>
              <w:t xml:space="preserve">Significantly more abundant in </w:t>
            </w:r>
            <w:r w:rsidRPr="00954461">
              <w:rPr>
                <w:b/>
                <w:bCs/>
                <w:sz w:val="18"/>
                <w:szCs w:val="18"/>
                <w:lang w:val="en-US" w:eastAsia="de-DE"/>
              </w:rPr>
              <w:t>AN compared to RA</w:t>
            </w:r>
            <w:r>
              <w:rPr>
                <w:b/>
                <w:bCs/>
                <w:sz w:val="18"/>
                <w:szCs w:val="18"/>
                <w:lang w:val="en-US" w:eastAsia="de-DE"/>
              </w:rPr>
              <w:t xml:space="preserve"> fecal samples</w:t>
            </w:r>
          </w:p>
        </w:tc>
      </w:tr>
      <w:tr w:rsidR="00421656" w:rsidRPr="00954461" w:rsidTr="00B15B8A">
        <w:trPr>
          <w:trHeight w:val="283"/>
        </w:trPr>
        <w:tc>
          <w:tcPr>
            <w:tcW w:w="3176" w:type="dxa"/>
            <w:tcBorders>
              <w:top w:val="single" w:sz="8" w:space="0" w:color="000000"/>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sz w:val="18"/>
                <w:szCs w:val="18"/>
                <w:lang w:val="en-US" w:eastAsia="de-DE"/>
              </w:rPr>
              <w:t>Choline</w:t>
            </w:r>
          </w:p>
        </w:tc>
        <w:tc>
          <w:tcPr>
            <w:tcW w:w="3711" w:type="dxa"/>
            <w:gridSpan w:val="2"/>
            <w:tcBorders>
              <w:top w:val="single" w:sz="8" w:space="0" w:color="000000"/>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sz w:val="18"/>
                <w:szCs w:val="18"/>
                <w:lang w:val="en-US" w:eastAsia="de-DE"/>
              </w:rPr>
              <w:t>3.20 (s)</w:t>
            </w:r>
          </w:p>
        </w:tc>
        <w:tc>
          <w:tcPr>
            <w:tcW w:w="1105" w:type="dxa"/>
            <w:tcBorders>
              <w:top w:val="single" w:sz="8" w:space="0" w:color="000000"/>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5.44×10</w:t>
            </w:r>
            <w:r w:rsidRPr="00954461">
              <w:rPr>
                <w:color w:val="000000"/>
                <w:position w:val="5"/>
                <w:sz w:val="18"/>
                <w:szCs w:val="18"/>
                <w:vertAlign w:val="superscript"/>
                <w:lang w:val="en-US" w:eastAsia="de-DE"/>
              </w:rPr>
              <w:t>-3</w:t>
            </w:r>
          </w:p>
        </w:tc>
        <w:tc>
          <w:tcPr>
            <w:tcW w:w="1106" w:type="dxa"/>
            <w:tcBorders>
              <w:top w:val="single" w:sz="8" w:space="0" w:color="000000"/>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1.61×10</w:t>
            </w:r>
            <w:r w:rsidRPr="00954461">
              <w:rPr>
                <w:color w:val="000000"/>
                <w:position w:val="5"/>
                <w:sz w:val="18"/>
                <w:szCs w:val="18"/>
                <w:vertAlign w:val="superscript"/>
                <w:lang w:val="en-US" w:eastAsia="de-DE"/>
              </w:rPr>
              <w:t>-2</w:t>
            </w:r>
          </w:p>
        </w:tc>
      </w:tr>
      <w:tr w:rsidR="00421656" w:rsidRPr="00954461" w:rsidTr="00B15B8A">
        <w:trPr>
          <w:trHeight w:val="283"/>
        </w:trPr>
        <w:tc>
          <w:tcPr>
            <w:tcW w:w="3176" w:type="dxa"/>
            <w:tcBorders>
              <w:top w:val="nil"/>
              <w:left w:val="nil"/>
              <w:bottom w:val="single" w:sz="8" w:space="0" w:color="000000"/>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sz w:val="18"/>
                <w:szCs w:val="18"/>
                <w:lang w:val="en-US" w:eastAsia="de-DE"/>
              </w:rPr>
              <w:t>Formate</w:t>
            </w:r>
          </w:p>
        </w:tc>
        <w:tc>
          <w:tcPr>
            <w:tcW w:w="3711" w:type="dxa"/>
            <w:gridSpan w:val="2"/>
            <w:tcBorders>
              <w:top w:val="nil"/>
              <w:left w:val="nil"/>
              <w:bottom w:val="single" w:sz="8" w:space="0" w:color="000000"/>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sz w:val="18"/>
                <w:szCs w:val="18"/>
                <w:lang w:val="en-US" w:eastAsia="de-DE"/>
              </w:rPr>
              <w:t>8.46 (s)</w:t>
            </w:r>
          </w:p>
        </w:tc>
        <w:tc>
          <w:tcPr>
            <w:tcW w:w="1105" w:type="dxa"/>
            <w:tcBorders>
              <w:top w:val="nil"/>
              <w:left w:val="nil"/>
              <w:bottom w:val="single" w:sz="8" w:space="0" w:color="000000"/>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7.05×10</w:t>
            </w:r>
            <w:r w:rsidRPr="00954461">
              <w:rPr>
                <w:color w:val="000000"/>
                <w:position w:val="5"/>
                <w:sz w:val="18"/>
                <w:szCs w:val="18"/>
                <w:vertAlign w:val="superscript"/>
                <w:lang w:val="en-US" w:eastAsia="de-DE"/>
              </w:rPr>
              <w:t>-4</w:t>
            </w:r>
          </w:p>
        </w:tc>
        <w:tc>
          <w:tcPr>
            <w:tcW w:w="1106" w:type="dxa"/>
            <w:tcBorders>
              <w:top w:val="nil"/>
              <w:left w:val="nil"/>
              <w:bottom w:val="single" w:sz="8" w:space="0" w:color="000000"/>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3.26×10</w:t>
            </w:r>
            <w:r w:rsidRPr="00954461">
              <w:rPr>
                <w:color w:val="000000"/>
                <w:position w:val="5"/>
                <w:sz w:val="18"/>
                <w:szCs w:val="18"/>
                <w:vertAlign w:val="superscript"/>
                <w:lang w:val="en-US" w:eastAsia="de-DE"/>
              </w:rPr>
              <w:t>-3</w:t>
            </w:r>
          </w:p>
        </w:tc>
      </w:tr>
      <w:tr w:rsidR="00421656" w:rsidRPr="009321E1" w:rsidTr="00B15B8A">
        <w:trPr>
          <w:trHeight w:val="283"/>
        </w:trPr>
        <w:tc>
          <w:tcPr>
            <w:tcW w:w="9098" w:type="dxa"/>
            <w:gridSpan w:val="5"/>
            <w:tcBorders>
              <w:top w:val="single" w:sz="8" w:space="0" w:color="000000"/>
              <w:left w:val="nil"/>
              <w:bottom w:val="single" w:sz="8" w:space="0" w:color="000000"/>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b/>
                <w:sz w:val="18"/>
                <w:szCs w:val="18"/>
                <w:lang w:val="en-US" w:eastAsia="de-DE"/>
              </w:rPr>
            </w:pPr>
            <w:r>
              <w:rPr>
                <w:b/>
                <w:bCs/>
                <w:sz w:val="18"/>
                <w:szCs w:val="18"/>
                <w:lang w:val="en-US" w:eastAsia="de-DE"/>
              </w:rPr>
              <w:t xml:space="preserve">Significantly more abundant in </w:t>
            </w:r>
            <w:r w:rsidRPr="00954461">
              <w:rPr>
                <w:b/>
                <w:bCs/>
                <w:sz w:val="18"/>
                <w:szCs w:val="18"/>
                <w:lang w:val="en-US" w:eastAsia="de-DE"/>
              </w:rPr>
              <w:t>RA compared to AN</w:t>
            </w:r>
            <w:r>
              <w:rPr>
                <w:b/>
                <w:bCs/>
                <w:sz w:val="18"/>
                <w:szCs w:val="18"/>
                <w:lang w:val="en-US" w:eastAsia="de-DE"/>
              </w:rPr>
              <w:t xml:space="preserve"> fecal samples</w:t>
            </w:r>
          </w:p>
        </w:tc>
      </w:tr>
      <w:tr w:rsidR="00421656" w:rsidRPr="00954461" w:rsidTr="00B15B8A">
        <w:trPr>
          <w:trHeight w:val="283"/>
        </w:trPr>
        <w:tc>
          <w:tcPr>
            <w:tcW w:w="3176" w:type="dxa"/>
            <w:tcBorders>
              <w:top w:val="single" w:sz="8" w:space="0" w:color="000000"/>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proofErr w:type="spellStart"/>
            <w:r w:rsidRPr="00954461">
              <w:rPr>
                <w:color w:val="000000"/>
                <w:sz w:val="18"/>
                <w:szCs w:val="18"/>
                <w:lang w:val="en-US" w:eastAsia="de-DE"/>
              </w:rPr>
              <w:t>Valerate</w:t>
            </w:r>
            <w:proofErr w:type="spellEnd"/>
          </w:p>
        </w:tc>
        <w:tc>
          <w:tcPr>
            <w:tcW w:w="3711" w:type="dxa"/>
            <w:gridSpan w:val="2"/>
            <w:tcBorders>
              <w:top w:val="single" w:sz="8" w:space="0" w:color="000000"/>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0.89 (t) 1.30 (m) 1.53 (m) 2.17 (t)</w:t>
            </w:r>
          </w:p>
        </w:tc>
        <w:tc>
          <w:tcPr>
            <w:tcW w:w="1105" w:type="dxa"/>
            <w:tcBorders>
              <w:top w:val="single" w:sz="8" w:space="0" w:color="000000"/>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4.71×10</w:t>
            </w:r>
            <w:r w:rsidRPr="00954461">
              <w:rPr>
                <w:color w:val="000000"/>
                <w:position w:val="5"/>
                <w:sz w:val="18"/>
                <w:szCs w:val="18"/>
                <w:vertAlign w:val="superscript"/>
                <w:lang w:val="en-US" w:eastAsia="de-DE"/>
              </w:rPr>
              <w:t>-8</w:t>
            </w:r>
          </w:p>
        </w:tc>
        <w:tc>
          <w:tcPr>
            <w:tcW w:w="1106" w:type="dxa"/>
            <w:tcBorders>
              <w:top w:val="single" w:sz="8" w:space="0" w:color="000000"/>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1.42×10</w:t>
            </w:r>
            <w:r w:rsidRPr="00954461">
              <w:rPr>
                <w:color w:val="000000"/>
                <w:position w:val="5"/>
                <w:sz w:val="18"/>
                <w:szCs w:val="18"/>
                <w:vertAlign w:val="superscript"/>
                <w:lang w:val="en-US" w:eastAsia="de-DE"/>
              </w:rPr>
              <w:t>-6</w:t>
            </w:r>
          </w:p>
        </w:tc>
      </w:tr>
      <w:tr w:rsidR="00421656" w:rsidRPr="00954461" w:rsidTr="00B15B8A">
        <w:trPr>
          <w:trHeight w:val="283"/>
        </w:trPr>
        <w:tc>
          <w:tcPr>
            <w:tcW w:w="317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Butyrate</w:t>
            </w:r>
          </w:p>
        </w:tc>
        <w:tc>
          <w:tcPr>
            <w:tcW w:w="3711" w:type="dxa"/>
            <w:gridSpan w:val="2"/>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0.90 (t) 1.56 (</w:t>
            </w:r>
            <w:proofErr w:type="spellStart"/>
            <w:r w:rsidRPr="00954461">
              <w:rPr>
                <w:color w:val="000000"/>
                <w:sz w:val="18"/>
                <w:szCs w:val="18"/>
                <w:lang w:val="en-US" w:eastAsia="de-DE"/>
              </w:rPr>
              <w:t>tq</w:t>
            </w:r>
            <w:proofErr w:type="spellEnd"/>
            <w:r w:rsidRPr="00954461">
              <w:rPr>
                <w:color w:val="000000"/>
                <w:sz w:val="18"/>
                <w:szCs w:val="18"/>
                <w:lang w:val="en-US" w:eastAsia="de-DE"/>
              </w:rPr>
              <w:t>) 2.16 (t)</w:t>
            </w:r>
          </w:p>
        </w:tc>
        <w:tc>
          <w:tcPr>
            <w:tcW w:w="1105"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1.18×10</w:t>
            </w:r>
            <w:r w:rsidRPr="00954461">
              <w:rPr>
                <w:color w:val="000000"/>
                <w:position w:val="5"/>
                <w:sz w:val="18"/>
                <w:szCs w:val="18"/>
                <w:vertAlign w:val="superscript"/>
                <w:lang w:val="en-US" w:eastAsia="de-DE"/>
              </w:rPr>
              <w:t>-5</w:t>
            </w:r>
          </w:p>
        </w:tc>
        <w:tc>
          <w:tcPr>
            <w:tcW w:w="110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1.25×10</w:t>
            </w:r>
            <w:r w:rsidRPr="00954461">
              <w:rPr>
                <w:color w:val="000000"/>
                <w:position w:val="5"/>
                <w:sz w:val="18"/>
                <w:szCs w:val="18"/>
                <w:vertAlign w:val="superscript"/>
                <w:lang w:val="en-US" w:eastAsia="de-DE"/>
              </w:rPr>
              <w:t>-4</w:t>
            </w:r>
          </w:p>
        </w:tc>
      </w:tr>
      <w:tr w:rsidR="00421656" w:rsidRPr="00954461" w:rsidTr="00B15B8A">
        <w:trPr>
          <w:trHeight w:val="283"/>
        </w:trPr>
        <w:tc>
          <w:tcPr>
            <w:tcW w:w="317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Propionate</w:t>
            </w:r>
          </w:p>
        </w:tc>
        <w:tc>
          <w:tcPr>
            <w:tcW w:w="3711" w:type="dxa"/>
            <w:gridSpan w:val="2"/>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1.06 (t) 2.19 (q)</w:t>
            </w:r>
          </w:p>
        </w:tc>
        <w:tc>
          <w:tcPr>
            <w:tcW w:w="1105"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2.71×10</w:t>
            </w:r>
            <w:r w:rsidRPr="00954461">
              <w:rPr>
                <w:color w:val="000000"/>
                <w:position w:val="5"/>
                <w:sz w:val="18"/>
                <w:szCs w:val="18"/>
                <w:vertAlign w:val="superscript"/>
                <w:lang w:val="en-US" w:eastAsia="de-DE"/>
              </w:rPr>
              <w:t>-8</w:t>
            </w:r>
          </w:p>
        </w:tc>
        <w:tc>
          <w:tcPr>
            <w:tcW w:w="110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9.26×10</w:t>
            </w:r>
            <w:r w:rsidRPr="00954461">
              <w:rPr>
                <w:color w:val="000000"/>
                <w:position w:val="5"/>
                <w:sz w:val="18"/>
                <w:szCs w:val="18"/>
                <w:vertAlign w:val="superscript"/>
                <w:lang w:val="en-US" w:eastAsia="de-DE"/>
              </w:rPr>
              <w:t>-7</w:t>
            </w:r>
          </w:p>
        </w:tc>
      </w:tr>
      <w:tr w:rsidR="00421656" w:rsidRPr="00954461" w:rsidTr="00B15B8A">
        <w:trPr>
          <w:trHeight w:val="283"/>
        </w:trPr>
        <w:tc>
          <w:tcPr>
            <w:tcW w:w="317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Acetate</w:t>
            </w:r>
          </w:p>
        </w:tc>
        <w:tc>
          <w:tcPr>
            <w:tcW w:w="3711" w:type="dxa"/>
            <w:gridSpan w:val="2"/>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1.92 (s)</w:t>
            </w:r>
          </w:p>
        </w:tc>
        <w:tc>
          <w:tcPr>
            <w:tcW w:w="1105"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9.98×10</w:t>
            </w:r>
            <w:r w:rsidRPr="00954461">
              <w:rPr>
                <w:color w:val="000000"/>
                <w:position w:val="5"/>
                <w:sz w:val="18"/>
                <w:szCs w:val="18"/>
                <w:vertAlign w:val="superscript"/>
                <w:lang w:val="en-US" w:eastAsia="de-DE"/>
              </w:rPr>
              <w:t>-5</w:t>
            </w:r>
          </w:p>
        </w:tc>
        <w:tc>
          <w:tcPr>
            <w:tcW w:w="110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6.95×10</w:t>
            </w:r>
            <w:r w:rsidRPr="00954461">
              <w:rPr>
                <w:color w:val="000000"/>
                <w:position w:val="5"/>
                <w:sz w:val="18"/>
                <w:szCs w:val="18"/>
                <w:vertAlign w:val="superscript"/>
                <w:lang w:val="en-US" w:eastAsia="de-DE"/>
              </w:rPr>
              <w:t>-4</w:t>
            </w:r>
          </w:p>
        </w:tc>
      </w:tr>
      <w:tr w:rsidR="00421656" w:rsidRPr="00954461" w:rsidTr="00B15B8A">
        <w:trPr>
          <w:trHeight w:val="283"/>
        </w:trPr>
        <w:tc>
          <w:tcPr>
            <w:tcW w:w="317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Glutamate</w:t>
            </w:r>
          </w:p>
        </w:tc>
        <w:tc>
          <w:tcPr>
            <w:tcW w:w="3711" w:type="dxa"/>
            <w:gridSpan w:val="2"/>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2.36 (m)</w:t>
            </w:r>
          </w:p>
        </w:tc>
        <w:tc>
          <w:tcPr>
            <w:tcW w:w="1105"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2.14×10</w:t>
            </w:r>
            <w:r w:rsidRPr="00954461">
              <w:rPr>
                <w:color w:val="000000"/>
                <w:position w:val="5"/>
                <w:sz w:val="18"/>
                <w:szCs w:val="18"/>
                <w:vertAlign w:val="superscript"/>
                <w:lang w:val="en-US" w:eastAsia="de-DE"/>
              </w:rPr>
              <w:t>-4</w:t>
            </w:r>
          </w:p>
        </w:tc>
        <w:tc>
          <w:tcPr>
            <w:tcW w:w="110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1.27×10</w:t>
            </w:r>
            <w:r w:rsidRPr="00954461">
              <w:rPr>
                <w:color w:val="000000"/>
                <w:position w:val="5"/>
                <w:sz w:val="18"/>
                <w:szCs w:val="18"/>
                <w:vertAlign w:val="superscript"/>
                <w:lang w:val="en-US" w:eastAsia="de-DE"/>
              </w:rPr>
              <w:t>-3</w:t>
            </w:r>
          </w:p>
        </w:tc>
      </w:tr>
      <w:tr w:rsidR="00421656" w:rsidRPr="00954461" w:rsidTr="00B15B8A">
        <w:trPr>
          <w:trHeight w:val="283"/>
        </w:trPr>
        <w:tc>
          <w:tcPr>
            <w:tcW w:w="317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Glycine</w:t>
            </w:r>
          </w:p>
        </w:tc>
        <w:tc>
          <w:tcPr>
            <w:tcW w:w="3711" w:type="dxa"/>
            <w:gridSpan w:val="2"/>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sz w:val="18"/>
                <w:szCs w:val="18"/>
                <w:lang w:val="en-US" w:eastAsia="de-DE"/>
              </w:rPr>
              <w:t>3.57 (s)</w:t>
            </w:r>
          </w:p>
        </w:tc>
        <w:tc>
          <w:tcPr>
            <w:tcW w:w="1105"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3.56×10</w:t>
            </w:r>
            <w:r w:rsidRPr="00954461">
              <w:rPr>
                <w:color w:val="000000"/>
                <w:position w:val="5"/>
                <w:sz w:val="18"/>
                <w:szCs w:val="18"/>
                <w:vertAlign w:val="superscript"/>
                <w:lang w:val="en-US" w:eastAsia="de-DE"/>
              </w:rPr>
              <w:t>-3</w:t>
            </w:r>
          </w:p>
        </w:tc>
        <w:tc>
          <w:tcPr>
            <w:tcW w:w="110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1.16×10</w:t>
            </w:r>
            <w:r w:rsidRPr="00954461">
              <w:rPr>
                <w:color w:val="000000"/>
                <w:position w:val="5"/>
                <w:sz w:val="18"/>
                <w:szCs w:val="18"/>
                <w:vertAlign w:val="superscript"/>
                <w:lang w:val="en-US" w:eastAsia="de-DE"/>
              </w:rPr>
              <w:t>-2</w:t>
            </w:r>
          </w:p>
        </w:tc>
      </w:tr>
      <w:tr w:rsidR="00421656" w:rsidRPr="00954461" w:rsidTr="00B15B8A">
        <w:trPr>
          <w:trHeight w:val="283"/>
        </w:trPr>
        <w:tc>
          <w:tcPr>
            <w:tcW w:w="317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Uracil</w:t>
            </w:r>
          </w:p>
        </w:tc>
        <w:tc>
          <w:tcPr>
            <w:tcW w:w="3711" w:type="dxa"/>
            <w:gridSpan w:val="2"/>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5.81 (d) 7.54 (d)</w:t>
            </w:r>
          </w:p>
        </w:tc>
        <w:tc>
          <w:tcPr>
            <w:tcW w:w="1105"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6.95×10</w:t>
            </w:r>
            <w:r w:rsidRPr="00954461">
              <w:rPr>
                <w:color w:val="000000"/>
                <w:position w:val="5"/>
                <w:sz w:val="18"/>
                <w:szCs w:val="18"/>
                <w:vertAlign w:val="superscript"/>
                <w:lang w:val="en-US" w:eastAsia="de-DE"/>
              </w:rPr>
              <w:t>-10</w:t>
            </w:r>
          </w:p>
        </w:tc>
        <w:tc>
          <w:tcPr>
            <w:tcW w:w="110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6.41×10</w:t>
            </w:r>
            <w:r w:rsidRPr="00954461">
              <w:rPr>
                <w:color w:val="000000"/>
                <w:position w:val="5"/>
                <w:sz w:val="18"/>
                <w:szCs w:val="18"/>
                <w:vertAlign w:val="superscript"/>
                <w:lang w:val="en-US" w:eastAsia="de-DE"/>
              </w:rPr>
              <w:t>-8</w:t>
            </w:r>
          </w:p>
        </w:tc>
      </w:tr>
      <w:tr w:rsidR="00421656" w:rsidRPr="00954461" w:rsidTr="00B15B8A">
        <w:trPr>
          <w:trHeight w:val="283"/>
        </w:trPr>
        <w:tc>
          <w:tcPr>
            <w:tcW w:w="317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Tyrosine</w:t>
            </w:r>
          </w:p>
        </w:tc>
        <w:tc>
          <w:tcPr>
            <w:tcW w:w="3711" w:type="dxa"/>
            <w:gridSpan w:val="2"/>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6.91 (d) 7.20 (d)</w:t>
            </w:r>
          </w:p>
        </w:tc>
        <w:tc>
          <w:tcPr>
            <w:tcW w:w="1105"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1.11×10</w:t>
            </w:r>
            <w:r w:rsidRPr="00954461">
              <w:rPr>
                <w:color w:val="000000"/>
                <w:position w:val="5"/>
                <w:sz w:val="18"/>
                <w:szCs w:val="18"/>
                <w:vertAlign w:val="superscript"/>
                <w:lang w:val="en-US" w:eastAsia="de-DE"/>
              </w:rPr>
              <w:t>-3</w:t>
            </w:r>
          </w:p>
        </w:tc>
        <w:tc>
          <w:tcPr>
            <w:tcW w:w="110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4.66×10</w:t>
            </w:r>
            <w:r w:rsidRPr="00954461">
              <w:rPr>
                <w:color w:val="000000"/>
                <w:position w:val="5"/>
                <w:sz w:val="18"/>
                <w:szCs w:val="18"/>
                <w:vertAlign w:val="superscript"/>
                <w:lang w:val="en-US" w:eastAsia="de-DE"/>
              </w:rPr>
              <w:t>-3</w:t>
            </w:r>
          </w:p>
        </w:tc>
      </w:tr>
      <w:tr w:rsidR="00421656" w:rsidRPr="00954461" w:rsidTr="00B15B8A">
        <w:trPr>
          <w:trHeight w:val="283"/>
        </w:trPr>
        <w:tc>
          <w:tcPr>
            <w:tcW w:w="317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Phenylalanine</w:t>
            </w:r>
          </w:p>
        </w:tc>
        <w:tc>
          <w:tcPr>
            <w:tcW w:w="3711" w:type="dxa"/>
            <w:gridSpan w:val="2"/>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7.31 (d) 7.38 (u)</w:t>
            </w:r>
          </w:p>
        </w:tc>
        <w:tc>
          <w:tcPr>
            <w:tcW w:w="1105"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1.33×10</w:t>
            </w:r>
            <w:r w:rsidRPr="00954461">
              <w:rPr>
                <w:color w:val="000000"/>
                <w:position w:val="5"/>
                <w:sz w:val="18"/>
                <w:szCs w:val="18"/>
                <w:vertAlign w:val="superscript"/>
                <w:lang w:val="en-US" w:eastAsia="de-DE"/>
              </w:rPr>
              <w:t>-12</w:t>
            </w:r>
          </w:p>
        </w:tc>
        <w:tc>
          <w:tcPr>
            <w:tcW w:w="110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1.44×10</w:t>
            </w:r>
            <w:r w:rsidRPr="00954461">
              <w:rPr>
                <w:color w:val="000000"/>
                <w:position w:val="5"/>
                <w:sz w:val="18"/>
                <w:szCs w:val="18"/>
                <w:vertAlign w:val="superscript"/>
                <w:lang w:val="en-US" w:eastAsia="de-DE"/>
              </w:rPr>
              <w:t>-9</w:t>
            </w:r>
          </w:p>
        </w:tc>
      </w:tr>
      <w:tr w:rsidR="00421656" w:rsidRPr="00954461" w:rsidTr="00B15B8A">
        <w:trPr>
          <w:trHeight w:val="283"/>
        </w:trPr>
        <w:tc>
          <w:tcPr>
            <w:tcW w:w="317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Nicotinate</w:t>
            </w:r>
          </w:p>
        </w:tc>
        <w:tc>
          <w:tcPr>
            <w:tcW w:w="3711" w:type="dxa"/>
            <w:gridSpan w:val="2"/>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7.53 (</w:t>
            </w:r>
            <w:proofErr w:type="spellStart"/>
            <w:r w:rsidRPr="00954461">
              <w:rPr>
                <w:color w:val="000000"/>
                <w:sz w:val="18"/>
                <w:szCs w:val="18"/>
                <w:lang w:val="en-US" w:eastAsia="de-DE"/>
              </w:rPr>
              <w:t>dd</w:t>
            </w:r>
            <w:proofErr w:type="spellEnd"/>
            <w:r w:rsidRPr="00954461">
              <w:rPr>
                <w:color w:val="000000"/>
                <w:sz w:val="18"/>
                <w:szCs w:val="18"/>
                <w:lang w:val="en-US" w:eastAsia="de-DE"/>
              </w:rPr>
              <w:t>) 8.61 (</w:t>
            </w:r>
            <w:proofErr w:type="spellStart"/>
            <w:r w:rsidRPr="00954461">
              <w:rPr>
                <w:color w:val="000000"/>
                <w:sz w:val="18"/>
                <w:szCs w:val="18"/>
                <w:lang w:val="en-US" w:eastAsia="de-DE"/>
              </w:rPr>
              <w:t>dd</w:t>
            </w:r>
            <w:proofErr w:type="spellEnd"/>
            <w:r w:rsidRPr="00954461">
              <w:rPr>
                <w:color w:val="000000"/>
                <w:sz w:val="18"/>
                <w:szCs w:val="18"/>
                <w:lang w:val="en-US" w:eastAsia="de-DE"/>
              </w:rPr>
              <w:t>) 8.94 (d) 8.26 (</w:t>
            </w:r>
            <w:proofErr w:type="spellStart"/>
            <w:r w:rsidRPr="00954461">
              <w:rPr>
                <w:color w:val="000000"/>
                <w:sz w:val="18"/>
                <w:szCs w:val="18"/>
                <w:lang w:val="en-US" w:eastAsia="de-DE"/>
              </w:rPr>
              <w:t>dt</w:t>
            </w:r>
            <w:proofErr w:type="spellEnd"/>
            <w:r w:rsidRPr="00954461">
              <w:rPr>
                <w:color w:val="000000"/>
                <w:sz w:val="18"/>
                <w:szCs w:val="18"/>
                <w:lang w:val="en-US" w:eastAsia="de-DE"/>
              </w:rPr>
              <w:t>)</w:t>
            </w:r>
          </w:p>
        </w:tc>
        <w:tc>
          <w:tcPr>
            <w:tcW w:w="1105"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5.30×10</w:t>
            </w:r>
            <w:r w:rsidRPr="00954461">
              <w:rPr>
                <w:color w:val="000000"/>
                <w:position w:val="5"/>
                <w:sz w:val="18"/>
                <w:szCs w:val="18"/>
                <w:vertAlign w:val="superscript"/>
                <w:lang w:val="en-US" w:eastAsia="de-DE"/>
              </w:rPr>
              <w:t>-6</w:t>
            </w:r>
          </w:p>
        </w:tc>
        <w:tc>
          <w:tcPr>
            <w:tcW w:w="110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6.68×10</w:t>
            </w:r>
            <w:r w:rsidRPr="00954461">
              <w:rPr>
                <w:color w:val="000000"/>
                <w:position w:val="5"/>
                <w:sz w:val="18"/>
                <w:szCs w:val="18"/>
                <w:vertAlign w:val="superscript"/>
                <w:lang w:val="en-US" w:eastAsia="de-DE"/>
              </w:rPr>
              <w:t>-5</w:t>
            </w:r>
          </w:p>
        </w:tc>
      </w:tr>
      <w:tr w:rsidR="00421656" w:rsidRPr="00954461" w:rsidTr="00B15B8A">
        <w:trPr>
          <w:trHeight w:val="283"/>
        </w:trPr>
        <w:tc>
          <w:tcPr>
            <w:tcW w:w="317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Xanthine</w:t>
            </w:r>
          </w:p>
        </w:tc>
        <w:tc>
          <w:tcPr>
            <w:tcW w:w="3711" w:type="dxa"/>
            <w:gridSpan w:val="2"/>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7.91 (s)</w:t>
            </w:r>
          </w:p>
        </w:tc>
        <w:tc>
          <w:tcPr>
            <w:tcW w:w="1105"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2.69×10</w:t>
            </w:r>
            <w:r w:rsidRPr="00954461">
              <w:rPr>
                <w:color w:val="000000"/>
                <w:position w:val="5"/>
                <w:sz w:val="18"/>
                <w:szCs w:val="18"/>
                <w:vertAlign w:val="superscript"/>
                <w:lang w:val="en-US" w:eastAsia="de-DE"/>
              </w:rPr>
              <w:t>-10</w:t>
            </w:r>
          </w:p>
        </w:tc>
        <w:tc>
          <w:tcPr>
            <w:tcW w:w="110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3.27×10</w:t>
            </w:r>
            <w:r w:rsidRPr="00954461">
              <w:rPr>
                <w:color w:val="000000"/>
                <w:position w:val="5"/>
                <w:sz w:val="18"/>
                <w:szCs w:val="18"/>
                <w:vertAlign w:val="superscript"/>
                <w:lang w:val="en-US" w:eastAsia="de-DE"/>
              </w:rPr>
              <w:t>-8</w:t>
            </w:r>
          </w:p>
        </w:tc>
      </w:tr>
      <w:tr w:rsidR="00421656" w:rsidRPr="00954461" w:rsidTr="00B15B8A">
        <w:trPr>
          <w:trHeight w:val="283"/>
        </w:trPr>
        <w:tc>
          <w:tcPr>
            <w:tcW w:w="3176" w:type="dxa"/>
            <w:tcBorders>
              <w:top w:val="nil"/>
              <w:left w:val="nil"/>
              <w:bottom w:val="single" w:sz="8" w:space="0" w:color="auto"/>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Hypoxanthine</w:t>
            </w:r>
          </w:p>
        </w:tc>
        <w:tc>
          <w:tcPr>
            <w:tcW w:w="3711" w:type="dxa"/>
            <w:gridSpan w:val="2"/>
            <w:tcBorders>
              <w:top w:val="nil"/>
              <w:left w:val="nil"/>
              <w:bottom w:val="single" w:sz="8" w:space="0" w:color="auto"/>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8.21 (d)</w:t>
            </w:r>
          </w:p>
        </w:tc>
        <w:tc>
          <w:tcPr>
            <w:tcW w:w="1105" w:type="dxa"/>
            <w:tcBorders>
              <w:top w:val="nil"/>
              <w:left w:val="nil"/>
              <w:bottom w:val="single" w:sz="8" w:space="0" w:color="auto"/>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3.15×10</w:t>
            </w:r>
            <w:r w:rsidRPr="00954461">
              <w:rPr>
                <w:color w:val="000000"/>
                <w:position w:val="5"/>
                <w:sz w:val="18"/>
                <w:szCs w:val="18"/>
                <w:vertAlign w:val="superscript"/>
                <w:lang w:val="en-US" w:eastAsia="de-DE"/>
              </w:rPr>
              <w:t>-10</w:t>
            </w:r>
          </w:p>
        </w:tc>
        <w:tc>
          <w:tcPr>
            <w:tcW w:w="1106" w:type="dxa"/>
            <w:tcBorders>
              <w:top w:val="nil"/>
              <w:left w:val="nil"/>
              <w:bottom w:val="single" w:sz="8" w:space="0" w:color="auto"/>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3.62×10</w:t>
            </w:r>
            <w:r w:rsidRPr="00954461">
              <w:rPr>
                <w:color w:val="000000"/>
                <w:position w:val="5"/>
                <w:sz w:val="18"/>
                <w:szCs w:val="18"/>
                <w:vertAlign w:val="superscript"/>
                <w:lang w:val="en-US" w:eastAsia="de-DE"/>
              </w:rPr>
              <w:t>-8</w:t>
            </w:r>
          </w:p>
        </w:tc>
      </w:tr>
      <w:tr w:rsidR="00421656" w:rsidRPr="009321E1" w:rsidTr="00B15B8A">
        <w:trPr>
          <w:trHeight w:val="283"/>
        </w:trPr>
        <w:tc>
          <w:tcPr>
            <w:tcW w:w="9098" w:type="dxa"/>
            <w:gridSpan w:val="5"/>
            <w:tcBorders>
              <w:top w:val="single" w:sz="8" w:space="0" w:color="auto"/>
              <w:left w:val="nil"/>
              <w:bottom w:val="single" w:sz="8" w:space="0" w:color="auto"/>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b/>
                <w:sz w:val="18"/>
                <w:szCs w:val="18"/>
                <w:lang w:val="en-US" w:eastAsia="de-DE"/>
              </w:rPr>
            </w:pPr>
            <w:r>
              <w:rPr>
                <w:b/>
                <w:bCs/>
                <w:sz w:val="18"/>
                <w:szCs w:val="18"/>
                <w:lang w:val="en-US" w:eastAsia="de-DE"/>
              </w:rPr>
              <w:t xml:space="preserve">Significantly more abundant in </w:t>
            </w:r>
            <w:r w:rsidRPr="00954461">
              <w:rPr>
                <w:b/>
                <w:bCs/>
                <w:sz w:val="18"/>
                <w:szCs w:val="18"/>
                <w:lang w:val="en-US" w:eastAsia="de-DE"/>
              </w:rPr>
              <w:t>AN compared to RA</w:t>
            </w:r>
            <w:r>
              <w:rPr>
                <w:b/>
                <w:bCs/>
                <w:sz w:val="18"/>
                <w:szCs w:val="18"/>
                <w:lang w:val="en-US" w:eastAsia="de-DE"/>
              </w:rPr>
              <w:t xml:space="preserve"> urinary samples</w:t>
            </w:r>
          </w:p>
        </w:tc>
      </w:tr>
      <w:tr w:rsidR="00421656" w:rsidRPr="00954461" w:rsidTr="00B15B8A">
        <w:trPr>
          <w:trHeight w:val="283"/>
        </w:trPr>
        <w:tc>
          <w:tcPr>
            <w:tcW w:w="3176" w:type="dxa"/>
            <w:tcBorders>
              <w:top w:val="single" w:sz="8" w:space="0" w:color="auto"/>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sz w:val="18"/>
                <w:szCs w:val="18"/>
                <w:lang w:val="en-US" w:eastAsia="de-DE"/>
              </w:rPr>
              <w:t>Unknown bile acids</w:t>
            </w:r>
          </w:p>
        </w:tc>
        <w:tc>
          <w:tcPr>
            <w:tcW w:w="3711" w:type="dxa"/>
            <w:gridSpan w:val="2"/>
            <w:tcBorders>
              <w:top w:val="single" w:sz="8" w:space="0" w:color="auto"/>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sz w:val="18"/>
                <w:szCs w:val="18"/>
                <w:lang w:val="en-US" w:eastAsia="de-DE"/>
              </w:rPr>
              <w:t>0.75 (s)</w:t>
            </w:r>
            <w:r>
              <w:rPr>
                <w:sz w:val="18"/>
                <w:szCs w:val="18"/>
                <w:lang w:val="en-US" w:eastAsia="de-DE"/>
              </w:rPr>
              <w:t xml:space="preserve"> 0.76 (s)</w:t>
            </w:r>
          </w:p>
        </w:tc>
        <w:tc>
          <w:tcPr>
            <w:tcW w:w="1105" w:type="dxa"/>
            <w:tcBorders>
              <w:top w:val="single" w:sz="8" w:space="0" w:color="auto"/>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9.60×10</w:t>
            </w:r>
            <w:r w:rsidRPr="00954461">
              <w:rPr>
                <w:color w:val="000000"/>
                <w:position w:val="5"/>
                <w:sz w:val="18"/>
                <w:szCs w:val="18"/>
                <w:vertAlign w:val="superscript"/>
                <w:lang w:val="en-US" w:eastAsia="de-DE"/>
              </w:rPr>
              <w:t>-4</w:t>
            </w:r>
          </w:p>
        </w:tc>
        <w:tc>
          <w:tcPr>
            <w:tcW w:w="1106" w:type="dxa"/>
            <w:tcBorders>
              <w:top w:val="single" w:sz="8" w:space="0" w:color="auto"/>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5.51×10</w:t>
            </w:r>
            <w:r w:rsidRPr="00954461">
              <w:rPr>
                <w:color w:val="000000"/>
                <w:position w:val="5"/>
                <w:sz w:val="18"/>
                <w:szCs w:val="18"/>
                <w:vertAlign w:val="superscript"/>
                <w:lang w:val="en-US" w:eastAsia="de-DE"/>
              </w:rPr>
              <w:t>-3</w:t>
            </w:r>
          </w:p>
        </w:tc>
      </w:tr>
      <w:tr w:rsidR="00421656" w:rsidRPr="00954461" w:rsidTr="00B15B8A">
        <w:trPr>
          <w:trHeight w:val="283"/>
        </w:trPr>
        <w:tc>
          <w:tcPr>
            <w:tcW w:w="317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proofErr w:type="spellStart"/>
            <w:r w:rsidRPr="00954461">
              <w:rPr>
                <w:sz w:val="18"/>
                <w:szCs w:val="18"/>
                <w:lang w:val="en-US" w:eastAsia="de-DE"/>
              </w:rPr>
              <w:t>Creatine</w:t>
            </w:r>
            <w:proofErr w:type="spellEnd"/>
          </w:p>
        </w:tc>
        <w:tc>
          <w:tcPr>
            <w:tcW w:w="3711" w:type="dxa"/>
            <w:gridSpan w:val="2"/>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sz w:val="18"/>
                <w:szCs w:val="18"/>
                <w:lang w:val="en-US" w:eastAsia="de-DE"/>
              </w:rPr>
              <w:t>3.04 (s) 3.94 (s)</w:t>
            </w:r>
          </w:p>
        </w:tc>
        <w:tc>
          <w:tcPr>
            <w:tcW w:w="1105"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sz w:val="18"/>
                <w:szCs w:val="18"/>
                <w:lang w:val="en-US" w:eastAsia="de-DE"/>
              </w:rPr>
              <w:t>5.00×10</w:t>
            </w:r>
            <w:r w:rsidRPr="00954461">
              <w:rPr>
                <w:position w:val="5"/>
                <w:sz w:val="18"/>
                <w:szCs w:val="18"/>
                <w:vertAlign w:val="superscript"/>
                <w:lang w:val="en-US" w:eastAsia="de-DE"/>
              </w:rPr>
              <w:t>-4</w:t>
            </w:r>
          </w:p>
        </w:tc>
        <w:tc>
          <w:tcPr>
            <w:tcW w:w="110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sz w:val="18"/>
                <w:szCs w:val="18"/>
                <w:lang w:val="en-US" w:eastAsia="de-DE"/>
              </w:rPr>
              <w:t>3.43×10</w:t>
            </w:r>
            <w:r w:rsidRPr="00954461">
              <w:rPr>
                <w:position w:val="5"/>
                <w:sz w:val="18"/>
                <w:szCs w:val="18"/>
                <w:vertAlign w:val="superscript"/>
                <w:lang w:val="en-US" w:eastAsia="de-DE"/>
              </w:rPr>
              <w:t>-3</w:t>
            </w:r>
          </w:p>
        </w:tc>
      </w:tr>
      <w:tr w:rsidR="00421656" w:rsidRPr="00954461" w:rsidTr="00B15B8A">
        <w:trPr>
          <w:trHeight w:val="283"/>
        </w:trPr>
        <w:tc>
          <w:tcPr>
            <w:tcW w:w="317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i/>
                <w:iCs/>
                <w:sz w:val="18"/>
                <w:szCs w:val="18"/>
                <w:lang w:val="en-US" w:eastAsia="de-DE"/>
              </w:rPr>
              <w:t>N</w:t>
            </w:r>
            <w:r w:rsidRPr="00954461">
              <w:rPr>
                <w:sz w:val="18"/>
                <w:szCs w:val="18"/>
                <w:lang w:val="en-US" w:eastAsia="de-DE"/>
              </w:rPr>
              <w:t>-methyl-2-pyridone-carboxamide</w:t>
            </w:r>
          </w:p>
        </w:tc>
        <w:tc>
          <w:tcPr>
            <w:tcW w:w="3711" w:type="dxa"/>
            <w:gridSpan w:val="2"/>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sz w:val="18"/>
                <w:szCs w:val="18"/>
                <w:lang w:val="en-US" w:eastAsia="de-DE"/>
              </w:rPr>
              <w:t>3.65 (d) 6.67 (d) 7.83 (</w:t>
            </w:r>
            <w:proofErr w:type="spellStart"/>
            <w:r w:rsidRPr="00954461">
              <w:rPr>
                <w:sz w:val="18"/>
                <w:szCs w:val="18"/>
                <w:lang w:val="en-US" w:eastAsia="de-DE"/>
              </w:rPr>
              <w:t>dd</w:t>
            </w:r>
            <w:proofErr w:type="spellEnd"/>
            <w:r w:rsidRPr="00954461">
              <w:rPr>
                <w:sz w:val="18"/>
                <w:szCs w:val="18"/>
                <w:lang w:val="en-US" w:eastAsia="de-DE"/>
              </w:rPr>
              <w:t>) 8.34 (d)</w:t>
            </w:r>
          </w:p>
        </w:tc>
        <w:tc>
          <w:tcPr>
            <w:tcW w:w="1105"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sz w:val="18"/>
                <w:szCs w:val="18"/>
                <w:lang w:val="en-US" w:eastAsia="de-DE"/>
              </w:rPr>
              <w:t>1.01×10</w:t>
            </w:r>
            <w:r w:rsidRPr="00954461">
              <w:rPr>
                <w:position w:val="5"/>
                <w:sz w:val="18"/>
                <w:szCs w:val="18"/>
                <w:vertAlign w:val="superscript"/>
                <w:lang w:val="en-US" w:eastAsia="de-DE"/>
              </w:rPr>
              <w:t>-7</w:t>
            </w:r>
          </w:p>
        </w:tc>
        <w:tc>
          <w:tcPr>
            <w:tcW w:w="110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sz w:val="18"/>
                <w:szCs w:val="18"/>
                <w:lang w:val="en-US" w:eastAsia="de-DE"/>
              </w:rPr>
              <w:t>4.85×10</w:t>
            </w:r>
            <w:r w:rsidRPr="00954461">
              <w:rPr>
                <w:position w:val="5"/>
                <w:sz w:val="18"/>
                <w:szCs w:val="18"/>
                <w:vertAlign w:val="superscript"/>
                <w:lang w:val="en-US" w:eastAsia="de-DE"/>
              </w:rPr>
              <w:t>-6</w:t>
            </w:r>
          </w:p>
        </w:tc>
      </w:tr>
      <w:tr w:rsidR="00421656" w:rsidRPr="00954461" w:rsidTr="00B15B8A">
        <w:trPr>
          <w:trHeight w:val="283"/>
        </w:trPr>
        <w:tc>
          <w:tcPr>
            <w:tcW w:w="317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sz w:val="18"/>
                <w:szCs w:val="18"/>
                <w:lang w:val="en-US" w:eastAsia="de-DE"/>
              </w:rPr>
              <w:t>2-furoylglycine</w:t>
            </w:r>
          </w:p>
        </w:tc>
        <w:tc>
          <w:tcPr>
            <w:tcW w:w="3711" w:type="dxa"/>
            <w:gridSpan w:val="2"/>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sz w:val="18"/>
                <w:szCs w:val="18"/>
                <w:lang w:val="en-US" w:eastAsia="de-DE"/>
              </w:rPr>
              <w:t>3.93 (s) 7.71 (d) 7.19 (</w:t>
            </w:r>
            <w:proofErr w:type="spellStart"/>
            <w:r w:rsidRPr="00954461">
              <w:rPr>
                <w:sz w:val="18"/>
                <w:szCs w:val="18"/>
                <w:lang w:val="en-US" w:eastAsia="de-DE"/>
              </w:rPr>
              <w:t>dd</w:t>
            </w:r>
            <w:proofErr w:type="spellEnd"/>
            <w:r w:rsidRPr="00954461">
              <w:rPr>
                <w:sz w:val="18"/>
                <w:szCs w:val="18"/>
                <w:lang w:val="en-US" w:eastAsia="de-DE"/>
              </w:rPr>
              <w:t>) 6.65 (</w:t>
            </w:r>
            <w:proofErr w:type="spellStart"/>
            <w:r w:rsidRPr="00954461">
              <w:rPr>
                <w:sz w:val="18"/>
                <w:szCs w:val="18"/>
                <w:lang w:val="en-US" w:eastAsia="de-DE"/>
              </w:rPr>
              <w:t>dd</w:t>
            </w:r>
            <w:proofErr w:type="spellEnd"/>
            <w:r w:rsidRPr="00954461">
              <w:rPr>
                <w:sz w:val="18"/>
                <w:szCs w:val="18"/>
                <w:lang w:val="en-US" w:eastAsia="de-DE"/>
              </w:rPr>
              <w:t>)</w:t>
            </w:r>
          </w:p>
        </w:tc>
        <w:tc>
          <w:tcPr>
            <w:tcW w:w="1105"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sz w:val="18"/>
                <w:szCs w:val="18"/>
                <w:lang w:val="en-US" w:eastAsia="de-DE"/>
              </w:rPr>
              <w:t>2.26×10</w:t>
            </w:r>
            <w:r w:rsidRPr="00954461">
              <w:rPr>
                <w:position w:val="5"/>
                <w:sz w:val="18"/>
                <w:szCs w:val="18"/>
                <w:vertAlign w:val="superscript"/>
                <w:lang w:val="en-US" w:eastAsia="de-DE"/>
              </w:rPr>
              <w:t>-8</w:t>
            </w:r>
          </w:p>
        </w:tc>
        <w:tc>
          <w:tcPr>
            <w:tcW w:w="110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sz w:val="18"/>
                <w:szCs w:val="18"/>
                <w:lang w:val="en-US" w:eastAsia="de-DE"/>
              </w:rPr>
              <w:t>1.52×10</w:t>
            </w:r>
            <w:r w:rsidRPr="00954461">
              <w:rPr>
                <w:position w:val="5"/>
                <w:sz w:val="18"/>
                <w:szCs w:val="18"/>
                <w:vertAlign w:val="superscript"/>
                <w:lang w:val="en-US" w:eastAsia="de-DE"/>
              </w:rPr>
              <w:t>-6</w:t>
            </w:r>
          </w:p>
        </w:tc>
      </w:tr>
      <w:tr w:rsidR="00421656" w:rsidRPr="00954461" w:rsidTr="00B15B8A">
        <w:trPr>
          <w:trHeight w:val="283"/>
        </w:trPr>
        <w:tc>
          <w:tcPr>
            <w:tcW w:w="317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i/>
                <w:iCs/>
                <w:sz w:val="18"/>
                <w:szCs w:val="18"/>
                <w:lang w:val="en-US" w:eastAsia="de-DE"/>
              </w:rPr>
              <w:t>N</w:t>
            </w:r>
            <w:r w:rsidRPr="00954461">
              <w:rPr>
                <w:sz w:val="18"/>
                <w:szCs w:val="18"/>
                <w:lang w:val="en-US" w:eastAsia="de-DE"/>
              </w:rPr>
              <w:t>-</w:t>
            </w:r>
            <w:proofErr w:type="spellStart"/>
            <w:r w:rsidRPr="00954461">
              <w:rPr>
                <w:sz w:val="18"/>
                <w:szCs w:val="18"/>
                <w:lang w:val="en-US" w:eastAsia="de-DE"/>
              </w:rPr>
              <w:t>methylpyridinium</w:t>
            </w:r>
            <w:proofErr w:type="spellEnd"/>
          </w:p>
        </w:tc>
        <w:tc>
          <w:tcPr>
            <w:tcW w:w="3711" w:type="dxa"/>
            <w:gridSpan w:val="2"/>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Pr>
                <w:sz w:val="18"/>
                <w:szCs w:val="18"/>
                <w:lang w:val="en-US" w:eastAsia="de-DE"/>
              </w:rPr>
              <w:t>4.40 (s) 8.79 (d) 8.55 (td) 8.05 (td</w:t>
            </w:r>
            <w:r w:rsidRPr="00954461">
              <w:rPr>
                <w:sz w:val="18"/>
                <w:szCs w:val="18"/>
                <w:lang w:val="en-US" w:eastAsia="de-DE"/>
              </w:rPr>
              <w:t>)</w:t>
            </w:r>
          </w:p>
        </w:tc>
        <w:tc>
          <w:tcPr>
            <w:tcW w:w="1105"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sz w:val="18"/>
                <w:szCs w:val="18"/>
                <w:lang w:val="en-US" w:eastAsia="de-DE"/>
              </w:rPr>
              <w:t>5.54×10</w:t>
            </w:r>
            <w:r w:rsidRPr="00954461">
              <w:rPr>
                <w:position w:val="5"/>
                <w:sz w:val="18"/>
                <w:szCs w:val="18"/>
                <w:vertAlign w:val="superscript"/>
                <w:lang w:val="en-US" w:eastAsia="de-DE"/>
              </w:rPr>
              <w:t>-13</w:t>
            </w:r>
          </w:p>
        </w:tc>
        <w:tc>
          <w:tcPr>
            <w:tcW w:w="110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sz w:val="18"/>
                <w:szCs w:val="18"/>
                <w:lang w:val="en-US" w:eastAsia="de-DE"/>
              </w:rPr>
              <w:t>3.60×10</w:t>
            </w:r>
            <w:r w:rsidRPr="00954461">
              <w:rPr>
                <w:position w:val="5"/>
                <w:sz w:val="18"/>
                <w:szCs w:val="18"/>
                <w:vertAlign w:val="superscript"/>
                <w:lang w:val="en-US" w:eastAsia="de-DE"/>
              </w:rPr>
              <w:t>-9</w:t>
            </w:r>
          </w:p>
        </w:tc>
      </w:tr>
      <w:tr w:rsidR="00421656" w:rsidRPr="00954461" w:rsidTr="00B15B8A">
        <w:trPr>
          <w:trHeight w:val="283"/>
        </w:trPr>
        <w:tc>
          <w:tcPr>
            <w:tcW w:w="3176" w:type="dxa"/>
            <w:tcBorders>
              <w:top w:val="nil"/>
              <w:left w:val="nil"/>
              <w:bottom w:val="single" w:sz="8" w:space="0" w:color="000000"/>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i/>
                <w:iCs/>
                <w:sz w:val="18"/>
                <w:szCs w:val="18"/>
                <w:lang w:val="en-US" w:eastAsia="de-DE"/>
              </w:rPr>
              <w:t>N</w:t>
            </w:r>
            <w:r w:rsidRPr="00954461">
              <w:rPr>
                <w:sz w:val="18"/>
                <w:szCs w:val="18"/>
                <w:lang w:val="en-US" w:eastAsia="de-DE"/>
              </w:rPr>
              <w:t>-</w:t>
            </w:r>
            <w:proofErr w:type="spellStart"/>
            <w:r w:rsidRPr="00954461">
              <w:rPr>
                <w:sz w:val="18"/>
                <w:szCs w:val="18"/>
                <w:lang w:val="en-US" w:eastAsia="de-DE"/>
              </w:rPr>
              <w:t>methylnicotinamide</w:t>
            </w:r>
            <w:proofErr w:type="spellEnd"/>
          </w:p>
        </w:tc>
        <w:tc>
          <w:tcPr>
            <w:tcW w:w="3711" w:type="dxa"/>
            <w:gridSpan w:val="2"/>
            <w:tcBorders>
              <w:top w:val="nil"/>
              <w:left w:val="nil"/>
              <w:bottom w:val="single" w:sz="8" w:space="0" w:color="000000"/>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sz w:val="18"/>
                <w:szCs w:val="18"/>
                <w:lang w:val="en-US" w:eastAsia="de-DE"/>
              </w:rPr>
              <w:t>4.48 (s) 8.19 (t) 8.90 (d) 8.97 (d) 9.28 (s)</w:t>
            </w:r>
          </w:p>
        </w:tc>
        <w:tc>
          <w:tcPr>
            <w:tcW w:w="1105" w:type="dxa"/>
            <w:tcBorders>
              <w:top w:val="nil"/>
              <w:left w:val="nil"/>
              <w:bottom w:val="single" w:sz="8" w:space="0" w:color="000000"/>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sz w:val="18"/>
                <w:szCs w:val="18"/>
                <w:lang w:val="en-US" w:eastAsia="de-DE"/>
              </w:rPr>
              <w:t>1.09×10</w:t>
            </w:r>
            <w:r w:rsidRPr="00954461">
              <w:rPr>
                <w:position w:val="5"/>
                <w:sz w:val="18"/>
                <w:szCs w:val="18"/>
                <w:vertAlign w:val="superscript"/>
                <w:lang w:val="en-US" w:eastAsia="de-DE"/>
              </w:rPr>
              <w:t>-5</w:t>
            </w:r>
          </w:p>
        </w:tc>
        <w:tc>
          <w:tcPr>
            <w:tcW w:w="1106" w:type="dxa"/>
            <w:tcBorders>
              <w:top w:val="nil"/>
              <w:left w:val="nil"/>
              <w:bottom w:val="single" w:sz="8" w:space="0" w:color="000000"/>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sz w:val="18"/>
                <w:szCs w:val="18"/>
                <w:lang w:val="en-US" w:eastAsia="de-DE"/>
              </w:rPr>
              <w:t>1.90×10</w:t>
            </w:r>
            <w:r w:rsidRPr="00954461">
              <w:rPr>
                <w:position w:val="5"/>
                <w:sz w:val="18"/>
                <w:szCs w:val="18"/>
                <w:vertAlign w:val="superscript"/>
                <w:lang w:val="en-US" w:eastAsia="de-DE"/>
              </w:rPr>
              <w:t>-4</w:t>
            </w:r>
          </w:p>
        </w:tc>
      </w:tr>
      <w:tr w:rsidR="00421656" w:rsidRPr="009321E1" w:rsidTr="00B15B8A">
        <w:trPr>
          <w:trHeight w:val="283"/>
        </w:trPr>
        <w:tc>
          <w:tcPr>
            <w:tcW w:w="9098" w:type="dxa"/>
            <w:gridSpan w:val="5"/>
            <w:tcBorders>
              <w:top w:val="single" w:sz="8" w:space="0" w:color="000000"/>
              <w:left w:val="nil"/>
              <w:bottom w:val="single" w:sz="8" w:space="0" w:color="000000"/>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b/>
                <w:sz w:val="18"/>
                <w:szCs w:val="18"/>
                <w:lang w:val="en-US" w:eastAsia="de-DE"/>
              </w:rPr>
            </w:pPr>
            <w:r>
              <w:rPr>
                <w:b/>
                <w:bCs/>
                <w:sz w:val="18"/>
                <w:szCs w:val="18"/>
                <w:lang w:val="en-US" w:eastAsia="de-DE"/>
              </w:rPr>
              <w:t xml:space="preserve">Significantly more abundant in </w:t>
            </w:r>
            <w:r w:rsidRPr="00954461">
              <w:rPr>
                <w:b/>
                <w:bCs/>
                <w:sz w:val="18"/>
                <w:szCs w:val="18"/>
                <w:lang w:val="en-US" w:eastAsia="de-DE"/>
              </w:rPr>
              <w:t>RA compared to AN</w:t>
            </w:r>
            <w:r>
              <w:rPr>
                <w:b/>
                <w:bCs/>
                <w:sz w:val="18"/>
                <w:szCs w:val="18"/>
                <w:lang w:val="en-US" w:eastAsia="de-DE"/>
              </w:rPr>
              <w:t xml:space="preserve"> urinary samples</w:t>
            </w:r>
          </w:p>
        </w:tc>
      </w:tr>
      <w:tr w:rsidR="00421656" w:rsidRPr="00954461" w:rsidTr="00B15B8A">
        <w:trPr>
          <w:trHeight w:val="283"/>
        </w:trPr>
        <w:tc>
          <w:tcPr>
            <w:tcW w:w="3261" w:type="dxa"/>
            <w:gridSpan w:val="2"/>
            <w:tcBorders>
              <w:top w:val="single" w:sz="8" w:space="0" w:color="000000"/>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sz w:val="18"/>
                <w:szCs w:val="18"/>
                <w:lang w:val="en-US" w:eastAsia="de-DE"/>
              </w:rPr>
              <w:t>Fatty acids (</w:t>
            </w:r>
            <w:r w:rsidRPr="00D91227">
              <w:rPr>
                <w:sz w:val="18"/>
                <w:szCs w:val="18"/>
                <w:lang w:val="en-US" w:eastAsia="de-DE"/>
              </w:rPr>
              <w:t>C5</w:t>
            </w:r>
            <w:r>
              <w:rPr>
                <w:sz w:val="18"/>
                <w:szCs w:val="18"/>
                <w:lang w:val="en-US" w:eastAsia="de-DE"/>
              </w:rPr>
              <w:t>-C10</w:t>
            </w:r>
            <w:r w:rsidRPr="00954461">
              <w:rPr>
                <w:sz w:val="18"/>
                <w:szCs w:val="18"/>
                <w:lang w:val="en-US" w:eastAsia="de-DE"/>
              </w:rPr>
              <w:t>)</w:t>
            </w:r>
          </w:p>
        </w:tc>
        <w:tc>
          <w:tcPr>
            <w:tcW w:w="3626" w:type="dxa"/>
            <w:tcBorders>
              <w:top w:val="single" w:sz="8" w:space="0" w:color="000000"/>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Pr>
                <w:sz w:val="18"/>
                <w:szCs w:val="18"/>
                <w:lang w:val="en-US" w:eastAsia="de-DE"/>
              </w:rPr>
              <w:t>0.84 (d) 1.3 (</w:t>
            </w:r>
            <w:r w:rsidRPr="00954461">
              <w:rPr>
                <w:sz w:val="18"/>
                <w:szCs w:val="18"/>
                <w:lang w:val="en-US" w:eastAsia="de-DE"/>
              </w:rPr>
              <w:t>s) 1.56 (m)</w:t>
            </w:r>
          </w:p>
        </w:tc>
        <w:tc>
          <w:tcPr>
            <w:tcW w:w="1105" w:type="dxa"/>
            <w:tcBorders>
              <w:top w:val="single" w:sz="8" w:space="0" w:color="000000"/>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4.21×10</w:t>
            </w:r>
            <w:r w:rsidRPr="00954461">
              <w:rPr>
                <w:color w:val="000000"/>
                <w:position w:val="5"/>
                <w:sz w:val="18"/>
                <w:szCs w:val="18"/>
                <w:vertAlign w:val="superscript"/>
                <w:lang w:val="en-US" w:eastAsia="de-DE"/>
              </w:rPr>
              <w:t>-6</w:t>
            </w:r>
          </w:p>
        </w:tc>
        <w:tc>
          <w:tcPr>
            <w:tcW w:w="1106" w:type="dxa"/>
            <w:tcBorders>
              <w:top w:val="single" w:sz="8" w:space="0" w:color="000000"/>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9.46×10</w:t>
            </w:r>
            <w:r w:rsidRPr="00954461">
              <w:rPr>
                <w:color w:val="000000"/>
                <w:position w:val="5"/>
                <w:sz w:val="18"/>
                <w:szCs w:val="18"/>
                <w:vertAlign w:val="superscript"/>
                <w:lang w:val="en-US" w:eastAsia="de-DE"/>
              </w:rPr>
              <w:t>-5</w:t>
            </w:r>
          </w:p>
        </w:tc>
      </w:tr>
      <w:tr w:rsidR="00421656" w:rsidRPr="00954461" w:rsidTr="00B15B8A">
        <w:trPr>
          <w:trHeight w:val="283"/>
        </w:trPr>
        <w:tc>
          <w:tcPr>
            <w:tcW w:w="3261" w:type="dxa"/>
            <w:gridSpan w:val="2"/>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3-hydroxyisovalerate</w:t>
            </w:r>
          </w:p>
        </w:tc>
        <w:tc>
          <w:tcPr>
            <w:tcW w:w="362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1.27 (s) 2.37 (s)</w:t>
            </w:r>
          </w:p>
        </w:tc>
        <w:tc>
          <w:tcPr>
            <w:tcW w:w="1105"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7.63×10</w:t>
            </w:r>
            <w:r w:rsidRPr="00954461">
              <w:rPr>
                <w:color w:val="000000"/>
                <w:position w:val="5"/>
                <w:sz w:val="18"/>
                <w:szCs w:val="18"/>
                <w:vertAlign w:val="superscript"/>
                <w:lang w:val="en-US" w:eastAsia="de-DE"/>
              </w:rPr>
              <w:t>-5</w:t>
            </w:r>
          </w:p>
        </w:tc>
        <w:tc>
          <w:tcPr>
            <w:tcW w:w="110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8.37×10</w:t>
            </w:r>
            <w:r w:rsidRPr="00954461">
              <w:rPr>
                <w:color w:val="000000"/>
                <w:position w:val="5"/>
                <w:sz w:val="18"/>
                <w:szCs w:val="18"/>
                <w:vertAlign w:val="superscript"/>
                <w:lang w:val="en-US" w:eastAsia="de-DE"/>
              </w:rPr>
              <w:t>-4</w:t>
            </w:r>
          </w:p>
        </w:tc>
      </w:tr>
      <w:tr w:rsidR="00421656" w:rsidRPr="00954461" w:rsidTr="00B15B8A">
        <w:trPr>
          <w:trHeight w:val="283"/>
        </w:trPr>
        <w:tc>
          <w:tcPr>
            <w:tcW w:w="3261" w:type="dxa"/>
            <w:gridSpan w:val="2"/>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2-hydroxyisobutyrate</w:t>
            </w:r>
          </w:p>
        </w:tc>
        <w:tc>
          <w:tcPr>
            <w:tcW w:w="362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1.36 (s)</w:t>
            </w:r>
          </w:p>
        </w:tc>
        <w:tc>
          <w:tcPr>
            <w:tcW w:w="1105"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3.98×10</w:t>
            </w:r>
            <w:r w:rsidRPr="00954461">
              <w:rPr>
                <w:color w:val="000000"/>
                <w:position w:val="5"/>
                <w:sz w:val="18"/>
                <w:szCs w:val="18"/>
                <w:vertAlign w:val="superscript"/>
                <w:lang w:val="en-US" w:eastAsia="de-DE"/>
              </w:rPr>
              <w:t>-4</w:t>
            </w:r>
          </w:p>
        </w:tc>
        <w:tc>
          <w:tcPr>
            <w:tcW w:w="110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2.87×10</w:t>
            </w:r>
            <w:r w:rsidRPr="00954461">
              <w:rPr>
                <w:color w:val="000000"/>
                <w:position w:val="5"/>
                <w:sz w:val="18"/>
                <w:szCs w:val="18"/>
                <w:vertAlign w:val="superscript"/>
                <w:lang w:val="en-US" w:eastAsia="de-DE"/>
              </w:rPr>
              <w:t>-3</w:t>
            </w:r>
          </w:p>
        </w:tc>
      </w:tr>
      <w:tr w:rsidR="00421656" w:rsidRPr="00954461" w:rsidTr="00B15B8A">
        <w:trPr>
          <w:trHeight w:val="283"/>
        </w:trPr>
        <w:tc>
          <w:tcPr>
            <w:tcW w:w="3261" w:type="dxa"/>
            <w:gridSpan w:val="2"/>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Alanine</w:t>
            </w:r>
          </w:p>
        </w:tc>
        <w:tc>
          <w:tcPr>
            <w:tcW w:w="362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1.48 (d)</w:t>
            </w:r>
          </w:p>
        </w:tc>
        <w:tc>
          <w:tcPr>
            <w:tcW w:w="1105"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1.71×10</w:t>
            </w:r>
            <w:r w:rsidRPr="00954461">
              <w:rPr>
                <w:color w:val="000000"/>
                <w:position w:val="5"/>
                <w:sz w:val="18"/>
                <w:szCs w:val="18"/>
                <w:vertAlign w:val="superscript"/>
                <w:lang w:val="en-US" w:eastAsia="de-DE"/>
              </w:rPr>
              <w:t>-6</w:t>
            </w:r>
          </w:p>
        </w:tc>
        <w:tc>
          <w:tcPr>
            <w:tcW w:w="110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4.81×10</w:t>
            </w:r>
            <w:r w:rsidRPr="00954461">
              <w:rPr>
                <w:color w:val="000000"/>
                <w:position w:val="5"/>
                <w:sz w:val="18"/>
                <w:szCs w:val="18"/>
                <w:vertAlign w:val="superscript"/>
                <w:lang w:val="en-US" w:eastAsia="de-DE"/>
              </w:rPr>
              <w:t>-5</w:t>
            </w:r>
          </w:p>
        </w:tc>
      </w:tr>
      <w:tr w:rsidR="00421656" w:rsidRPr="00954461" w:rsidTr="00B15B8A">
        <w:trPr>
          <w:trHeight w:val="283"/>
        </w:trPr>
        <w:tc>
          <w:tcPr>
            <w:tcW w:w="3261" w:type="dxa"/>
            <w:gridSpan w:val="2"/>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Acetate</w:t>
            </w:r>
          </w:p>
        </w:tc>
        <w:tc>
          <w:tcPr>
            <w:tcW w:w="362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1.92 (s)</w:t>
            </w:r>
          </w:p>
        </w:tc>
        <w:tc>
          <w:tcPr>
            <w:tcW w:w="1105"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9.81×10</w:t>
            </w:r>
            <w:r w:rsidRPr="00954461">
              <w:rPr>
                <w:color w:val="000000"/>
                <w:position w:val="5"/>
                <w:sz w:val="18"/>
                <w:szCs w:val="18"/>
                <w:vertAlign w:val="superscript"/>
                <w:lang w:val="en-US" w:eastAsia="de-DE"/>
              </w:rPr>
              <w:t>-6</w:t>
            </w:r>
          </w:p>
        </w:tc>
        <w:tc>
          <w:tcPr>
            <w:tcW w:w="110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1.76×10</w:t>
            </w:r>
            <w:r w:rsidRPr="00954461">
              <w:rPr>
                <w:color w:val="000000"/>
                <w:position w:val="5"/>
                <w:sz w:val="18"/>
                <w:szCs w:val="18"/>
                <w:vertAlign w:val="superscript"/>
                <w:lang w:val="en-US" w:eastAsia="de-DE"/>
              </w:rPr>
              <w:t>-4</w:t>
            </w:r>
          </w:p>
        </w:tc>
      </w:tr>
      <w:tr w:rsidR="00421656" w:rsidRPr="00954461" w:rsidTr="00B15B8A">
        <w:trPr>
          <w:trHeight w:val="283"/>
        </w:trPr>
        <w:tc>
          <w:tcPr>
            <w:tcW w:w="3261" w:type="dxa"/>
            <w:gridSpan w:val="2"/>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proofErr w:type="spellStart"/>
            <w:r w:rsidRPr="00954461">
              <w:rPr>
                <w:color w:val="000000"/>
                <w:sz w:val="18"/>
                <w:szCs w:val="18"/>
                <w:lang w:val="en-US" w:eastAsia="de-DE"/>
              </w:rPr>
              <w:t>Phenylacetylglutamine</w:t>
            </w:r>
            <w:proofErr w:type="spellEnd"/>
          </w:p>
        </w:tc>
        <w:tc>
          <w:tcPr>
            <w:tcW w:w="362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1.93 (m) 2.13 (m) 2.27 (t) 3.68 (q) 4.19 (</w:t>
            </w:r>
            <w:proofErr w:type="spellStart"/>
            <w:r w:rsidRPr="00954461">
              <w:rPr>
                <w:color w:val="000000"/>
                <w:sz w:val="18"/>
                <w:szCs w:val="18"/>
                <w:lang w:val="en-US" w:eastAsia="de-DE"/>
              </w:rPr>
              <w:t>dd</w:t>
            </w:r>
            <w:proofErr w:type="spellEnd"/>
            <w:r w:rsidRPr="00954461">
              <w:rPr>
                <w:color w:val="000000"/>
                <w:sz w:val="18"/>
                <w:szCs w:val="18"/>
                <w:lang w:val="en-US" w:eastAsia="de-DE"/>
              </w:rPr>
              <w:t>) 7.36 (t) 7.43 (t)</w:t>
            </w:r>
          </w:p>
        </w:tc>
        <w:tc>
          <w:tcPr>
            <w:tcW w:w="1105"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2.31×10</w:t>
            </w:r>
            <w:r w:rsidRPr="00954461">
              <w:rPr>
                <w:color w:val="000000"/>
                <w:position w:val="5"/>
                <w:sz w:val="18"/>
                <w:szCs w:val="18"/>
                <w:vertAlign w:val="superscript"/>
                <w:lang w:val="en-US" w:eastAsia="de-DE"/>
              </w:rPr>
              <w:t>-6</w:t>
            </w:r>
          </w:p>
        </w:tc>
        <w:tc>
          <w:tcPr>
            <w:tcW w:w="110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5.95×10</w:t>
            </w:r>
            <w:r w:rsidRPr="00954461">
              <w:rPr>
                <w:color w:val="000000"/>
                <w:position w:val="5"/>
                <w:sz w:val="18"/>
                <w:szCs w:val="18"/>
                <w:vertAlign w:val="superscript"/>
                <w:lang w:val="en-US" w:eastAsia="de-DE"/>
              </w:rPr>
              <w:t>-5</w:t>
            </w:r>
          </w:p>
        </w:tc>
      </w:tr>
      <w:tr w:rsidR="00421656" w:rsidRPr="00954461" w:rsidTr="00B15B8A">
        <w:trPr>
          <w:trHeight w:val="283"/>
        </w:trPr>
        <w:tc>
          <w:tcPr>
            <w:tcW w:w="3261" w:type="dxa"/>
            <w:gridSpan w:val="2"/>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Dimethylamine</w:t>
            </w:r>
          </w:p>
        </w:tc>
        <w:tc>
          <w:tcPr>
            <w:tcW w:w="362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2.72 (s)</w:t>
            </w:r>
          </w:p>
        </w:tc>
        <w:tc>
          <w:tcPr>
            <w:tcW w:w="1105"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2.00×10</w:t>
            </w:r>
            <w:r w:rsidRPr="00954461">
              <w:rPr>
                <w:color w:val="000000"/>
                <w:position w:val="5"/>
                <w:sz w:val="18"/>
                <w:szCs w:val="18"/>
                <w:vertAlign w:val="superscript"/>
                <w:lang w:val="en-US" w:eastAsia="de-DE"/>
              </w:rPr>
              <w:t>-8</w:t>
            </w:r>
          </w:p>
        </w:tc>
        <w:tc>
          <w:tcPr>
            <w:tcW w:w="110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1.38×10</w:t>
            </w:r>
            <w:r w:rsidRPr="00954461">
              <w:rPr>
                <w:color w:val="000000"/>
                <w:position w:val="5"/>
                <w:sz w:val="18"/>
                <w:szCs w:val="18"/>
                <w:vertAlign w:val="superscript"/>
                <w:lang w:val="en-US" w:eastAsia="de-DE"/>
              </w:rPr>
              <w:t>-6</w:t>
            </w:r>
          </w:p>
        </w:tc>
      </w:tr>
      <w:tr w:rsidR="00421656" w:rsidRPr="00954461" w:rsidTr="00B15B8A">
        <w:trPr>
          <w:trHeight w:val="283"/>
        </w:trPr>
        <w:tc>
          <w:tcPr>
            <w:tcW w:w="3261" w:type="dxa"/>
            <w:gridSpan w:val="2"/>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i/>
                <w:iCs/>
                <w:color w:val="000000"/>
                <w:sz w:val="18"/>
                <w:szCs w:val="18"/>
                <w:lang w:val="en-US" w:eastAsia="de-DE"/>
              </w:rPr>
              <w:t>N</w:t>
            </w:r>
            <w:r w:rsidRPr="00954461">
              <w:rPr>
                <w:color w:val="000000"/>
                <w:sz w:val="18"/>
                <w:szCs w:val="18"/>
                <w:lang w:val="en-US" w:eastAsia="de-DE"/>
              </w:rPr>
              <w:t>-acetyl-</w:t>
            </w:r>
            <w:r w:rsidRPr="00954461">
              <w:rPr>
                <w:i/>
                <w:iCs/>
                <w:color w:val="000000"/>
                <w:sz w:val="18"/>
                <w:szCs w:val="18"/>
                <w:lang w:val="en-US" w:eastAsia="de-DE"/>
              </w:rPr>
              <w:t>S</w:t>
            </w:r>
            <w:r w:rsidRPr="00954461">
              <w:rPr>
                <w:color w:val="000000"/>
                <w:sz w:val="18"/>
                <w:szCs w:val="18"/>
                <w:lang w:val="en-US" w:eastAsia="de-DE"/>
              </w:rPr>
              <w:t>-methyl-cysteine sulfoxide</w:t>
            </w:r>
          </w:p>
        </w:tc>
        <w:tc>
          <w:tcPr>
            <w:tcW w:w="362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2.78 (s)</w:t>
            </w:r>
          </w:p>
        </w:tc>
        <w:tc>
          <w:tcPr>
            <w:tcW w:w="1105"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3.22×10</w:t>
            </w:r>
            <w:r w:rsidRPr="00954461">
              <w:rPr>
                <w:color w:val="000000"/>
                <w:position w:val="5"/>
                <w:sz w:val="18"/>
                <w:szCs w:val="18"/>
                <w:vertAlign w:val="superscript"/>
                <w:lang w:val="en-US" w:eastAsia="de-DE"/>
              </w:rPr>
              <w:t>-9</w:t>
            </w:r>
          </w:p>
        </w:tc>
        <w:tc>
          <w:tcPr>
            <w:tcW w:w="110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3.39×10</w:t>
            </w:r>
            <w:r w:rsidRPr="00954461">
              <w:rPr>
                <w:color w:val="000000"/>
                <w:position w:val="5"/>
                <w:sz w:val="18"/>
                <w:szCs w:val="18"/>
                <w:vertAlign w:val="superscript"/>
                <w:lang w:val="en-US" w:eastAsia="de-DE"/>
              </w:rPr>
              <w:t>-7</w:t>
            </w:r>
          </w:p>
        </w:tc>
      </w:tr>
      <w:tr w:rsidR="00421656" w:rsidRPr="00954461" w:rsidTr="00B15B8A">
        <w:trPr>
          <w:trHeight w:val="283"/>
        </w:trPr>
        <w:tc>
          <w:tcPr>
            <w:tcW w:w="3261" w:type="dxa"/>
            <w:gridSpan w:val="2"/>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i/>
                <w:iCs/>
                <w:color w:val="000000"/>
                <w:sz w:val="18"/>
                <w:szCs w:val="18"/>
                <w:lang w:val="en-US" w:eastAsia="de-DE"/>
              </w:rPr>
              <w:t>S</w:t>
            </w:r>
            <w:r w:rsidRPr="00954461">
              <w:rPr>
                <w:color w:val="000000"/>
                <w:sz w:val="18"/>
                <w:szCs w:val="18"/>
                <w:lang w:val="en-US" w:eastAsia="de-DE"/>
              </w:rPr>
              <w:t>-methyl-cysteine sulfoxide metabolite</w:t>
            </w:r>
          </w:p>
        </w:tc>
        <w:tc>
          <w:tcPr>
            <w:tcW w:w="362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2.80 (s)</w:t>
            </w:r>
          </w:p>
        </w:tc>
        <w:tc>
          <w:tcPr>
            <w:tcW w:w="1105"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2.92×10</w:t>
            </w:r>
            <w:r w:rsidRPr="00954461">
              <w:rPr>
                <w:color w:val="000000"/>
                <w:position w:val="5"/>
                <w:sz w:val="18"/>
                <w:szCs w:val="18"/>
                <w:vertAlign w:val="superscript"/>
                <w:lang w:val="en-US" w:eastAsia="de-DE"/>
              </w:rPr>
              <w:t>-4</w:t>
            </w:r>
          </w:p>
        </w:tc>
        <w:tc>
          <w:tcPr>
            <w:tcW w:w="110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2.28×10</w:t>
            </w:r>
            <w:r w:rsidRPr="00954461">
              <w:rPr>
                <w:color w:val="000000"/>
                <w:position w:val="5"/>
                <w:sz w:val="18"/>
                <w:szCs w:val="18"/>
                <w:vertAlign w:val="superscript"/>
                <w:lang w:val="en-US" w:eastAsia="de-DE"/>
              </w:rPr>
              <w:t>-3</w:t>
            </w:r>
          </w:p>
        </w:tc>
      </w:tr>
      <w:tr w:rsidR="00421656" w:rsidRPr="00954461" w:rsidTr="00B15B8A">
        <w:trPr>
          <w:trHeight w:val="283"/>
        </w:trPr>
        <w:tc>
          <w:tcPr>
            <w:tcW w:w="3261" w:type="dxa"/>
            <w:gridSpan w:val="2"/>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i/>
                <w:iCs/>
                <w:color w:val="000000"/>
                <w:sz w:val="18"/>
                <w:szCs w:val="18"/>
                <w:lang w:val="en-US" w:eastAsia="de-DE"/>
              </w:rPr>
              <w:t>S</w:t>
            </w:r>
            <w:r w:rsidRPr="00954461">
              <w:rPr>
                <w:color w:val="000000"/>
                <w:sz w:val="18"/>
                <w:szCs w:val="18"/>
                <w:lang w:val="en-US" w:eastAsia="de-DE"/>
              </w:rPr>
              <w:t>-methyl-cysteine sulfoxide</w:t>
            </w:r>
          </w:p>
        </w:tc>
        <w:tc>
          <w:tcPr>
            <w:tcW w:w="362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2.83 (s)</w:t>
            </w:r>
          </w:p>
        </w:tc>
        <w:tc>
          <w:tcPr>
            <w:tcW w:w="1105"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3.72×10</w:t>
            </w:r>
            <w:r w:rsidRPr="00954461">
              <w:rPr>
                <w:color w:val="000000"/>
                <w:position w:val="5"/>
                <w:sz w:val="18"/>
                <w:szCs w:val="18"/>
                <w:vertAlign w:val="superscript"/>
                <w:lang w:val="en-US" w:eastAsia="de-DE"/>
              </w:rPr>
              <w:t>-6</w:t>
            </w:r>
          </w:p>
        </w:tc>
        <w:tc>
          <w:tcPr>
            <w:tcW w:w="110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8.56×10</w:t>
            </w:r>
            <w:r w:rsidRPr="00954461">
              <w:rPr>
                <w:color w:val="000000"/>
                <w:position w:val="5"/>
                <w:sz w:val="18"/>
                <w:szCs w:val="18"/>
                <w:vertAlign w:val="superscript"/>
                <w:lang w:val="en-US" w:eastAsia="de-DE"/>
              </w:rPr>
              <w:t>-5</w:t>
            </w:r>
          </w:p>
        </w:tc>
      </w:tr>
      <w:tr w:rsidR="00421656" w:rsidRPr="00954461" w:rsidTr="00B15B8A">
        <w:trPr>
          <w:trHeight w:val="283"/>
        </w:trPr>
        <w:tc>
          <w:tcPr>
            <w:tcW w:w="3261" w:type="dxa"/>
            <w:gridSpan w:val="2"/>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Dimethylglycine</w:t>
            </w:r>
          </w:p>
        </w:tc>
        <w:tc>
          <w:tcPr>
            <w:tcW w:w="362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2.93 (s)</w:t>
            </w:r>
          </w:p>
        </w:tc>
        <w:tc>
          <w:tcPr>
            <w:tcW w:w="1105"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2.63×10</w:t>
            </w:r>
            <w:r w:rsidRPr="00954461">
              <w:rPr>
                <w:color w:val="000000"/>
                <w:position w:val="5"/>
                <w:sz w:val="18"/>
                <w:szCs w:val="18"/>
                <w:vertAlign w:val="superscript"/>
                <w:lang w:val="en-US" w:eastAsia="de-DE"/>
              </w:rPr>
              <w:t>-5</w:t>
            </w:r>
          </w:p>
        </w:tc>
        <w:tc>
          <w:tcPr>
            <w:tcW w:w="110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3.70×10</w:t>
            </w:r>
            <w:r w:rsidRPr="00954461">
              <w:rPr>
                <w:color w:val="000000"/>
                <w:position w:val="5"/>
                <w:sz w:val="18"/>
                <w:szCs w:val="18"/>
                <w:vertAlign w:val="superscript"/>
                <w:lang w:val="en-US" w:eastAsia="de-DE"/>
              </w:rPr>
              <w:t>-4</w:t>
            </w:r>
          </w:p>
        </w:tc>
      </w:tr>
      <w:tr w:rsidR="00421656" w:rsidRPr="00954461" w:rsidTr="00B15B8A">
        <w:trPr>
          <w:trHeight w:val="283"/>
        </w:trPr>
        <w:tc>
          <w:tcPr>
            <w:tcW w:w="3261" w:type="dxa"/>
            <w:gridSpan w:val="2"/>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Lysine</w:t>
            </w:r>
          </w:p>
        </w:tc>
        <w:tc>
          <w:tcPr>
            <w:tcW w:w="362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3.02 (t)</w:t>
            </w:r>
          </w:p>
        </w:tc>
        <w:tc>
          <w:tcPr>
            <w:tcW w:w="1105"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1.17×10</w:t>
            </w:r>
            <w:r w:rsidRPr="00954461">
              <w:rPr>
                <w:color w:val="000000"/>
                <w:position w:val="5"/>
                <w:sz w:val="18"/>
                <w:szCs w:val="18"/>
                <w:vertAlign w:val="superscript"/>
                <w:lang w:val="en-US" w:eastAsia="de-DE"/>
              </w:rPr>
              <w:t>-7</w:t>
            </w:r>
          </w:p>
        </w:tc>
        <w:tc>
          <w:tcPr>
            <w:tcW w:w="1106" w:type="dxa"/>
            <w:tcBorders>
              <w:top w:val="nil"/>
              <w:left w:val="nil"/>
              <w:bottom w:val="nil"/>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5.51×10</w:t>
            </w:r>
            <w:r w:rsidRPr="00954461">
              <w:rPr>
                <w:color w:val="000000"/>
                <w:position w:val="5"/>
                <w:sz w:val="18"/>
                <w:szCs w:val="18"/>
                <w:vertAlign w:val="superscript"/>
                <w:lang w:val="en-US" w:eastAsia="de-DE"/>
              </w:rPr>
              <w:t>-6</w:t>
            </w:r>
          </w:p>
        </w:tc>
      </w:tr>
      <w:tr w:rsidR="00421656" w:rsidRPr="00954461" w:rsidTr="00B15B8A">
        <w:trPr>
          <w:trHeight w:val="283"/>
        </w:trPr>
        <w:tc>
          <w:tcPr>
            <w:tcW w:w="3261" w:type="dxa"/>
            <w:gridSpan w:val="2"/>
            <w:tcBorders>
              <w:top w:val="nil"/>
              <w:left w:val="nil"/>
              <w:bottom w:val="single" w:sz="18" w:space="0" w:color="auto"/>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Creatinine</w:t>
            </w:r>
          </w:p>
        </w:tc>
        <w:tc>
          <w:tcPr>
            <w:tcW w:w="3626" w:type="dxa"/>
            <w:tcBorders>
              <w:top w:val="nil"/>
              <w:left w:val="nil"/>
              <w:bottom w:val="single" w:sz="18" w:space="0" w:color="auto"/>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3.05 (s) 4.06 (s)</w:t>
            </w:r>
          </w:p>
        </w:tc>
        <w:tc>
          <w:tcPr>
            <w:tcW w:w="1105" w:type="dxa"/>
            <w:tcBorders>
              <w:top w:val="nil"/>
              <w:left w:val="nil"/>
              <w:bottom w:val="single" w:sz="18" w:space="0" w:color="auto"/>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3.48×10</w:t>
            </w:r>
            <w:r w:rsidRPr="00954461">
              <w:rPr>
                <w:color w:val="000000"/>
                <w:position w:val="5"/>
                <w:sz w:val="18"/>
                <w:szCs w:val="18"/>
                <w:vertAlign w:val="superscript"/>
                <w:lang w:val="en-US" w:eastAsia="de-DE"/>
              </w:rPr>
              <w:t>-6</w:t>
            </w:r>
          </w:p>
        </w:tc>
        <w:tc>
          <w:tcPr>
            <w:tcW w:w="1106" w:type="dxa"/>
            <w:tcBorders>
              <w:top w:val="nil"/>
              <w:left w:val="nil"/>
              <w:bottom w:val="single" w:sz="18" w:space="0" w:color="auto"/>
              <w:right w:val="nil"/>
            </w:tcBorders>
            <w:shd w:val="clear" w:color="auto" w:fill="auto"/>
            <w:tcMar>
              <w:top w:w="15" w:type="dxa"/>
              <w:left w:w="82" w:type="dxa"/>
              <w:bottom w:w="0" w:type="dxa"/>
              <w:right w:w="82" w:type="dxa"/>
            </w:tcMar>
            <w:vAlign w:val="center"/>
            <w:hideMark/>
          </w:tcPr>
          <w:p w:rsidR="00421656" w:rsidRPr="00954461" w:rsidRDefault="00421656" w:rsidP="00A7025F">
            <w:pPr>
              <w:pStyle w:val="KeinLeerraum"/>
              <w:spacing w:line="276" w:lineRule="auto"/>
              <w:rPr>
                <w:rFonts w:eastAsia="Times New Roman" w:cs="Arial"/>
                <w:sz w:val="18"/>
                <w:szCs w:val="18"/>
                <w:lang w:val="en-US" w:eastAsia="de-DE"/>
              </w:rPr>
            </w:pPr>
            <w:r w:rsidRPr="00954461">
              <w:rPr>
                <w:color w:val="000000"/>
                <w:sz w:val="18"/>
                <w:szCs w:val="18"/>
                <w:lang w:val="en-US" w:eastAsia="de-DE"/>
              </w:rPr>
              <w:t>8.10×10</w:t>
            </w:r>
            <w:r w:rsidRPr="00954461">
              <w:rPr>
                <w:color w:val="000000"/>
                <w:position w:val="5"/>
                <w:sz w:val="18"/>
                <w:szCs w:val="18"/>
                <w:vertAlign w:val="superscript"/>
                <w:lang w:val="en-US" w:eastAsia="de-DE"/>
              </w:rPr>
              <w:t>-5</w:t>
            </w:r>
          </w:p>
        </w:tc>
      </w:tr>
    </w:tbl>
    <w:p w:rsidR="00421656" w:rsidRPr="00EA4CC6" w:rsidRDefault="00421656" w:rsidP="00870BDF">
      <w:pPr>
        <w:suppressLineNumbers/>
        <w:jc w:val="both"/>
        <w:rPr>
          <w:sz w:val="18"/>
          <w:lang w:val="en-US"/>
        </w:rPr>
      </w:pPr>
      <w:r w:rsidRPr="00EA4CC6">
        <w:rPr>
          <w:sz w:val="18"/>
          <w:lang w:val="en-US"/>
        </w:rPr>
        <w:t xml:space="preserve">s = singlet, d = doublet, t = triplet, q = quartet, </w:t>
      </w:r>
      <w:proofErr w:type="spellStart"/>
      <w:r w:rsidRPr="00EA4CC6">
        <w:rPr>
          <w:sz w:val="18"/>
          <w:lang w:val="en-US"/>
        </w:rPr>
        <w:t>dd</w:t>
      </w:r>
      <w:proofErr w:type="spellEnd"/>
      <w:r w:rsidRPr="00EA4CC6">
        <w:rPr>
          <w:sz w:val="18"/>
          <w:lang w:val="en-US"/>
        </w:rPr>
        <w:t xml:space="preserve"> = doublet of doublets, </w:t>
      </w:r>
      <w:proofErr w:type="spellStart"/>
      <w:proofErr w:type="gramStart"/>
      <w:r w:rsidRPr="00EA4CC6">
        <w:rPr>
          <w:sz w:val="18"/>
          <w:lang w:val="en-US"/>
        </w:rPr>
        <w:t>dt</w:t>
      </w:r>
      <w:proofErr w:type="spellEnd"/>
      <w:proofErr w:type="gramEnd"/>
      <w:r w:rsidRPr="00EA4CC6">
        <w:rPr>
          <w:sz w:val="18"/>
          <w:lang w:val="en-US"/>
        </w:rPr>
        <w:t xml:space="preserve"> = doublet of triplets, </w:t>
      </w:r>
      <w:proofErr w:type="spellStart"/>
      <w:r w:rsidRPr="00EA4CC6">
        <w:rPr>
          <w:sz w:val="18"/>
          <w:lang w:val="en-US"/>
        </w:rPr>
        <w:t>tq</w:t>
      </w:r>
      <w:proofErr w:type="spellEnd"/>
      <w:r w:rsidRPr="00EA4CC6">
        <w:rPr>
          <w:sz w:val="18"/>
          <w:lang w:val="en-US"/>
        </w:rPr>
        <w:t xml:space="preserve"> = triplet of quartets, m = </w:t>
      </w:r>
      <w:proofErr w:type="spellStart"/>
      <w:r w:rsidRPr="00EA4CC6">
        <w:rPr>
          <w:sz w:val="18"/>
          <w:lang w:val="en-US"/>
        </w:rPr>
        <w:t>multiplet</w:t>
      </w:r>
      <w:proofErr w:type="spellEnd"/>
      <w:r w:rsidRPr="00EA4CC6">
        <w:rPr>
          <w:sz w:val="18"/>
          <w:lang w:val="en-US"/>
        </w:rPr>
        <w:t xml:space="preserve">, </w:t>
      </w:r>
      <w:r>
        <w:rPr>
          <w:sz w:val="18"/>
          <w:lang w:val="en-US"/>
        </w:rPr>
        <w:t>td = triplet of doublets</w:t>
      </w:r>
    </w:p>
    <w:p w:rsidR="00D87CA8" w:rsidRPr="00430DDF" w:rsidRDefault="00D87CA8" w:rsidP="00123003">
      <w:pPr>
        <w:pStyle w:val="KeinLeerraum"/>
        <w:spacing w:line="480" w:lineRule="auto"/>
        <w:jc w:val="both"/>
        <w:rPr>
          <w:b/>
          <w:sz w:val="24"/>
          <w:lang w:val="en-US"/>
        </w:rPr>
      </w:pPr>
      <w:r w:rsidRPr="00430DDF">
        <w:rPr>
          <w:b/>
          <w:sz w:val="24"/>
          <w:lang w:val="en-US"/>
        </w:rPr>
        <w:lastRenderedPageBreak/>
        <w:t>FIGURE LEGENDS</w:t>
      </w:r>
    </w:p>
    <w:p w:rsidR="00D87CA8" w:rsidRPr="00430DDF" w:rsidRDefault="00D87CA8" w:rsidP="00123003">
      <w:pPr>
        <w:pStyle w:val="KeinLeerraum"/>
        <w:spacing w:line="480" w:lineRule="auto"/>
        <w:jc w:val="both"/>
        <w:rPr>
          <w:b/>
          <w:sz w:val="24"/>
          <w:lang w:val="en-US"/>
        </w:rPr>
      </w:pPr>
      <w:r w:rsidRPr="00430DDF">
        <w:rPr>
          <w:b/>
          <w:sz w:val="24"/>
          <w:lang w:val="en-US"/>
        </w:rPr>
        <w:t xml:space="preserve">Figure 1: The fecal microbiota of </w:t>
      </w:r>
      <w:proofErr w:type="gramStart"/>
      <w:r w:rsidRPr="00430DDF">
        <w:rPr>
          <w:b/>
          <w:sz w:val="24"/>
          <w:lang w:val="en-US"/>
        </w:rPr>
        <w:t>AN</w:t>
      </w:r>
      <w:proofErr w:type="gramEnd"/>
      <w:r w:rsidRPr="00430DDF">
        <w:rPr>
          <w:b/>
          <w:sz w:val="24"/>
          <w:lang w:val="en-US"/>
        </w:rPr>
        <w:t xml:space="preserve"> participants shows separate clustering and abundance pattern at genus level compared to RA participants.</w:t>
      </w:r>
    </w:p>
    <w:p w:rsidR="00D87CA8" w:rsidRDefault="00D87CA8" w:rsidP="00123003">
      <w:pPr>
        <w:spacing w:line="480" w:lineRule="auto"/>
        <w:jc w:val="both"/>
        <w:rPr>
          <w:rFonts w:cs="Times New Roman"/>
          <w:sz w:val="24"/>
          <w:szCs w:val="24"/>
          <w:lang w:val="en-US"/>
        </w:rPr>
      </w:pPr>
      <w:r w:rsidRPr="00430DDF">
        <w:rPr>
          <w:sz w:val="24"/>
          <w:lang w:val="en-US"/>
        </w:rPr>
        <w:t>(</w:t>
      </w:r>
      <w:r w:rsidR="00123003">
        <w:rPr>
          <w:b/>
          <w:sz w:val="24"/>
          <w:lang w:val="en-US"/>
        </w:rPr>
        <w:t>A</w:t>
      </w:r>
      <w:r w:rsidRPr="00430DDF">
        <w:rPr>
          <w:sz w:val="24"/>
          <w:lang w:val="en-US"/>
        </w:rPr>
        <w:t>) Shannon effective index and (</w:t>
      </w:r>
      <w:r w:rsidR="00123003">
        <w:rPr>
          <w:b/>
          <w:bCs/>
          <w:sz w:val="24"/>
          <w:lang w:val="en-US"/>
        </w:rPr>
        <w:t>B</w:t>
      </w:r>
      <w:r w:rsidRPr="00430DDF">
        <w:rPr>
          <w:sz w:val="24"/>
          <w:lang w:val="en-US"/>
        </w:rPr>
        <w:t xml:space="preserve">) multidimensional scaling (MDS) plot of generalized </w:t>
      </w:r>
      <w:proofErr w:type="spellStart"/>
      <w:r w:rsidRPr="00430DDF">
        <w:rPr>
          <w:sz w:val="24"/>
          <w:lang w:val="en-US"/>
        </w:rPr>
        <w:t>UniFrac</w:t>
      </w:r>
      <w:proofErr w:type="spellEnd"/>
      <w:r w:rsidRPr="00430DDF">
        <w:rPr>
          <w:sz w:val="24"/>
          <w:lang w:val="en-US"/>
        </w:rPr>
        <w:t xml:space="preserve"> distances </w:t>
      </w:r>
      <w:r w:rsidR="00F2682C">
        <w:rPr>
          <w:sz w:val="24"/>
          <w:lang w:val="en-US"/>
        </w:rPr>
        <w:t>(</w:t>
      </w:r>
      <w:r w:rsidR="00F2682C" w:rsidRPr="000F7211">
        <w:rPr>
          <w:sz w:val="24"/>
          <w:szCs w:val="24"/>
          <w:lang w:val="en-US"/>
        </w:rPr>
        <w:t>including PERMANOVA test to determine group separation</w:t>
      </w:r>
      <w:r w:rsidR="00F2682C">
        <w:rPr>
          <w:sz w:val="24"/>
          <w:lang w:val="en-US"/>
        </w:rPr>
        <w:t xml:space="preserve">) </w:t>
      </w:r>
      <w:r w:rsidRPr="00430DDF">
        <w:rPr>
          <w:sz w:val="24"/>
          <w:lang w:val="en-US"/>
        </w:rPr>
        <w:t xml:space="preserve">showing distinct clustering of fecal microbiota profiles detected in the fecal microbiota of Alaska Native (AN) and rural African (RA) study participants by 16S </w:t>
      </w:r>
      <w:proofErr w:type="spellStart"/>
      <w:r w:rsidRPr="00430DDF">
        <w:rPr>
          <w:sz w:val="24"/>
          <w:lang w:val="en-US"/>
        </w:rPr>
        <w:t>rRNA</w:t>
      </w:r>
      <w:proofErr w:type="spellEnd"/>
      <w:r w:rsidRPr="00430DDF">
        <w:rPr>
          <w:sz w:val="24"/>
          <w:lang w:val="en-US"/>
        </w:rPr>
        <w:t xml:space="preserve"> gene sequencing. (</w:t>
      </w:r>
      <w:r w:rsidR="00123003">
        <w:rPr>
          <w:b/>
          <w:bCs/>
          <w:sz w:val="24"/>
          <w:lang w:val="en-US"/>
        </w:rPr>
        <w:t>C</w:t>
      </w:r>
      <w:r w:rsidRPr="00430DDF">
        <w:rPr>
          <w:sz w:val="24"/>
          <w:lang w:val="en-US"/>
        </w:rPr>
        <w:t xml:space="preserve">) Cumulative relative abundance of the major gut-related phyla acquired by taxonomic binning of operational taxonomic units (OTU) detected in the fecal microbiota of </w:t>
      </w:r>
      <w:proofErr w:type="gramStart"/>
      <w:r w:rsidRPr="00430DDF">
        <w:rPr>
          <w:sz w:val="24"/>
          <w:lang w:val="en-US"/>
        </w:rPr>
        <w:t>AN and</w:t>
      </w:r>
      <w:proofErr w:type="gramEnd"/>
      <w:r w:rsidRPr="00430DDF">
        <w:rPr>
          <w:sz w:val="24"/>
          <w:lang w:val="en-US"/>
        </w:rPr>
        <w:t xml:space="preserve"> RA participants by 16S </w:t>
      </w:r>
      <w:proofErr w:type="spellStart"/>
      <w:r w:rsidRPr="00430DDF">
        <w:rPr>
          <w:sz w:val="24"/>
          <w:lang w:val="en-US"/>
        </w:rPr>
        <w:t>rRNA</w:t>
      </w:r>
      <w:proofErr w:type="spellEnd"/>
      <w:r w:rsidRPr="00430DDF">
        <w:rPr>
          <w:sz w:val="24"/>
          <w:lang w:val="en-US"/>
        </w:rPr>
        <w:t xml:space="preserve"> gene sequencing, each column represents one individual. (</w:t>
      </w:r>
      <w:r w:rsidR="00123003">
        <w:rPr>
          <w:b/>
          <w:bCs/>
          <w:sz w:val="24"/>
          <w:lang w:val="en-US"/>
        </w:rPr>
        <w:t>D</w:t>
      </w:r>
      <w:r w:rsidRPr="00430DDF">
        <w:rPr>
          <w:sz w:val="24"/>
          <w:lang w:val="en-US"/>
        </w:rPr>
        <w:t xml:space="preserve">) Relative abundance of most abundant genera assigned by taxonomic binning of OTU detected in the </w:t>
      </w:r>
      <w:proofErr w:type="gramStart"/>
      <w:r w:rsidRPr="00430DDF">
        <w:rPr>
          <w:sz w:val="24"/>
          <w:lang w:val="en-US"/>
        </w:rPr>
        <w:t>AN and</w:t>
      </w:r>
      <w:proofErr w:type="gramEnd"/>
      <w:r w:rsidRPr="00430DDF">
        <w:rPr>
          <w:sz w:val="24"/>
          <w:lang w:val="en-US"/>
        </w:rPr>
        <w:t xml:space="preserve"> RA fecal microbiota by 16S </w:t>
      </w:r>
      <w:proofErr w:type="spellStart"/>
      <w:r w:rsidRPr="00430DDF">
        <w:rPr>
          <w:sz w:val="24"/>
          <w:lang w:val="en-US"/>
        </w:rPr>
        <w:t>rRNA</w:t>
      </w:r>
      <w:proofErr w:type="spellEnd"/>
      <w:r w:rsidRPr="00430DDF">
        <w:rPr>
          <w:sz w:val="24"/>
          <w:lang w:val="en-US"/>
        </w:rPr>
        <w:t xml:space="preserve"> gene sequencing in </w:t>
      </w:r>
      <w:r w:rsidRPr="00430DDF">
        <w:rPr>
          <w:rFonts w:cs="Times New Roman"/>
          <w:sz w:val="24"/>
          <w:szCs w:val="24"/>
          <w:lang w:val="en-US"/>
        </w:rPr>
        <w:t>box-and-whisker plots showing minimum to maximum</w:t>
      </w:r>
      <w:r w:rsidRPr="00430DDF">
        <w:rPr>
          <w:sz w:val="24"/>
          <w:lang w:val="en-US"/>
        </w:rPr>
        <w:t xml:space="preserve">. </w:t>
      </w:r>
      <w:r w:rsidR="00F2682C">
        <w:rPr>
          <w:sz w:val="24"/>
          <w:lang w:val="en-US"/>
        </w:rPr>
        <w:t xml:space="preserve">Statistical analysis using </w:t>
      </w:r>
      <w:r w:rsidR="00F2682C" w:rsidRPr="00123003">
        <w:rPr>
          <w:rFonts w:cs="Times New Roman"/>
          <w:sz w:val="24"/>
          <w:szCs w:val="24"/>
          <w:lang w:val="en-US"/>
        </w:rPr>
        <w:t xml:space="preserve">non-parametric Mann-Whitney-U-test </w:t>
      </w:r>
      <w:r w:rsidR="00F2682C" w:rsidRPr="00123003">
        <w:rPr>
          <w:sz w:val="24"/>
          <w:szCs w:val="24"/>
          <w:lang w:val="en-US"/>
        </w:rPr>
        <w:t xml:space="preserve">corrected for multiple testing by the </w:t>
      </w:r>
      <w:proofErr w:type="spellStart"/>
      <w:r w:rsidR="00F2682C" w:rsidRPr="00123003">
        <w:rPr>
          <w:sz w:val="24"/>
          <w:szCs w:val="24"/>
          <w:lang w:val="en-US"/>
        </w:rPr>
        <w:t>Benjamini</w:t>
      </w:r>
      <w:proofErr w:type="spellEnd"/>
      <w:r w:rsidR="00F2682C" w:rsidRPr="00123003">
        <w:rPr>
          <w:sz w:val="24"/>
          <w:szCs w:val="24"/>
          <w:lang w:val="en-US"/>
        </w:rPr>
        <w:t>-Hochberg method</w:t>
      </w:r>
      <w:r w:rsidR="00F2682C" w:rsidRPr="00123003">
        <w:rPr>
          <w:rFonts w:cs="Times New Roman"/>
          <w:sz w:val="24"/>
          <w:szCs w:val="24"/>
          <w:lang w:val="en-US"/>
        </w:rPr>
        <w:t xml:space="preserve"> </w:t>
      </w:r>
      <w:r w:rsidR="00F2682C">
        <w:rPr>
          <w:rFonts w:cs="Times New Roman"/>
          <w:sz w:val="24"/>
          <w:szCs w:val="24"/>
          <w:lang w:val="en-US"/>
        </w:rPr>
        <w:t xml:space="preserve">with </w:t>
      </w:r>
      <w:r w:rsidR="00F2682C">
        <w:rPr>
          <w:sz w:val="24"/>
          <w:lang w:val="en-US"/>
        </w:rPr>
        <w:t>AN n=29, RA n=20 or 21</w:t>
      </w:r>
      <w:r w:rsidR="00B95134">
        <w:rPr>
          <w:sz w:val="24"/>
          <w:lang w:val="en-US"/>
        </w:rPr>
        <w:t xml:space="preserve"> samples</w:t>
      </w:r>
      <w:r w:rsidR="00F2682C">
        <w:rPr>
          <w:sz w:val="24"/>
          <w:lang w:val="en-US"/>
        </w:rPr>
        <w:t xml:space="preserve">, respectively. </w:t>
      </w:r>
      <w:r w:rsidRPr="00430DDF">
        <w:rPr>
          <w:rFonts w:cs="Times New Roman"/>
          <w:sz w:val="24"/>
          <w:szCs w:val="24"/>
          <w:lang w:val="en-US"/>
        </w:rPr>
        <w:t xml:space="preserve">A value of </w:t>
      </w:r>
      <w:r w:rsidRPr="00430DDF">
        <w:rPr>
          <w:rFonts w:cs="Times New Roman"/>
          <w:i/>
          <w:sz w:val="24"/>
          <w:szCs w:val="24"/>
          <w:lang w:val="en-US"/>
        </w:rPr>
        <w:t>p</w:t>
      </w:r>
      <w:r w:rsidRPr="00430DDF">
        <w:rPr>
          <w:rFonts w:cs="Times New Roman"/>
          <w:sz w:val="24"/>
          <w:szCs w:val="24"/>
          <w:lang w:val="en-US"/>
        </w:rPr>
        <w:t>&lt;0.05 was considered to be statistically significant with *=</w:t>
      </w:r>
      <w:r w:rsidRPr="00430DDF">
        <w:rPr>
          <w:rFonts w:cs="Times New Roman"/>
          <w:i/>
          <w:sz w:val="24"/>
          <w:szCs w:val="24"/>
          <w:lang w:val="en-US"/>
        </w:rPr>
        <w:t>p</w:t>
      </w:r>
      <w:r w:rsidRPr="00430DDF">
        <w:rPr>
          <w:rFonts w:cs="Times New Roman"/>
          <w:sz w:val="24"/>
          <w:szCs w:val="24"/>
          <w:lang w:val="en-US"/>
        </w:rPr>
        <w:t>&lt;0.05; **=</w:t>
      </w:r>
      <w:r w:rsidRPr="00430DDF">
        <w:rPr>
          <w:rFonts w:cs="Times New Roman"/>
          <w:i/>
          <w:sz w:val="24"/>
          <w:szCs w:val="24"/>
          <w:lang w:val="en-US"/>
        </w:rPr>
        <w:t>p</w:t>
      </w:r>
      <w:r w:rsidRPr="00430DDF">
        <w:rPr>
          <w:rFonts w:cs="Times New Roman"/>
          <w:sz w:val="24"/>
          <w:szCs w:val="24"/>
          <w:lang w:val="en-US"/>
        </w:rPr>
        <w:t>&lt;0.01; ***=</w:t>
      </w:r>
      <w:r w:rsidRPr="00430DDF">
        <w:rPr>
          <w:rFonts w:cs="Times New Roman"/>
          <w:i/>
          <w:sz w:val="24"/>
          <w:szCs w:val="24"/>
          <w:lang w:val="en-US"/>
        </w:rPr>
        <w:t>p</w:t>
      </w:r>
      <w:r w:rsidRPr="00430DDF">
        <w:rPr>
          <w:rFonts w:cs="Times New Roman"/>
          <w:sz w:val="24"/>
          <w:szCs w:val="24"/>
          <w:lang w:val="en-US"/>
        </w:rPr>
        <w:t>&lt;0.001; ****=</w:t>
      </w:r>
      <w:r w:rsidRPr="00430DDF">
        <w:rPr>
          <w:rFonts w:cs="Times New Roman"/>
          <w:i/>
          <w:sz w:val="24"/>
          <w:szCs w:val="24"/>
          <w:lang w:val="en-US"/>
        </w:rPr>
        <w:t>p</w:t>
      </w:r>
      <w:r w:rsidRPr="00430DDF">
        <w:rPr>
          <w:rFonts w:cs="Times New Roman"/>
          <w:sz w:val="24"/>
          <w:szCs w:val="24"/>
          <w:lang w:val="en-US"/>
        </w:rPr>
        <w:t>&lt;0.0001; ns=not significant.</w:t>
      </w:r>
    </w:p>
    <w:p w:rsidR="00F2682C" w:rsidRPr="00430DDF" w:rsidRDefault="00F2682C" w:rsidP="00123003">
      <w:pPr>
        <w:spacing w:line="480" w:lineRule="auto"/>
        <w:jc w:val="both"/>
        <w:rPr>
          <w:sz w:val="24"/>
          <w:lang w:val="en-US"/>
        </w:rPr>
      </w:pPr>
    </w:p>
    <w:p w:rsidR="00D87CA8" w:rsidRPr="00430DDF" w:rsidRDefault="00D87CA8" w:rsidP="00123003">
      <w:pPr>
        <w:pStyle w:val="KeinLeerraum"/>
        <w:spacing w:line="480" w:lineRule="auto"/>
        <w:jc w:val="both"/>
        <w:rPr>
          <w:b/>
          <w:sz w:val="24"/>
          <w:lang w:val="en-US"/>
        </w:rPr>
      </w:pPr>
      <w:r w:rsidRPr="00430DDF">
        <w:rPr>
          <w:b/>
          <w:sz w:val="24"/>
          <w:lang w:val="en-US"/>
        </w:rPr>
        <w:t xml:space="preserve">Figure 2: Fecal water and urine of samples from </w:t>
      </w:r>
      <w:proofErr w:type="gramStart"/>
      <w:r w:rsidRPr="00430DDF">
        <w:rPr>
          <w:b/>
          <w:sz w:val="24"/>
          <w:lang w:val="en-US"/>
        </w:rPr>
        <w:t>AN</w:t>
      </w:r>
      <w:proofErr w:type="gramEnd"/>
      <w:r w:rsidRPr="00430DDF">
        <w:rPr>
          <w:b/>
          <w:sz w:val="24"/>
          <w:lang w:val="en-US"/>
        </w:rPr>
        <w:t xml:space="preserve"> participants show separate metabolite profiles and are less diverse compared to RA samples.</w:t>
      </w:r>
    </w:p>
    <w:p w:rsidR="00D87CA8" w:rsidRPr="00430DDF" w:rsidRDefault="00D87CA8" w:rsidP="00123003">
      <w:pPr>
        <w:spacing w:line="480" w:lineRule="auto"/>
        <w:jc w:val="both"/>
        <w:rPr>
          <w:sz w:val="24"/>
          <w:lang w:val="en-US"/>
        </w:rPr>
      </w:pPr>
      <w:r w:rsidRPr="00430DDF">
        <w:rPr>
          <w:sz w:val="24"/>
          <w:lang w:val="en-US"/>
        </w:rPr>
        <w:t>(</w:t>
      </w:r>
      <w:r w:rsidR="00123003">
        <w:rPr>
          <w:b/>
          <w:bCs/>
          <w:sz w:val="24"/>
          <w:lang w:val="en-US"/>
        </w:rPr>
        <w:t>A</w:t>
      </w:r>
      <w:r w:rsidRPr="00430DDF">
        <w:rPr>
          <w:sz w:val="24"/>
          <w:lang w:val="en-US"/>
        </w:rPr>
        <w:t xml:space="preserve">, </w:t>
      </w:r>
      <w:r w:rsidR="00123003">
        <w:rPr>
          <w:b/>
          <w:bCs/>
          <w:sz w:val="24"/>
          <w:lang w:val="en-US"/>
        </w:rPr>
        <w:t>B</w:t>
      </w:r>
      <w:r w:rsidRPr="00430DDF">
        <w:rPr>
          <w:sz w:val="24"/>
          <w:lang w:val="en-US"/>
        </w:rPr>
        <w:t xml:space="preserve">) Average </w:t>
      </w:r>
      <w:r w:rsidRPr="00430DDF">
        <w:rPr>
          <w:sz w:val="24"/>
          <w:vertAlign w:val="superscript"/>
          <w:lang w:val="en-US"/>
        </w:rPr>
        <w:t>1</w:t>
      </w:r>
      <w:r w:rsidRPr="00430DDF">
        <w:rPr>
          <w:sz w:val="24"/>
          <w:lang w:val="en-US"/>
        </w:rPr>
        <w:t>H-NMR spectrum of Alaska Native (AN) and rural African (RA) (</w:t>
      </w:r>
      <w:r w:rsidR="00123003">
        <w:rPr>
          <w:b/>
          <w:bCs/>
          <w:sz w:val="24"/>
          <w:lang w:val="en-US"/>
        </w:rPr>
        <w:t>A</w:t>
      </w:r>
      <w:r w:rsidRPr="00430DDF">
        <w:rPr>
          <w:sz w:val="24"/>
          <w:lang w:val="en-US"/>
        </w:rPr>
        <w:t>) fecal water or (</w:t>
      </w:r>
      <w:r w:rsidR="00123003">
        <w:rPr>
          <w:b/>
          <w:bCs/>
          <w:sz w:val="24"/>
          <w:lang w:val="en-US"/>
        </w:rPr>
        <w:t>B</w:t>
      </w:r>
      <w:r w:rsidRPr="00430DDF">
        <w:rPr>
          <w:sz w:val="24"/>
          <w:lang w:val="en-US"/>
        </w:rPr>
        <w:t>) urine samples with significant peaks shown in red (higher in AN participants) and blue (higher in RA participants) in top panels (see table 3 for metabolites and their chemical shifts). The corresponding bottom panels show the Skyline significance (-log</w:t>
      </w:r>
      <w:r w:rsidRPr="00430DDF">
        <w:rPr>
          <w:sz w:val="24"/>
          <w:vertAlign w:val="subscript"/>
          <w:lang w:val="en-US"/>
        </w:rPr>
        <w:t>10</w:t>
      </w:r>
      <w:r w:rsidRPr="00430DDF">
        <w:rPr>
          <w:sz w:val="24"/>
          <w:lang w:val="en-US"/>
        </w:rPr>
        <w:t xml:space="preserve"> Q-value × sign </w:t>
      </w:r>
      <w:r w:rsidRPr="00430DDF">
        <w:rPr>
          <w:sz w:val="24"/>
          <w:lang w:val="en-US"/>
        </w:rPr>
        <w:lastRenderedPageBreak/>
        <w:t>of regression coefficient β). The horizontal dashed lines indicate the False Discovery Rate (FDR) of 5% on the log</w:t>
      </w:r>
      <w:r w:rsidRPr="00430DDF">
        <w:rPr>
          <w:sz w:val="24"/>
          <w:vertAlign w:val="subscript"/>
          <w:lang w:val="en-US"/>
        </w:rPr>
        <w:t>10</w:t>
      </w:r>
      <w:r w:rsidRPr="00430DDF">
        <w:rPr>
          <w:sz w:val="24"/>
          <w:lang w:val="en-US"/>
        </w:rPr>
        <w:t xml:space="preserve"> scale. (</w:t>
      </w:r>
      <w:r w:rsidR="00123003">
        <w:rPr>
          <w:b/>
          <w:bCs/>
          <w:sz w:val="24"/>
          <w:lang w:val="en-US"/>
        </w:rPr>
        <w:t>C</w:t>
      </w:r>
      <w:r w:rsidRPr="00430DDF">
        <w:rPr>
          <w:sz w:val="24"/>
          <w:lang w:val="en-US"/>
        </w:rPr>
        <w:t xml:space="preserve">, </w:t>
      </w:r>
      <w:r w:rsidR="00123003">
        <w:rPr>
          <w:b/>
          <w:bCs/>
          <w:sz w:val="24"/>
          <w:lang w:val="en-US"/>
        </w:rPr>
        <w:t>D</w:t>
      </w:r>
      <w:r w:rsidRPr="00430DDF">
        <w:rPr>
          <w:sz w:val="24"/>
          <w:lang w:val="en-US"/>
        </w:rPr>
        <w:t xml:space="preserve">) Scores plot of the Monte-Carlo Cross-Validated Partial Least Squares Discriminant Analysis model </w:t>
      </w:r>
      <w:r w:rsidRPr="00430DDF">
        <w:rPr>
          <w:sz w:val="24"/>
          <w:lang w:val="en-US"/>
        </w:rPr>
        <w:fldChar w:fldCharType="begin"/>
      </w:r>
      <w:r w:rsidR="00836220">
        <w:rPr>
          <w:sz w:val="24"/>
          <w:lang w:val="en-US"/>
        </w:rPr>
        <w:instrText xml:space="preserve"> ADDIN ZOTERO_ITEM CSL_CITATION {"citationID":"a1gqf8aago0","properties":{"formattedCitation":"(21)","plainCitation":"(21)","noteIndex":0},"citationItems":[{"id":4017,"uris":["http://zotero.org/users/46719/items/ZN3YLS59"],"uri":["http://zotero.org/users/46719/items/ZN3YLS59"],"itemData":{"id":4017,"type":"article-journal","title":"Optimized Phenotypic Biomarker Discovery and Confounder Elimination via Covariate-Adjusted Projection to Latent Structures from Metabolic Spectroscopy Data","container-title":"Journal of Proteome Research","page":"1586-1595","volume":"17","issue":"4","source":"PubMed","abstract":"Metabolism is altered by genetics, diet, disease status, environment, and many other factors. Modeling either one of these is often done without considering the effects of the other covariates. Attributing differences in metabolic profile to one of these factors needs to be done while controlling for the metabolic influence of the rest. We describe here a data analysis framework and novel confounder-adjustment algorithm for multivariate analysis of metabolic profiling data. Using simulated data, we show that similar numbers of true associations and significantly less false positives are found compared to other commonly used methods. Covariate-adjusted projections to latent structures (CA-PLS) are exemplified here using a large-scale metabolic phenotyping study of two Chinese populations at different risks for cardiovascular disease. Using CA-PLS, we find that some previously reported differences are actually associated with external factors and discover a number of previously unreported biomarkers linked to different metabolic pathways. CA-PLS can be applied to any multivariate data where confounding may be an issue and the confounder-adjustment procedure is translatable to other multivariate regression techniques.","DOI":"10.1021/acs.jproteome.7b00879","ISSN":"1535-3907","note":"PMID: 29457906\nPMCID: PMC5891819","journalAbbreviation":"J. Proteome Res.","language":"eng","author":[{"family":"Posma","given":"Joram M."},{"family":"Garcia-Perez","given":"Isabel"},{"family":"Ebbels","given":"Timothy M. D."},{"family":"Lindon","given":"John C."},{"family":"Stamler","given":"Jeremiah"},{"family":"Elliott","given":"Paul"},{"family":"Holmes","given":"Elaine"},{"family":"Nicholson","given":"Jeremy K."}],"issued":{"date-parts":[["2018",4,6]]}}}],"schema":"https://github.com/citation-style-language/schema/raw/master/csl-citation.json"} </w:instrText>
      </w:r>
      <w:r w:rsidRPr="00430DDF">
        <w:rPr>
          <w:sz w:val="24"/>
          <w:lang w:val="en-US"/>
        </w:rPr>
        <w:fldChar w:fldCharType="separate"/>
      </w:r>
      <w:r w:rsidR="00836220" w:rsidRPr="00836220">
        <w:rPr>
          <w:rFonts w:ascii="Calibri" w:hAnsi="Calibri" w:cs="Calibri"/>
          <w:sz w:val="24"/>
          <w:lang w:val="en-US"/>
        </w:rPr>
        <w:t>(21)</w:t>
      </w:r>
      <w:r w:rsidRPr="00430DDF">
        <w:rPr>
          <w:sz w:val="24"/>
          <w:lang w:val="en-US"/>
        </w:rPr>
        <w:fldChar w:fldCharType="end"/>
      </w:r>
      <w:r w:rsidRPr="00430DDF">
        <w:rPr>
          <w:sz w:val="24"/>
          <w:lang w:val="en-US"/>
        </w:rPr>
        <w:t xml:space="preserve"> with Kernel Density Estimate (KDE) and model statistics displayed on top of (</w:t>
      </w:r>
      <w:r w:rsidR="00123003">
        <w:rPr>
          <w:b/>
          <w:bCs/>
          <w:sz w:val="24"/>
          <w:lang w:val="en-US"/>
        </w:rPr>
        <w:t>C</w:t>
      </w:r>
      <w:r w:rsidRPr="00430DDF">
        <w:rPr>
          <w:sz w:val="24"/>
          <w:lang w:val="en-US"/>
        </w:rPr>
        <w:t>) fecal water and (</w:t>
      </w:r>
      <w:r w:rsidR="00123003">
        <w:rPr>
          <w:b/>
          <w:bCs/>
          <w:sz w:val="24"/>
          <w:lang w:val="en-US"/>
        </w:rPr>
        <w:t>D</w:t>
      </w:r>
      <w:r w:rsidRPr="00430DDF">
        <w:rPr>
          <w:sz w:val="24"/>
          <w:lang w:val="en-US"/>
        </w:rPr>
        <w:t xml:space="preserve">) urinary data. Average score is displayed in a </w:t>
      </w:r>
      <w:proofErr w:type="gramStart"/>
      <w:r w:rsidRPr="00430DDF">
        <w:rPr>
          <w:sz w:val="24"/>
          <w:lang w:val="en-US"/>
        </w:rPr>
        <w:t>red cross</w:t>
      </w:r>
      <w:proofErr w:type="gramEnd"/>
      <w:r w:rsidRPr="00430DDF">
        <w:rPr>
          <w:sz w:val="24"/>
          <w:lang w:val="en-US"/>
        </w:rPr>
        <w:t xml:space="preserve"> (for AN participants) and blue circle (for RA participants). The x-axis shows the average scores of the first component of the model, the y-axis the second component, and the x-axis of the top panel shows the predicted overall score with the KDE (distribution of scores across all models). For both data sets the groups show distinct separation (model goodness of prediction (Q</w:t>
      </w:r>
      <w:r w:rsidRPr="00430DDF">
        <w:rPr>
          <w:sz w:val="24"/>
          <w:vertAlign w:val="superscript"/>
          <w:lang w:val="en-US"/>
        </w:rPr>
        <w:t>2</w:t>
      </w:r>
      <w:r w:rsidRPr="00430DDF">
        <w:rPr>
          <w:sz w:val="24"/>
          <w:vertAlign w:val="subscript"/>
          <w:lang w:val="en-US"/>
        </w:rPr>
        <w:t>Y</w:t>
      </w:r>
      <w:r w:rsidRPr="00430DDF">
        <w:rPr>
          <w:sz w:val="24"/>
          <w:lang w:val="en-US"/>
        </w:rPr>
        <w:t>) is (c) 0.65 with a high RCV of 0.74 or (d) 0.56 with a high RCV of 0.64).</w:t>
      </w:r>
      <w:r w:rsidR="00F2682C" w:rsidRPr="00F2682C">
        <w:rPr>
          <w:sz w:val="24"/>
          <w:szCs w:val="24"/>
          <w:lang w:val="en-US"/>
        </w:rPr>
        <w:t xml:space="preserve"> </w:t>
      </w:r>
      <w:r w:rsidR="00F2682C">
        <w:rPr>
          <w:sz w:val="24"/>
          <w:szCs w:val="24"/>
          <w:lang w:val="en-US"/>
        </w:rPr>
        <w:t>Statistical analysis was performed with n=</w:t>
      </w:r>
      <w:r w:rsidR="00F2682C" w:rsidRPr="000F7211">
        <w:rPr>
          <w:sz w:val="24"/>
          <w:szCs w:val="24"/>
          <w:lang w:val="en-US"/>
        </w:rPr>
        <w:t xml:space="preserve">48 urine (27 AN, 21 RA) and </w:t>
      </w:r>
      <w:r w:rsidR="00F2682C">
        <w:rPr>
          <w:sz w:val="24"/>
          <w:szCs w:val="24"/>
          <w:lang w:val="en-US"/>
        </w:rPr>
        <w:t>n=</w:t>
      </w:r>
      <w:r w:rsidR="00F2682C" w:rsidRPr="000F7211">
        <w:rPr>
          <w:sz w:val="24"/>
          <w:szCs w:val="24"/>
          <w:lang w:val="en-US"/>
        </w:rPr>
        <w:t>53 fecal water samples</w:t>
      </w:r>
      <w:r w:rsidR="00F2682C">
        <w:rPr>
          <w:sz w:val="24"/>
          <w:szCs w:val="24"/>
          <w:lang w:val="en-US"/>
        </w:rPr>
        <w:t>.</w:t>
      </w:r>
    </w:p>
    <w:p w:rsidR="00D87CA8" w:rsidRPr="00430DDF" w:rsidRDefault="00D87CA8" w:rsidP="00123003">
      <w:pPr>
        <w:pStyle w:val="KeinLeerraum"/>
        <w:spacing w:line="480" w:lineRule="auto"/>
        <w:jc w:val="both"/>
        <w:rPr>
          <w:b/>
          <w:sz w:val="24"/>
          <w:lang w:val="en-US"/>
        </w:rPr>
      </w:pPr>
      <w:r w:rsidRPr="00430DDF">
        <w:rPr>
          <w:b/>
          <w:sz w:val="24"/>
          <w:lang w:val="en-US"/>
        </w:rPr>
        <w:t xml:space="preserve">Figure 3: The fecal water/urinary metabolite profiles of </w:t>
      </w:r>
      <w:proofErr w:type="gramStart"/>
      <w:r w:rsidRPr="00430DDF">
        <w:rPr>
          <w:b/>
          <w:sz w:val="24"/>
          <w:lang w:val="en-US"/>
        </w:rPr>
        <w:t>AN</w:t>
      </w:r>
      <w:proofErr w:type="gramEnd"/>
      <w:r w:rsidRPr="00430DDF">
        <w:rPr>
          <w:b/>
          <w:sz w:val="24"/>
          <w:lang w:val="en-US"/>
        </w:rPr>
        <w:t xml:space="preserve"> participants cluster in separate metabolic networks and correlate with distinct microbial genera compared to RA participants.</w:t>
      </w:r>
    </w:p>
    <w:p w:rsidR="00D87CA8" w:rsidRPr="00430DDF" w:rsidRDefault="00D87CA8" w:rsidP="00123003">
      <w:pPr>
        <w:spacing w:line="480" w:lineRule="auto"/>
        <w:jc w:val="both"/>
        <w:rPr>
          <w:sz w:val="24"/>
          <w:lang w:val="en-US"/>
        </w:rPr>
      </w:pPr>
      <w:r w:rsidRPr="00430DDF">
        <w:rPr>
          <w:sz w:val="24"/>
          <w:lang w:val="en-US"/>
        </w:rPr>
        <w:t>(</w:t>
      </w:r>
      <w:r w:rsidR="00123003">
        <w:rPr>
          <w:b/>
          <w:bCs/>
          <w:sz w:val="24"/>
          <w:lang w:val="en-US"/>
        </w:rPr>
        <w:t>A</w:t>
      </w:r>
      <w:r w:rsidRPr="00430DDF">
        <w:rPr>
          <w:sz w:val="24"/>
          <w:lang w:val="en-US"/>
        </w:rPr>
        <w:t>) Metabolic reaction networks of metabolites found differentially expressed between Alaska Native (AN) and rural African (RA) participants’ urine and feces. The network shows links between metabolites, if the reaction entry in KEGG indicates a main reactant pair and the reaction is either mediated by (1) an enzyme linked to human genes, (2) an enzyme linked to genes from identified bacterial groups or (3) it is part of a spontaneous process. The color of the metabolites indicate whether the metabolite is found in higher concentrations in the AN (red), RA (blue) urine/feces, or whether the metabolites are not significantly associated with any comparison but are part of the metabolic network (white). (</w:t>
      </w:r>
      <w:r w:rsidR="00123003">
        <w:rPr>
          <w:b/>
          <w:bCs/>
          <w:sz w:val="24"/>
          <w:lang w:val="en-US"/>
        </w:rPr>
        <w:t>B</w:t>
      </w:r>
      <w:r w:rsidRPr="00430DDF">
        <w:rPr>
          <w:sz w:val="24"/>
          <w:lang w:val="en-US"/>
        </w:rPr>
        <w:t xml:space="preserve">) </w:t>
      </w:r>
      <w:proofErr w:type="spellStart"/>
      <w:r w:rsidRPr="00430DDF">
        <w:rPr>
          <w:sz w:val="24"/>
          <w:lang w:val="en-US"/>
        </w:rPr>
        <w:t>Heatmap</w:t>
      </w:r>
      <w:proofErr w:type="spellEnd"/>
      <w:r w:rsidRPr="00430DDF">
        <w:rPr>
          <w:sz w:val="24"/>
          <w:lang w:val="en-US"/>
        </w:rPr>
        <w:t xml:space="preserve"> of Spearman correlations between fecal and urinary metabolites associated with differences </w:t>
      </w:r>
      <w:r w:rsidR="005B2D92">
        <w:rPr>
          <w:sz w:val="24"/>
          <w:lang w:val="en-US"/>
        </w:rPr>
        <w:t>in</w:t>
      </w:r>
      <w:r w:rsidR="005B2D92" w:rsidRPr="00430DDF">
        <w:rPr>
          <w:sz w:val="24"/>
          <w:lang w:val="en-US"/>
        </w:rPr>
        <w:t xml:space="preserve"> </w:t>
      </w:r>
      <w:proofErr w:type="gramStart"/>
      <w:r w:rsidRPr="00430DDF">
        <w:rPr>
          <w:sz w:val="24"/>
          <w:lang w:val="en-US"/>
        </w:rPr>
        <w:t>AN and</w:t>
      </w:r>
      <w:proofErr w:type="gramEnd"/>
      <w:r w:rsidRPr="00430DDF">
        <w:rPr>
          <w:sz w:val="24"/>
          <w:lang w:val="en-US"/>
        </w:rPr>
        <w:t xml:space="preserve"> RA participants with 16S </w:t>
      </w:r>
      <w:proofErr w:type="spellStart"/>
      <w:r w:rsidRPr="00430DDF">
        <w:rPr>
          <w:sz w:val="24"/>
          <w:lang w:val="en-US"/>
        </w:rPr>
        <w:t>rRNA</w:t>
      </w:r>
      <w:proofErr w:type="spellEnd"/>
      <w:r w:rsidRPr="00430DDF">
        <w:rPr>
          <w:sz w:val="24"/>
          <w:lang w:val="en-US"/>
        </w:rPr>
        <w:t xml:space="preserve"> gene sequencing data. Correlations </w:t>
      </w:r>
      <w:r w:rsidRPr="00430DDF">
        <w:rPr>
          <w:sz w:val="24"/>
          <w:lang w:val="en-US"/>
        </w:rPr>
        <w:lastRenderedPageBreak/>
        <w:t xml:space="preserve">were adjusted for multiple testing using the </w:t>
      </w:r>
      <w:proofErr w:type="spellStart"/>
      <w:r w:rsidRPr="00430DDF">
        <w:rPr>
          <w:sz w:val="24"/>
          <w:lang w:val="en-US"/>
        </w:rPr>
        <w:t>Benjamini</w:t>
      </w:r>
      <w:proofErr w:type="spellEnd"/>
      <w:r w:rsidRPr="00430DDF">
        <w:rPr>
          <w:sz w:val="24"/>
          <w:lang w:val="en-US"/>
        </w:rPr>
        <w:t xml:space="preserve">-Hochberg FDR. Significant (at FDR of 1%) correlations are shown with a white ‘+’. A thick black line indicates a split between either kingdom (x-axis) and </w:t>
      </w:r>
      <w:proofErr w:type="spellStart"/>
      <w:r w:rsidRPr="00430DDF">
        <w:rPr>
          <w:sz w:val="24"/>
          <w:lang w:val="en-US"/>
        </w:rPr>
        <w:t>biofluid</w:t>
      </w:r>
      <w:proofErr w:type="spellEnd"/>
      <w:r w:rsidRPr="00430DDF">
        <w:rPr>
          <w:sz w:val="24"/>
          <w:lang w:val="en-US"/>
        </w:rPr>
        <w:t xml:space="preserve"> (y-axis), a solid line indicates different phyla and a dashed line indicates different class (x-axis) and different sign of association between AN and RA samples (y-axis). The color of the metabolites/microbial genera indicates whether it is found in greater concentrations in AN (red) or RA (blue) participants or if there is no significant difference between both groups (black).</w:t>
      </w:r>
      <w:r w:rsidR="00B95134">
        <w:rPr>
          <w:sz w:val="24"/>
          <w:lang w:val="en-US"/>
        </w:rPr>
        <w:t xml:space="preserve"> </w:t>
      </w:r>
      <w:r w:rsidR="00B95134">
        <w:rPr>
          <w:sz w:val="24"/>
          <w:szCs w:val="24"/>
          <w:lang w:val="en-US"/>
        </w:rPr>
        <w:t>Statistical analysis was performed with samples number</w:t>
      </w:r>
      <w:r w:rsidR="00E136F5">
        <w:rPr>
          <w:sz w:val="24"/>
          <w:szCs w:val="24"/>
          <w:lang w:val="en-US"/>
        </w:rPr>
        <w:t>s as listed for previous analyse</w:t>
      </w:r>
      <w:r w:rsidR="00B95134">
        <w:rPr>
          <w:sz w:val="24"/>
          <w:szCs w:val="24"/>
          <w:lang w:val="en-US"/>
        </w:rPr>
        <w:t>s in Fig. 1 and 2.</w:t>
      </w:r>
    </w:p>
    <w:p w:rsidR="00D87CA8" w:rsidRPr="00430DDF" w:rsidRDefault="00D87CA8" w:rsidP="00123003">
      <w:pPr>
        <w:pStyle w:val="KeinLeerraum"/>
        <w:spacing w:line="480" w:lineRule="auto"/>
        <w:jc w:val="both"/>
        <w:rPr>
          <w:b/>
          <w:sz w:val="24"/>
          <w:lang w:val="en-US"/>
        </w:rPr>
      </w:pPr>
      <w:r w:rsidRPr="00430DDF">
        <w:rPr>
          <w:b/>
          <w:sz w:val="24"/>
          <w:lang w:val="en-US"/>
        </w:rPr>
        <w:t xml:space="preserve">Figure 4: Levels of SCFA are significantly lower in </w:t>
      </w:r>
      <w:proofErr w:type="gramStart"/>
      <w:r w:rsidRPr="00430DDF">
        <w:rPr>
          <w:b/>
          <w:sz w:val="24"/>
          <w:lang w:val="en-US"/>
        </w:rPr>
        <w:t>AN</w:t>
      </w:r>
      <w:proofErr w:type="gramEnd"/>
      <w:r w:rsidRPr="00430DDF">
        <w:rPr>
          <w:b/>
          <w:sz w:val="24"/>
          <w:lang w:val="en-US"/>
        </w:rPr>
        <w:t xml:space="preserve"> compared to RA fecal samples, not correlating with the abundance of bacterial genes involved in butyrate synthesis.</w:t>
      </w:r>
    </w:p>
    <w:p w:rsidR="00D87CA8" w:rsidRPr="00430DDF" w:rsidRDefault="00D87CA8" w:rsidP="00123003">
      <w:pPr>
        <w:spacing w:line="480" w:lineRule="auto"/>
        <w:jc w:val="both"/>
        <w:rPr>
          <w:sz w:val="24"/>
          <w:lang w:val="en-US"/>
        </w:rPr>
      </w:pPr>
      <w:r w:rsidRPr="00430DDF">
        <w:rPr>
          <w:sz w:val="24"/>
          <w:lang w:val="en-US"/>
        </w:rPr>
        <w:t>Levels of (</w:t>
      </w:r>
      <w:r w:rsidR="00123003">
        <w:rPr>
          <w:b/>
          <w:bCs/>
          <w:sz w:val="24"/>
          <w:lang w:val="en-US"/>
        </w:rPr>
        <w:t>A</w:t>
      </w:r>
      <w:r w:rsidRPr="00430DDF">
        <w:rPr>
          <w:sz w:val="24"/>
          <w:lang w:val="en-US"/>
        </w:rPr>
        <w:t>) acetic acid, (</w:t>
      </w:r>
      <w:r w:rsidR="00123003">
        <w:rPr>
          <w:b/>
          <w:bCs/>
          <w:sz w:val="24"/>
          <w:lang w:val="en-US"/>
        </w:rPr>
        <w:t>B</w:t>
      </w:r>
      <w:r w:rsidRPr="00430DDF">
        <w:rPr>
          <w:sz w:val="24"/>
          <w:lang w:val="en-US"/>
        </w:rPr>
        <w:t>) propionic acid, (</w:t>
      </w:r>
      <w:r w:rsidR="00123003">
        <w:rPr>
          <w:b/>
          <w:bCs/>
          <w:sz w:val="24"/>
          <w:lang w:val="en-US"/>
        </w:rPr>
        <w:t>C</w:t>
      </w:r>
      <w:r w:rsidRPr="00430DDF">
        <w:rPr>
          <w:sz w:val="24"/>
          <w:lang w:val="en-US"/>
        </w:rPr>
        <w:t>) butyric acid and (</w:t>
      </w:r>
      <w:r w:rsidR="00123003">
        <w:rPr>
          <w:b/>
          <w:bCs/>
          <w:sz w:val="24"/>
          <w:lang w:val="en-US"/>
        </w:rPr>
        <w:t>D</w:t>
      </w:r>
      <w:r w:rsidRPr="00430DDF">
        <w:rPr>
          <w:sz w:val="24"/>
          <w:lang w:val="en-US"/>
        </w:rPr>
        <w:t>) total short-chain fatty acids (SCFA) detected by GC in feces of Alaska Native (AN) and rural African (RA) participants. (</w:t>
      </w:r>
      <w:r w:rsidR="00123003">
        <w:rPr>
          <w:b/>
          <w:bCs/>
          <w:sz w:val="24"/>
          <w:lang w:val="en-US"/>
        </w:rPr>
        <w:t>E</w:t>
      </w:r>
      <w:r w:rsidRPr="00430DDF">
        <w:rPr>
          <w:sz w:val="24"/>
          <w:lang w:val="en-US"/>
        </w:rPr>
        <w:t xml:space="preserve">) Percentaged ratio of major SCFA to total levels of SCFA in feces of </w:t>
      </w:r>
      <w:proofErr w:type="gramStart"/>
      <w:r w:rsidRPr="00430DDF">
        <w:rPr>
          <w:sz w:val="24"/>
          <w:lang w:val="en-US"/>
        </w:rPr>
        <w:t>AN and</w:t>
      </w:r>
      <w:proofErr w:type="gramEnd"/>
      <w:r w:rsidRPr="00430DDF">
        <w:rPr>
          <w:sz w:val="24"/>
          <w:lang w:val="en-US"/>
        </w:rPr>
        <w:t xml:space="preserve"> RA participants. Gene copy numbers of the (</w:t>
      </w:r>
      <w:r w:rsidR="00123003">
        <w:rPr>
          <w:b/>
          <w:bCs/>
          <w:sz w:val="24"/>
          <w:lang w:val="en-US"/>
        </w:rPr>
        <w:t>F</w:t>
      </w:r>
      <w:r w:rsidRPr="00430DDF">
        <w:rPr>
          <w:sz w:val="24"/>
          <w:lang w:val="en-US"/>
        </w:rPr>
        <w:t xml:space="preserve">) </w:t>
      </w:r>
      <w:proofErr w:type="spellStart"/>
      <w:r w:rsidRPr="00430DDF">
        <w:rPr>
          <w:sz w:val="24"/>
          <w:lang w:val="en-US"/>
        </w:rPr>
        <w:t>butyryl</w:t>
      </w:r>
      <w:proofErr w:type="spellEnd"/>
      <w:r w:rsidRPr="00430DDF">
        <w:rPr>
          <w:sz w:val="24"/>
          <w:lang w:val="en-US"/>
        </w:rPr>
        <w:t xml:space="preserve"> coenzyme A (CoA):acetate-CoA transferase (</w:t>
      </w:r>
      <w:proofErr w:type="spellStart"/>
      <w:r w:rsidRPr="00430DDF">
        <w:rPr>
          <w:i/>
          <w:iCs/>
          <w:sz w:val="24"/>
          <w:lang w:val="en-US"/>
        </w:rPr>
        <w:t>bcoA</w:t>
      </w:r>
      <w:proofErr w:type="spellEnd"/>
      <w:r w:rsidRPr="00430DDF">
        <w:rPr>
          <w:sz w:val="24"/>
          <w:lang w:val="en-US"/>
        </w:rPr>
        <w:t>) and (</w:t>
      </w:r>
      <w:r w:rsidR="00123003">
        <w:rPr>
          <w:b/>
          <w:bCs/>
          <w:sz w:val="24"/>
          <w:lang w:val="en-US"/>
        </w:rPr>
        <w:t>G</w:t>
      </w:r>
      <w:r w:rsidRPr="00430DDF">
        <w:rPr>
          <w:sz w:val="24"/>
          <w:lang w:val="en-US"/>
        </w:rPr>
        <w:t>) butyrate kinase (</w:t>
      </w:r>
      <w:proofErr w:type="spellStart"/>
      <w:r w:rsidRPr="00430DDF">
        <w:rPr>
          <w:i/>
          <w:iCs/>
          <w:sz w:val="24"/>
          <w:lang w:val="en-US"/>
        </w:rPr>
        <w:t>buk</w:t>
      </w:r>
      <w:proofErr w:type="spellEnd"/>
      <w:r w:rsidRPr="00430DDF">
        <w:rPr>
          <w:sz w:val="24"/>
          <w:lang w:val="en-US"/>
        </w:rPr>
        <w:t>) representative for butyrate-producing bacteria, (</w:t>
      </w:r>
      <w:r w:rsidR="00123003">
        <w:rPr>
          <w:b/>
          <w:bCs/>
          <w:sz w:val="24"/>
          <w:lang w:val="en-US"/>
        </w:rPr>
        <w:t>H</w:t>
      </w:r>
      <w:r w:rsidRPr="00430DDF">
        <w:rPr>
          <w:sz w:val="24"/>
          <w:lang w:val="en-US"/>
        </w:rPr>
        <w:t>)</w:t>
      </w:r>
      <w:r w:rsidRPr="00430DDF">
        <w:rPr>
          <w:i/>
          <w:iCs/>
          <w:sz w:val="24"/>
          <w:lang w:val="en-US"/>
        </w:rPr>
        <w:t xml:space="preserve"> </w:t>
      </w:r>
      <w:r w:rsidRPr="00430DDF">
        <w:rPr>
          <w:sz w:val="24"/>
          <w:lang w:val="en-US"/>
        </w:rPr>
        <w:t>the dissimilatory sulfite reductase subunit A (</w:t>
      </w:r>
      <w:proofErr w:type="spellStart"/>
      <w:r w:rsidRPr="00430DDF">
        <w:rPr>
          <w:i/>
          <w:iCs/>
          <w:sz w:val="24"/>
          <w:lang w:val="en-US"/>
        </w:rPr>
        <w:t>dsrA</w:t>
      </w:r>
      <w:proofErr w:type="spellEnd"/>
      <w:r w:rsidRPr="00430DDF">
        <w:rPr>
          <w:sz w:val="24"/>
          <w:lang w:val="en-US"/>
        </w:rPr>
        <w:t>) representative for sulfate-reducing bacteria and (</w:t>
      </w:r>
      <w:r w:rsidR="00123003">
        <w:rPr>
          <w:b/>
          <w:bCs/>
          <w:sz w:val="24"/>
          <w:lang w:val="en-US"/>
        </w:rPr>
        <w:t>I</w:t>
      </w:r>
      <w:r w:rsidRPr="00430DDF">
        <w:rPr>
          <w:sz w:val="24"/>
          <w:lang w:val="en-US"/>
        </w:rPr>
        <w:t>) the methyl coenzyme-M reductase A (</w:t>
      </w:r>
      <w:proofErr w:type="spellStart"/>
      <w:r w:rsidRPr="00430DDF">
        <w:rPr>
          <w:i/>
          <w:iCs/>
          <w:sz w:val="24"/>
          <w:lang w:val="en-US"/>
        </w:rPr>
        <w:t>mcrA</w:t>
      </w:r>
      <w:proofErr w:type="spellEnd"/>
      <w:r w:rsidRPr="00430DDF">
        <w:rPr>
          <w:sz w:val="24"/>
          <w:lang w:val="en-US"/>
        </w:rPr>
        <w:t xml:space="preserve">) involved in production of methane by </w:t>
      </w:r>
      <w:r w:rsidRPr="00430DDF">
        <w:rPr>
          <w:i/>
          <w:iCs/>
          <w:sz w:val="24"/>
          <w:lang w:val="en-US"/>
        </w:rPr>
        <w:t xml:space="preserve">Archaea </w:t>
      </w:r>
      <w:r w:rsidRPr="00430DDF">
        <w:rPr>
          <w:sz w:val="24"/>
          <w:lang w:val="en-US"/>
        </w:rPr>
        <w:t xml:space="preserve">in the AN and RA fecal microbiota using qPCR. Dashed line indicates detection limit of qPCR. </w:t>
      </w:r>
      <w:r w:rsidR="00B95134">
        <w:rPr>
          <w:rFonts w:cs="Times New Roman"/>
          <w:sz w:val="24"/>
          <w:szCs w:val="24"/>
          <w:lang w:val="en-US"/>
        </w:rPr>
        <w:t xml:space="preserve">Statistical analysis </w:t>
      </w:r>
      <w:r w:rsidR="00B95134" w:rsidRPr="00123003">
        <w:rPr>
          <w:rFonts w:cs="Times New Roman"/>
          <w:sz w:val="24"/>
          <w:szCs w:val="24"/>
          <w:lang w:val="en-US"/>
        </w:rPr>
        <w:t>was performed by unpaired t-test (data normally distributed) or non-parametric Mann-Whitney-U-test (data not normally distributed)</w:t>
      </w:r>
      <w:r w:rsidR="00B95134">
        <w:rPr>
          <w:rFonts w:cs="Times New Roman"/>
          <w:sz w:val="24"/>
          <w:szCs w:val="24"/>
          <w:lang w:val="en-US"/>
        </w:rPr>
        <w:t xml:space="preserve"> with </w:t>
      </w:r>
      <w:r w:rsidR="00B95134">
        <w:rPr>
          <w:sz w:val="24"/>
          <w:lang w:val="en-US"/>
        </w:rPr>
        <w:t>AN n=32, RA n=21 samples.</w:t>
      </w:r>
      <w:r w:rsidR="00B95134">
        <w:rPr>
          <w:rFonts w:cs="Times New Roman"/>
          <w:sz w:val="24"/>
          <w:szCs w:val="24"/>
          <w:lang w:val="en-US"/>
        </w:rPr>
        <w:t xml:space="preserve"> </w:t>
      </w:r>
      <w:r w:rsidRPr="00430DDF">
        <w:rPr>
          <w:rFonts w:cs="Times New Roman"/>
          <w:sz w:val="24"/>
          <w:szCs w:val="24"/>
          <w:lang w:val="en-US"/>
        </w:rPr>
        <w:t xml:space="preserve">A value of </w:t>
      </w:r>
      <w:r w:rsidRPr="00430DDF">
        <w:rPr>
          <w:rFonts w:cs="Times New Roman"/>
          <w:i/>
          <w:sz w:val="24"/>
          <w:szCs w:val="24"/>
          <w:lang w:val="en-US"/>
        </w:rPr>
        <w:t>p</w:t>
      </w:r>
      <w:r w:rsidRPr="00430DDF">
        <w:rPr>
          <w:rFonts w:cs="Times New Roman"/>
          <w:sz w:val="24"/>
          <w:szCs w:val="24"/>
          <w:lang w:val="en-US"/>
        </w:rPr>
        <w:t>&lt;0.05 was considered to be statistically significant with *=</w:t>
      </w:r>
      <w:r w:rsidRPr="00430DDF">
        <w:rPr>
          <w:rFonts w:cs="Times New Roman"/>
          <w:i/>
          <w:sz w:val="24"/>
          <w:szCs w:val="24"/>
          <w:lang w:val="en-US"/>
        </w:rPr>
        <w:t>p</w:t>
      </w:r>
      <w:r w:rsidRPr="00430DDF">
        <w:rPr>
          <w:rFonts w:cs="Times New Roman"/>
          <w:sz w:val="24"/>
          <w:szCs w:val="24"/>
          <w:lang w:val="en-US"/>
        </w:rPr>
        <w:t>&lt;0.05; **=</w:t>
      </w:r>
      <w:r w:rsidRPr="00430DDF">
        <w:rPr>
          <w:rFonts w:cs="Times New Roman"/>
          <w:i/>
          <w:sz w:val="24"/>
          <w:szCs w:val="24"/>
          <w:lang w:val="en-US"/>
        </w:rPr>
        <w:t>p</w:t>
      </w:r>
      <w:r w:rsidRPr="00430DDF">
        <w:rPr>
          <w:rFonts w:cs="Times New Roman"/>
          <w:sz w:val="24"/>
          <w:szCs w:val="24"/>
          <w:lang w:val="en-US"/>
        </w:rPr>
        <w:t>&lt;0.01; ***=</w:t>
      </w:r>
      <w:r w:rsidRPr="00430DDF">
        <w:rPr>
          <w:rFonts w:cs="Times New Roman"/>
          <w:i/>
          <w:sz w:val="24"/>
          <w:szCs w:val="24"/>
          <w:lang w:val="en-US"/>
        </w:rPr>
        <w:t>p</w:t>
      </w:r>
      <w:r w:rsidRPr="00430DDF">
        <w:rPr>
          <w:rFonts w:cs="Times New Roman"/>
          <w:sz w:val="24"/>
          <w:szCs w:val="24"/>
          <w:lang w:val="en-US"/>
        </w:rPr>
        <w:t>&lt;0.001; ****=</w:t>
      </w:r>
      <w:r w:rsidRPr="00430DDF">
        <w:rPr>
          <w:rFonts w:cs="Times New Roman"/>
          <w:i/>
          <w:sz w:val="24"/>
          <w:szCs w:val="24"/>
          <w:lang w:val="en-US"/>
        </w:rPr>
        <w:t>p</w:t>
      </w:r>
      <w:r w:rsidRPr="00430DDF">
        <w:rPr>
          <w:rFonts w:cs="Times New Roman"/>
          <w:sz w:val="24"/>
          <w:szCs w:val="24"/>
          <w:lang w:val="en-US"/>
        </w:rPr>
        <w:t>&lt;0.0001.</w:t>
      </w:r>
    </w:p>
    <w:p w:rsidR="00D87CA8" w:rsidRPr="00430DDF" w:rsidRDefault="00D87CA8" w:rsidP="00123003">
      <w:pPr>
        <w:pStyle w:val="KeinLeerraum"/>
        <w:spacing w:line="480" w:lineRule="auto"/>
        <w:jc w:val="both"/>
        <w:rPr>
          <w:b/>
          <w:sz w:val="24"/>
          <w:lang w:val="en-US"/>
        </w:rPr>
      </w:pPr>
      <w:r w:rsidRPr="00430DDF">
        <w:rPr>
          <w:b/>
          <w:sz w:val="24"/>
          <w:lang w:val="en-US"/>
        </w:rPr>
        <w:lastRenderedPageBreak/>
        <w:t xml:space="preserve">Figure 5: Levels of major primary and secondary bile acids are higher in </w:t>
      </w:r>
      <w:proofErr w:type="gramStart"/>
      <w:r w:rsidRPr="00430DDF">
        <w:rPr>
          <w:b/>
          <w:sz w:val="24"/>
          <w:lang w:val="en-US"/>
        </w:rPr>
        <w:t>AN</w:t>
      </w:r>
      <w:proofErr w:type="gramEnd"/>
      <w:r w:rsidRPr="00430DDF">
        <w:rPr>
          <w:b/>
          <w:sz w:val="24"/>
          <w:lang w:val="en-US"/>
        </w:rPr>
        <w:t xml:space="preserve"> compared to RA fecal samples, consistent with a greater capacity for bile acid conversion and independent of conjugation status. </w:t>
      </w:r>
    </w:p>
    <w:p w:rsidR="00EC1508" w:rsidRPr="00430DDF" w:rsidRDefault="00D87CA8" w:rsidP="00123003">
      <w:pPr>
        <w:spacing w:line="480" w:lineRule="auto"/>
        <w:jc w:val="both"/>
        <w:rPr>
          <w:rFonts w:cs="Times New Roman"/>
          <w:sz w:val="24"/>
          <w:szCs w:val="24"/>
          <w:lang w:val="en-US"/>
        </w:rPr>
      </w:pPr>
      <w:r w:rsidRPr="00430DDF">
        <w:rPr>
          <w:sz w:val="24"/>
          <w:lang w:val="en-US"/>
        </w:rPr>
        <w:t>Levels of (</w:t>
      </w:r>
      <w:r w:rsidR="00123003">
        <w:rPr>
          <w:b/>
          <w:bCs/>
          <w:sz w:val="24"/>
          <w:lang w:val="en-US"/>
        </w:rPr>
        <w:t>A</w:t>
      </w:r>
      <w:r w:rsidRPr="00430DDF">
        <w:rPr>
          <w:sz w:val="24"/>
          <w:lang w:val="en-US"/>
        </w:rPr>
        <w:t xml:space="preserve">) </w:t>
      </w:r>
      <w:proofErr w:type="spellStart"/>
      <w:r w:rsidRPr="00430DDF">
        <w:rPr>
          <w:sz w:val="24"/>
          <w:lang w:val="en-US"/>
        </w:rPr>
        <w:t>cholic</w:t>
      </w:r>
      <w:proofErr w:type="spellEnd"/>
      <w:r w:rsidRPr="00430DDF">
        <w:rPr>
          <w:sz w:val="24"/>
          <w:lang w:val="en-US"/>
        </w:rPr>
        <w:t xml:space="preserve"> acid (CA), (</w:t>
      </w:r>
      <w:r w:rsidR="00123003">
        <w:rPr>
          <w:b/>
          <w:bCs/>
          <w:sz w:val="24"/>
          <w:lang w:val="en-US"/>
        </w:rPr>
        <w:t>B</w:t>
      </w:r>
      <w:r w:rsidRPr="00430DDF">
        <w:rPr>
          <w:sz w:val="24"/>
          <w:lang w:val="en-US"/>
        </w:rPr>
        <w:t xml:space="preserve">) </w:t>
      </w:r>
      <w:proofErr w:type="spellStart"/>
      <w:r w:rsidRPr="00430DDF">
        <w:rPr>
          <w:sz w:val="24"/>
          <w:lang w:val="en-US"/>
        </w:rPr>
        <w:t>chenodeoxycholic</w:t>
      </w:r>
      <w:proofErr w:type="spellEnd"/>
      <w:r w:rsidRPr="00430DDF">
        <w:rPr>
          <w:sz w:val="24"/>
          <w:lang w:val="en-US"/>
        </w:rPr>
        <w:t xml:space="preserve"> acid (CDCA), (</w:t>
      </w:r>
      <w:r w:rsidR="00123003">
        <w:rPr>
          <w:b/>
          <w:bCs/>
          <w:sz w:val="24"/>
          <w:lang w:val="en-US"/>
        </w:rPr>
        <w:t>C</w:t>
      </w:r>
      <w:r w:rsidRPr="00430DDF">
        <w:rPr>
          <w:sz w:val="24"/>
          <w:lang w:val="en-US"/>
        </w:rPr>
        <w:t>) deoxycholic acid (DCA) detected by LC-MS in feces of Alaska Native (AN) and rural African (RA) participants. (</w:t>
      </w:r>
      <w:r w:rsidR="00123003">
        <w:rPr>
          <w:b/>
          <w:bCs/>
          <w:sz w:val="24"/>
          <w:lang w:val="en-US"/>
        </w:rPr>
        <w:t>D</w:t>
      </w:r>
      <w:r w:rsidRPr="00430DDF">
        <w:rPr>
          <w:sz w:val="24"/>
          <w:lang w:val="en-US"/>
        </w:rPr>
        <w:t xml:space="preserve">) Gene copy numbers of </w:t>
      </w:r>
      <w:proofErr w:type="spellStart"/>
      <w:r w:rsidRPr="00430DDF">
        <w:rPr>
          <w:i/>
          <w:iCs/>
          <w:sz w:val="24"/>
          <w:lang w:val="en-US"/>
        </w:rPr>
        <w:t>baiCD</w:t>
      </w:r>
      <w:proofErr w:type="spellEnd"/>
      <w:r w:rsidRPr="00430DDF">
        <w:rPr>
          <w:sz w:val="24"/>
          <w:lang w:val="en-US"/>
        </w:rPr>
        <w:t xml:space="preserve"> representative for 7α-dehydroxylating bacteria detected in the fecal microbiota of </w:t>
      </w:r>
      <w:proofErr w:type="gramStart"/>
      <w:r w:rsidRPr="00430DDF">
        <w:rPr>
          <w:sz w:val="24"/>
          <w:lang w:val="en-US"/>
        </w:rPr>
        <w:t>AN and</w:t>
      </w:r>
      <w:proofErr w:type="gramEnd"/>
      <w:r w:rsidRPr="00430DDF">
        <w:rPr>
          <w:sz w:val="24"/>
          <w:lang w:val="en-US"/>
        </w:rPr>
        <w:t xml:space="preserve"> RA participants by qPCR. Dashed line indicates detection limit of qPCR. Levels of (</w:t>
      </w:r>
      <w:r w:rsidR="00123003">
        <w:rPr>
          <w:b/>
          <w:bCs/>
          <w:sz w:val="24"/>
          <w:lang w:val="en-US"/>
        </w:rPr>
        <w:t>E</w:t>
      </w:r>
      <w:r w:rsidRPr="00430DDF">
        <w:rPr>
          <w:sz w:val="24"/>
          <w:lang w:val="en-US"/>
        </w:rPr>
        <w:t xml:space="preserve">) </w:t>
      </w:r>
      <w:proofErr w:type="spellStart"/>
      <w:r w:rsidRPr="00430DDF">
        <w:rPr>
          <w:sz w:val="24"/>
          <w:lang w:val="en-US"/>
        </w:rPr>
        <w:t>lithocholic</w:t>
      </w:r>
      <w:proofErr w:type="spellEnd"/>
      <w:r w:rsidRPr="00430DDF">
        <w:rPr>
          <w:sz w:val="24"/>
          <w:lang w:val="en-US"/>
        </w:rPr>
        <w:t xml:space="preserve"> acid (LCA), (</w:t>
      </w:r>
      <w:r w:rsidR="00123003">
        <w:rPr>
          <w:b/>
          <w:bCs/>
          <w:sz w:val="24"/>
          <w:lang w:val="en-US"/>
        </w:rPr>
        <w:t>F</w:t>
      </w:r>
      <w:r w:rsidRPr="00430DDF">
        <w:rPr>
          <w:sz w:val="24"/>
          <w:lang w:val="en-US"/>
        </w:rPr>
        <w:t xml:space="preserve">) </w:t>
      </w:r>
      <w:proofErr w:type="spellStart"/>
      <w:r w:rsidRPr="00430DDF">
        <w:rPr>
          <w:sz w:val="24"/>
          <w:lang w:val="en-US"/>
        </w:rPr>
        <w:t>ursodeoxycholic</w:t>
      </w:r>
      <w:proofErr w:type="spellEnd"/>
      <w:r w:rsidRPr="00430DDF">
        <w:rPr>
          <w:sz w:val="24"/>
          <w:lang w:val="en-US"/>
        </w:rPr>
        <w:t xml:space="preserve"> acid (UDCA), bile acids conjugated to (</w:t>
      </w:r>
      <w:r w:rsidR="00123003">
        <w:rPr>
          <w:b/>
          <w:bCs/>
          <w:sz w:val="24"/>
          <w:lang w:val="en-US"/>
        </w:rPr>
        <w:t>G</w:t>
      </w:r>
      <w:r w:rsidRPr="00430DDF">
        <w:rPr>
          <w:sz w:val="24"/>
          <w:lang w:val="en-US"/>
        </w:rPr>
        <w:t>) glycine (</w:t>
      </w:r>
      <w:proofErr w:type="spellStart"/>
      <w:r w:rsidRPr="00430DDF">
        <w:rPr>
          <w:sz w:val="24"/>
          <w:lang w:val="en-US"/>
        </w:rPr>
        <w:t>glycocholic</w:t>
      </w:r>
      <w:proofErr w:type="spellEnd"/>
      <w:r w:rsidRPr="00430DDF">
        <w:rPr>
          <w:sz w:val="24"/>
          <w:lang w:val="en-US"/>
        </w:rPr>
        <w:t xml:space="preserve"> acid (GCA), </w:t>
      </w:r>
      <w:proofErr w:type="spellStart"/>
      <w:r w:rsidRPr="00430DDF">
        <w:rPr>
          <w:sz w:val="24"/>
          <w:lang w:val="en-US"/>
        </w:rPr>
        <w:t>glycochenodeoxycholic</w:t>
      </w:r>
      <w:proofErr w:type="spellEnd"/>
      <w:r w:rsidRPr="00430DDF">
        <w:rPr>
          <w:sz w:val="24"/>
          <w:lang w:val="en-US"/>
        </w:rPr>
        <w:t xml:space="preserve"> acid (GCDCA), </w:t>
      </w:r>
      <w:proofErr w:type="spellStart"/>
      <w:r w:rsidRPr="00430DDF">
        <w:rPr>
          <w:sz w:val="24"/>
          <w:lang w:val="en-US"/>
        </w:rPr>
        <w:t>glycodeoxycholic</w:t>
      </w:r>
      <w:proofErr w:type="spellEnd"/>
      <w:r w:rsidRPr="00430DDF">
        <w:rPr>
          <w:sz w:val="24"/>
          <w:lang w:val="en-US"/>
        </w:rPr>
        <w:t xml:space="preserve"> acid (GDCA)) or (</w:t>
      </w:r>
      <w:r w:rsidR="00123003">
        <w:rPr>
          <w:b/>
          <w:bCs/>
          <w:sz w:val="24"/>
          <w:lang w:val="en-US"/>
        </w:rPr>
        <w:t>H</w:t>
      </w:r>
      <w:r w:rsidRPr="00430DDF">
        <w:rPr>
          <w:sz w:val="24"/>
          <w:lang w:val="en-US"/>
        </w:rPr>
        <w:t>) taurine (</w:t>
      </w:r>
      <w:proofErr w:type="spellStart"/>
      <w:r w:rsidRPr="00430DDF">
        <w:rPr>
          <w:sz w:val="24"/>
          <w:lang w:val="en-US"/>
        </w:rPr>
        <w:t>taurocholic</w:t>
      </w:r>
      <w:proofErr w:type="spellEnd"/>
      <w:r w:rsidRPr="00430DDF">
        <w:rPr>
          <w:sz w:val="24"/>
          <w:lang w:val="en-US"/>
        </w:rPr>
        <w:t xml:space="preserve"> acid (TCA), </w:t>
      </w:r>
      <w:proofErr w:type="spellStart"/>
      <w:r w:rsidRPr="00430DDF">
        <w:rPr>
          <w:sz w:val="24"/>
          <w:lang w:val="en-US"/>
        </w:rPr>
        <w:t>taurochenodeoxycholic</w:t>
      </w:r>
      <w:proofErr w:type="spellEnd"/>
      <w:r w:rsidRPr="00430DDF">
        <w:rPr>
          <w:sz w:val="24"/>
          <w:lang w:val="en-US"/>
        </w:rPr>
        <w:t xml:space="preserve"> acid (TCDCA), </w:t>
      </w:r>
      <w:proofErr w:type="spellStart"/>
      <w:r w:rsidRPr="00430DDF">
        <w:rPr>
          <w:sz w:val="24"/>
          <w:lang w:val="en-US"/>
        </w:rPr>
        <w:t>taurodeoxycholic</w:t>
      </w:r>
      <w:proofErr w:type="spellEnd"/>
      <w:r w:rsidRPr="00430DDF">
        <w:rPr>
          <w:sz w:val="24"/>
          <w:lang w:val="en-US"/>
        </w:rPr>
        <w:t xml:space="preserve"> acid (TDCA)) detected by LC-MS in AN and RA fecal samples. </w:t>
      </w:r>
      <w:r w:rsidR="00B95134">
        <w:rPr>
          <w:rFonts w:cs="Times New Roman"/>
          <w:sz w:val="24"/>
          <w:szCs w:val="24"/>
          <w:lang w:val="en-US"/>
        </w:rPr>
        <w:t xml:space="preserve">Statistical analysis </w:t>
      </w:r>
      <w:r w:rsidR="00B95134" w:rsidRPr="00123003">
        <w:rPr>
          <w:rFonts w:cs="Times New Roman"/>
          <w:sz w:val="24"/>
          <w:szCs w:val="24"/>
          <w:lang w:val="en-US"/>
        </w:rPr>
        <w:t>was performed by unpaired t-test (data normally distributed) or non-parametric Mann-Whitney-U-test (data not normally distributed)</w:t>
      </w:r>
      <w:r w:rsidR="00B95134">
        <w:rPr>
          <w:rFonts w:cs="Times New Roman"/>
          <w:sz w:val="24"/>
          <w:szCs w:val="24"/>
          <w:lang w:val="en-US"/>
        </w:rPr>
        <w:t xml:space="preserve"> with </w:t>
      </w:r>
      <w:r w:rsidR="00B95134">
        <w:rPr>
          <w:sz w:val="24"/>
          <w:lang w:val="en-US"/>
        </w:rPr>
        <w:t>AN n=32, RA n=21 samples.</w:t>
      </w:r>
      <w:r w:rsidR="00B95134">
        <w:rPr>
          <w:rFonts w:cs="Times New Roman"/>
          <w:sz w:val="24"/>
          <w:szCs w:val="24"/>
          <w:lang w:val="en-US"/>
        </w:rPr>
        <w:t xml:space="preserve"> </w:t>
      </w:r>
      <w:r w:rsidRPr="00430DDF">
        <w:rPr>
          <w:rFonts w:cs="Times New Roman"/>
          <w:sz w:val="24"/>
          <w:szCs w:val="24"/>
          <w:lang w:val="en-US"/>
        </w:rPr>
        <w:t xml:space="preserve">A value of </w:t>
      </w:r>
      <w:r w:rsidRPr="00430DDF">
        <w:rPr>
          <w:rFonts w:cs="Times New Roman"/>
          <w:i/>
          <w:sz w:val="24"/>
          <w:szCs w:val="24"/>
          <w:lang w:val="en-US"/>
        </w:rPr>
        <w:t>p</w:t>
      </w:r>
      <w:r w:rsidRPr="00430DDF">
        <w:rPr>
          <w:rFonts w:cs="Times New Roman"/>
          <w:sz w:val="24"/>
          <w:szCs w:val="24"/>
          <w:lang w:val="en-US"/>
        </w:rPr>
        <w:t>&lt;0.05 was considered to be statistically significant with *=</w:t>
      </w:r>
      <w:r w:rsidRPr="00430DDF">
        <w:rPr>
          <w:rFonts w:cs="Times New Roman"/>
          <w:i/>
          <w:sz w:val="24"/>
          <w:szCs w:val="24"/>
          <w:lang w:val="en-US"/>
        </w:rPr>
        <w:t>p</w:t>
      </w:r>
      <w:r w:rsidRPr="00430DDF">
        <w:rPr>
          <w:rFonts w:cs="Times New Roman"/>
          <w:sz w:val="24"/>
          <w:szCs w:val="24"/>
          <w:lang w:val="en-US"/>
        </w:rPr>
        <w:t>&lt;0.05; **=</w:t>
      </w:r>
      <w:r w:rsidRPr="00430DDF">
        <w:rPr>
          <w:rFonts w:cs="Times New Roman"/>
          <w:i/>
          <w:sz w:val="24"/>
          <w:szCs w:val="24"/>
          <w:lang w:val="en-US"/>
        </w:rPr>
        <w:t>p</w:t>
      </w:r>
      <w:r w:rsidRPr="00430DDF">
        <w:rPr>
          <w:rFonts w:cs="Times New Roman"/>
          <w:sz w:val="24"/>
          <w:szCs w:val="24"/>
          <w:lang w:val="en-US"/>
        </w:rPr>
        <w:t>&lt;0.01; ***=</w:t>
      </w:r>
      <w:r w:rsidRPr="00430DDF">
        <w:rPr>
          <w:rFonts w:cs="Times New Roman"/>
          <w:i/>
          <w:sz w:val="24"/>
          <w:szCs w:val="24"/>
          <w:lang w:val="en-US"/>
        </w:rPr>
        <w:t>p</w:t>
      </w:r>
      <w:r w:rsidRPr="00430DDF">
        <w:rPr>
          <w:rFonts w:cs="Times New Roman"/>
          <w:sz w:val="24"/>
          <w:szCs w:val="24"/>
          <w:lang w:val="en-US"/>
        </w:rPr>
        <w:t>&lt;0.001; ****=</w:t>
      </w:r>
      <w:r w:rsidRPr="00430DDF">
        <w:rPr>
          <w:rFonts w:cs="Times New Roman"/>
          <w:i/>
          <w:sz w:val="24"/>
          <w:szCs w:val="24"/>
          <w:lang w:val="en-US"/>
        </w:rPr>
        <w:t>p</w:t>
      </w:r>
      <w:r w:rsidRPr="00430DDF">
        <w:rPr>
          <w:rFonts w:cs="Times New Roman"/>
          <w:sz w:val="24"/>
          <w:szCs w:val="24"/>
          <w:lang w:val="en-US"/>
        </w:rPr>
        <w:t>&lt;0.0001.</w:t>
      </w:r>
    </w:p>
    <w:p w:rsidR="00FB6278" w:rsidRPr="00B3358F" w:rsidRDefault="00FB6278" w:rsidP="00123003">
      <w:pPr>
        <w:pStyle w:val="KeinLeerraum"/>
        <w:spacing w:line="480" w:lineRule="auto"/>
        <w:jc w:val="both"/>
        <w:rPr>
          <w:b/>
          <w:sz w:val="24"/>
          <w:lang w:val="en-US"/>
        </w:rPr>
      </w:pPr>
      <w:r w:rsidRPr="00B3358F">
        <w:rPr>
          <w:b/>
          <w:sz w:val="24"/>
          <w:lang w:val="en-US"/>
        </w:rPr>
        <w:t xml:space="preserve">Figure 6: </w:t>
      </w:r>
      <w:r w:rsidR="00BF051F" w:rsidRPr="00B3358F">
        <w:rPr>
          <w:b/>
          <w:sz w:val="24"/>
          <w:lang w:val="en-US"/>
        </w:rPr>
        <w:t>Adenomatous polyps in the colon have minor impact on t</w:t>
      </w:r>
      <w:r w:rsidRPr="00B3358F">
        <w:rPr>
          <w:b/>
          <w:sz w:val="24"/>
          <w:lang w:val="en-US"/>
        </w:rPr>
        <w:t xml:space="preserve">he fecal microbiota of </w:t>
      </w:r>
      <w:proofErr w:type="gramStart"/>
      <w:r w:rsidRPr="00B3358F">
        <w:rPr>
          <w:b/>
          <w:sz w:val="24"/>
          <w:lang w:val="en-US"/>
        </w:rPr>
        <w:t>AN</w:t>
      </w:r>
      <w:proofErr w:type="gramEnd"/>
      <w:r w:rsidRPr="00B3358F">
        <w:rPr>
          <w:b/>
          <w:sz w:val="24"/>
          <w:lang w:val="en-US"/>
        </w:rPr>
        <w:t xml:space="preserve"> participants.</w:t>
      </w:r>
    </w:p>
    <w:p w:rsidR="00814033" w:rsidRPr="00430DDF" w:rsidRDefault="00814033" w:rsidP="00123003">
      <w:pPr>
        <w:spacing w:line="480" w:lineRule="auto"/>
        <w:jc w:val="both"/>
        <w:rPr>
          <w:sz w:val="24"/>
          <w:lang w:val="en-US"/>
        </w:rPr>
      </w:pPr>
      <w:r w:rsidRPr="00B3358F">
        <w:rPr>
          <w:sz w:val="24"/>
          <w:lang w:val="en-US"/>
        </w:rPr>
        <w:t>(</w:t>
      </w:r>
      <w:r w:rsidR="00123003">
        <w:rPr>
          <w:b/>
          <w:sz w:val="24"/>
          <w:lang w:val="en-US"/>
        </w:rPr>
        <w:t>A</w:t>
      </w:r>
      <w:r w:rsidRPr="00B3358F">
        <w:rPr>
          <w:sz w:val="24"/>
          <w:lang w:val="en-US"/>
        </w:rPr>
        <w:t xml:space="preserve">) Multidimensional scaling (MDS) plot of generalized </w:t>
      </w:r>
      <w:proofErr w:type="spellStart"/>
      <w:r w:rsidRPr="00B3358F">
        <w:rPr>
          <w:sz w:val="24"/>
          <w:lang w:val="en-US"/>
        </w:rPr>
        <w:t>UniFrac</w:t>
      </w:r>
      <w:proofErr w:type="spellEnd"/>
      <w:r w:rsidRPr="00B3358F">
        <w:rPr>
          <w:sz w:val="24"/>
          <w:lang w:val="en-US"/>
        </w:rPr>
        <w:t xml:space="preserve"> distances </w:t>
      </w:r>
      <w:r w:rsidR="00B95134">
        <w:rPr>
          <w:sz w:val="24"/>
          <w:lang w:val="en-US"/>
        </w:rPr>
        <w:t>(</w:t>
      </w:r>
      <w:r w:rsidR="00B95134" w:rsidRPr="000F7211">
        <w:rPr>
          <w:sz w:val="24"/>
          <w:szCs w:val="24"/>
          <w:lang w:val="en-US"/>
        </w:rPr>
        <w:t>including PERMANOVA test to determine group separation</w:t>
      </w:r>
      <w:r w:rsidR="00B95134">
        <w:rPr>
          <w:sz w:val="24"/>
          <w:lang w:val="en-US"/>
        </w:rPr>
        <w:t xml:space="preserve">) </w:t>
      </w:r>
      <w:r w:rsidRPr="00B3358F">
        <w:rPr>
          <w:sz w:val="24"/>
          <w:lang w:val="en-US"/>
        </w:rPr>
        <w:t>showing no distinct clustering of fecal microbiota profiles detected in the fecal microbiota of Alaska Native (AN) study participants with (</w:t>
      </w:r>
      <w:r w:rsidR="004D193B" w:rsidRPr="00B3358F">
        <w:rPr>
          <w:sz w:val="24"/>
          <w:lang w:val="en-US"/>
        </w:rPr>
        <w:t xml:space="preserve">AN </w:t>
      </w:r>
      <w:r w:rsidRPr="00B3358F">
        <w:rPr>
          <w:sz w:val="24"/>
          <w:lang w:val="en-US"/>
        </w:rPr>
        <w:t>+p) or without (</w:t>
      </w:r>
      <w:r w:rsidR="004D193B" w:rsidRPr="00B3358F">
        <w:rPr>
          <w:sz w:val="24"/>
          <w:lang w:val="en-US"/>
        </w:rPr>
        <w:t xml:space="preserve">AN </w:t>
      </w:r>
      <w:r w:rsidRPr="00B3358F">
        <w:rPr>
          <w:sz w:val="24"/>
          <w:lang w:val="en-US"/>
        </w:rPr>
        <w:t xml:space="preserve">-p) adenomatous polyps in the colon by 16S </w:t>
      </w:r>
      <w:proofErr w:type="spellStart"/>
      <w:r w:rsidRPr="00B3358F">
        <w:rPr>
          <w:sz w:val="24"/>
          <w:lang w:val="en-US"/>
        </w:rPr>
        <w:t>rRNA</w:t>
      </w:r>
      <w:proofErr w:type="spellEnd"/>
      <w:r w:rsidRPr="00B3358F">
        <w:rPr>
          <w:sz w:val="24"/>
          <w:lang w:val="en-US"/>
        </w:rPr>
        <w:t xml:space="preserve"> gene sequencing. (</w:t>
      </w:r>
      <w:r w:rsidR="00123003">
        <w:rPr>
          <w:b/>
          <w:bCs/>
          <w:sz w:val="24"/>
          <w:lang w:val="en-US"/>
        </w:rPr>
        <w:t>B</w:t>
      </w:r>
      <w:r w:rsidRPr="00B3358F">
        <w:rPr>
          <w:bCs/>
          <w:sz w:val="24"/>
          <w:lang w:val="en-US"/>
        </w:rPr>
        <w:t>,</w:t>
      </w:r>
      <w:r w:rsidRPr="00B3358F">
        <w:rPr>
          <w:b/>
          <w:bCs/>
          <w:sz w:val="24"/>
          <w:lang w:val="en-US"/>
        </w:rPr>
        <w:t xml:space="preserve"> </w:t>
      </w:r>
      <w:r w:rsidR="00123003">
        <w:rPr>
          <w:b/>
          <w:bCs/>
          <w:sz w:val="24"/>
          <w:lang w:val="en-US"/>
        </w:rPr>
        <w:t>C</w:t>
      </w:r>
      <w:r w:rsidRPr="00B3358F">
        <w:rPr>
          <w:sz w:val="24"/>
          <w:lang w:val="en-US"/>
        </w:rPr>
        <w:t xml:space="preserve">) Relative abundance of genera of the fecal microbiota of </w:t>
      </w:r>
      <w:proofErr w:type="gramStart"/>
      <w:r w:rsidRPr="00B3358F">
        <w:rPr>
          <w:sz w:val="24"/>
          <w:lang w:val="en-US"/>
        </w:rPr>
        <w:t>AN</w:t>
      </w:r>
      <w:proofErr w:type="gramEnd"/>
      <w:r w:rsidRPr="00B3358F">
        <w:rPr>
          <w:sz w:val="24"/>
          <w:lang w:val="en-US"/>
        </w:rPr>
        <w:t xml:space="preserve"> participants that are significantly different abundant between AN study participants with (</w:t>
      </w:r>
      <w:r w:rsidR="004D193B" w:rsidRPr="00B3358F">
        <w:rPr>
          <w:sz w:val="24"/>
          <w:lang w:val="en-US"/>
        </w:rPr>
        <w:t xml:space="preserve">AN </w:t>
      </w:r>
      <w:r w:rsidRPr="00B3358F">
        <w:rPr>
          <w:sz w:val="24"/>
          <w:lang w:val="en-US"/>
        </w:rPr>
        <w:t>+p) or without (</w:t>
      </w:r>
      <w:r w:rsidR="004D193B" w:rsidRPr="00B3358F">
        <w:rPr>
          <w:sz w:val="24"/>
          <w:lang w:val="en-US"/>
        </w:rPr>
        <w:t xml:space="preserve">AN </w:t>
      </w:r>
      <w:r w:rsidRPr="00B3358F">
        <w:rPr>
          <w:sz w:val="24"/>
          <w:lang w:val="en-US"/>
        </w:rPr>
        <w:t xml:space="preserve">-p) adenomatous polyps in the colon assigned by taxonomic binning of OTU </w:t>
      </w:r>
      <w:r w:rsidRPr="00B3358F">
        <w:rPr>
          <w:sz w:val="24"/>
          <w:lang w:val="en-US"/>
        </w:rPr>
        <w:lastRenderedPageBreak/>
        <w:t xml:space="preserve">detected in the AN and RA fecal microbiota by 16S </w:t>
      </w:r>
      <w:proofErr w:type="spellStart"/>
      <w:r w:rsidRPr="00B3358F">
        <w:rPr>
          <w:sz w:val="24"/>
          <w:lang w:val="en-US"/>
        </w:rPr>
        <w:t>rRNA</w:t>
      </w:r>
      <w:proofErr w:type="spellEnd"/>
      <w:r w:rsidRPr="00B3358F">
        <w:rPr>
          <w:sz w:val="24"/>
          <w:lang w:val="en-US"/>
        </w:rPr>
        <w:t xml:space="preserve"> gene sequencing. </w:t>
      </w:r>
      <w:r w:rsidR="00B95134">
        <w:rPr>
          <w:sz w:val="24"/>
          <w:lang w:val="en-US"/>
        </w:rPr>
        <w:t xml:space="preserve">Statistical analysis using </w:t>
      </w:r>
      <w:r w:rsidR="00B95134" w:rsidRPr="00123003">
        <w:rPr>
          <w:rFonts w:cs="Times New Roman"/>
          <w:sz w:val="24"/>
          <w:szCs w:val="24"/>
          <w:lang w:val="en-US"/>
        </w:rPr>
        <w:t xml:space="preserve">non-parametric Mann-Whitney-U-test </w:t>
      </w:r>
      <w:r w:rsidR="00B95134" w:rsidRPr="00123003">
        <w:rPr>
          <w:sz w:val="24"/>
          <w:szCs w:val="24"/>
          <w:lang w:val="en-US"/>
        </w:rPr>
        <w:t xml:space="preserve">corrected for multiple testing by the </w:t>
      </w:r>
      <w:proofErr w:type="spellStart"/>
      <w:r w:rsidR="00B95134" w:rsidRPr="00123003">
        <w:rPr>
          <w:sz w:val="24"/>
          <w:szCs w:val="24"/>
          <w:lang w:val="en-US"/>
        </w:rPr>
        <w:t>Benjamini</w:t>
      </w:r>
      <w:proofErr w:type="spellEnd"/>
      <w:r w:rsidR="00B95134" w:rsidRPr="00123003">
        <w:rPr>
          <w:sz w:val="24"/>
          <w:szCs w:val="24"/>
          <w:lang w:val="en-US"/>
        </w:rPr>
        <w:t>-Hochberg method</w:t>
      </w:r>
      <w:r w:rsidR="00B95134" w:rsidRPr="00123003">
        <w:rPr>
          <w:rFonts w:cs="Times New Roman"/>
          <w:sz w:val="24"/>
          <w:szCs w:val="24"/>
          <w:lang w:val="en-US"/>
        </w:rPr>
        <w:t xml:space="preserve"> </w:t>
      </w:r>
      <w:r w:rsidR="00B95134">
        <w:rPr>
          <w:rFonts w:cs="Times New Roman"/>
          <w:sz w:val="24"/>
          <w:szCs w:val="24"/>
          <w:lang w:val="en-US"/>
        </w:rPr>
        <w:t xml:space="preserve">with </w:t>
      </w:r>
      <w:r w:rsidR="00B95134">
        <w:rPr>
          <w:sz w:val="24"/>
          <w:lang w:val="en-US"/>
        </w:rPr>
        <w:t xml:space="preserve">AN n=29 samples. </w:t>
      </w:r>
      <w:r w:rsidRPr="00B3358F">
        <w:rPr>
          <w:rFonts w:cs="Times New Roman"/>
          <w:sz w:val="24"/>
          <w:szCs w:val="24"/>
          <w:lang w:val="en-US"/>
        </w:rPr>
        <w:t xml:space="preserve">A value of </w:t>
      </w:r>
      <w:r w:rsidRPr="00B3358F">
        <w:rPr>
          <w:rFonts w:cs="Times New Roman"/>
          <w:i/>
          <w:sz w:val="24"/>
          <w:szCs w:val="24"/>
          <w:lang w:val="en-US"/>
        </w:rPr>
        <w:t>p</w:t>
      </w:r>
      <w:r w:rsidRPr="00B3358F">
        <w:rPr>
          <w:rFonts w:cs="Times New Roman"/>
          <w:sz w:val="24"/>
          <w:szCs w:val="24"/>
          <w:lang w:val="en-US"/>
        </w:rPr>
        <w:t>&lt;0.05 was considered to be statistically significant with *=</w:t>
      </w:r>
      <w:r w:rsidRPr="00B3358F">
        <w:rPr>
          <w:rFonts w:cs="Times New Roman"/>
          <w:i/>
          <w:sz w:val="24"/>
          <w:szCs w:val="24"/>
          <w:lang w:val="en-US"/>
        </w:rPr>
        <w:t>p</w:t>
      </w:r>
      <w:r w:rsidRPr="00B3358F">
        <w:rPr>
          <w:rFonts w:cs="Times New Roman"/>
          <w:sz w:val="24"/>
          <w:szCs w:val="24"/>
          <w:lang w:val="en-US"/>
        </w:rPr>
        <w:t>&lt;0.05; **=</w:t>
      </w:r>
      <w:r w:rsidRPr="00B3358F">
        <w:rPr>
          <w:rFonts w:cs="Times New Roman"/>
          <w:i/>
          <w:sz w:val="24"/>
          <w:szCs w:val="24"/>
          <w:lang w:val="en-US"/>
        </w:rPr>
        <w:t>p</w:t>
      </w:r>
      <w:r w:rsidRPr="00B3358F">
        <w:rPr>
          <w:rFonts w:cs="Times New Roman"/>
          <w:sz w:val="24"/>
          <w:szCs w:val="24"/>
          <w:lang w:val="en-US"/>
        </w:rPr>
        <w:t>&lt;0.01; ***=</w:t>
      </w:r>
      <w:r w:rsidRPr="00B3358F">
        <w:rPr>
          <w:rFonts w:cs="Times New Roman"/>
          <w:i/>
          <w:sz w:val="24"/>
          <w:szCs w:val="24"/>
          <w:lang w:val="en-US"/>
        </w:rPr>
        <w:t>p</w:t>
      </w:r>
      <w:r w:rsidRPr="00B3358F">
        <w:rPr>
          <w:rFonts w:cs="Times New Roman"/>
          <w:sz w:val="24"/>
          <w:szCs w:val="24"/>
          <w:lang w:val="en-US"/>
        </w:rPr>
        <w:t>&lt;0.001; ****=</w:t>
      </w:r>
      <w:r w:rsidRPr="00B3358F">
        <w:rPr>
          <w:rFonts w:cs="Times New Roman"/>
          <w:i/>
          <w:sz w:val="24"/>
          <w:szCs w:val="24"/>
          <w:lang w:val="en-US"/>
        </w:rPr>
        <w:t>p</w:t>
      </w:r>
      <w:r w:rsidRPr="00B3358F">
        <w:rPr>
          <w:rFonts w:cs="Times New Roman"/>
          <w:sz w:val="24"/>
          <w:szCs w:val="24"/>
          <w:lang w:val="en-US"/>
        </w:rPr>
        <w:t>&lt;0.0001; ns=not significant.</w:t>
      </w:r>
    </w:p>
    <w:sectPr w:rsidR="00814033" w:rsidRPr="00430DDF" w:rsidSect="0006502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61E4" w:rsidRDefault="007261E4" w:rsidP="00A11D40">
      <w:pPr>
        <w:spacing w:after="0" w:line="240" w:lineRule="auto"/>
      </w:pPr>
      <w:r>
        <w:separator/>
      </w:r>
    </w:p>
  </w:endnote>
  <w:endnote w:type="continuationSeparator" w:id="0">
    <w:p w:rsidR="007261E4" w:rsidRDefault="007261E4" w:rsidP="00A11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1E4" w:rsidRDefault="007261E4">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1E4" w:rsidRDefault="007261E4">
    <w:pPr>
      <w:pStyle w:val="Fuzeile"/>
      <w:jc w:val="right"/>
    </w:pPr>
  </w:p>
  <w:p w:rsidR="007261E4" w:rsidRDefault="007261E4">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1E4" w:rsidRDefault="007261E4">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61E4" w:rsidRDefault="007261E4" w:rsidP="00A11D40">
      <w:pPr>
        <w:spacing w:after="0" w:line="240" w:lineRule="auto"/>
      </w:pPr>
      <w:r>
        <w:separator/>
      </w:r>
    </w:p>
  </w:footnote>
  <w:footnote w:type="continuationSeparator" w:id="0">
    <w:p w:rsidR="007261E4" w:rsidRDefault="007261E4" w:rsidP="00A11D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1E4" w:rsidRDefault="007261E4">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6736626"/>
      <w:docPartObj>
        <w:docPartGallery w:val="Page Numbers (Top of Page)"/>
        <w:docPartUnique/>
      </w:docPartObj>
    </w:sdtPr>
    <w:sdtEndPr/>
    <w:sdtContent>
      <w:p w:rsidR="007261E4" w:rsidRDefault="007261E4">
        <w:pPr>
          <w:pStyle w:val="Kopfzeile"/>
          <w:jc w:val="right"/>
        </w:pPr>
        <w:r>
          <w:fldChar w:fldCharType="begin"/>
        </w:r>
        <w:r>
          <w:instrText>PAGE   \* MERGEFORMAT</w:instrText>
        </w:r>
        <w:r>
          <w:fldChar w:fldCharType="separate"/>
        </w:r>
        <w:r w:rsidR="009321E1">
          <w:rPr>
            <w:noProof/>
          </w:rPr>
          <w:t>5</w:t>
        </w:r>
        <w:r>
          <w:fldChar w:fldCharType="end"/>
        </w:r>
      </w:p>
    </w:sdtContent>
  </w:sdt>
  <w:p w:rsidR="007261E4" w:rsidRDefault="007261E4">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1E4" w:rsidRDefault="007261E4">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F3AD7"/>
    <w:multiLevelType w:val="hybridMultilevel"/>
    <w:tmpl w:val="14404B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3D11B23"/>
    <w:multiLevelType w:val="hybridMultilevel"/>
    <w:tmpl w:val="A2260E7A"/>
    <w:lvl w:ilvl="0" w:tplc="9BAEFF72">
      <w:start w:val="1"/>
      <w:numFmt w:val="bullet"/>
      <w:lvlText w:val="•"/>
      <w:lvlJc w:val="left"/>
      <w:pPr>
        <w:tabs>
          <w:tab w:val="num" w:pos="720"/>
        </w:tabs>
        <w:ind w:left="720" w:hanging="360"/>
      </w:pPr>
      <w:rPr>
        <w:rFonts w:ascii="Arial" w:hAnsi="Arial" w:hint="default"/>
      </w:rPr>
    </w:lvl>
    <w:lvl w:ilvl="1" w:tplc="558E8952" w:tentative="1">
      <w:start w:val="1"/>
      <w:numFmt w:val="bullet"/>
      <w:lvlText w:val="•"/>
      <w:lvlJc w:val="left"/>
      <w:pPr>
        <w:tabs>
          <w:tab w:val="num" w:pos="1440"/>
        </w:tabs>
        <w:ind w:left="1440" w:hanging="360"/>
      </w:pPr>
      <w:rPr>
        <w:rFonts w:ascii="Arial" w:hAnsi="Arial" w:hint="default"/>
      </w:rPr>
    </w:lvl>
    <w:lvl w:ilvl="2" w:tplc="7E90F4D4" w:tentative="1">
      <w:start w:val="1"/>
      <w:numFmt w:val="bullet"/>
      <w:lvlText w:val="•"/>
      <w:lvlJc w:val="left"/>
      <w:pPr>
        <w:tabs>
          <w:tab w:val="num" w:pos="2160"/>
        </w:tabs>
        <w:ind w:left="2160" w:hanging="360"/>
      </w:pPr>
      <w:rPr>
        <w:rFonts w:ascii="Arial" w:hAnsi="Arial" w:hint="default"/>
      </w:rPr>
    </w:lvl>
    <w:lvl w:ilvl="3" w:tplc="0CF0A9DC" w:tentative="1">
      <w:start w:val="1"/>
      <w:numFmt w:val="bullet"/>
      <w:lvlText w:val="•"/>
      <w:lvlJc w:val="left"/>
      <w:pPr>
        <w:tabs>
          <w:tab w:val="num" w:pos="2880"/>
        </w:tabs>
        <w:ind w:left="2880" w:hanging="360"/>
      </w:pPr>
      <w:rPr>
        <w:rFonts w:ascii="Arial" w:hAnsi="Arial" w:hint="default"/>
      </w:rPr>
    </w:lvl>
    <w:lvl w:ilvl="4" w:tplc="C7E05F26" w:tentative="1">
      <w:start w:val="1"/>
      <w:numFmt w:val="bullet"/>
      <w:lvlText w:val="•"/>
      <w:lvlJc w:val="left"/>
      <w:pPr>
        <w:tabs>
          <w:tab w:val="num" w:pos="3600"/>
        </w:tabs>
        <w:ind w:left="3600" w:hanging="360"/>
      </w:pPr>
      <w:rPr>
        <w:rFonts w:ascii="Arial" w:hAnsi="Arial" w:hint="default"/>
      </w:rPr>
    </w:lvl>
    <w:lvl w:ilvl="5" w:tplc="89F4D82C" w:tentative="1">
      <w:start w:val="1"/>
      <w:numFmt w:val="bullet"/>
      <w:lvlText w:val="•"/>
      <w:lvlJc w:val="left"/>
      <w:pPr>
        <w:tabs>
          <w:tab w:val="num" w:pos="4320"/>
        </w:tabs>
        <w:ind w:left="4320" w:hanging="360"/>
      </w:pPr>
      <w:rPr>
        <w:rFonts w:ascii="Arial" w:hAnsi="Arial" w:hint="default"/>
      </w:rPr>
    </w:lvl>
    <w:lvl w:ilvl="6" w:tplc="B27CE926" w:tentative="1">
      <w:start w:val="1"/>
      <w:numFmt w:val="bullet"/>
      <w:lvlText w:val="•"/>
      <w:lvlJc w:val="left"/>
      <w:pPr>
        <w:tabs>
          <w:tab w:val="num" w:pos="5040"/>
        </w:tabs>
        <w:ind w:left="5040" w:hanging="360"/>
      </w:pPr>
      <w:rPr>
        <w:rFonts w:ascii="Arial" w:hAnsi="Arial" w:hint="default"/>
      </w:rPr>
    </w:lvl>
    <w:lvl w:ilvl="7" w:tplc="E87204AE" w:tentative="1">
      <w:start w:val="1"/>
      <w:numFmt w:val="bullet"/>
      <w:lvlText w:val="•"/>
      <w:lvlJc w:val="left"/>
      <w:pPr>
        <w:tabs>
          <w:tab w:val="num" w:pos="5760"/>
        </w:tabs>
        <w:ind w:left="5760" w:hanging="360"/>
      </w:pPr>
      <w:rPr>
        <w:rFonts w:ascii="Arial" w:hAnsi="Arial" w:hint="default"/>
      </w:rPr>
    </w:lvl>
    <w:lvl w:ilvl="8" w:tplc="F364F482" w:tentative="1">
      <w:start w:val="1"/>
      <w:numFmt w:val="bullet"/>
      <w:lvlText w:val="•"/>
      <w:lvlJc w:val="left"/>
      <w:pPr>
        <w:tabs>
          <w:tab w:val="num" w:pos="6480"/>
        </w:tabs>
        <w:ind w:left="6480" w:hanging="360"/>
      </w:pPr>
      <w:rPr>
        <w:rFonts w:ascii="Arial" w:hAnsi="Arial" w:hint="default"/>
      </w:rPr>
    </w:lvl>
  </w:abstractNum>
  <w:abstractNum w:abstractNumId="2">
    <w:nsid w:val="1D30613C"/>
    <w:multiLevelType w:val="hybridMultilevel"/>
    <w:tmpl w:val="ABA6B3B6"/>
    <w:lvl w:ilvl="0" w:tplc="1FAA44E6">
      <w:start w:val="3"/>
      <w:numFmt w:val="bullet"/>
      <w:lvlText w:val="-"/>
      <w:lvlJc w:val="left"/>
      <w:pPr>
        <w:ind w:left="720" w:hanging="360"/>
      </w:pPr>
      <w:rPr>
        <w:rFonts w:ascii="Calibri" w:eastAsia="Times New Roman"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20D533C5"/>
    <w:multiLevelType w:val="hybridMultilevel"/>
    <w:tmpl w:val="7E2606C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nsid w:val="23FE009A"/>
    <w:multiLevelType w:val="hybridMultilevel"/>
    <w:tmpl w:val="86C6E6C4"/>
    <w:lvl w:ilvl="0" w:tplc="A6F466E8">
      <w:start w:val="1"/>
      <w:numFmt w:val="bullet"/>
      <w:lvlText w:val="•"/>
      <w:lvlJc w:val="left"/>
      <w:pPr>
        <w:tabs>
          <w:tab w:val="num" w:pos="720"/>
        </w:tabs>
        <w:ind w:left="720" w:hanging="360"/>
      </w:pPr>
      <w:rPr>
        <w:rFonts w:ascii="Arial" w:hAnsi="Arial" w:hint="default"/>
      </w:rPr>
    </w:lvl>
    <w:lvl w:ilvl="1" w:tplc="7332E7FC" w:tentative="1">
      <w:start w:val="1"/>
      <w:numFmt w:val="bullet"/>
      <w:lvlText w:val="•"/>
      <w:lvlJc w:val="left"/>
      <w:pPr>
        <w:tabs>
          <w:tab w:val="num" w:pos="1440"/>
        </w:tabs>
        <w:ind w:left="1440" w:hanging="360"/>
      </w:pPr>
      <w:rPr>
        <w:rFonts w:ascii="Arial" w:hAnsi="Arial" w:hint="default"/>
      </w:rPr>
    </w:lvl>
    <w:lvl w:ilvl="2" w:tplc="56820A3C" w:tentative="1">
      <w:start w:val="1"/>
      <w:numFmt w:val="bullet"/>
      <w:lvlText w:val="•"/>
      <w:lvlJc w:val="left"/>
      <w:pPr>
        <w:tabs>
          <w:tab w:val="num" w:pos="2160"/>
        </w:tabs>
        <w:ind w:left="2160" w:hanging="360"/>
      </w:pPr>
      <w:rPr>
        <w:rFonts w:ascii="Arial" w:hAnsi="Arial" w:hint="default"/>
      </w:rPr>
    </w:lvl>
    <w:lvl w:ilvl="3" w:tplc="E74AC942" w:tentative="1">
      <w:start w:val="1"/>
      <w:numFmt w:val="bullet"/>
      <w:lvlText w:val="•"/>
      <w:lvlJc w:val="left"/>
      <w:pPr>
        <w:tabs>
          <w:tab w:val="num" w:pos="2880"/>
        </w:tabs>
        <w:ind w:left="2880" w:hanging="360"/>
      </w:pPr>
      <w:rPr>
        <w:rFonts w:ascii="Arial" w:hAnsi="Arial" w:hint="default"/>
      </w:rPr>
    </w:lvl>
    <w:lvl w:ilvl="4" w:tplc="6472E612" w:tentative="1">
      <w:start w:val="1"/>
      <w:numFmt w:val="bullet"/>
      <w:lvlText w:val="•"/>
      <w:lvlJc w:val="left"/>
      <w:pPr>
        <w:tabs>
          <w:tab w:val="num" w:pos="3600"/>
        </w:tabs>
        <w:ind w:left="3600" w:hanging="360"/>
      </w:pPr>
      <w:rPr>
        <w:rFonts w:ascii="Arial" w:hAnsi="Arial" w:hint="default"/>
      </w:rPr>
    </w:lvl>
    <w:lvl w:ilvl="5" w:tplc="CFE0487A" w:tentative="1">
      <w:start w:val="1"/>
      <w:numFmt w:val="bullet"/>
      <w:lvlText w:val="•"/>
      <w:lvlJc w:val="left"/>
      <w:pPr>
        <w:tabs>
          <w:tab w:val="num" w:pos="4320"/>
        </w:tabs>
        <w:ind w:left="4320" w:hanging="360"/>
      </w:pPr>
      <w:rPr>
        <w:rFonts w:ascii="Arial" w:hAnsi="Arial" w:hint="default"/>
      </w:rPr>
    </w:lvl>
    <w:lvl w:ilvl="6" w:tplc="CFD8084E" w:tentative="1">
      <w:start w:val="1"/>
      <w:numFmt w:val="bullet"/>
      <w:lvlText w:val="•"/>
      <w:lvlJc w:val="left"/>
      <w:pPr>
        <w:tabs>
          <w:tab w:val="num" w:pos="5040"/>
        </w:tabs>
        <w:ind w:left="5040" w:hanging="360"/>
      </w:pPr>
      <w:rPr>
        <w:rFonts w:ascii="Arial" w:hAnsi="Arial" w:hint="default"/>
      </w:rPr>
    </w:lvl>
    <w:lvl w:ilvl="7" w:tplc="D29C3AAA" w:tentative="1">
      <w:start w:val="1"/>
      <w:numFmt w:val="bullet"/>
      <w:lvlText w:val="•"/>
      <w:lvlJc w:val="left"/>
      <w:pPr>
        <w:tabs>
          <w:tab w:val="num" w:pos="5760"/>
        </w:tabs>
        <w:ind w:left="5760" w:hanging="360"/>
      </w:pPr>
      <w:rPr>
        <w:rFonts w:ascii="Arial" w:hAnsi="Arial" w:hint="default"/>
      </w:rPr>
    </w:lvl>
    <w:lvl w:ilvl="8" w:tplc="FE025F02" w:tentative="1">
      <w:start w:val="1"/>
      <w:numFmt w:val="bullet"/>
      <w:lvlText w:val="•"/>
      <w:lvlJc w:val="left"/>
      <w:pPr>
        <w:tabs>
          <w:tab w:val="num" w:pos="6480"/>
        </w:tabs>
        <w:ind w:left="6480" w:hanging="360"/>
      </w:pPr>
      <w:rPr>
        <w:rFonts w:ascii="Arial" w:hAnsi="Arial" w:hint="default"/>
      </w:rPr>
    </w:lvl>
  </w:abstractNum>
  <w:abstractNum w:abstractNumId="5">
    <w:nsid w:val="30101649"/>
    <w:multiLevelType w:val="hybridMultilevel"/>
    <w:tmpl w:val="78A4CAB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nsid w:val="3382469A"/>
    <w:multiLevelType w:val="multilevel"/>
    <w:tmpl w:val="BB5A07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numFmt w:val="bullet"/>
      <w:lvlText w:val="-"/>
      <w:lvlJc w:val="left"/>
      <w:pPr>
        <w:ind w:left="2160" w:hanging="360"/>
      </w:pPr>
      <w:rPr>
        <w:rFonts w:ascii="Calibri" w:eastAsia="Times New Roman" w:hAnsi="Calibri"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5754C9"/>
    <w:multiLevelType w:val="hybridMultilevel"/>
    <w:tmpl w:val="3D8C7A8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nsid w:val="4A462E5D"/>
    <w:multiLevelType w:val="hybridMultilevel"/>
    <w:tmpl w:val="E14EF35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nsid w:val="50440F59"/>
    <w:multiLevelType w:val="hybridMultilevel"/>
    <w:tmpl w:val="7BBC780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nsid w:val="56012002"/>
    <w:multiLevelType w:val="hybridMultilevel"/>
    <w:tmpl w:val="643E0E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64513823"/>
    <w:multiLevelType w:val="hybridMultilevel"/>
    <w:tmpl w:val="07B896B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nsid w:val="68392F80"/>
    <w:multiLevelType w:val="hybridMultilevel"/>
    <w:tmpl w:val="62BE80EC"/>
    <w:lvl w:ilvl="0" w:tplc="E2AEABA4">
      <w:start w:val="1"/>
      <w:numFmt w:val="decimal"/>
      <w:lvlText w:val="(%1)"/>
      <w:lvlJc w:val="left"/>
      <w:pPr>
        <w:ind w:left="405" w:hanging="360"/>
      </w:pPr>
      <w:rPr>
        <w:rFonts w:hint="default"/>
      </w:rPr>
    </w:lvl>
    <w:lvl w:ilvl="1" w:tplc="04070019" w:tentative="1">
      <w:start w:val="1"/>
      <w:numFmt w:val="lowerLetter"/>
      <w:lvlText w:val="%2."/>
      <w:lvlJc w:val="left"/>
      <w:pPr>
        <w:ind w:left="1125" w:hanging="360"/>
      </w:pPr>
    </w:lvl>
    <w:lvl w:ilvl="2" w:tplc="0407001B" w:tentative="1">
      <w:start w:val="1"/>
      <w:numFmt w:val="lowerRoman"/>
      <w:lvlText w:val="%3."/>
      <w:lvlJc w:val="right"/>
      <w:pPr>
        <w:ind w:left="1845" w:hanging="180"/>
      </w:pPr>
    </w:lvl>
    <w:lvl w:ilvl="3" w:tplc="0407000F" w:tentative="1">
      <w:start w:val="1"/>
      <w:numFmt w:val="decimal"/>
      <w:lvlText w:val="%4."/>
      <w:lvlJc w:val="left"/>
      <w:pPr>
        <w:ind w:left="2565" w:hanging="360"/>
      </w:pPr>
    </w:lvl>
    <w:lvl w:ilvl="4" w:tplc="04070019" w:tentative="1">
      <w:start w:val="1"/>
      <w:numFmt w:val="lowerLetter"/>
      <w:lvlText w:val="%5."/>
      <w:lvlJc w:val="left"/>
      <w:pPr>
        <w:ind w:left="3285" w:hanging="360"/>
      </w:pPr>
    </w:lvl>
    <w:lvl w:ilvl="5" w:tplc="0407001B" w:tentative="1">
      <w:start w:val="1"/>
      <w:numFmt w:val="lowerRoman"/>
      <w:lvlText w:val="%6."/>
      <w:lvlJc w:val="right"/>
      <w:pPr>
        <w:ind w:left="4005" w:hanging="180"/>
      </w:pPr>
    </w:lvl>
    <w:lvl w:ilvl="6" w:tplc="0407000F" w:tentative="1">
      <w:start w:val="1"/>
      <w:numFmt w:val="decimal"/>
      <w:lvlText w:val="%7."/>
      <w:lvlJc w:val="left"/>
      <w:pPr>
        <w:ind w:left="4725" w:hanging="360"/>
      </w:pPr>
    </w:lvl>
    <w:lvl w:ilvl="7" w:tplc="04070019" w:tentative="1">
      <w:start w:val="1"/>
      <w:numFmt w:val="lowerLetter"/>
      <w:lvlText w:val="%8."/>
      <w:lvlJc w:val="left"/>
      <w:pPr>
        <w:ind w:left="5445" w:hanging="360"/>
      </w:pPr>
    </w:lvl>
    <w:lvl w:ilvl="8" w:tplc="0407001B" w:tentative="1">
      <w:start w:val="1"/>
      <w:numFmt w:val="lowerRoman"/>
      <w:lvlText w:val="%9."/>
      <w:lvlJc w:val="right"/>
      <w:pPr>
        <w:ind w:left="6165" w:hanging="180"/>
      </w:pPr>
    </w:lvl>
  </w:abstractNum>
  <w:abstractNum w:abstractNumId="13">
    <w:nsid w:val="68986FE8"/>
    <w:multiLevelType w:val="hybridMultilevel"/>
    <w:tmpl w:val="C324B5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6FDE6127"/>
    <w:multiLevelType w:val="hybridMultilevel"/>
    <w:tmpl w:val="DE42204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
  </w:num>
  <w:num w:numId="2">
    <w:abstractNumId w:val="6"/>
  </w:num>
  <w:num w:numId="3">
    <w:abstractNumId w:val="10"/>
  </w:num>
  <w:num w:numId="4">
    <w:abstractNumId w:val="13"/>
  </w:num>
  <w:num w:numId="5">
    <w:abstractNumId w:val="0"/>
  </w:num>
  <w:num w:numId="6">
    <w:abstractNumId w:val="7"/>
  </w:num>
  <w:num w:numId="7">
    <w:abstractNumId w:val="2"/>
  </w:num>
  <w:num w:numId="8">
    <w:abstractNumId w:val="5"/>
  </w:num>
  <w:num w:numId="9">
    <w:abstractNumId w:val="14"/>
  </w:num>
  <w:num w:numId="10">
    <w:abstractNumId w:val="3"/>
  </w:num>
  <w:num w:numId="11">
    <w:abstractNumId w:val="4"/>
  </w:num>
  <w:num w:numId="12">
    <w:abstractNumId w:val="9"/>
  </w:num>
  <w:num w:numId="13">
    <w:abstractNumId w:val="11"/>
  </w:num>
  <w:num w:numId="14">
    <w:abstractNumId w:val="8"/>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08"/>
  <w:hyphenationZone w:val="425"/>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CAE"/>
    <w:rsid w:val="000003EB"/>
    <w:rsid w:val="00001F8A"/>
    <w:rsid w:val="000029FE"/>
    <w:rsid w:val="00004F1B"/>
    <w:rsid w:val="00005CAE"/>
    <w:rsid w:val="000074B2"/>
    <w:rsid w:val="00015F77"/>
    <w:rsid w:val="00015FF2"/>
    <w:rsid w:val="0002189A"/>
    <w:rsid w:val="00023143"/>
    <w:rsid w:val="00023AC3"/>
    <w:rsid w:val="000259D0"/>
    <w:rsid w:val="00025BC2"/>
    <w:rsid w:val="0002785D"/>
    <w:rsid w:val="000366A8"/>
    <w:rsid w:val="0004021D"/>
    <w:rsid w:val="00041091"/>
    <w:rsid w:val="00042D28"/>
    <w:rsid w:val="00043153"/>
    <w:rsid w:val="000468BE"/>
    <w:rsid w:val="00053948"/>
    <w:rsid w:val="0005449E"/>
    <w:rsid w:val="00056E07"/>
    <w:rsid w:val="000618EA"/>
    <w:rsid w:val="00065021"/>
    <w:rsid w:val="0006748B"/>
    <w:rsid w:val="00076A46"/>
    <w:rsid w:val="000809F7"/>
    <w:rsid w:val="00081E7F"/>
    <w:rsid w:val="00082694"/>
    <w:rsid w:val="00083BE5"/>
    <w:rsid w:val="00092DC4"/>
    <w:rsid w:val="00093576"/>
    <w:rsid w:val="0009371A"/>
    <w:rsid w:val="00094505"/>
    <w:rsid w:val="000946AA"/>
    <w:rsid w:val="00095347"/>
    <w:rsid w:val="00097E67"/>
    <w:rsid w:val="000A20B4"/>
    <w:rsid w:val="000A27F3"/>
    <w:rsid w:val="000A30BD"/>
    <w:rsid w:val="000A4268"/>
    <w:rsid w:val="000A5CB3"/>
    <w:rsid w:val="000C0BD3"/>
    <w:rsid w:val="000C262D"/>
    <w:rsid w:val="000C5087"/>
    <w:rsid w:val="000C58F9"/>
    <w:rsid w:val="000C5FF8"/>
    <w:rsid w:val="000D0AF7"/>
    <w:rsid w:val="000D1CFB"/>
    <w:rsid w:val="000D4913"/>
    <w:rsid w:val="000D6934"/>
    <w:rsid w:val="000D6B12"/>
    <w:rsid w:val="000E0E75"/>
    <w:rsid w:val="000E3477"/>
    <w:rsid w:val="000E34B4"/>
    <w:rsid w:val="000E7A84"/>
    <w:rsid w:val="000F0AD7"/>
    <w:rsid w:val="000F473D"/>
    <w:rsid w:val="000F4E61"/>
    <w:rsid w:val="00101040"/>
    <w:rsid w:val="00101186"/>
    <w:rsid w:val="001028ED"/>
    <w:rsid w:val="001041D9"/>
    <w:rsid w:val="00105635"/>
    <w:rsid w:val="00105953"/>
    <w:rsid w:val="001066AB"/>
    <w:rsid w:val="00106913"/>
    <w:rsid w:val="00110AB6"/>
    <w:rsid w:val="00110B7C"/>
    <w:rsid w:val="00110C13"/>
    <w:rsid w:val="001122E2"/>
    <w:rsid w:val="00113578"/>
    <w:rsid w:val="00117B51"/>
    <w:rsid w:val="00123003"/>
    <w:rsid w:val="0012490A"/>
    <w:rsid w:val="001252AA"/>
    <w:rsid w:val="00125476"/>
    <w:rsid w:val="00127007"/>
    <w:rsid w:val="001301EB"/>
    <w:rsid w:val="0013037E"/>
    <w:rsid w:val="00131E7E"/>
    <w:rsid w:val="0013223B"/>
    <w:rsid w:val="00133BE5"/>
    <w:rsid w:val="00135735"/>
    <w:rsid w:val="001359E6"/>
    <w:rsid w:val="0013615D"/>
    <w:rsid w:val="001422D8"/>
    <w:rsid w:val="00143EF3"/>
    <w:rsid w:val="001517DE"/>
    <w:rsid w:val="001523B9"/>
    <w:rsid w:val="001527A8"/>
    <w:rsid w:val="00154819"/>
    <w:rsid w:val="00156AB4"/>
    <w:rsid w:val="001616FC"/>
    <w:rsid w:val="00161A57"/>
    <w:rsid w:val="00163B44"/>
    <w:rsid w:val="00164E6C"/>
    <w:rsid w:val="001670B7"/>
    <w:rsid w:val="00172F9B"/>
    <w:rsid w:val="00173114"/>
    <w:rsid w:val="001740C3"/>
    <w:rsid w:val="00177682"/>
    <w:rsid w:val="001826AD"/>
    <w:rsid w:val="00183DB8"/>
    <w:rsid w:val="00192627"/>
    <w:rsid w:val="00194583"/>
    <w:rsid w:val="00197072"/>
    <w:rsid w:val="001A18B6"/>
    <w:rsid w:val="001A1FE4"/>
    <w:rsid w:val="001A4191"/>
    <w:rsid w:val="001A48A9"/>
    <w:rsid w:val="001A7DB3"/>
    <w:rsid w:val="001A7F51"/>
    <w:rsid w:val="001B1514"/>
    <w:rsid w:val="001B22BF"/>
    <w:rsid w:val="001B2B70"/>
    <w:rsid w:val="001B6FCB"/>
    <w:rsid w:val="001B72EF"/>
    <w:rsid w:val="001B78CA"/>
    <w:rsid w:val="001B7B72"/>
    <w:rsid w:val="001C223A"/>
    <w:rsid w:val="001C2699"/>
    <w:rsid w:val="001C2B65"/>
    <w:rsid w:val="001C30C1"/>
    <w:rsid w:val="001C6974"/>
    <w:rsid w:val="001D1D4E"/>
    <w:rsid w:val="001D243A"/>
    <w:rsid w:val="001D2CD5"/>
    <w:rsid w:val="001D7B4C"/>
    <w:rsid w:val="001E0D47"/>
    <w:rsid w:val="001E2AC5"/>
    <w:rsid w:val="001E313B"/>
    <w:rsid w:val="001E4B89"/>
    <w:rsid w:val="001E4B9B"/>
    <w:rsid w:val="001E4FE8"/>
    <w:rsid w:val="001E62A4"/>
    <w:rsid w:val="001F0565"/>
    <w:rsid w:val="001F2380"/>
    <w:rsid w:val="001F60AE"/>
    <w:rsid w:val="001F7FE0"/>
    <w:rsid w:val="00201587"/>
    <w:rsid w:val="00202788"/>
    <w:rsid w:val="00206A8E"/>
    <w:rsid w:val="00206FBF"/>
    <w:rsid w:val="00210DAA"/>
    <w:rsid w:val="00211EDD"/>
    <w:rsid w:val="0021231C"/>
    <w:rsid w:val="00212925"/>
    <w:rsid w:val="00214165"/>
    <w:rsid w:val="00214227"/>
    <w:rsid w:val="00215DCA"/>
    <w:rsid w:val="002172AF"/>
    <w:rsid w:val="002216F6"/>
    <w:rsid w:val="002239D5"/>
    <w:rsid w:val="002262C3"/>
    <w:rsid w:val="002263E4"/>
    <w:rsid w:val="00227D24"/>
    <w:rsid w:val="00232649"/>
    <w:rsid w:val="002332B1"/>
    <w:rsid w:val="00233D4D"/>
    <w:rsid w:val="002364CD"/>
    <w:rsid w:val="00242E52"/>
    <w:rsid w:val="00247FB8"/>
    <w:rsid w:val="00252163"/>
    <w:rsid w:val="002553BB"/>
    <w:rsid w:val="00255CE3"/>
    <w:rsid w:val="00257327"/>
    <w:rsid w:val="00266669"/>
    <w:rsid w:val="00271194"/>
    <w:rsid w:val="002749C5"/>
    <w:rsid w:val="00274E8B"/>
    <w:rsid w:val="0027519E"/>
    <w:rsid w:val="002757CA"/>
    <w:rsid w:val="00277DAD"/>
    <w:rsid w:val="00280A32"/>
    <w:rsid w:val="00280A6D"/>
    <w:rsid w:val="002847D4"/>
    <w:rsid w:val="002853FE"/>
    <w:rsid w:val="00285CF4"/>
    <w:rsid w:val="00285FDF"/>
    <w:rsid w:val="002909CF"/>
    <w:rsid w:val="00293D7F"/>
    <w:rsid w:val="002949D3"/>
    <w:rsid w:val="00295212"/>
    <w:rsid w:val="00295F30"/>
    <w:rsid w:val="002A13D6"/>
    <w:rsid w:val="002A7071"/>
    <w:rsid w:val="002A709A"/>
    <w:rsid w:val="002B3841"/>
    <w:rsid w:val="002B392A"/>
    <w:rsid w:val="002B3D19"/>
    <w:rsid w:val="002B552C"/>
    <w:rsid w:val="002B73C2"/>
    <w:rsid w:val="002C035F"/>
    <w:rsid w:val="002C04A2"/>
    <w:rsid w:val="002C090C"/>
    <w:rsid w:val="002C1963"/>
    <w:rsid w:val="002C2ACB"/>
    <w:rsid w:val="002C3D2B"/>
    <w:rsid w:val="002C464E"/>
    <w:rsid w:val="002C6246"/>
    <w:rsid w:val="002C65BD"/>
    <w:rsid w:val="002C6684"/>
    <w:rsid w:val="002C760F"/>
    <w:rsid w:val="002C7AD9"/>
    <w:rsid w:val="002D0367"/>
    <w:rsid w:val="002D1D82"/>
    <w:rsid w:val="002D2FA4"/>
    <w:rsid w:val="002D5E7E"/>
    <w:rsid w:val="002D5F95"/>
    <w:rsid w:val="002D61CF"/>
    <w:rsid w:val="002D7767"/>
    <w:rsid w:val="002E1A7E"/>
    <w:rsid w:val="002E3086"/>
    <w:rsid w:val="002E6855"/>
    <w:rsid w:val="002E6C20"/>
    <w:rsid w:val="002E6C3E"/>
    <w:rsid w:val="002F2021"/>
    <w:rsid w:val="002F6CA3"/>
    <w:rsid w:val="002F71BA"/>
    <w:rsid w:val="0030062B"/>
    <w:rsid w:val="00301819"/>
    <w:rsid w:val="0030374F"/>
    <w:rsid w:val="00304D48"/>
    <w:rsid w:val="0030634A"/>
    <w:rsid w:val="00306BA4"/>
    <w:rsid w:val="003146F0"/>
    <w:rsid w:val="00316746"/>
    <w:rsid w:val="00317474"/>
    <w:rsid w:val="003179CC"/>
    <w:rsid w:val="00317BBA"/>
    <w:rsid w:val="00321D61"/>
    <w:rsid w:val="003241E0"/>
    <w:rsid w:val="003247E4"/>
    <w:rsid w:val="00326AF3"/>
    <w:rsid w:val="00326CBA"/>
    <w:rsid w:val="003345B8"/>
    <w:rsid w:val="00334E39"/>
    <w:rsid w:val="00335814"/>
    <w:rsid w:val="00335CBC"/>
    <w:rsid w:val="00335ECA"/>
    <w:rsid w:val="00336634"/>
    <w:rsid w:val="00337C43"/>
    <w:rsid w:val="00340183"/>
    <w:rsid w:val="0034460C"/>
    <w:rsid w:val="00344B48"/>
    <w:rsid w:val="003459D6"/>
    <w:rsid w:val="00347765"/>
    <w:rsid w:val="003551B6"/>
    <w:rsid w:val="00361C11"/>
    <w:rsid w:val="00361D19"/>
    <w:rsid w:val="00362438"/>
    <w:rsid w:val="00363A3C"/>
    <w:rsid w:val="003648BA"/>
    <w:rsid w:val="0036500E"/>
    <w:rsid w:val="003653E2"/>
    <w:rsid w:val="00370689"/>
    <w:rsid w:val="0037280E"/>
    <w:rsid w:val="003742B2"/>
    <w:rsid w:val="003743C5"/>
    <w:rsid w:val="00374D8A"/>
    <w:rsid w:val="003753DA"/>
    <w:rsid w:val="003761D8"/>
    <w:rsid w:val="003762EA"/>
    <w:rsid w:val="00377047"/>
    <w:rsid w:val="003819BA"/>
    <w:rsid w:val="0038301C"/>
    <w:rsid w:val="003856C7"/>
    <w:rsid w:val="00386E2A"/>
    <w:rsid w:val="00387FA6"/>
    <w:rsid w:val="003926AB"/>
    <w:rsid w:val="00392A6A"/>
    <w:rsid w:val="003969AD"/>
    <w:rsid w:val="003A3211"/>
    <w:rsid w:val="003A426B"/>
    <w:rsid w:val="003A495C"/>
    <w:rsid w:val="003A4A91"/>
    <w:rsid w:val="003A53C6"/>
    <w:rsid w:val="003B0EAD"/>
    <w:rsid w:val="003B1426"/>
    <w:rsid w:val="003B1C96"/>
    <w:rsid w:val="003C039D"/>
    <w:rsid w:val="003C0AF8"/>
    <w:rsid w:val="003C6CF2"/>
    <w:rsid w:val="003D0371"/>
    <w:rsid w:val="003D3661"/>
    <w:rsid w:val="003D49F7"/>
    <w:rsid w:val="003D5069"/>
    <w:rsid w:val="003D59B6"/>
    <w:rsid w:val="003D7954"/>
    <w:rsid w:val="003E0713"/>
    <w:rsid w:val="003E18A5"/>
    <w:rsid w:val="003E2C9A"/>
    <w:rsid w:val="003E3EA7"/>
    <w:rsid w:val="003E61BB"/>
    <w:rsid w:val="003F48AD"/>
    <w:rsid w:val="003F7C40"/>
    <w:rsid w:val="00400516"/>
    <w:rsid w:val="00400C1F"/>
    <w:rsid w:val="004037AE"/>
    <w:rsid w:val="004063DE"/>
    <w:rsid w:val="004068EB"/>
    <w:rsid w:val="004076A6"/>
    <w:rsid w:val="0041031F"/>
    <w:rsid w:val="004124A4"/>
    <w:rsid w:val="0041325C"/>
    <w:rsid w:val="00413530"/>
    <w:rsid w:val="00413B0D"/>
    <w:rsid w:val="004153C8"/>
    <w:rsid w:val="00420DAE"/>
    <w:rsid w:val="004211C7"/>
    <w:rsid w:val="00421656"/>
    <w:rsid w:val="0042179D"/>
    <w:rsid w:val="00424F29"/>
    <w:rsid w:val="00425EA2"/>
    <w:rsid w:val="00430DDF"/>
    <w:rsid w:val="00433334"/>
    <w:rsid w:val="00433BBF"/>
    <w:rsid w:val="00433F33"/>
    <w:rsid w:val="0043621D"/>
    <w:rsid w:val="00437602"/>
    <w:rsid w:val="0044100B"/>
    <w:rsid w:val="00441E6C"/>
    <w:rsid w:val="004422B2"/>
    <w:rsid w:val="00442F01"/>
    <w:rsid w:val="00443370"/>
    <w:rsid w:val="00443C77"/>
    <w:rsid w:val="0044413A"/>
    <w:rsid w:val="004445CC"/>
    <w:rsid w:val="00445269"/>
    <w:rsid w:val="004453BD"/>
    <w:rsid w:val="00445DDC"/>
    <w:rsid w:val="004476F7"/>
    <w:rsid w:val="004536B5"/>
    <w:rsid w:val="00457F4E"/>
    <w:rsid w:val="00461DBE"/>
    <w:rsid w:val="00467E16"/>
    <w:rsid w:val="00470DC8"/>
    <w:rsid w:val="00470FB7"/>
    <w:rsid w:val="00472F97"/>
    <w:rsid w:val="004756C1"/>
    <w:rsid w:val="00475C65"/>
    <w:rsid w:val="00480068"/>
    <w:rsid w:val="00480BF8"/>
    <w:rsid w:val="00481D20"/>
    <w:rsid w:val="00482A51"/>
    <w:rsid w:val="00483E59"/>
    <w:rsid w:val="00486519"/>
    <w:rsid w:val="00491D96"/>
    <w:rsid w:val="00493D0A"/>
    <w:rsid w:val="00496207"/>
    <w:rsid w:val="00497B99"/>
    <w:rsid w:val="004A3A3B"/>
    <w:rsid w:val="004A40A4"/>
    <w:rsid w:val="004A44FF"/>
    <w:rsid w:val="004A4A12"/>
    <w:rsid w:val="004A4B27"/>
    <w:rsid w:val="004A5BCB"/>
    <w:rsid w:val="004B32BC"/>
    <w:rsid w:val="004B346E"/>
    <w:rsid w:val="004B3475"/>
    <w:rsid w:val="004B36B0"/>
    <w:rsid w:val="004C0DA1"/>
    <w:rsid w:val="004C0F64"/>
    <w:rsid w:val="004C15F4"/>
    <w:rsid w:val="004C163B"/>
    <w:rsid w:val="004C5695"/>
    <w:rsid w:val="004C5F8E"/>
    <w:rsid w:val="004C6930"/>
    <w:rsid w:val="004D076A"/>
    <w:rsid w:val="004D182A"/>
    <w:rsid w:val="004D193B"/>
    <w:rsid w:val="004D1986"/>
    <w:rsid w:val="004D36D7"/>
    <w:rsid w:val="004D39DD"/>
    <w:rsid w:val="004D556A"/>
    <w:rsid w:val="004E1319"/>
    <w:rsid w:val="004E54E5"/>
    <w:rsid w:val="004F005D"/>
    <w:rsid w:val="004F195B"/>
    <w:rsid w:val="004F30B5"/>
    <w:rsid w:val="004F5700"/>
    <w:rsid w:val="004F57EB"/>
    <w:rsid w:val="004F65C9"/>
    <w:rsid w:val="00500DAA"/>
    <w:rsid w:val="00503244"/>
    <w:rsid w:val="00504B0F"/>
    <w:rsid w:val="0050524F"/>
    <w:rsid w:val="00506066"/>
    <w:rsid w:val="0051324C"/>
    <w:rsid w:val="005138A2"/>
    <w:rsid w:val="0052180E"/>
    <w:rsid w:val="005218D3"/>
    <w:rsid w:val="0052238F"/>
    <w:rsid w:val="005233E7"/>
    <w:rsid w:val="0052493C"/>
    <w:rsid w:val="00524DA8"/>
    <w:rsid w:val="00526B32"/>
    <w:rsid w:val="0053441E"/>
    <w:rsid w:val="00534D56"/>
    <w:rsid w:val="00537B85"/>
    <w:rsid w:val="005415B1"/>
    <w:rsid w:val="005419E6"/>
    <w:rsid w:val="005425F6"/>
    <w:rsid w:val="00542C5E"/>
    <w:rsid w:val="005440B4"/>
    <w:rsid w:val="00545FB5"/>
    <w:rsid w:val="00547411"/>
    <w:rsid w:val="0055035A"/>
    <w:rsid w:val="00554559"/>
    <w:rsid w:val="0055497E"/>
    <w:rsid w:val="00555D13"/>
    <w:rsid w:val="0055716F"/>
    <w:rsid w:val="005571A2"/>
    <w:rsid w:val="00560997"/>
    <w:rsid w:val="005673D4"/>
    <w:rsid w:val="005706C9"/>
    <w:rsid w:val="0057072A"/>
    <w:rsid w:val="00570983"/>
    <w:rsid w:val="00571472"/>
    <w:rsid w:val="0057246C"/>
    <w:rsid w:val="005748B6"/>
    <w:rsid w:val="00576741"/>
    <w:rsid w:val="00577605"/>
    <w:rsid w:val="005807A9"/>
    <w:rsid w:val="005809F0"/>
    <w:rsid w:val="00581974"/>
    <w:rsid w:val="005822A5"/>
    <w:rsid w:val="00583845"/>
    <w:rsid w:val="00583BD7"/>
    <w:rsid w:val="00591575"/>
    <w:rsid w:val="005920CD"/>
    <w:rsid w:val="00592AB6"/>
    <w:rsid w:val="00593BEA"/>
    <w:rsid w:val="00594313"/>
    <w:rsid w:val="00594786"/>
    <w:rsid w:val="0059701C"/>
    <w:rsid w:val="00597EB1"/>
    <w:rsid w:val="005A1703"/>
    <w:rsid w:val="005A2FA0"/>
    <w:rsid w:val="005A4096"/>
    <w:rsid w:val="005A7398"/>
    <w:rsid w:val="005A7510"/>
    <w:rsid w:val="005B2D92"/>
    <w:rsid w:val="005B4EB8"/>
    <w:rsid w:val="005B56F4"/>
    <w:rsid w:val="005B738F"/>
    <w:rsid w:val="005C0B44"/>
    <w:rsid w:val="005C1DD3"/>
    <w:rsid w:val="005C42BB"/>
    <w:rsid w:val="005C669A"/>
    <w:rsid w:val="005D2F58"/>
    <w:rsid w:val="005D462C"/>
    <w:rsid w:val="005E1E64"/>
    <w:rsid w:val="005E2CC7"/>
    <w:rsid w:val="005E2FAD"/>
    <w:rsid w:val="005E53F6"/>
    <w:rsid w:val="005E7645"/>
    <w:rsid w:val="005F0663"/>
    <w:rsid w:val="005F0C73"/>
    <w:rsid w:val="005F0CD0"/>
    <w:rsid w:val="005F540A"/>
    <w:rsid w:val="005F5B98"/>
    <w:rsid w:val="005F5FA4"/>
    <w:rsid w:val="006012C6"/>
    <w:rsid w:val="00601446"/>
    <w:rsid w:val="006028D8"/>
    <w:rsid w:val="00603469"/>
    <w:rsid w:val="00606C3A"/>
    <w:rsid w:val="00607668"/>
    <w:rsid w:val="00611139"/>
    <w:rsid w:val="00613A4A"/>
    <w:rsid w:val="00616911"/>
    <w:rsid w:val="00620B79"/>
    <w:rsid w:val="006211CF"/>
    <w:rsid w:val="00621B11"/>
    <w:rsid w:val="0062408E"/>
    <w:rsid w:val="0062509B"/>
    <w:rsid w:val="00626996"/>
    <w:rsid w:val="006362B8"/>
    <w:rsid w:val="00642043"/>
    <w:rsid w:val="006429D5"/>
    <w:rsid w:val="006448F1"/>
    <w:rsid w:val="006519AA"/>
    <w:rsid w:val="00651EEA"/>
    <w:rsid w:val="00652434"/>
    <w:rsid w:val="006545AC"/>
    <w:rsid w:val="0065507C"/>
    <w:rsid w:val="00655C64"/>
    <w:rsid w:val="00660875"/>
    <w:rsid w:val="0066386C"/>
    <w:rsid w:val="00665C18"/>
    <w:rsid w:val="006667C2"/>
    <w:rsid w:val="00670396"/>
    <w:rsid w:val="00672CBD"/>
    <w:rsid w:val="00676020"/>
    <w:rsid w:val="0067639D"/>
    <w:rsid w:val="0067648B"/>
    <w:rsid w:val="006801F6"/>
    <w:rsid w:val="00683419"/>
    <w:rsid w:val="00686471"/>
    <w:rsid w:val="00687974"/>
    <w:rsid w:val="00690C00"/>
    <w:rsid w:val="00692AEB"/>
    <w:rsid w:val="00692B05"/>
    <w:rsid w:val="006938B6"/>
    <w:rsid w:val="00696141"/>
    <w:rsid w:val="0069626A"/>
    <w:rsid w:val="00697739"/>
    <w:rsid w:val="006A0A79"/>
    <w:rsid w:val="006A1195"/>
    <w:rsid w:val="006A11F9"/>
    <w:rsid w:val="006A2D90"/>
    <w:rsid w:val="006A3EB3"/>
    <w:rsid w:val="006A6047"/>
    <w:rsid w:val="006A7E83"/>
    <w:rsid w:val="006B0700"/>
    <w:rsid w:val="006B0747"/>
    <w:rsid w:val="006B5064"/>
    <w:rsid w:val="006C1D27"/>
    <w:rsid w:val="006C21A5"/>
    <w:rsid w:val="006C59A7"/>
    <w:rsid w:val="006C73C9"/>
    <w:rsid w:val="006C7C8B"/>
    <w:rsid w:val="006C7FDA"/>
    <w:rsid w:val="006D1B03"/>
    <w:rsid w:val="006D2BA8"/>
    <w:rsid w:val="006D330D"/>
    <w:rsid w:val="006D3D0C"/>
    <w:rsid w:val="006D6AE1"/>
    <w:rsid w:val="006D7EF0"/>
    <w:rsid w:val="006E0D27"/>
    <w:rsid w:val="006E2590"/>
    <w:rsid w:val="006E36A8"/>
    <w:rsid w:val="006E419C"/>
    <w:rsid w:val="006E4224"/>
    <w:rsid w:val="006E4983"/>
    <w:rsid w:val="006E52D8"/>
    <w:rsid w:val="006E59D6"/>
    <w:rsid w:val="006E5ABA"/>
    <w:rsid w:val="006E5B13"/>
    <w:rsid w:val="006E7E57"/>
    <w:rsid w:val="006F2D4C"/>
    <w:rsid w:val="00700871"/>
    <w:rsid w:val="0070504E"/>
    <w:rsid w:val="007071B6"/>
    <w:rsid w:val="0071062D"/>
    <w:rsid w:val="00711F1F"/>
    <w:rsid w:val="00715265"/>
    <w:rsid w:val="00716D75"/>
    <w:rsid w:val="0072086F"/>
    <w:rsid w:val="00722C73"/>
    <w:rsid w:val="00725639"/>
    <w:rsid w:val="00726096"/>
    <w:rsid w:val="007261E4"/>
    <w:rsid w:val="00727E6D"/>
    <w:rsid w:val="00730D1C"/>
    <w:rsid w:val="0073249A"/>
    <w:rsid w:val="00735F70"/>
    <w:rsid w:val="00736819"/>
    <w:rsid w:val="00745665"/>
    <w:rsid w:val="007473B1"/>
    <w:rsid w:val="00750470"/>
    <w:rsid w:val="007509A5"/>
    <w:rsid w:val="007509CC"/>
    <w:rsid w:val="00756644"/>
    <w:rsid w:val="00756DD5"/>
    <w:rsid w:val="00757494"/>
    <w:rsid w:val="00757D1C"/>
    <w:rsid w:val="0076085C"/>
    <w:rsid w:val="00762251"/>
    <w:rsid w:val="0076298B"/>
    <w:rsid w:val="007635E8"/>
    <w:rsid w:val="00766031"/>
    <w:rsid w:val="007678A1"/>
    <w:rsid w:val="007733FB"/>
    <w:rsid w:val="00773E99"/>
    <w:rsid w:val="0077550C"/>
    <w:rsid w:val="007768D3"/>
    <w:rsid w:val="00777A06"/>
    <w:rsid w:val="00783E3A"/>
    <w:rsid w:val="00783EAE"/>
    <w:rsid w:val="007858A7"/>
    <w:rsid w:val="0078665E"/>
    <w:rsid w:val="007915FB"/>
    <w:rsid w:val="00792053"/>
    <w:rsid w:val="00795B28"/>
    <w:rsid w:val="007A02D9"/>
    <w:rsid w:val="007A07AD"/>
    <w:rsid w:val="007A10EC"/>
    <w:rsid w:val="007A111C"/>
    <w:rsid w:val="007A1F94"/>
    <w:rsid w:val="007A24F2"/>
    <w:rsid w:val="007A395E"/>
    <w:rsid w:val="007A3F64"/>
    <w:rsid w:val="007A6C45"/>
    <w:rsid w:val="007B4FAD"/>
    <w:rsid w:val="007B62B4"/>
    <w:rsid w:val="007B7A43"/>
    <w:rsid w:val="007C193D"/>
    <w:rsid w:val="007C19CD"/>
    <w:rsid w:val="007C50C8"/>
    <w:rsid w:val="007D0CD8"/>
    <w:rsid w:val="007D36C9"/>
    <w:rsid w:val="007D38BD"/>
    <w:rsid w:val="007D66F1"/>
    <w:rsid w:val="007D74F9"/>
    <w:rsid w:val="007D7C6C"/>
    <w:rsid w:val="007E0A32"/>
    <w:rsid w:val="007E74E1"/>
    <w:rsid w:val="007F30CD"/>
    <w:rsid w:val="007F48AD"/>
    <w:rsid w:val="007F4A8D"/>
    <w:rsid w:val="007F4BAB"/>
    <w:rsid w:val="00801D92"/>
    <w:rsid w:val="0080276A"/>
    <w:rsid w:val="00802F8A"/>
    <w:rsid w:val="00804E7B"/>
    <w:rsid w:val="00807F58"/>
    <w:rsid w:val="008106E8"/>
    <w:rsid w:val="00814033"/>
    <w:rsid w:val="00815ECE"/>
    <w:rsid w:val="00815FE6"/>
    <w:rsid w:val="0081660E"/>
    <w:rsid w:val="008167CC"/>
    <w:rsid w:val="008169F2"/>
    <w:rsid w:val="00817C46"/>
    <w:rsid w:val="008216AA"/>
    <w:rsid w:val="0082240E"/>
    <w:rsid w:val="00823DEB"/>
    <w:rsid w:val="00826B51"/>
    <w:rsid w:val="00834080"/>
    <w:rsid w:val="00834456"/>
    <w:rsid w:val="00836220"/>
    <w:rsid w:val="00836933"/>
    <w:rsid w:val="00841104"/>
    <w:rsid w:val="00843D20"/>
    <w:rsid w:val="0084662A"/>
    <w:rsid w:val="00846D40"/>
    <w:rsid w:val="00847588"/>
    <w:rsid w:val="00851B4F"/>
    <w:rsid w:val="00853688"/>
    <w:rsid w:val="008604D5"/>
    <w:rsid w:val="008637C3"/>
    <w:rsid w:val="008663AC"/>
    <w:rsid w:val="00870319"/>
    <w:rsid w:val="00870BDF"/>
    <w:rsid w:val="008748C8"/>
    <w:rsid w:val="008774E1"/>
    <w:rsid w:val="00880087"/>
    <w:rsid w:val="008803F4"/>
    <w:rsid w:val="00881F52"/>
    <w:rsid w:val="00882D18"/>
    <w:rsid w:val="00883253"/>
    <w:rsid w:val="00884F24"/>
    <w:rsid w:val="008864CD"/>
    <w:rsid w:val="00887DF4"/>
    <w:rsid w:val="00890CFD"/>
    <w:rsid w:val="008920E8"/>
    <w:rsid w:val="00893AC6"/>
    <w:rsid w:val="00896BC5"/>
    <w:rsid w:val="008A45B3"/>
    <w:rsid w:val="008A4895"/>
    <w:rsid w:val="008A5619"/>
    <w:rsid w:val="008A62E2"/>
    <w:rsid w:val="008B40AD"/>
    <w:rsid w:val="008B47CB"/>
    <w:rsid w:val="008C31D9"/>
    <w:rsid w:val="008C44CF"/>
    <w:rsid w:val="008C56D7"/>
    <w:rsid w:val="008D35BA"/>
    <w:rsid w:val="008D4A86"/>
    <w:rsid w:val="008D54A8"/>
    <w:rsid w:val="008D75BC"/>
    <w:rsid w:val="008E0C2B"/>
    <w:rsid w:val="008E1717"/>
    <w:rsid w:val="008E1D57"/>
    <w:rsid w:val="008E35D9"/>
    <w:rsid w:val="008E6E73"/>
    <w:rsid w:val="008E7ACB"/>
    <w:rsid w:val="008E7D77"/>
    <w:rsid w:val="008F4F6E"/>
    <w:rsid w:val="008F4FD2"/>
    <w:rsid w:val="008F59AD"/>
    <w:rsid w:val="008F61A6"/>
    <w:rsid w:val="008F6877"/>
    <w:rsid w:val="008F7F57"/>
    <w:rsid w:val="00900B7A"/>
    <w:rsid w:val="0090144D"/>
    <w:rsid w:val="00901957"/>
    <w:rsid w:val="0090302C"/>
    <w:rsid w:val="009038A9"/>
    <w:rsid w:val="00904178"/>
    <w:rsid w:val="009064F4"/>
    <w:rsid w:val="009103ED"/>
    <w:rsid w:val="009116B0"/>
    <w:rsid w:val="00913BCB"/>
    <w:rsid w:val="009162D0"/>
    <w:rsid w:val="00917AF7"/>
    <w:rsid w:val="00925354"/>
    <w:rsid w:val="00925992"/>
    <w:rsid w:val="00925E9E"/>
    <w:rsid w:val="009279C0"/>
    <w:rsid w:val="009313DC"/>
    <w:rsid w:val="009321E1"/>
    <w:rsid w:val="0093237F"/>
    <w:rsid w:val="009339D6"/>
    <w:rsid w:val="0093491A"/>
    <w:rsid w:val="00935E85"/>
    <w:rsid w:val="009361CA"/>
    <w:rsid w:val="00936CE8"/>
    <w:rsid w:val="00937BB0"/>
    <w:rsid w:val="00937FA5"/>
    <w:rsid w:val="009408F0"/>
    <w:rsid w:val="00944114"/>
    <w:rsid w:val="00944F3C"/>
    <w:rsid w:val="00945CB0"/>
    <w:rsid w:val="00945D9E"/>
    <w:rsid w:val="0095287A"/>
    <w:rsid w:val="009531B4"/>
    <w:rsid w:val="009537E6"/>
    <w:rsid w:val="00954461"/>
    <w:rsid w:val="00956CBF"/>
    <w:rsid w:val="00957409"/>
    <w:rsid w:val="009610B1"/>
    <w:rsid w:val="00965920"/>
    <w:rsid w:val="00965D71"/>
    <w:rsid w:val="00967869"/>
    <w:rsid w:val="00974319"/>
    <w:rsid w:val="0097455F"/>
    <w:rsid w:val="00975BC5"/>
    <w:rsid w:val="00975CED"/>
    <w:rsid w:val="009774F7"/>
    <w:rsid w:val="009779FC"/>
    <w:rsid w:val="00981A97"/>
    <w:rsid w:val="00982926"/>
    <w:rsid w:val="00983DD6"/>
    <w:rsid w:val="00986C4B"/>
    <w:rsid w:val="009879BB"/>
    <w:rsid w:val="00987B53"/>
    <w:rsid w:val="0099073B"/>
    <w:rsid w:val="00990AE7"/>
    <w:rsid w:val="009921CF"/>
    <w:rsid w:val="00996931"/>
    <w:rsid w:val="00997C11"/>
    <w:rsid w:val="009A1DF8"/>
    <w:rsid w:val="009A2441"/>
    <w:rsid w:val="009A3289"/>
    <w:rsid w:val="009A3355"/>
    <w:rsid w:val="009A3375"/>
    <w:rsid w:val="009A4A85"/>
    <w:rsid w:val="009A53B6"/>
    <w:rsid w:val="009A631D"/>
    <w:rsid w:val="009A688A"/>
    <w:rsid w:val="009A701E"/>
    <w:rsid w:val="009A7A9B"/>
    <w:rsid w:val="009B21E1"/>
    <w:rsid w:val="009B43EA"/>
    <w:rsid w:val="009B4912"/>
    <w:rsid w:val="009B5904"/>
    <w:rsid w:val="009B612C"/>
    <w:rsid w:val="009C2E77"/>
    <w:rsid w:val="009C34CB"/>
    <w:rsid w:val="009C5876"/>
    <w:rsid w:val="009C6311"/>
    <w:rsid w:val="009C6F7C"/>
    <w:rsid w:val="009C7118"/>
    <w:rsid w:val="009D04B0"/>
    <w:rsid w:val="009D0DB7"/>
    <w:rsid w:val="009D137F"/>
    <w:rsid w:val="009D7EBC"/>
    <w:rsid w:val="009E1B47"/>
    <w:rsid w:val="009E2AE7"/>
    <w:rsid w:val="009E2EFA"/>
    <w:rsid w:val="009E55B1"/>
    <w:rsid w:val="009E7301"/>
    <w:rsid w:val="009F0021"/>
    <w:rsid w:val="009F0185"/>
    <w:rsid w:val="009F0A79"/>
    <w:rsid w:val="009F6E0C"/>
    <w:rsid w:val="009F7434"/>
    <w:rsid w:val="00A01A44"/>
    <w:rsid w:val="00A027C3"/>
    <w:rsid w:val="00A02B34"/>
    <w:rsid w:val="00A062A4"/>
    <w:rsid w:val="00A07EFF"/>
    <w:rsid w:val="00A11D40"/>
    <w:rsid w:val="00A12A20"/>
    <w:rsid w:val="00A162A5"/>
    <w:rsid w:val="00A177B9"/>
    <w:rsid w:val="00A239A3"/>
    <w:rsid w:val="00A253EA"/>
    <w:rsid w:val="00A32F00"/>
    <w:rsid w:val="00A32F02"/>
    <w:rsid w:val="00A33984"/>
    <w:rsid w:val="00A4104F"/>
    <w:rsid w:val="00A43070"/>
    <w:rsid w:val="00A44027"/>
    <w:rsid w:val="00A4436F"/>
    <w:rsid w:val="00A457A3"/>
    <w:rsid w:val="00A46898"/>
    <w:rsid w:val="00A46CD0"/>
    <w:rsid w:val="00A501C2"/>
    <w:rsid w:val="00A506E8"/>
    <w:rsid w:val="00A514CC"/>
    <w:rsid w:val="00A52304"/>
    <w:rsid w:val="00A5348A"/>
    <w:rsid w:val="00A5375C"/>
    <w:rsid w:val="00A53BF7"/>
    <w:rsid w:val="00A55B5A"/>
    <w:rsid w:val="00A55DF2"/>
    <w:rsid w:val="00A5601B"/>
    <w:rsid w:val="00A56C67"/>
    <w:rsid w:val="00A56D41"/>
    <w:rsid w:val="00A60178"/>
    <w:rsid w:val="00A610C0"/>
    <w:rsid w:val="00A63281"/>
    <w:rsid w:val="00A65823"/>
    <w:rsid w:val="00A7025F"/>
    <w:rsid w:val="00A712B3"/>
    <w:rsid w:val="00A74055"/>
    <w:rsid w:val="00A764AB"/>
    <w:rsid w:val="00A76A2C"/>
    <w:rsid w:val="00A76B7A"/>
    <w:rsid w:val="00A77862"/>
    <w:rsid w:val="00A77865"/>
    <w:rsid w:val="00A81AA8"/>
    <w:rsid w:val="00A82B35"/>
    <w:rsid w:val="00A85BE2"/>
    <w:rsid w:val="00A8718D"/>
    <w:rsid w:val="00A87DB7"/>
    <w:rsid w:val="00A906AA"/>
    <w:rsid w:val="00A9324A"/>
    <w:rsid w:val="00A932F5"/>
    <w:rsid w:val="00A93385"/>
    <w:rsid w:val="00AA00E6"/>
    <w:rsid w:val="00AA21F5"/>
    <w:rsid w:val="00AA36EB"/>
    <w:rsid w:val="00AA65A0"/>
    <w:rsid w:val="00AB0AA2"/>
    <w:rsid w:val="00AB14AE"/>
    <w:rsid w:val="00AB245F"/>
    <w:rsid w:val="00AB3CB5"/>
    <w:rsid w:val="00AB6F81"/>
    <w:rsid w:val="00AB7C4E"/>
    <w:rsid w:val="00AC05E8"/>
    <w:rsid w:val="00AC37B3"/>
    <w:rsid w:val="00AC41DE"/>
    <w:rsid w:val="00AC6DEA"/>
    <w:rsid w:val="00AC7914"/>
    <w:rsid w:val="00AD03DA"/>
    <w:rsid w:val="00AD30BA"/>
    <w:rsid w:val="00AE3A68"/>
    <w:rsid w:val="00AE4559"/>
    <w:rsid w:val="00AE6AD0"/>
    <w:rsid w:val="00AE754E"/>
    <w:rsid w:val="00AF14EB"/>
    <w:rsid w:val="00AF15C0"/>
    <w:rsid w:val="00AF18C1"/>
    <w:rsid w:val="00AF3BC4"/>
    <w:rsid w:val="00AF4711"/>
    <w:rsid w:val="00AF6BD5"/>
    <w:rsid w:val="00AF7BB6"/>
    <w:rsid w:val="00AF7EEB"/>
    <w:rsid w:val="00B0021F"/>
    <w:rsid w:val="00B00CDD"/>
    <w:rsid w:val="00B0200E"/>
    <w:rsid w:val="00B021C7"/>
    <w:rsid w:val="00B058CB"/>
    <w:rsid w:val="00B1075D"/>
    <w:rsid w:val="00B1409C"/>
    <w:rsid w:val="00B14B67"/>
    <w:rsid w:val="00B15B8A"/>
    <w:rsid w:val="00B236DB"/>
    <w:rsid w:val="00B25B07"/>
    <w:rsid w:val="00B26D1D"/>
    <w:rsid w:val="00B31B9A"/>
    <w:rsid w:val="00B3336E"/>
    <w:rsid w:val="00B3358F"/>
    <w:rsid w:val="00B413A8"/>
    <w:rsid w:val="00B455FD"/>
    <w:rsid w:val="00B529CD"/>
    <w:rsid w:val="00B55D3A"/>
    <w:rsid w:val="00B55E5D"/>
    <w:rsid w:val="00B562F9"/>
    <w:rsid w:val="00B56A70"/>
    <w:rsid w:val="00B60CF5"/>
    <w:rsid w:val="00B61AC5"/>
    <w:rsid w:val="00B63225"/>
    <w:rsid w:val="00B64E65"/>
    <w:rsid w:val="00B65194"/>
    <w:rsid w:val="00B6641D"/>
    <w:rsid w:val="00B67E4D"/>
    <w:rsid w:val="00B719CB"/>
    <w:rsid w:val="00B71A80"/>
    <w:rsid w:val="00B74775"/>
    <w:rsid w:val="00B760F3"/>
    <w:rsid w:val="00B7654F"/>
    <w:rsid w:val="00B804DD"/>
    <w:rsid w:val="00B829D5"/>
    <w:rsid w:val="00B83CB4"/>
    <w:rsid w:val="00B8489F"/>
    <w:rsid w:val="00B902D0"/>
    <w:rsid w:val="00B90884"/>
    <w:rsid w:val="00B9113B"/>
    <w:rsid w:val="00B92E0D"/>
    <w:rsid w:val="00B94490"/>
    <w:rsid w:val="00B9509F"/>
    <w:rsid w:val="00B95134"/>
    <w:rsid w:val="00B95917"/>
    <w:rsid w:val="00BA1A47"/>
    <w:rsid w:val="00BA2246"/>
    <w:rsid w:val="00BA4C88"/>
    <w:rsid w:val="00BA54C4"/>
    <w:rsid w:val="00BA55EF"/>
    <w:rsid w:val="00BA628B"/>
    <w:rsid w:val="00BA69AE"/>
    <w:rsid w:val="00BB06DC"/>
    <w:rsid w:val="00BB1B54"/>
    <w:rsid w:val="00BB1FA2"/>
    <w:rsid w:val="00BB3A64"/>
    <w:rsid w:val="00BB536A"/>
    <w:rsid w:val="00BC06E0"/>
    <w:rsid w:val="00BC1A0C"/>
    <w:rsid w:val="00BC25D2"/>
    <w:rsid w:val="00BC35B6"/>
    <w:rsid w:val="00BC74D2"/>
    <w:rsid w:val="00BC75CA"/>
    <w:rsid w:val="00BC772A"/>
    <w:rsid w:val="00BD318F"/>
    <w:rsid w:val="00BD38FB"/>
    <w:rsid w:val="00BE05D2"/>
    <w:rsid w:val="00BE2263"/>
    <w:rsid w:val="00BE40E9"/>
    <w:rsid w:val="00BE5643"/>
    <w:rsid w:val="00BE6A07"/>
    <w:rsid w:val="00BE6EFC"/>
    <w:rsid w:val="00BE70B2"/>
    <w:rsid w:val="00BF051F"/>
    <w:rsid w:val="00BF4DBA"/>
    <w:rsid w:val="00BF5869"/>
    <w:rsid w:val="00C0270B"/>
    <w:rsid w:val="00C02AD2"/>
    <w:rsid w:val="00C034E2"/>
    <w:rsid w:val="00C07170"/>
    <w:rsid w:val="00C116FE"/>
    <w:rsid w:val="00C14501"/>
    <w:rsid w:val="00C14C77"/>
    <w:rsid w:val="00C169D4"/>
    <w:rsid w:val="00C206B0"/>
    <w:rsid w:val="00C23F87"/>
    <w:rsid w:val="00C24FA7"/>
    <w:rsid w:val="00C251AD"/>
    <w:rsid w:val="00C25D31"/>
    <w:rsid w:val="00C26757"/>
    <w:rsid w:val="00C33606"/>
    <w:rsid w:val="00C33703"/>
    <w:rsid w:val="00C33A67"/>
    <w:rsid w:val="00C36FC4"/>
    <w:rsid w:val="00C41BB2"/>
    <w:rsid w:val="00C42295"/>
    <w:rsid w:val="00C422EF"/>
    <w:rsid w:val="00C4330D"/>
    <w:rsid w:val="00C4775C"/>
    <w:rsid w:val="00C52161"/>
    <w:rsid w:val="00C52338"/>
    <w:rsid w:val="00C53C42"/>
    <w:rsid w:val="00C56992"/>
    <w:rsid w:val="00C6090E"/>
    <w:rsid w:val="00C640C7"/>
    <w:rsid w:val="00C65390"/>
    <w:rsid w:val="00C721A0"/>
    <w:rsid w:val="00C727E0"/>
    <w:rsid w:val="00C7346C"/>
    <w:rsid w:val="00C744F5"/>
    <w:rsid w:val="00C773CD"/>
    <w:rsid w:val="00C77A15"/>
    <w:rsid w:val="00C825D7"/>
    <w:rsid w:val="00C82911"/>
    <w:rsid w:val="00C82F69"/>
    <w:rsid w:val="00C873F7"/>
    <w:rsid w:val="00C92EB0"/>
    <w:rsid w:val="00C942D1"/>
    <w:rsid w:val="00CA0A51"/>
    <w:rsid w:val="00CA1EEC"/>
    <w:rsid w:val="00CA36D1"/>
    <w:rsid w:val="00CA7C83"/>
    <w:rsid w:val="00CB09A4"/>
    <w:rsid w:val="00CB1060"/>
    <w:rsid w:val="00CB6434"/>
    <w:rsid w:val="00CB657D"/>
    <w:rsid w:val="00CB77AA"/>
    <w:rsid w:val="00CC01AC"/>
    <w:rsid w:val="00CC196F"/>
    <w:rsid w:val="00CC25DC"/>
    <w:rsid w:val="00CC3A69"/>
    <w:rsid w:val="00CC7FA6"/>
    <w:rsid w:val="00CD0092"/>
    <w:rsid w:val="00CD08A2"/>
    <w:rsid w:val="00CD1EB6"/>
    <w:rsid w:val="00CD2B56"/>
    <w:rsid w:val="00CD439B"/>
    <w:rsid w:val="00CD66CC"/>
    <w:rsid w:val="00CE045F"/>
    <w:rsid w:val="00CE2E03"/>
    <w:rsid w:val="00CE33BA"/>
    <w:rsid w:val="00CE3B62"/>
    <w:rsid w:val="00CE6408"/>
    <w:rsid w:val="00CE6458"/>
    <w:rsid w:val="00CF4619"/>
    <w:rsid w:val="00D004E8"/>
    <w:rsid w:val="00D04240"/>
    <w:rsid w:val="00D046CB"/>
    <w:rsid w:val="00D16939"/>
    <w:rsid w:val="00D16ED9"/>
    <w:rsid w:val="00D20FA5"/>
    <w:rsid w:val="00D25D61"/>
    <w:rsid w:val="00D26CC3"/>
    <w:rsid w:val="00D3195D"/>
    <w:rsid w:val="00D33BE4"/>
    <w:rsid w:val="00D35BCF"/>
    <w:rsid w:val="00D42DE2"/>
    <w:rsid w:val="00D43798"/>
    <w:rsid w:val="00D45846"/>
    <w:rsid w:val="00D46619"/>
    <w:rsid w:val="00D46CEB"/>
    <w:rsid w:val="00D472EA"/>
    <w:rsid w:val="00D51362"/>
    <w:rsid w:val="00D5260A"/>
    <w:rsid w:val="00D549D4"/>
    <w:rsid w:val="00D550C1"/>
    <w:rsid w:val="00D61E35"/>
    <w:rsid w:val="00D65B5D"/>
    <w:rsid w:val="00D6660B"/>
    <w:rsid w:val="00D66FEC"/>
    <w:rsid w:val="00D67BEB"/>
    <w:rsid w:val="00D70CB1"/>
    <w:rsid w:val="00D71B3B"/>
    <w:rsid w:val="00D720F2"/>
    <w:rsid w:val="00D7226A"/>
    <w:rsid w:val="00D73DD2"/>
    <w:rsid w:val="00D76439"/>
    <w:rsid w:val="00D82325"/>
    <w:rsid w:val="00D82F46"/>
    <w:rsid w:val="00D84738"/>
    <w:rsid w:val="00D84D69"/>
    <w:rsid w:val="00D85B01"/>
    <w:rsid w:val="00D87B9B"/>
    <w:rsid w:val="00D87CA8"/>
    <w:rsid w:val="00D91227"/>
    <w:rsid w:val="00D91931"/>
    <w:rsid w:val="00D92DFD"/>
    <w:rsid w:val="00D96B00"/>
    <w:rsid w:val="00D9762C"/>
    <w:rsid w:val="00DA3D4B"/>
    <w:rsid w:val="00DB0E4B"/>
    <w:rsid w:val="00DB2BB5"/>
    <w:rsid w:val="00DB5A9E"/>
    <w:rsid w:val="00DB6493"/>
    <w:rsid w:val="00DB7E1B"/>
    <w:rsid w:val="00DB7F54"/>
    <w:rsid w:val="00DC05A4"/>
    <w:rsid w:val="00DC0E61"/>
    <w:rsid w:val="00DC1C0F"/>
    <w:rsid w:val="00DC25D9"/>
    <w:rsid w:val="00DC4ED2"/>
    <w:rsid w:val="00DC68FB"/>
    <w:rsid w:val="00DC6DFA"/>
    <w:rsid w:val="00DD0115"/>
    <w:rsid w:val="00DD17F0"/>
    <w:rsid w:val="00DD772A"/>
    <w:rsid w:val="00DE4051"/>
    <w:rsid w:val="00DE487A"/>
    <w:rsid w:val="00DE6CCA"/>
    <w:rsid w:val="00DE7703"/>
    <w:rsid w:val="00DF0348"/>
    <w:rsid w:val="00DF4147"/>
    <w:rsid w:val="00DF475E"/>
    <w:rsid w:val="00DF4CFE"/>
    <w:rsid w:val="00E003C0"/>
    <w:rsid w:val="00E014E9"/>
    <w:rsid w:val="00E01D85"/>
    <w:rsid w:val="00E02F76"/>
    <w:rsid w:val="00E032A9"/>
    <w:rsid w:val="00E051B0"/>
    <w:rsid w:val="00E05BC0"/>
    <w:rsid w:val="00E05E6B"/>
    <w:rsid w:val="00E0733D"/>
    <w:rsid w:val="00E07571"/>
    <w:rsid w:val="00E136F5"/>
    <w:rsid w:val="00E146DE"/>
    <w:rsid w:val="00E16425"/>
    <w:rsid w:val="00E16F58"/>
    <w:rsid w:val="00E204D9"/>
    <w:rsid w:val="00E23977"/>
    <w:rsid w:val="00E25FC7"/>
    <w:rsid w:val="00E27381"/>
    <w:rsid w:val="00E30F0E"/>
    <w:rsid w:val="00E31623"/>
    <w:rsid w:val="00E322DE"/>
    <w:rsid w:val="00E3335A"/>
    <w:rsid w:val="00E354EF"/>
    <w:rsid w:val="00E42C0B"/>
    <w:rsid w:val="00E42C88"/>
    <w:rsid w:val="00E42D72"/>
    <w:rsid w:val="00E441FA"/>
    <w:rsid w:val="00E519FA"/>
    <w:rsid w:val="00E5397B"/>
    <w:rsid w:val="00E53ECE"/>
    <w:rsid w:val="00E614B8"/>
    <w:rsid w:val="00E631BE"/>
    <w:rsid w:val="00E66891"/>
    <w:rsid w:val="00E67DAC"/>
    <w:rsid w:val="00E700C5"/>
    <w:rsid w:val="00E736BD"/>
    <w:rsid w:val="00E8450F"/>
    <w:rsid w:val="00E85119"/>
    <w:rsid w:val="00E85428"/>
    <w:rsid w:val="00E9117B"/>
    <w:rsid w:val="00E9451E"/>
    <w:rsid w:val="00E94707"/>
    <w:rsid w:val="00EA0E1D"/>
    <w:rsid w:val="00EA1473"/>
    <w:rsid w:val="00EA429C"/>
    <w:rsid w:val="00EA4CC6"/>
    <w:rsid w:val="00EA7358"/>
    <w:rsid w:val="00EA7D6F"/>
    <w:rsid w:val="00EB0EAC"/>
    <w:rsid w:val="00EC1508"/>
    <w:rsid w:val="00EC154E"/>
    <w:rsid w:val="00EC16B4"/>
    <w:rsid w:val="00EC1ADD"/>
    <w:rsid w:val="00EC3069"/>
    <w:rsid w:val="00EC5CD8"/>
    <w:rsid w:val="00EC661C"/>
    <w:rsid w:val="00EC7F97"/>
    <w:rsid w:val="00ED1A60"/>
    <w:rsid w:val="00ED2E65"/>
    <w:rsid w:val="00ED6D76"/>
    <w:rsid w:val="00ED7657"/>
    <w:rsid w:val="00EE0667"/>
    <w:rsid w:val="00EE0797"/>
    <w:rsid w:val="00EE37F6"/>
    <w:rsid w:val="00EF03A3"/>
    <w:rsid w:val="00EF068F"/>
    <w:rsid w:val="00EF0C1C"/>
    <w:rsid w:val="00EF1A3F"/>
    <w:rsid w:val="00EF1C9D"/>
    <w:rsid w:val="00EF31BB"/>
    <w:rsid w:val="00EF49E3"/>
    <w:rsid w:val="00EF52B4"/>
    <w:rsid w:val="00EF5EC3"/>
    <w:rsid w:val="00F00589"/>
    <w:rsid w:val="00F0119E"/>
    <w:rsid w:val="00F01528"/>
    <w:rsid w:val="00F025BA"/>
    <w:rsid w:val="00F0333B"/>
    <w:rsid w:val="00F0512A"/>
    <w:rsid w:val="00F079FE"/>
    <w:rsid w:val="00F111BB"/>
    <w:rsid w:val="00F11636"/>
    <w:rsid w:val="00F1168F"/>
    <w:rsid w:val="00F129C7"/>
    <w:rsid w:val="00F13241"/>
    <w:rsid w:val="00F13CA4"/>
    <w:rsid w:val="00F16370"/>
    <w:rsid w:val="00F16927"/>
    <w:rsid w:val="00F179DC"/>
    <w:rsid w:val="00F2168A"/>
    <w:rsid w:val="00F228AE"/>
    <w:rsid w:val="00F22A81"/>
    <w:rsid w:val="00F239A2"/>
    <w:rsid w:val="00F23A7B"/>
    <w:rsid w:val="00F2682C"/>
    <w:rsid w:val="00F26A0B"/>
    <w:rsid w:val="00F26DD1"/>
    <w:rsid w:val="00F31551"/>
    <w:rsid w:val="00F32C48"/>
    <w:rsid w:val="00F345E8"/>
    <w:rsid w:val="00F37D2E"/>
    <w:rsid w:val="00F415E2"/>
    <w:rsid w:val="00F44D01"/>
    <w:rsid w:val="00F46431"/>
    <w:rsid w:val="00F55637"/>
    <w:rsid w:val="00F57813"/>
    <w:rsid w:val="00F601F3"/>
    <w:rsid w:val="00F60453"/>
    <w:rsid w:val="00F61328"/>
    <w:rsid w:val="00F61B70"/>
    <w:rsid w:val="00F63FF2"/>
    <w:rsid w:val="00F65A34"/>
    <w:rsid w:val="00F702E0"/>
    <w:rsid w:val="00F7248F"/>
    <w:rsid w:val="00F72A13"/>
    <w:rsid w:val="00F72C23"/>
    <w:rsid w:val="00F77322"/>
    <w:rsid w:val="00F77A01"/>
    <w:rsid w:val="00F85C06"/>
    <w:rsid w:val="00F86257"/>
    <w:rsid w:val="00F86BB5"/>
    <w:rsid w:val="00F90EB5"/>
    <w:rsid w:val="00FA0D36"/>
    <w:rsid w:val="00FA14E5"/>
    <w:rsid w:val="00FA18AC"/>
    <w:rsid w:val="00FA4E99"/>
    <w:rsid w:val="00FA7436"/>
    <w:rsid w:val="00FB0741"/>
    <w:rsid w:val="00FB1F72"/>
    <w:rsid w:val="00FB458B"/>
    <w:rsid w:val="00FB6278"/>
    <w:rsid w:val="00FC05E4"/>
    <w:rsid w:val="00FC5734"/>
    <w:rsid w:val="00FC6954"/>
    <w:rsid w:val="00FD312E"/>
    <w:rsid w:val="00FD337A"/>
    <w:rsid w:val="00FD3C2F"/>
    <w:rsid w:val="00FD5B9D"/>
    <w:rsid w:val="00FD5D6F"/>
    <w:rsid w:val="00FE0397"/>
    <w:rsid w:val="00FE097B"/>
    <w:rsid w:val="00FE0DC2"/>
    <w:rsid w:val="00FE0E02"/>
    <w:rsid w:val="00FE633C"/>
    <w:rsid w:val="00FE685D"/>
    <w:rsid w:val="00FE758C"/>
    <w:rsid w:val="00FF23F6"/>
    <w:rsid w:val="00FF4597"/>
    <w:rsid w:val="00FF5089"/>
    <w:rsid w:val="00FF79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link w:val="berschrift1Zchn"/>
    <w:uiPriority w:val="9"/>
    <w:qFormat/>
    <w:rsid w:val="00D35BC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473B1"/>
    <w:pPr>
      <w:ind w:left="720"/>
      <w:contextualSpacing/>
    </w:pPr>
  </w:style>
  <w:style w:type="paragraph" w:styleId="KeinLeerraum">
    <w:name w:val="No Spacing"/>
    <w:uiPriority w:val="1"/>
    <w:qFormat/>
    <w:rsid w:val="009A1DF8"/>
    <w:pPr>
      <w:spacing w:after="0" w:line="240" w:lineRule="auto"/>
    </w:pPr>
  </w:style>
  <w:style w:type="character" w:styleId="Zeilennummer">
    <w:name w:val="line number"/>
    <w:basedOn w:val="Absatz-Standardschriftart"/>
    <w:uiPriority w:val="99"/>
    <w:semiHidden/>
    <w:unhideWhenUsed/>
    <w:rsid w:val="00065021"/>
  </w:style>
  <w:style w:type="paragraph" w:styleId="Literaturverzeichnis">
    <w:name w:val="Bibliography"/>
    <w:basedOn w:val="Standard"/>
    <w:next w:val="Standard"/>
    <w:uiPriority w:val="37"/>
    <w:unhideWhenUsed/>
    <w:rsid w:val="004B36B0"/>
    <w:pPr>
      <w:tabs>
        <w:tab w:val="left" w:pos="504"/>
      </w:tabs>
      <w:spacing w:after="240" w:line="240" w:lineRule="auto"/>
      <w:ind w:left="504" w:hanging="504"/>
    </w:pPr>
  </w:style>
  <w:style w:type="character" w:customStyle="1" w:styleId="berschrift1Zchn">
    <w:name w:val="Überschrift 1 Zchn"/>
    <w:basedOn w:val="Absatz-Standardschriftart"/>
    <w:link w:val="berschrift1"/>
    <w:uiPriority w:val="9"/>
    <w:rsid w:val="00D35BCF"/>
    <w:rPr>
      <w:rFonts w:ascii="Times New Roman" w:eastAsia="Times New Roman" w:hAnsi="Times New Roman" w:cs="Times New Roman"/>
      <w:b/>
      <w:bCs/>
      <w:kern w:val="36"/>
      <w:sz w:val="48"/>
      <w:szCs w:val="48"/>
      <w:lang w:eastAsia="de-DE"/>
    </w:rPr>
  </w:style>
  <w:style w:type="paragraph" w:styleId="Kopfzeile">
    <w:name w:val="header"/>
    <w:basedOn w:val="Standard"/>
    <w:link w:val="KopfzeileZchn"/>
    <w:uiPriority w:val="99"/>
    <w:unhideWhenUsed/>
    <w:rsid w:val="00A11D4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11D40"/>
  </w:style>
  <w:style w:type="paragraph" w:styleId="Fuzeile">
    <w:name w:val="footer"/>
    <w:basedOn w:val="Standard"/>
    <w:link w:val="FuzeileZchn"/>
    <w:uiPriority w:val="99"/>
    <w:unhideWhenUsed/>
    <w:rsid w:val="00A11D4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11D40"/>
  </w:style>
  <w:style w:type="paragraph" w:styleId="StandardWeb">
    <w:name w:val="Normal (Web)"/>
    <w:basedOn w:val="Standard"/>
    <w:uiPriority w:val="99"/>
    <w:unhideWhenUsed/>
    <w:rsid w:val="008D4A86"/>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801D92"/>
    <w:pPr>
      <w:spacing w:after="0" w:line="240" w:lineRule="auto"/>
    </w:pPr>
    <w:rPr>
      <w:rFonts w:ascii="Tahoma" w:hAnsi="Tahoma" w:cs="Tahoma"/>
      <w:sz w:val="16"/>
      <w:szCs w:val="16"/>
      <w:lang w:val="en-GB"/>
    </w:rPr>
  </w:style>
  <w:style w:type="character" w:customStyle="1" w:styleId="SprechblasentextZchn">
    <w:name w:val="Sprechblasentext Zchn"/>
    <w:basedOn w:val="Absatz-Standardschriftart"/>
    <w:link w:val="Sprechblasentext"/>
    <w:uiPriority w:val="99"/>
    <w:semiHidden/>
    <w:rsid w:val="00801D92"/>
    <w:rPr>
      <w:rFonts w:ascii="Tahoma" w:hAnsi="Tahoma" w:cs="Tahoma"/>
      <w:sz w:val="16"/>
      <w:szCs w:val="16"/>
      <w:lang w:val="en-GB"/>
    </w:rPr>
  </w:style>
  <w:style w:type="paragraph" w:styleId="Beschriftung">
    <w:name w:val="caption"/>
    <w:basedOn w:val="Standard"/>
    <w:next w:val="Standard"/>
    <w:uiPriority w:val="35"/>
    <w:unhideWhenUsed/>
    <w:qFormat/>
    <w:rsid w:val="005B56F4"/>
    <w:pPr>
      <w:spacing w:line="240" w:lineRule="auto"/>
    </w:pPr>
    <w:rPr>
      <w:b/>
      <w:bCs/>
      <w:color w:val="4F81BD" w:themeColor="accent1"/>
      <w:sz w:val="18"/>
      <w:szCs w:val="18"/>
    </w:rPr>
  </w:style>
  <w:style w:type="character" w:styleId="Hyperlink">
    <w:name w:val="Hyperlink"/>
    <w:basedOn w:val="Absatz-Standardschriftart"/>
    <w:uiPriority w:val="99"/>
    <w:unhideWhenUsed/>
    <w:rsid w:val="008106E8"/>
    <w:rPr>
      <w:color w:val="0000FF"/>
      <w:u w:val="single"/>
    </w:rPr>
  </w:style>
  <w:style w:type="character" w:styleId="Kommentarzeichen">
    <w:name w:val="annotation reference"/>
    <w:basedOn w:val="Absatz-Standardschriftart"/>
    <w:uiPriority w:val="99"/>
    <w:semiHidden/>
    <w:unhideWhenUsed/>
    <w:rsid w:val="00442F01"/>
    <w:rPr>
      <w:sz w:val="16"/>
      <w:szCs w:val="16"/>
    </w:rPr>
  </w:style>
  <w:style w:type="paragraph" w:styleId="Kommentartext">
    <w:name w:val="annotation text"/>
    <w:basedOn w:val="Standard"/>
    <w:link w:val="KommentartextZchn"/>
    <w:uiPriority w:val="99"/>
    <w:semiHidden/>
    <w:unhideWhenUsed/>
    <w:rsid w:val="00442F0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42F01"/>
    <w:rPr>
      <w:sz w:val="20"/>
      <w:szCs w:val="20"/>
    </w:rPr>
  </w:style>
  <w:style w:type="paragraph" w:styleId="Kommentarthema">
    <w:name w:val="annotation subject"/>
    <w:basedOn w:val="Kommentartext"/>
    <w:next w:val="Kommentartext"/>
    <w:link w:val="KommentarthemaZchn"/>
    <w:uiPriority w:val="99"/>
    <w:semiHidden/>
    <w:unhideWhenUsed/>
    <w:rsid w:val="00161A57"/>
    <w:rPr>
      <w:b/>
      <w:bCs/>
    </w:rPr>
  </w:style>
  <w:style w:type="character" w:customStyle="1" w:styleId="KommentarthemaZchn">
    <w:name w:val="Kommentarthema Zchn"/>
    <w:basedOn w:val="KommentartextZchn"/>
    <w:link w:val="Kommentarthema"/>
    <w:uiPriority w:val="99"/>
    <w:semiHidden/>
    <w:rsid w:val="00161A57"/>
    <w:rPr>
      <w:b/>
      <w:bCs/>
      <w:sz w:val="20"/>
      <w:szCs w:val="20"/>
    </w:rPr>
  </w:style>
  <w:style w:type="character" w:customStyle="1" w:styleId="contentline-90">
    <w:name w:val="contentline-90"/>
    <w:basedOn w:val="Absatz-Standardschriftart"/>
    <w:rsid w:val="00C56992"/>
  </w:style>
  <w:style w:type="character" w:customStyle="1" w:styleId="pagecontents">
    <w:name w:val="pagecontents"/>
    <w:basedOn w:val="Absatz-Standardschriftart"/>
    <w:rsid w:val="00A8718D"/>
  </w:style>
  <w:style w:type="character" w:customStyle="1" w:styleId="value">
    <w:name w:val="value"/>
    <w:basedOn w:val="Absatz-Standardschriftart"/>
    <w:rsid w:val="006F2D4C"/>
  </w:style>
  <w:style w:type="character" w:styleId="Hervorhebung">
    <w:name w:val="Emphasis"/>
    <w:basedOn w:val="Absatz-Standardschriftart"/>
    <w:uiPriority w:val="20"/>
    <w:qFormat/>
    <w:rsid w:val="0073249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link w:val="berschrift1Zchn"/>
    <w:uiPriority w:val="9"/>
    <w:qFormat/>
    <w:rsid w:val="00D35BC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473B1"/>
    <w:pPr>
      <w:ind w:left="720"/>
      <w:contextualSpacing/>
    </w:pPr>
  </w:style>
  <w:style w:type="paragraph" w:styleId="KeinLeerraum">
    <w:name w:val="No Spacing"/>
    <w:uiPriority w:val="1"/>
    <w:qFormat/>
    <w:rsid w:val="009A1DF8"/>
    <w:pPr>
      <w:spacing w:after="0" w:line="240" w:lineRule="auto"/>
    </w:pPr>
  </w:style>
  <w:style w:type="character" w:styleId="Zeilennummer">
    <w:name w:val="line number"/>
    <w:basedOn w:val="Absatz-Standardschriftart"/>
    <w:uiPriority w:val="99"/>
    <w:semiHidden/>
    <w:unhideWhenUsed/>
    <w:rsid w:val="00065021"/>
  </w:style>
  <w:style w:type="paragraph" w:styleId="Literaturverzeichnis">
    <w:name w:val="Bibliography"/>
    <w:basedOn w:val="Standard"/>
    <w:next w:val="Standard"/>
    <w:uiPriority w:val="37"/>
    <w:unhideWhenUsed/>
    <w:rsid w:val="004B36B0"/>
    <w:pPr>
      <w:tabs>
        <w:tab w:val="left" w:pos="504"/>
      </w:tabs>
      <w:spacing w:after="240" w:line="240" w:lineRule="auto"/>
      <w:ind w:left="504" w:hanging="504"/>
    </w:pPr>
  </w:style>
  <w:style w:type="character" w:customStyle="1" w:styleId="berschrift1Zchn">
    <w:name w:val="Überschrift 1 Zchn"/>
    <w:basedOn w:val="Absatz-Standardschriftart"/>
    <w:link w:val="berschrift1"/>
    <w:uiPriority w:val="9"/>
    <w:rsid w:val="00D35BCF"/>
    <w:rPr>
      <w:rFonts w:ascii="Times New Roman" w:eastAsia="Times New Roman" w:hAnsi="Times New Roman" w:cs="Times New Roman"/>
      <w:b/>
      <w:bCs/>
      <w:kern w:val="36"/>
      <w:sz w:val="48"/>
      <w:szCs w:val="48"/>
      <w:lang w:eastAsia="de-DE"/>
    </w:rPr>
  </w:style>
  <w:style w:type="paragraph" w:styleId="Kopfzeile">
    <w:name w:val="header"/>
    <w:basedOn w:val="Standard"/>
    <w:link w:val="KopfzeileZchn"/>
    <w:uiPriority w:val="99"/>
    <w:unhideWhenUsed/>
    <w:rsid w:val="00A11D4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11D40"/>
  </w:style>
  <w:style w:type="paragraph" w:styleId="Fuzeile">
    <w:name w:val="footer"/>
    <w:basedOn w:val="Standard"/>
    <w:link w:val="FuzeileZchn"/>
    <w:uiPriority w:val="99"/>
    <w:unhideWhenUsed/>
    <w:rsid w:val="00A11D4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11D40"/>
  </w:style>
  <w:style w:type="paragraph" w:styleId="StandardWeb">
    <w:name w:val="Normal (Web)"/>
    <w:basedOn w:val="Standard"/>
    <w:uiPriority w:val="99"/>
    <w:unhideWhenUsed/>
    <w:rsid w:val="008D4A86"/>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801D92"/>
    <w:pPr>
      <w:spacing w:after="0" w:line="240" w:lineRule="auto"/>
    </w:pPr>
    <w:rPr>
      <w:rFonts w:ascii="Tahoma" w:hAnsi="Tahoma" w:cs="Tahoma"/>
      <w:sz w:val="16"/>
      <w:szCs w:val="16"/>
      <w:lang w:val="en-GB"/>
    </w:rPr>
  </w:style>
  <w:style w:type="character" w:customStyle="1" w:styleId="SprechblasentextZchn">
    <w:name w:val="Sprechblasentext Zchn"/>
    <w:basedOn w:val="Absatz-Standardschriftart"/>
    <w:link w:val="Sprechblasentext"/>
    <w:uiPriority w:val="99"/>
    <w:semiHidden/>
    <w:rsid w:val="00801D92"/>
    <w:rPr>
      <w:rFonts w:ascii="Tahoma" w:hAnsi="Tahoma" w:cs="Tahoma"/>
      <w:sz w:val="16"/>
      <w:szCs w:val="16"/>
      <w:lang w:val="en-GB"/>
    </w:rPr>
  </w:style>
  <w:style w:type="paragraph" w:styleId="Beschriftung">
    <w:name w:val="caption"/>
    <w:basedOn w:val="Standard"/>
    <w:next w:val="Standard"/>
    <w:uiPriority w:val="35"/>
    <w:unhideWhenUsed/>
    <w:qFormat/>
    <w:rsid w:val="005B56F4"/>
    <w:pPr>
      <w:spacing w:line="240" w:lineRule="auto"/>
    </w:pPr>
    <w:rPr>
      <w:b/>
      <w:bCs/>
      <w:color w:val="4F81BD" w:themeColor="accent1"/>
      <w:sz w:val="18"/>
      <w:szCs w:val="18"/>
    </w:rPr>
  </w:style>
  <w:style w:type="character" w:styleId="Hyperlink">
    <w:name w:val="Hyperlink"/>
    <w:basedOn w:val="Absatz-Standardschriftart"/>
    <w:uiPriority w:val="99"/>
    <w:unhideWhenUsed/>
    <w:rsid w:val="008106E8"/>
    <w:rPr>
      <w:color w:val="0000FF"/>
      <w:u w:val="single"/>
    </w:rPr>
  </w:style>
  <w:style w:type="character" w:styleId="Kommentarzeichen">
    <w:name w:val="annotation reference"/>
    <w:basedOn w:val="Absatz-Standardschriftart"/>
    <w:uiPriority w:val="99"/>
    <w:semiHidden/>
    <w:unhideWhenUsed/>
    <w:rsid w:val="00442F01"/>
    <w:rPr>
      <w:sz w:val="16"/>
      <w:szCs w:val="16"/>
    </w:rPr>
  </w:style>
  <w:style w:type="paragraph" w:styleId="Kommentartext">
    <w:name w:val="annotation text"/>
    <w:basedOn w:val="Standard"/>
    <w:link w:val="KommentartextZchn"/>
    <w:uiPriority w:val="99"/>
    <w:semiHidden/>
    <w:unhideWhenUsed/>
    <w:rsid w:val="00442F0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42F01"/>
    <w:rPr>
      <w:sz w:val="20"/>
      <w:szCs w:val="20"/>
    </w:rPr>
  </w:style>
  <w:style w:type="paragraph" w:styleId="Kommentarthema">
    <w:name w:val="annotation subject"/>
    <w:basedOn w:val="Kommentartext"/>
    <w:next w:val="Kommentartext"/>
    <w:link w:val="KommentarthemaZchn"/>
    <w:uiPriority w:val="99"/>
    <w:semiHidden/>
    <w:unhideWhenUsed/>
    <w:rsid w:val="00161A57"/>
    <w:rPr>
      <w:b/>
      <w:bCs/>
    </w:rPr>
  </w:style>
  <w:style w:type="character" w:customStyle="1" w:styleId="KommentarthemaZchn">
    <w:name w:val="Kommentarthema Zchn"/>
    <w:basedOn w:val="KommentartextZchn"/>
    <w:link w:val="Kommentarthema"/>
    <w:uiPriority w:val="99"/>
    <w:semiHidden/>
    <w:rsid w:val="00161A57"/>
    <w:rPr>
      <w:b/>
      <w:bCs/>
      <w:sz w:val="20"/>
      <w:szCs w:val="20"/>
    </w:rPr>
  </w:style>
  <w:style w:type="character" w:customStyle="1" w:styleId="contentline-90">
    <w:name w:val="contentline-90"/>
    <w:basedOn w:val="Absatz-Standardschriftart"/>
    <w:rsid w:val="00C56992"/>
  </w:style>
  <w:style w:type="character" w:customStyle="1" w:styleId="pagecontents">
    <w:name w:val="pagecontents"/>
    <w:basedOn w:val="Absatz-Standardschriftart"/>
    <w:rsid w:val="00A8718D"/>
  </w:style>
  <w:style w:type="character" w:customStyle="1" w:styleId="value">
    <w:name w:val="value"/>
    <w:basedOn w:val="Absatz-Standardschriftart"/>
    <w:rsid w:val="006F2D4C"/>
  </w:style>
  <w:style w:type="character" w:styleId="Hervorhebung">
    <w:name w:val="Emphasis"/>
    <w:basedOn w:val="Absatz-Standardschriftart"/>
    <w:uiPriority w:val="20"/>
    <w:qFormat/>
    <w:rsid w:val="007324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2397">
      <w:bodyDiv w:val="1"/>
      <w:marLeft w:val="0"/>
      <w:marRight w:val="0"/>
      <w:marTop w:val="0"/>
      <w:marBottom w:val="0"/>
      <w:divBdr>
        <w:top w:val="none" w:sz="0" w:space="0" w:color="auto"/>
        <w:left w:val="none" w:sz="0" w:space="0" w:color="auto"/>
        <w:bottom w:val="none" w:sz="0" w:space="0" w:color="auto"/>
        <w:right w:val="none" w:sz="0" w:space="0" w:color="auto"/>
      </w:divBdr>
    </w:div>
    <w:div w:id="5985383">
      <w:bodyDiv w:val="1"/>
      <w:marLeft w:val="0"/>
      <w:marRight w:val="0"/>
      <w:marTop w:val="0"/>
      <w:marBottom w:val="0"/>
      <w:divBdr>
        <w:top w:val="none" w:sz="0" w:space="0" w:color="auto"/>
        <w:left w:val="none" w:sz="0" w:space="0" w:color="auto"/>
        <w:bottom w:val="none" w:sz="0" w:space="0" w:color="auto"/>
        <w:right w:val="none" w:sz="0" w:space="0" w:color="auto"/>
      </w:divBdr>
    </w:div>
    <w:div w:id="11953872">
      <w:bodyDiv w:val="1"/>
      <w:marLeft w:val="0"/>
      <w:marRight w:val="0"/>
      <w:marTop w:val="0"/>
      <w:marBottom w:val="0"/>
      <w:divBdr>
        <w:top w:val="none" w:sz="0" w:space="0" w:color="auto"/>
        <w:left w:val="none" w:sz="0" w:space="0" w:color="auto"/>
        <w:bottom w:val="none" w:sz="0" w:space="0" w:color="auto"/>
        <w:right w:val="none" w:sz="0" w:space="0" w:color="auto"/>
      </w:divBdr>
    </w:div>
    <w:div w:id="16585535">
      <w:bodyDiv w:val="1"/>
      <w:marLeft w:val="0"/>
      <w:marRight w:val="0"/>
      <w:marTop w:val="0"/>
      <w:marBottom w:val="0"/>
      <w:divBdr>
        <w:top w:val="none" w:sz="0" w:space="0" w:color="auto"/>
        <w:left w:val="none" w:sz="0" w:space="0" w:color="auto"/>
        <w:bottom w:val="none" w:sz="0" w:space="0" w:color="auto"/>
        <w:right w:val="none" w:sz="0" w:space="0" w:color="auto"/>
      </w:divBdr>
    </w:div>
    <w:div w:id="17320125">
      <w:bodyDiv w:val="1"/>
      <w:marLeft w:val="0"/>
      <w:marRight w:val="0"/>
      <w:marTop w:val="0"/>
      <w:marBottom w:val="0"/>
      <w:divBdr>
        <w:top w:val="none" w:sz="0" w:space="0" w:color="auto"/>
        <w:left w:val="none" w:sz="0" w:space="0" w:color="auto"/>
        <w:bottom w:val="none" w:sz="0" w:space="0" w:color="auto"/>
        <w:right w:val="none" w:sz="0" w:space="0" w:color="auto"/>
      </w:divBdr>
    </w:div>
    <w:div w:id="23286209">
      <w:bodyDiv w:val="1"/>
      <w:marLeft w:val="0"/>
      <w:marRight w:val="0"/>
      <w:marTop w:val="0"/>
      <w:marBottom w:val="0"/>
      <w:divBdr>
        <w:top w:val="none" w:sz="0" w:space="0" w:color="auto"/>
        <w:left w:val="none" w:sz="0" w:space="0" w:color="auto"/>
        <w:bottom w:val="none" w:sz="0" w:space="0" w:color="auto"/>
        <w:right w:val="none" w:sz="0" w:space="0" w:color="auto"/>
      </w:divBdr>
    </w:div>
    <w:div w:id="31731243">
      <w:bodyDiv w:val="1"/>
      <w:marLeft w:val="0"/>
      <w:marRight w:val="0"/>
      <w:marTop w:val="0"/>
      <w:marBottom w:val="0"/>
      <w:divBdr>
        <w:top w:val="none" w:sz="0" w:space="0" w:color="auto"/>
        <w:left w:val="none" w:sz="0" w:space="0" w:color="auto"/>
        <w:bottom w:val="none" w:sz="0" w:space="0" w:color="auto"/>
        <w:right w:val="none" w:sz="0" w:space="0" w:color="auto"/>
      </w:divBdr>
    </w:div>
    <w:div w:id="39479668">
      <w:bodyDiv w:val="1"/>
      <w:marLeft w:val="0"/>
      <w:marRight w:val="0"/>
      <w:marTop w:val="0"/>
      <w:marBottom w:val="0"/>
      <w:divBdr>
        <w:top w:val="none" w:sz="0" w:space="0" w:color="auto"/>
        <w:left w:val="none" w:sz="0" w:space="0" w:color="auto"/>
        <w:bottom w:val="none" w:sz="0" w:space="0" w:color="auto"/>
        <w:right w:val="none" w:sz="0" w:space="0" w:color="auto"/>
      </w:divBdr>
    </w:div>
    <w:div w:id="49304202">
      <w:bodyDiv w:val="1"/>
      <w:marLeft w:val="0"/>
      <w:marRight w:val="0"/>
      <w:marTop w:val="0"/>
      <w:marBottom w:val="0"/>
      <w:divBdr>
        <w:top w:val="none" w:sz="0" w:space="0" w:color="auto"/>
        <w:left w:val="none" w:sz="0" w:space="0" w:color="auto"/>
        <w:bottom w:val="none" w:sz="0" w:space="0" w:color="auto"/>
        <w:right w:val="none" w:sz="0" w:space="0" w:color="auto"/>
      </w:divBdr>
    </w:div>
    <w:div w:id="51344613">
      <w:bodyDiv w:val="1"/>
      <w:marLeft w:val="0"/>
      <w:marRight w:val="0"/>
      <w:marTop w:val="0"/>
      <w:marBottom w:val="0"/>
      <w:divBdr>
        <w:top w:val="none" w:sz="0" w:space="0" w:color="auto"/>
        <w:left w:val="none" w:sz="0" w:space="0" w:color="auto"/>
        <w:bottom w:val="none" w:sz="0" w:space="0" w:color="auto"/>
        <w:right w:val="none" w:sz="0" w:space="0" w:color="auto"/>
      </w:divBdr>
    </w:div>
    <w:div w:id="72355511">
      <w:bodyDiv w:val="1"/>
      <w:marLeft w:val="0"/>
      <w:marRight w:val="0"/>
      <w:marTop w:val="0"/>
      <w:marBottom w:val="0"/>
      <w:divBdr>
        <w:top w:val="none" w:sz="0" w:space="0" w:color="auto"/>
        <w:left w:val="none" w:sz="0" w:space="0" w:color="auto"/>
        <w:bottom w:val="none" w:sz="0" w:space="0" w:color="auto"/>
        <w:right w:val="none" w:sz="0" w:space="0" w:color="auto"/>
      </w:divBdr>
    </w:div>
    <w:div w:id="94714250">
      <w:bodyDiv w:val="1"/>
      <w:marLeft w:val="0"/>
      <w:marRight w:val="0"/>
      <w:marTop w:val="0"/>
      <w:marBottom w:val="0"/>
      <w:divBdr>
        <w:top w:val="none" w:sz="0" w:space="0" w:color="auto"/>
        <w:left w:val="none" w:sz="0" w:space="0" w:color="auto"/>
        <w:bottom w:val="none" w:sz="0" w:space="0" w:color="auto"/>
        <w:right w:val="none" w:sz="0" w:space="0" w:color="auto"/>
      </w:divBdr>
    </w:div>
    <w:div w:id="99034986">
      <w:bodyDiv w:val="1"/>
      <w:marLeft w:val="0"/>
      <w:marRight w:val="0"/>
      <w:marTop w:val="0"/>
      <w:marBottom w:val="0"/>
      <w:divBdr>
        <w:top w:val="none" w:sz="0" w:space="0" w:color="auto"/>
        <w:left w:val="none" w:sz="0" w:space="0" w:color="auto"/>
        <w:bottom w:val="none" w:sz="0" w:space="0" w:color="auto"/>
        <w:right w:val="none" w:sz="0" w:space="0" w:color="auto"/>
      </w:divBdr>
    </w:div>
    <w:div w:id="119543515">
      <w:bodyDiv w:val="1"/>
      <w:marLeft w:val="0"/>
      <w:marRight w:val="0"/>
      <w:marTop w:val="0"/>
      <w:marBottom w:val="0"/>
      <w:divBdr>
        <w:top w:val="none" w:sz="0" w:space="0" w:color="auto"/>
        <w:left w:val="none" w:sz="0" w:space="0" w:color="auto"/>
        <w:bottom w:val="none" w:sz="0" w:space="0" w:color="auto"/>
        <w:right w:val="none" w:sz="0" w:space="0" w:color="auto"/>
      </w:divBdr>
    </w:div>
    <w:div w:id="122890937">
      <w:bodyDiv w:val="1"/>
      <w:marLeft w:val="0"/>
      <w:marRight w:val="0"/>
      <w:marTop w:val="0"/>
      <w:marBottom w:val="0"/>
      <w:divBdr>
        <w:top w:val="none" w:sz="0" w:space="0" w:color="auto"/>
        <w:left w:val="none" w:sz="0" w:space="0" w:color="auto"/>
        <w:bottom w:val="none" w:sz="0" w:space="0" w:color="auto"/>
        <w:right w:val="none" w:sz="0" w:space="0" w:color="auto"/>
      </w:divBdr>
    </w:div>
    <w:div w:id="124977288">
      <w:bodyDiv w:val="1"/>
      <w:marLeft w:val="0"/>
      <w:marRight w:val="0"/>
      <w:marTop w:val="0"/>
      <w:marBottom w:val="0"/>
      <w:divBdr>
        <w:top w:val="none" w:sz="0" w:space="0" w:color="auto"/>
        <w:left w:val="none" w:sz="0" w:space="0" w:color="auto"/>
        <w:bottom w:val="none" w:sz="0" w:space="0" w:color="auto"/>
        <w:right w:val="none" w:sz="0" w:space="0" w:color="auto"/>
      </w:divBdr>
    </w:div>
    <w:div w:id="126316891">
      <w:bodyDiv w:val="1"/>
      <w:marLeft w:val="0"/>
      <w:marRight w:val="0"/>
      <w:marTop w:val="0"/>
      <w:marBottom w:val="0"/>
      <w:divBdr>
        <w:top w:val="none" w:sz="0" w:space="0" w:color="auto"/>
        <w:left w:val="none" w:sz="0" w:space="0" w:color="auto"/>
        <w:bottom w:val="none" w:sz="0" w:space="0" w:color="auto"/>
        <w:right w:val="none" w:sz="0" w:space="0" w:color="auto"/>
      </w:divBdr>
    </w:div>
    <w:div w:id="128399436">
      <w:bodyDiv w:val="1"/>
      <w:marLeft w:val="0"/>
      <w:marRight w:val="0"/>
      <w:marTop w:val="0"/>
      <w:marBottom w:val="0"/>
      <w:divBdr>
        <w:top w:val="none" w:sz="0" w:space="0" w:color="auto"/>
        <w:left w:val="none" w:sz="0" w:space="0" w:color="auto"/>
        <w:bottom w:val="none" w:sz="0" w:space="0" w:color="auto"/>
        <w:right w:val="none" w:sz="0" w:space="0" w:color="auto"/>
      </w:divBdr>
    </w:div>
    <w:div w:id="130710548">
      <w:bodyDiv w:val="1"/>
      <w:marLeft w:val="0"/>
      <w:marRight w:val="0"/>
      <w:marTop w:val="0"/>
      <w:marBottom w:val="0"/>
      <w:divBdr>
        <w:top w:val="none" w:sz="0" w:space="0" w:color="auto"/>
        <w:left w:val="none" w:sz="0" w:space="0" w:color="auto"/>
        <w:bottom w:val="none" w:sz="0" w:space="0" w:color="auto"/>
        <w:right w:val="none" w:sz="0" w:space="0" w:color="auto"/>
      </w:divBdr>
    </w:div>
    <w:div w:id="132261152">
      <w:bodyDiv w:val="1"/>
      <w:marLeft w:val="0"/>
      <w:marRight w:val="0"/>
      <w:marTop w:val="0"/>
      <w:marBottom w:val="0"/>
      <w:divBdr>
        <w:top w:val="none" w:sz="0" w:space="0" w:color="auto"/>
        <w:left w:val="none" w:sz="0" w:space="0" w:color="auto"/>
        <w:bottom w:val="none" w:sz="0" w:space="0" w:color="auto"/>
        <w:right w:val="none" w:sz="0" w:space="0" w:color="auto"/>
      </w:divBdr>
    </w:div>
    <w:div w:id="139157417">
      <w:bodyDiv w:val="1"/>
      <w:marLeft w:val="0"/>
      <w:marRight w:val="0"/>
      <w:marTop w:val="0"/>
      <w:marBottom w:val="0"/>
      <w:divBdr>
        <w:top w:val="none" w:sz="0" w:space="0" w:color="auto"/>
        <w:left w:val="none" w:sz="0" w:space="0" w:color="auto"/>
        <w:bottom w:val="none" w:sz="0" w:space="0" w:color="auto"/>
        <w:right w:val="none" w:sz="0" w:space="0" w:color="auto"/>
      </w:divBdr>
    </w:div>
    <w:div w:id="149104299">
      <w:bodyDiv w:val="1"/>
      <w:marLeft w:val="0"/>
      <w:marRight w:val="0"/>
      <w:marTop w:val="0"/>
      <w:marBottom w:val="0"/>
      <w:divBdr>
        <w:top w:val="none" w:sz="0" w:space="0" w:color="auto"/>
        <w:left w:val="none" w:sz="0" w:space="0" w:color="auto"/>
        <w:bottom w:val="none" w:sz="0" w:space="0" w:color="auto"/>
        <w:right w:val="none" w:sz="0" w:space="0" w:color="auto"/>
      </w:divBdr>
    </w:div>
    <w:div w:id="151458122">
      <w:bodyDiv w:val="1"/>
      <w:marLeft w:val="0"/>
      <w:marRight w:val="0"/>
      <w:marTop w:val="0"/>
      <w:marBottom w:val="0"/>
      <w:divBdr>
        <w:top w:val="none" w:sz="0" w:space="0" w:color="auto"/>
        <w:left w:val="none" w:sz="0" w:space="0" w:color="auto"/>
        <w:bottom w:val="none" w:sz="0" w:space="0" w:color="auto"/>
        <w:right w:val="none" w:sz="0" w:space="0" w:color="auto"/>
      </w:divBdr>
    </w:div>
    <w:div w:id="166409069">
      <w:bodyDiv w:val="1"/>
      <w:marLeft w:val="0"/>
      <w:marRight w:val="0"/>
      <w:marTop w:val="0"/>
      <w:marBottom w:val="0"/>
      <w:divBdr>
        <w:top w:val="none" w:sz="0" w:space="0" w:color="auto"/>
        <w:left w:val="none" w:sz="0" w:space="0" w:color="auto"/>
        <w:bottom w:val="none" w:sz="0" w:space="0" w:color="auto"/>
        <w:right w:val="none" w:sz="0" w:space="0" w:color="auto"/>
      </w:divBdr>
    </w:div>
    <w:div w:id="174539563">
      <w:bodyDiv w:val="1"/>
      <w:marLeft w:val="0"/>
      <w:marRight w:val="0"/>
      <w:marTop w:val="0"/>
      <w:marBottom w:val="0"/>
      <w:divBdr>
        <w:top w:val="none" w:sz="0" w:space="0" w:color="auto"/>
        <w:left w:val="none" w:sz="0" w:space="0" w:color="auto"/>
        <w:bottom w:val="none" w:sz="0" w:space="0" w:color="auto"/>
        <w:right w:val="none" w:sz="0" w:space="0" w:color="auto"/>
      </w:divBdr>
    </w:div>
    <w:div w:id="208422444">
      <w:bodyDiv w:val="1"/>
      <w:marLeft w:val="0"/>
      <w:marRight w:val="0"/>
      <w:marTop w:val="0"/>
      <w:marBottom w:val="0"/>
      <w:divBdr>
        <w:top w:val="none" w:sz="0" w:space="0" w:color="auto"/>
        <w:left w:val="none" w:sz="0" w:space="0" w:color="auto"/>
        <w:bottom w:val="none" w:sz="0" w:space="0" w:color="auto"/>
        <w:right w:val="none" w:sz="0" w:space="0" w:color="auto"/>
      </w:divBdr>
    </w:div>
    <w:div w:id="219750572">
      <w:bodyDiv w:val="1"/>
      <w:marLeft w:val="0"/>
      <w:marRight w:val="0"/>
      <w:marTop w:val="0"/>
      <w:marBottom w:val="0"/>
      <w:divBdr>
        <w:top w:val="none" w:sz="0" w:space="0" w:color="auto"/>
        <w:left w:val="none" w:sz="0" w:space="0" w:color="auto"/>
        <w:bottom w:val="none" w:sz="0" w:space="0" w:color="auto"/>
        <w:right w:val="none" w:sz="0" w:space="0" w:color="auto"/>
      </w:divBdr>
    </w:div>
    <w:div w:id="237332215">
      <w:bodyDiv w:val="1"/>
      <w:marLeft w:val="0"/>
      <w:marRight w:val="0"/>
      <w:marTop w:val="0"/>
      <w:marBottom w:val="0"/>
      <w:divBdr>
        <w:top w:val="none" w:sz="0" w:space="0" w:color="auto"/>
        <w:left w:val="none" w:sz="0" w:space="0" w:color="auto"/>
        <w:bottom w:val="none" w:sz="0" w:space="0" w:color="auto"/>
        <w:right w:val="none" w:sz="0" w:space="0" w:color="auto"/>
      </w:divBdr>
    </w:div>
    <w:div w:id="238753989">
      <w:bodyDiv w:val="1"/>
      <w:marLeft w:val="0"/>
      <w:marRight w:val="0"/>
      <w:marTop w:val="0"/>
      <w:marBottom w:val="0"/>
      <w:divBdr>
        <w:top w:val="none" w:sz="0" w:space="0" w:color="auto"/>
        <w:left w:val="none" w:sz="0" w:space="0" w:color="auto"/>
        <w:bottom w:val="none" w:sz="0" w:space="0" w:color="auto"/>
        <w:right w:val="none" w:sz="0" w:space="0" w:color="auto"/>
      </w:divBdr>
    </w:div>
    <w:div w:id="252323744">
      <w:bodyDiv w:val="1"/>
      <w:marLeft w:val="0"/>
      <w:marRight w:val="0"/>
      <w:marTop w:val="0"/>
      <w:marBottom w:val="0"/>
      <w:divBdr>
        <w:top w:val="none" w:sz="0" w:space="0" w:color="auto"/>
        <w:left w:val="none" w:sz="0" w:space="0" w:color="auto"/>
        <w:bottom w:val="none" w:sz="0" w:space="0" w:color="auto"/>
        <w:right w:val="none" w:sz="0" w:space="0" w:color="auto"/>
      </w:divBdr>
    </w:div>
    <w:div w:id="278222601">
      <w:bodyDiv w:val="1"/>
      <w:marLeft w:val="0"/>
      <w:marRight w:val="0"/>
      <w:marTop w:val="0"/>
      <w:marBottom w:val="0"/>
      <w:divBdr>
        <w:top w:val="none" w:sz="0" w:space="0" w:color="auto"/>
        <w:left w:val="none" w:sz="0" w:space="0" w:color="auto"/>
        <w:bottom w:val="none" w:sz="0" w:space="0" w:color="auto"/>
        <w:right w:val="none" w:sz="0" w:space="0" w:color="auto"/>
      </w:divBdr>
    </w:div>
    <w:div w:id="285284317">
      <w:bodyDiv w:val="1"/>
      <w:marLeft w:val="0"/>
      <w:marRight w:val="0"/>
      <w:marTop w:val="0"/>
      <w:marBottom w:val="0"/>
      <w:divBdr>
        <w:top w:val="none" w:sz="0" w:space="0" w:color="auto"/>
        <w:left w:val="none" w:sz="0" w:space="0" w:color="auto"/>
        <w:bottom w:val="none" w:sz="0" w:space="0" w:color="auto"/>
        <w:right w:val="none" w:sz="0" w:space="0" w:color="auto"/>
      </w:divBdr>
    </w:div>
    <w:div w:id="298732339">
      <w:bodyDiv w:val="1"/>
      <w:marLeft w:val="0"/>
      <w:marRight w:val="0"/>
      <w:marTop w:val="0"/>
      <w:marBottom w:val="0"/>
      <w:divBdr>
        <w:top w:val="none" w:sz="0" w:space="0" w:color="auto"/>
        <w:left w:val="none" w:sz="0" w:space="0" w:color="auto"/>
        <w:bottom w:val="none" w:sz="0" w:space="0" w:color="auto"/>
        <w:right w:val="none" w:sz="0" w:space="0" w:color="auto"/>
      </w:divBdr>
    </w:div>
    <w:div w:id="299457742">
      <w:bodyDiv w:val="1"/>
      <w:marLeft w:val="0"/>
      <w:marRight w:val="0"/>
      <w:marTop w:val="0"/>
      <w:marBottom w:val="0"/>
      <w:divBdr>
        <w:top w:val="none" w:sz="0" w:space="0" w:color="auto"/>
        <w:left w:val="none" w:sz="0" w:space="0" w:color="auto"/>
        <w:bottom w:val="none" w:sz="0" w:space="0" w:color="auto"/>
        <w:right w:val="none" w:sz="0" w:space="0" w:color="auto"/>
      </w:divBdr>
    </w:div>
    <w:div w:id="315300960">
      <w:bodyDiv w:val="1"/>
      <w:marLeft w:val="0"/>
      <w:marRight w:val="0"/>
      <w:marTop w:val="0"/>
      <w:marBottom w:val="0"/>
      <w:divBdr>
        <w:top w:val="none" w:sz="0" w:space="0" w:color="auto"/>
        <w:left w:val="none" w:sz="0" w:space="0" w:color="auto"/>
        <w:bottom w:val="none" w:sz="0" w:space="0" w:color="auto"/>
        <w:right w:val="none" w:sz="0" w:space="0" w:color="auto"/>
      </w:divBdr>
    </w:div>
    <w:div w:id="344870181">
      <w:bodyDiv w:val="1"/>
      <w:marLeft w:val="0"/>
      <w:marRight w:val="0"/>
      <w:marTop w:val="0"/>
      <w:marBottom w:val="0"/>
      <w:divBdr>
        <w:top w:val="none" w:sz="0" w:space="0" w:color="auto"/>
        <w:left w:val="none" w:sz="0" w:space="0" w:color="auto"/>
        <w:bottom w:val="none" w:sz="0" w:space="0" w:color="auto"/>
        <w:right w:val="none" w:sz="0" w:space="0" w:color="auto"/>
      </w:divBdr>
    </w:div>
    <w:div w:id="358972546">
      <w:bodyDiv w:val="1"/>
      <w:marLeft w:val="0"/>
      <w:marRight w:val="0"/>
      <w:marTop w:val="0"/>
      <w:marBottom w:val="0"/>
      <w:divBdr>
        <w:top w:val="none" w:sz="0" w:space="0" w:color="auto"/>
        <w:left w:val="none" w:sz="0" w:space="0" w:color="auto"/>
        <w:bottom w:val="none" w:sz="0" w:space="0" w:color="auto"/>
        <w:right w:val="none" w:sz="0" w:space="0" w:color="auto"/>
      </w:divBdr>
    </w:div>
    <w:div w:id="363405034">
      <w:bodyDiv w:val="1"/>
      <w:marLeft w:val="0"/>
      <w:marRight w:val="0"/>
      <w:marTop w:val="0"/>
      <w:marBottom w:val="0"/>
      <w:divBdr>
        <w:top w:val="none" w:sz="0" w:space="0" w:color="auto"/>
        <w:left w:val="none" w:sz="0" w:space="0" w:color="auto"/>
        <w:bottom w:val="none" w:sz="0" w:space="0" w:color="auto"/>
        <w:right w:val="none" w:sz="0" w:space="0" w:color="auto"/>
      </w:divBdr>
    </w:div>
    <w:div w:id="367411152">
      <w:bodyDiv w:val="1"/>
      <w:marLeft w:val="0"/>
      <w:marRight w:val="0"/>
      <w:marTop w:val="0"/>
      <w:marBottom w:val="0"/>
      <w:divBdr>
        <w:top w:val="none" w:sz="0" w:space="0" w:color="auto"/>
        <w:left w:val="none" w:sz="0" w:space="0" w:color="auto"/>
        <w:bottom w:val="none" w:sz="0" w:space="0" w:color="auto"/>
        <w:right w:val="none" w:sz="0" w:space="0" w:color="auto"/>
      </w:divBdr>
    </w:div>
    <w:div w:id="387343215">
      <w:bodyDiv w:val="1"/>
      <w:marLeft w:val="0"/>
      <w:marRight w:val="0"/>
      <w:marTop w:val="0"/>
      <w:marBottom w:val="0"/>
      <w:divBdr>
        <w:top w:val="none" w:sz="0" w:space="0" w:color="auto"/>
        <w:left w:val="none" w:sz="0" w:space="0" w:color="auto"/>
        <w:bottom w:val="none" w:sz="0" w:space="0" w:color="auto"/>
        <w:right w:val="none" w:sz="0" w:space="0" w:color="auto"/>
      </w:divBdr>
    </w:div>
    <w:div w:id="390888024">
      <w:bodyDiv w:val="1"/>
      <w:marLeft w:val="0"/>
      <w:marRight w:val="0"/>
      <w:marTop w:val="0"/>
      <w:marBottom w:val="0"/>
      <w:divBdr>
        <w:top w:val="none" w:sz="0" w:space="0" w:color="auto"/>
        <w:left w:val="none" w:sz="0" w:space="0" w:color="auto"/>
        <w:bottom w:val="none" w:sz="0" w:space="0" w:color="auto"/>
        <w:right w:val="none" w:sz="0" w:space="0" w:color="auto"/>
      </w:divBdr>
    </w:div>
    <w:div w:id="397094515">
      <w:bodyDiv w:val="1"/>
      <w:marLeft w:val="0"/>
      <w:marRight w:val="0"/>
      <w:marTop w:val="0"/>
      <w:marBottom w:val="0"/>
      <w:divBdr>
        <w:top w:val="none" w:sz="0" w:space="0" w:color="auto"/>
        <w:left w:val="none" w:sz="0" w:space="0" w:color="auto"/>
        <w:bottom w:val="none" w:sz="0" w:space="0" w:color="auto"/>
        <w:right w:val="none" w:sz="0" w:space="0" w:color="auto"/>
      </w:divBdr>
      <w:divsChild>
        <w:div w:id="1424258669">
          <w:marLeft w:val="605"/>
          <w:marRight w:val="0"/>
          <w:marTop w:val="0"/>
          <w:marBottom w:val="0"/>
          <w:divBdr>
            <w:top w:val="none" w:sz="0" w:space="0" w:color="auto"/>
            <w:left w:val="none" w:sz="0" w:space="0" w:color="auto"/>
            <w:bottom w:val="none" w:sz="0" w:space="0" w:color="auto"/>
            <w:right w:val="none" w:sz="0" w:space="0" w:color="auto"/>
          </w:divBdr>
        </w:div>
        <w:div w:id="1712807923">
          <w:marLeft w:val="605"/>
          <w:marRight w:val="0"/>
          <w:marTop w:val="0"/>
          <w:marBottom w:val="0"/>
          <w:divBdr>
            <w:top w:val="none" w:sz="0" w:space="0" w:color="auto"/>
            <w:left w:val="none" w:sz="0" w:space="0" w:color="auto"/>
            <w:bottom w:val="none" w:sz="0" w:space="0" w:color="auto"/>
            <w:right w:val="none" w:sz="0" w:space="0" w:color="auto"/>
          </w:divBdr>
        </w:div>
        <w:div w:id="2028436576">
          <w:marLeft w:val="605"/>
          <w:marRight w:val="0"/>
          <w:marTop w:val="0"/>
          <w:marBottom w:val="0"/>
          <w:divBdr>
            <w:top w:val="none" w:sz="0" w:space="0" w:color="auto"/>
            <w:left w:val="none" w:sz="0" w:space="0" w:color="auto"/>
            <w:bottom w:val="none" w:sz="0" w:space="0" w:color="auto"/>
            <w:right w:val="none" w:sz="0" w:space="0" w:color="auto"/>
          </w:divBdr>
        </w:div>
      </w:divsChild>
    </w:div>
    <w:div w:id="411053058">
      <w:bodyDiv w:val="1"/>
      <w:marLeft w:val="0"/>
      <w:marRight w:val="0"/>
      <w:marTop w:val="0"/>
      <w:marBottom w:val="0"/>
      <w:divBdr>
        <w:top w:val="none" w:sz="0" w:space="0" w:color="auto"/>
        <w:left w:val="none" w:sz="0" w:space="0" w:color="auto"/>
        <w:bottom w:val="none" w:sz="0" w:space="0" w:color="auto"/>
        <w:right w:val="none" w:sz="0" w:space="0" w:color="auto"/>
      </w:divBdr>
    </w:div>
    <w:div w:id="417989121">
      <w:bodyDiv w:val="1"/>
      <w:marLeft w:val="0"/>
      <w:marRight w:val="0"/>
      <w:marTop w:val="0"/>
      <w:marBottom w:val="0"/>
      <w:divBdr>
        <w:top w:val="none" w:sz="0" w:space="0" w:color="auto"/>
        <w:left w:val="none" w:sz="0" w:space="0" w:color="auto"/>
        <w:bottom w:val="none" w:sz="0" w:space="0" w:color="auto"/>
        <w:right w:val="none" w:sz="0" w:space="0" w:color="auto"/>
      </w:divBdr>
    </w:div>
    <w:div w:id="433407297">
      <w:bodyDiv w:val="1"/>
      <w:marLeft w:val="0"/>
      <w:marRight w:val="0"/>
      <w:marTop w:val="0"/>
      <w:marBottom w:val="0"/>
      <w:divBdr>
        <w:top w:val="none" w:sz="0" w:space="0" w:color="auto"/>
        <w:left w:val="none" w:sz="0" w:space="0" w:color="auto"/>
        <w:bottom w:val="none" w:sz="0" w:space="0" w:color="auto"/>
        <w:right w:val="none" w:sz="0" w:space="0" w:color="auto"/>
      </w:divBdr>
    </w:div>
    <w:div w:id="439686146">
      <w:bodyDiv w:val="1"/>
      <w:marLeft w:val="0"/>
      <w:marRight w:val="0"/>
      <w:marTop w:val="0"/>
      <w:marBottom w:val="0"/>
      <w:divBdr>
        <w:top w:val="none" w:sz="0" w:space="0" w:color="auto"/>
        <w:left w:val="none" w:sz="0" w:space="0" w:color="auto"/>
        <w:bottom w:val="none" w:sz="0" w:space="0" w:color="auto"/>
        <w:right w:val="none" w:sz="0" w:space="0" w:color="auto"/>
      </w:divBdr>
    </w:div>
    <w:div w:id="442112350">
      <w:bodyDiv w:val="1"/>
      <w:marLeft w:val="0"/>
      <w:marRight w:val="0"/>
      <w:marTop w:val="0"/>
      <w:marBottom w:val="0"/>
      <w:divBdr>
        <w:top w:val="none" w:sz="0" w:space="0" w:color="auto"/>
        <w:left w:val="none" w:sz="0" w:space="0" w:color="auto"/>
        <w:bottom w:val="none" w:sz="0" w:space="0" w:color="auto"/>
        <w:right w:val="none" w:sz="0" w:space="0" w:color="auto"/>
      </w:divBdr>
    </w:div>
    <w:div w:id="445345308">
      <w:bodyDiv w:val="1"/>
      <w:marLeft w:val="0"/>
      <w:marRight w:val="0"/>
      <w:marTop w:val="0"/>
      <w:marBottom w:val="0"/>
      <w:divBdr>
        <w:top w:val="none" w:sz="0" w:space="0" w:color="auto"/>
        <w:left w:val="none" w:sz="0" w:space="0" w:color="auto"/>
        <w:bottom w:val="none" w:sz="0" w:space="0" w:color="auto"/>
        <w:right w:val="none" w:sz="0" w:space="0" w:color="auto"/>
      </w:divBdr>
    </w:div>
    <w:div w:id="448011916">
      <w:bodyDiv w:val="1"/>
      <w:marLeft w:val="0"/>
      <w:marRight w:val="0"/>
      <w:marTop w:val="0"/>
      <w:marBottom w:val="0"/>
      <w:divBdr>
        <w:top w:val="none" w:sz="0" w:space="0" w:color="auto"/>
        <w:left w:val="none" w:sz="0" w:space="0" w:color="auto"/>
        <w:bottom w:val="none" w:sz="0" w:space="0" w:color="auto"/>
        <w:right w:val="none" w:sz="0" w:space="0" w:color="auto"/>
      </w:divBdr>
      <w:divsChild>
        <w:div w:id="63333287">
          <w:marLeft w:val="0"/>
          <w:marRight w:val="0"/>
          <w:marTop w:val="0"/>
          <w:marBottom w:val="0"/>
          <w:divBdr>
            <w:top w:val="none" w:sz="0" w:space="0" w:color="auto"/>
            <w:left w:val="none" w:sz="0" w:space="0" w:color="auto"/>
            <w:bottom w:val="none" w:sz="0" w:space="0" w:color="auto"/>
            <w:right w:val="none" w:sz="0" w:space="0" w:color="auto"/>
          </w:divBdr>
          <w:divsChild>
            <w:div w:id="477037885">
              <w:marLeft w:val="0"/>
              <w:marRight w:val="0"/>
              <w:marTop w:val="0"/>
              <w:marBottom w:val="0"/>
              <w:divBdr>
                <w:top w:val="none" w:sz="0" w:space="0" w:color="auto"/>
                <w:left w:val="none" w:sz="0" w:space="0" w:color="auto"/>
                <w:bottom w:val="none" w:sz="0" w:space="0" w:color="auto"/>
                <w:right w:val="none" w:sz="0" w:space="0" w:color="auto"/>
              </w:divBdr>
              <w:divsChild>
                <w:div w:id="114100809">
                  <w:marLeft w:val="0"/>
                  <w:marRight w:val="0"/>
                  <w:marTop w:val="0"/>
                  <w:marBottom w:val="0"/>
                  <w:divBdr>
                    <w:top w:val="none" w:sz="0" w:space="0" w:color="auto"/>
                    <w:left w:val="none" w:sz="0" w:space="0" w:color="auto"/>
                    <w:bottom w:val="none" w:sz="0" w:space="0" w:color="auto"/>
                    <w:right w:val="none" w:sz="0" w:space="0" w:color="auto"/>
                  </w:divBdr>
                </w:div>
                <w:div w:id="136578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745968">
      <w:bodyDiv w:val="1"/>
      <w:marLeft w:val="0"/>
      <w:marRight w:val="0"/>
      <w:marTop w:val="0"/>
      <w:marBottom w:val="0"/>
      <w:divBdr>
        <w:top w:val="none" w:sz="0" w:space="0" w:color="auto"/>
        <w:left w:val="none" w:sz="0" w:space="0" w:color="auto"/>
        <w:bottom w:val="none" w:sz="0" w:space="0" w:color="auto"/>
        <w:right w:val="none" w:sz="0" w:space="0" w:color="auto"/>
      </w:divBdr>
    </w:div>
    <w:div w:id="453140741">
      <w:bodyDiv w:val="1"/>
      <w:marLeft w:val="0"/>
      <w:marRight w:val="0"/>
      <w:marTop w:val="0"/>
      <w:marBottom w:val="0"/>
      <w:divBdr>
        <w:top w:val="none" w:sz="0" w:space="0" w:color="auto"/>
        <w:left w:val="none" w:sz="0" w:space="0" w:color="auto"/>
        <w:bottom w:val="none" w:sz="0" w:space="0" w:color="auto"/>
        <w:right w:val="none" w:sz="0" w:space="0" w:color="auto"/>
      </w:divBdr>
    </w:div>
    <w:div w:id="454328195">
      <w:bodyDiv w:val="1"/>
      <w:marLeft w:val="0"/>
      <w:marRight w:val="0"/>
      <w:marTop w:val="0"/>
      <w:marBottom w:val="0"/>
      <w:divBdr>
        <w:top w:val="none" w:sz="0" w:space="0" w:color="auto"/>
        <w:left w:val="none" w:sz="0" w:space="0" w:color="auto"/>
        <w:bottom w:val="none" w:sz="0" w:space="0" w:color="auto"/>
        <w:right w:val="none" w:sz="0" w:space="0" w:color="auto"/>
      </w:divBdr>
    </w:div>
    <w:div w:id="459812331">
      <w:bodyDiv w:val="1"/>
      <w:marLeft w:val="0"/>
      <w:marRight w:val="0"/>
      <w:marTop w:val="0"/>
      <w:marBottom w:val="0"/>
      <w:divBdr>
        <w:top w:val="none" w:sz="0" w:space="0" w:color="auto"/>
        <w:left w:val="none" w:sz="0" w:space="0" w:color="auto"/>
        <w:bottom w:val="none" w:sz="0" w:space="0" w:color="auto"/>
        <w:right w:val="none" w:sz="0" w:space="0" w:color="auto"/>
      </w:divBdr>
    </w:div>
    <w:div w:id="461928790">
      <w:bodyDiv w:val="1"/>
      <w:marLeft w:val="0"/>
      <w:marRight w:val="0"/>
      <w:marTop w:val="0"/>
      <w:marBottom w:val="0"/>
      <w:divBdr>
        <w:top w:val="none" w:sz="0" w:space="0" w:color="auto"/>
        <w:left w:val="none" w:sz="0" w:space="0" w:color="auto"/>
        <w:bottom w:val="none" w:sz="0" w:space="0" w:color="auto"/>
        <w:right w:val="none" w:sz="0" w:space="0" w:color="auto"/>
      </w:divBdr>
    </w:div>
    <w:div w:id="468090613">
      <w:bodyDiv w:val="1"/>
      <w:marLeft w:val="0"/>
      <w:marRight w:val="0"/>
      <w:marTop w:val="0"/>
      <w:marBottom w:val="0"/>
      <w:divBdr>
        <w:top w:val="none" w:sz="0" w:space="0" w:color="auto"/>
        <w:left w:val="none" w:sz="0" w:space="0" w:color="auto"/>
        <w:bottom w:val="none" w:sz="0" w:space="0" w:color="auto"/>
        <w:right w:val="none" w:sz="0" w:space="0" w:color="auto"/>
      </w:divBdr>
    </w:div>
    <w:div w:id="468593556">
      <w:bodyDiv w:val="1"/>
      <w:marLeft w:val="0"/>
      <w:marRight w:val="0"/>
      <w:marTop w:val="0"/>
      <w:marBottom w:val="0"/>
      <w:divBdr>
        <w:top w:val="none" w:sz="0" w:space="0" w:color="auto"/>
        <w:left w:val="none" w:sz="0" w:space="0" w:color="auto"/>
        <w:bottom w:val="none" w:sz="0" w:space="0" w:color="auto"/>
        <w:right w:val="none" w:sz="0" w:space="0" w:color="auto"/>
      </w:divBdr>
    </w:div>
    <w:div w:id="471948575">
      <w:bodyDiv w:val="1"/>
      <w:marLeft w:val="0"/>
      <w:marRight w:val="0"/>
      <w:marTop w:val="0"/>
      <w:marBottom w:val="0"/>
      <w:divBdr>
        <w:top w:val="none" w:sz="0" w:space="0" w:color="auto"/>
        <w:left w:val="none" w:sz="0" w:space="0" w:color="auto"/>
        <w:bottom w:val="none" w:sz="0" w:space="0" w:color="auto"/>
        <w:right w:val="none" w:sz="0" w:space="0" w:color="auto"/>
      </w:divBdr>
    </w:div>
    <w:div w:id="478574129">
      <w:bodyDiv w:val="1"/>
      <w:marLeft w:val="0"/>
      <w:marRight w:val="0"/>
      <w:marTop w:val="0"/>
      <w:marBottom w:val="0"/>
      <w:divBdr>
        <w:top w:val="none" w:sz="0" w:space="0" w:color="auto"/>
        <w:left w:val="none" w:sz="0" w:space="0" w:color="auto"/>
        <w:bottom w:val="none" w:sz="0" w:space="0" w:color="auto"/>
        <w:right w:val="none" w:sz="0" w:space="0" w:color="auto"/>
      </w:divBdr>
    </w:div>
    <w:div w:id="500775157">
      <w:bodyDiv w:val="1"/>
      <w:marLeft w:val="0"/>
      <w:marRight w:val="0"/>
      <w:marTop w:val="0"/>
      <w:marBottom w:val="0"/>
      <w:divBdr>
        <w:top w:val="none" w:sz="0" w:space="0" w:color="auto"/>
        <w:left w:val="none" w:sz="0" w:space="0" w:color="auto"/>
        <w:bottom w:val="none" w:sz="0" w:space="0" w:color="auto"/>
        <w:right w:val="none" w:sz="0" w:space="0" w:color="auto"/>
      </w:divBdr>
    </w:div>
    <w:div w:id="505217551">
      <w:bodyDiv w:val="1"/>
      <w:marLeft w:val="0"/>
      <w:marRight w:val="0"/>
      <w:marTop w:val="0"/>
      <w:marBottom w:val="0"/>
      <w:divBdr>
        <w:top w:val="none" w:sz="0" w:space="0" w:color="auto"/>
        <w:left w:val="none" w:sz="0" w:space="0" w:color="auto"/>
        <w:bottom w:val="none" w:sz="0" w:space="0" w:color="auto"/>
        <w:right w:val="none" w:sz="0" w:space="0" w:color="auto"/>
      </w:divBdr>
    </w:div>
    <w:div w:id="507140808">
      <w:bodyDiv w:val="1"/>
      <w:marLeft w:val="0"/>
      <w:marRight w:val="0"/>
      <w:marTop w:val="0"/>
      <w:marBottom w:val="0"/>
      <w:divBdr>
        <w:top w:val="none" w:sz="0" w:space="0" w:color="auto"/>
        <w:left w:val="none" w:sz="0" w:space="0" w:color="auto"/>
        <w:bottom w:val="none" w:sz="0" w:space="0" w:color="auto"/>
        <w:right w:val="none" w:sz="0" w:space="0" w:color="auto"/>
      </w:divBdr>
    </w:div>
    <w:div w:id="517500882">
      <w:bodyDiv w:val="1"/>
      <w:marLeft w:val="0"/>
      <w:marRight w:val="0"/>
      <w:marTop w:val="0"/>
      <w:marBottom w:val="0"/>
      <w:divBdr>
        <w:top w:val="none" w:sz="0" w:space="0" w:color="auto"/>
        <w:left w:val="none" w:sz="0" w:space="0" w:color="auto"/>
        <w:bottom w:val="none" w:sz="0" w:space="0" w:color="auto"/>
        <w:right w:val="none" w:sz="0" w:space="0" w:color="auto"/>
      </w:divBdr>
    </w:div>
    <w:div w:id="518813745">
      <w:bodyDiv w:val="1"/>
      <w:marLeft w:val="0"/>
      <w:marRight w:val="0"/>
      <w:marTop w:val="0"/>
      <w:marBottom w:val="0"/>
      <w:divBdr>
        <w:top w:val="none" w:sz="0" w:space="0" w:color="auto"/>
        <w:left w:val="none" w:sz="0" w:space="0" w:color="auto"/>
        <w:bottom w:val="none" w:sz="0" w:space="0" w:color="auto"/>
        <w:right w:val="none" w:sz="0" w:space="0" w:color="auto"/>
      </w:divBdr>
    </w:div>
    <w:div w:id="536356895">
      <w:bodyDiv w:val="1"/>
      <w:marLeft w:val="0"/>
      <w:marRight w:val="0"/>
      <w:marTop w:val="0"/>
      <w:marBottom w:val="0"/>
      <w:divBdr>
        <w:top w:val="none" w:sz="0" w:space="0" w:color="auto"/>
        <w:left w:val="none" w:sz="0" w:space="0" w:color="auto"/>
        <w:bottom w:val="none" w:sz="0" w:space="0" w:color="auto"/>
        <w:right w:val="none" w:sz="0" w:space="0" w:color="auto"/>
      </w:divBdr>
    </w:div>
    <w:div w:id="537662331">
      <w:bodyDiv w:val="1"/>
      <w:marLeft w:val="0"/>
      <w:marRight w:val="0"/>
      <w:marTop w:val="0"/>
      <w:marBottom w:val="0"/>
      <w:divBdr>
        <w:top w:val="none" w:sz="0" w:space="0" w:color="auto"/>
        <w:left w:val="none" w:sz="0" w:space="0" w:color="auto"/>
        <w:bottom w:val="none" w:sz="0" w:space="0" w:color="auto"/>
        <w:right w:val="none" w:sz="0" w:space="0" w:color="auto"/>
      </w:divBdr>
    </w:div>
    <w:div w:id="538208746">
      <w:bodyDiv w:val="1"/>
      <w:marLeft w:val="0"/>
      <w:marRight w:val="0"/>
      <w:marTop w:val="0"/>
      <w:marBottom w:val="0"/>
      <w:divBdr>
        <w:top w:val="none" w:sz="0" w:space="0" w:color="auto"/>
        <w:left w:val="none" w:sz="0" w:space="0" w:color="auto"/>
        <w:bottom w:val="none" w:sz="0" w:space="0" w:color="auto"/>
        <w:right w:val="none" w:sz="0" w:space="0" w:color="auto"/>
      </w:divBdr>
    </w:div>
    <w:div w:id="551042089">
      <w:bodyDiv w:val="1"/>
      <w:marLeft w:val="0"/>
      <w:marRight w:val="0"/>
      <w:marTop w:val="0"/>
      <w:marBottom w:val="0"/>
      <w:divBdr>
        <w:top w:val="none" w:sz="0" w:space="0" w:color="auto"/>
        <w:left w:val="none" w:sz="0" w:space="0" w:color="auto"/>
        <w:bottom w:val="none" w:sz="0" w:space="0" w:color="auto"/>
        <w:right w:val="none" w:sz="0" w:space="0" w:color="auto"/>
      </w:divBdr>
    </w:div>
    <w:div w:id="553853325">
      <w:bodyDiv w:val="1"/>
      <w:marLeft w:val="0"/>
      <w:marRight w:val="0"/>
      <w:marTop w:val="0"/>
      <w:marBottom w:val="0"/>
      <w:divBdr>
        <w:top w:val="none" w:sz="0" w:space="0" w:color="auto"/>
        <w:left w:val="none" w:sz="0" w:space="0" w:color="auto"/>
        <w:bottom w:val="none" w:sz="0" w:space="0" w:color="auto"/>
        <w:right w:val="none" w:sz="0" w:space="0" w:color="auto"/>
      </w:divBdr>
    </w:div>
    <w:div w:id="556629278">
      <w:bodyDiv w:val="1"/>
      <w:marLeft w:val="0"/>
      <w:marRight w:val="0"/>
      <w:marTop w:val="0"/>
      <w:marBottom w:val="0"/>
      <w:divBdr>
        <w:top w:val="none" w:sz="0" w:space="0" w:color="auto"/>
        <w:left w:val="none" w:sz="0" w:space="0" w:color="auto"/>
        <w:bottom w:val="none" w:sz="0" w:space="0" w:color="auto"/>
        <w:right w:val="none" w:sz="0" w:space="0" w:color="auto"/>
      </w:divBdr>
    </w:div>
    <w:div w:id="556891642">
      <w:bodyDiv w:val="1"/>
      <w:marLeft w:val="0"/>
      <w:marRight w:val="0"/>
      <w:marTop w:val="0"/>
      <w:marBottom w:val="0"/>
      <w:divBdr>
        <w:top w:val="none" w:sz="0" w:space="0" w:color="auto"/>
        <w:left w:val="none" w:sz="0" w:space="0" w:color="auto"/>
        <w:bottom w:val="none" w:sz="0" w:space="0" w:color="auto"/>
        <w:right w:val="none" w:sz="0" w:space="0" w:color="auto"/>
      </w:divBdr>
    </w:div>
    <w:div w:id="557206314">
      <w:bodyDiv w:val="1"/>
      <w:marLeft w:val="0"/>
      <w:marRight w:val="0"/>
      <w:marTop w:val="0"/>
      <w:marBottom w:val="0"/>
      <w:divBdr>
        <w:top w:val="none" w:sz="0" w:space="0" w:color="auto"/>
        <w:left w:val="none" w:sz="0" w:space="0" w:color="auto"/>
        <w:bottom w:val="none" w:sz="0" w:space="0" w:color="auto"/>
        <w:right w:val="none" w:sz="0" w:space="0" w:color="auto"/>
      </w:divBdr>
    </w:div>
    <w:div w:id="559444559">
      <w:bodyDiv w:val="1"/>
      <w:marLeft w:val="0"/>
      <w:marRight w:val="0"/>
      <w:marTop w:val="0"/>
      <w:marBottom w:val="0"/>
      <w:divBdr>
        <w:top w:val="none" w:sz="0" w:space="0" w:color="auto"/>
        <w:left w:val="none" w:sz="0" w:space="0" w:color="auto"/>
        <w:bottom w:val="none" w:sz="0" w:space="0" w:color="auto"/>
        <w:right w:val="none" w:sz="0" w:space="0" w:color="auto"/>
      </w:divBdr>
    </w:div>
    <w:div w:id="562061417">
      <w:bodyDiv w:val="1"/>
      <w:marLeft w:val="0"/>
      <w:marRight w:val="0"/>
      <w:marTop w:val="0"/>
      <w:marBottom w:val="0"/>
      <w:divBdr>
        <w:top w:val="none" w:sz="0" w:space="0" w:color="auto"/>
        <w:left w:val="none" w:sz="0" w:space="0" w:color="auto"/>
        <w:bottom w:val="none" w:sz="0" w:space="0" w:color="auto"/>
        <w:right w:val="none" w:sz="0" w:space="0" w:color="auto"/>
      </w:divBdr>
    </w:div>
    <w:div w:id="565411078">
      <w:bodyDiv w:val="1"/>
      <w:marLeft w:val="0"/>
      <w:marRight w:val="0"/>
      <w:marTop w:val="0"/>
      <w:marBottom w:val="0"/>
      <w:divBdr>
        <w:top w:val="none" w:sz="0" w:space="0" w:color="auto"/>
        <w:left w:val="none" w:sz="0" w:space="0" w:color="auto"/>
        <w:bottom w:val="none" w:sz="0" w:space="0" w:color="auto"/>
        <w:right w:val="none" w:sz="0" w:space="0" w:color="auto"/>
      </w:divBdr>
    </w:div>
    <w:div w:id="582179779">
      <w:bodyDiv w:val="1"/>
      <w:marLeft w:val="0"/>
      <w:marRight w:val="0"/>
      <w:marTop w:val="0"/>
      <w:marBottom w:val="0"/>
      <w:divBdr>
        <w:top w:val="none" w:sz="0" w:space="0" w:color="auto"/>
        <w:left w:val="none" w:sz="0" w:space="0" w:color="auto"/>
        <w:bottom w:val="none" w:sz="0" w:space="0" w:color="auto"/>
        <w:right w:val="none" w:sz="0" w:space="0" w:color="auto"/>
      </w:divBdr>
    </w:div>
    <w:div w:id="591162190">
      <w:bodyDiv w:val="1"/>
      <w:marLeft w:val="0"/>
      <w:marRight w:val="0"/>
      <w:marTop w:val="0"/>
      <w:marBottom w:val="0"/>
      <w:divBdr>
        <w:top w:val="none" w:sz="0" w:space="0" w:color="auto"/>
        <w:left w:val="none" w:sz="0" w:space="0" w:color="auto"/>
        <w:bottom w:val="none" w:sz="0" w:space="0" w:color="auto"/>
        <w:right w:val="none" w:sz="0" w:space="0" w:color="auto"/>
      </w:divBdr>
    </w:div>
    <w:div w:id="604970680">
      <w:bodyDiv w:val="1"/>
      <w:marLeft w:val="0"/>
      <w:marRight w:val="0"/>
      <w:marTop w:val="0"/>
      <w:marBottom w:val="0"/>
      <w:divBdr>
        <w:top w:val="none" w:sz="0" w:space="0" w:color="auto"/>
        <w:left w:val="none" w:sz="0" w:space="0" w:color="auto"/>
        <w:bottom w:val="none" w:sz="0" w:space="0" w:color="auto"/>
        <w:right w:val="none" w:sz="0" w:space="0" w:color="auto"/>
      </w:divBdr>
    </w:div>
    <w:div w:id="606809544">
      <w:bodyDiv w:val="1"/>
      <w:marLeft w:val="0"/>
      <w:marRight w:val="0"/>
      <w:marTop w:val="0"/>
      <w:marBottom w:val="0"/>
      <w:divBdr>
        <w:top w:val="none" w:sz="0" w:space="0" w:color="auto"/>
        <w:left w:val="none" w:sz="0" w:space="0" w:color="auto"/>
        <w:bottom w:val="none" w:sz="0" w:space="0" w:color="auto"/>
        <w:right w:val="none" w:sz="0" w:space="0" w:color="auto"/>
      </w:divBdr>
    </w:div>
    <w:div w:id="609556205">
      <w:bodyDiv w:val="1"/>
      <w:marLeft w:val="0"/>
      <w:marRight w:val="0"/>
      <w:marTop w:val="0"/>
      <w:marBottom w:val="0"/>
      <w:divBdr>
        <w:top w:val="none" w:sz="0" w:space="0" w:color="auto"/>
        <w:left w:val="none" w:sz="0" w:space="0" w:color="auto"/>
        <w:bottom w:val="none" w:sz="0" w:space="0" w:color="auto"/>
        <w:right w:val="none" w:sz="0" w:space="0" w:color="auto"/>
      </w:divBdr>
    </w:div>
    <w:div w:id="612250665">
      <w:bodyDiv w:val="1"/>
      <w:marLeft w:val="0"/>
      <w:marRight w:val="0"/>
      <w:marTop w:val="0"/>
      <w:marBottom w:val="0"/>
      <w:divBdr>
        <w:top w:val="none" w:sz="0" w:space="0" w:color="auto"/>
        <w:left w:val="none" w:sz="0" w:space="0" w:color="auto"/>
        <w:bottom w:val="none" w:sz="0" w:space="0" w:color="auto"/>
        <w:right w:val="none" w:sz="0" w:space="0" w:color="auto"/>
      </w:divBdr>
    </w:div>
    <w:div w:id="612515349">
      <w:bodyDiv w:val="1"/>
      <w:marLeft w:val="0"/>
      <w:marRight w:val="0"/>
      <w:marTop w:val="0"/>
      <w:marBottom w:val="0"/>
      <w:divBdr>
        <w:top w:val="none" w:sz="0" w:space="0" w:color="auto"/>
        <w:left w:val="none" w:sz="0" w:space="0" w:color="auto"/>
        <w:bottom w:val="none" w:sz="0" w:space="0" w:color="auto"/>
        <w:right w:val="none" w:sz="0" w:space="0" w:color="auto"/>
      </w:divBdr>
    </w:div>
    <w:div w:id="627663029">
      <w:bodyDiv w:val="1"/>
      <w:marLeft w:val="0"/>
      <w:marRight w:val="0"/>
      <w:marTop w:val="0"/>
      <w:marBottom w:val="0"/>
      <w:divBdr>
        <w:top w:val="none" w:sz="0" w:space="0" w:color="auto"/>
        <w:left w:val="none" w:sz="0" w:space="0" w:color="auto"/>
        <w:bottom w:val="none" w:sz="0" w:space="0" w:color="auto"/>
        <w:right w:val="none" w:sz="0" w:space="0" w:color="auto"/>
      </w:divBdr>
    </w:div>
    <w:div w:id="637805654">
      <w:bodyDiv w:val="1"/>
      <w:marLeft w:val="0"/>
      <w:marRight w:val="0"/>
      <w:marTop w:val="0"/>
      <w:marBottom w:val="0"/>
      <w:divBdr>
        <w:top w:val="none" w:sz="0" w:space="0" w:color="auto"/>
        <w:left w:val="none" w:sz="0" w:space="0" w:color="auto"/>
        <w:bottom w:val="none" w:sz="0" w:space="0" w:color="auto"/>
        <w:right w:val="none" w:sz="0" w:space="0" w:color="auto"/>
      </w:divBdr>
    </w:div>
    <w:div w:id="642001336">
      <w:bodyDiv w:val="1"/>
      <w:marLeft w:val="0"/>
      <w:marRight w:val="0"/>
      <w:marTop w:val="0"/>
      <w:marBottom w:val="0"/>
      <w:divBdr>
        <w:top w:val="none" w:sz="0" w:space="0" w:color="auto"/>
        <w:left w:val="none" w:sz="0" w:space="0" w:color="auto"/>
        <w:bottom w:val="none" w:sz="0" w:space="0" w:color="auto"/>
        <w:right w:val="none" w:sz="0" w:space="0" w:color="auto"/>
      </w:divBdr>
    </w:div>
    <w:div w:id="642852577">
      <w:bodyDiv w:val="1"/>
      <w:marLeft w:val="0"/>
      <w:marRight w:val="0"/>
      <w:marTop w:val="0"/>
      <w:marBottom w:val="0"/>
      <w:divBdr>
        <w:top w:val="none" w:sz="0" w:space="0" w:color="auto"/>
        <w:left w:val="none" w:sz="0" w:space="0" w:color="auto"/>
        <w:bottom w:val="none" w:sz="0" w:space="0" w:color="auto"/>
        <w:right w:val="none" w:sz="0" w:space="0" w:color="auto"/>
      </w:divBdr>
    </w:div>
    <w:div w:id="644310555">
      <w:bodyDiv w:val="1"/>
      <w:marLeft w:val="0"/>
      <w:marRight w:val="0"/>
      <w:marTop w:val="0"/>
      <w:marBottom w:val="0"/>
      <w:divBdr>
        <w:top w:val="none" w:sz="0" w:space="0" w:color="auto"/>
        <w:left w:val="none" w:sz="0" w:space="0" w:color="auto"/>
        <w:bottom w:val="none" w:sz="0" w:space="0" w:color="auto"/>
        <w:right w:val="none" w:sz="0" w:space="0" w:color="auto"/>
      </w:divBdr>
    </w:div>
    <w:div w:id="645936655">
      <w:bodyDiv w:val="1"/>
      <w:marLeft w:val="0"/>
      <w:marRight w:val="0"/>
      <w:marTop w:val="0"/>
      <w:marBottom w:val="0"/>
      <w:divBdr>
        <w:top w:val="none" w:sz="0" w:space="0" w:color="auto"/>
        <w:left w:val="none" w:sz="0" w:space="0" w:color="auto"/>
        <w:bottom w:val="none" w:sz="0" w:space="0" w:color="auto"/>
        <w:right w:val="none" w:sz="0" w:space="0" w:color="auto"/>
      </w:divBdr>
    </w:div>
    <w:div w:id="652679843">
      <w:bodyDiv w:val="1"/>
      <w:marLeft w:val="0"/>
      <w:marRight w:val="0"/>
      <w:marTop w:val="0"/>
      <w:marBottom w:val="0"/>
      <w:divBdr>
        <w:top w:val="none" w:sz="0" w:space="0" w:color="auto"/>
        <w:left w:val="none" w:sz="0" w:space="0" w:color="auto"/>
        <w:bottom w:val="none" w:sz="0" w:space="0" w:color="auto"/>
        <w:right w:val="none" w:sz="0" w:space="0" w:color="auto"/>
      </w:divBdr>
    </w:div>
    <w:div w:id="656688648">
      <w:bodyDiv w:val="1"/>
      <w:marLeft w:val="0"/>
      <w:marRight w:val="0"/>
      <w:marTop w:val="0"/>
      <w:marBottom w:val="0"/>
      <w:divBdr>
        <w:top w:val="none" w:sz="0" w:space="0" w:color="auto"/>
        <w:left w:val="none" w:sz="0" w:space="0" w:color="auto"/>
        <w:bottom w:val="none" w:sz="0" w:space="0" w:color="auto"/>
        <w:right w:val="none" w:sz="0" w:space="0" w:color="auto"/>
      </w:divBdr>
    </w:div>
    <w:div w:id="656879038">
      <w:bodyDiv w:val="1"/>
      <w:marLeft w:val="0"/>
      <w:marRight w:val="0"/>
      <w:marTop w:val="0"/>
      <w:marBottom w:val="0"/>
      <w:divBdr>
        <w:top w:val="none" w:sz="0" w:space="0" w:color="auto"/>
        <w:left w:val="none" w:sz="0" w:space="0" w:color="auto"/>
        <w:bottom w:val="none" w:sz="0" w:space="0" w:color="auto"/>
        <w:right w:val="none" w:sz="0" w:space="0" w:color="auto"/>
      </w:divBdr>
    </w:div>
    <w:div w:id="682706874">
      <w:bodyDiv w:val="1"/>
      <w:marLeft w:val="0"/>
      <w:marRight w:val="0"/>
      <w:marTop w:val="0"/>
      <w:marBottom w:val="0"/>
      <w:divBdr>
        <w:top w:val="none" w:sz="0" w:space="0" w:color="auto"/>
        <w:left w:val="none" w:sz="0" w:space="0" w:color="auto"/>
        <w:bottom w:val="none" w:sz="0" w:space="0" w:color="auto"/>
        <w:right w:val="none" w:sz="0" w:space="0" w:color="auto"/>
      </w:divBdr>
    </w:div>
    <w:div w:id="695738547">
      <w:bodyDiv w:val="1"/>
      <w:marLeft w:val="0"/>
      <w:marRight w:val="0"/>
      <w:marTop w:val="0"/>
      <w:marBottom w:val="0"/>
      <w:divBdr>
        <w:top w:val="none" w:sz="0" w:space="0" w:color="auto"/>
        <w:left w:val="none" w:sz="0" w:space="0" w:color="auto"/>
        <w:bottom w:val="none" w:sz="0" w:space="0" w:color="auto"/>
        <w:right w:val="none" w:sz="0" w:space="0" w:color="auto"/>
      </w:divBdr>
    </w:div>
    <w:div w:id="698122071">
      <w:bodyDiv w:val="1"/>
      <w:marLeft w:val="0"/>
      <w:marRight w:val="0"/>
      <w:marTop w:val="0"/>
      <w:marBottom w:val="0"/>
      <w:divBdr>
        <w:top w:val="none" w:sz="0" w:space="0" w:color="auto"/>
        <w:left w:val="none" w:sz="0" w:space="0" w:color="auto"/>
        <w:bottom w:val="none" w:sz="0" w:space="0" w:color="auto"/>
        <w:right w:val="none" w:sz="0" w:space="0" w:color="auto"/>
      </w:divBdr>
    </w:div>
    <w:div w:id="712461281">
      <w:bodyDiv w:val="1"/>
      <w:marLeft w:val="0"/>
      <w:marRight w:val="0"/>
      <w:marTop w:val="0"/>
      <w:marBottom w:val="0"/>
      <w:divBdr>
        <w:top w:val="none" w:sz="0" w:space="0" w:color="auto"/>
        <w:left w:val="none" w:sz="0" w:space="0" w:color="auto"/>
        <w:bottom w:val="none" w:sz="0" w:space="0" w:color="auto"/>
        <w:right w:val="none" w:sz="0" w:space="0" w:color="auto"/>
      </w:divBdr>
    </w:div>
    <w:div w:id="713118127">
      <w:bodyDiv w:val="1"/>
      <w:marLeft w:val="0"/>
      <w:marRight w:val="0"/>
      <w:marTop w:val="0"/>
      <w:marBottom w:val="0"/>
      <w:divBdr>
        <w:top w:val="none" w:sz="0" w:space="0" w:color="auto"/>
        <w:left w:val="none" w:sz="0" w:space="0" w:color="auto"/>
        <w:bottom w:val="none" w:sz="0" w:space="0" w:color="auto"/>
        <w:right w:val="none" w:sz="0" w:space="0" w:color="auto"/>
      </w:divBdr>
    </w:div>
    <w:div w:id="718749728">
      <w:bodyDiv w:val="1"/>
      <w:marLeft w:val="0"/>
      <w:marRight w:val="0"/>
      <w:marTop w:val="0"/>
      <w:marBottom w:val="0"/>
      <w:divBdr>
        <w:top w:val="none" w:sz="0" w:space="0" w:color="auto"/>
        <w:left w:val="none" w:sz="0" w:space="0" w:color="auto"/>
        <w:bottom w:val="none" w:sz="0" w:space="0" w:color="auto"/>
        <w:right w:val="none" w:sz="0" w:space="0" w:color="auto"/>
      </w:divBdr>
    </w:div>
    <w:div w:id="722484727">
      <w:bodyDiv w:val="1"/>
      <w:marLeft w:val="0"/>
      <w:marRight w:val="0"/>
      <w:marTop w:val="0"/>
      <w:marBottom w:val="0"/>
      <w:divBdr>
        <w:top w:val="none" w:sz="0" w:space="0" w:color="auto"/>
        <w:left w:val="none" w:sz="0" w:space="0" w:color="auto"/>
        <w:bottom w:val="none" w:sz="0" w:space="0" w:color="auto"/>
        <w:right w:val="none" w:sz="0" w:space="0" w:color="auto"/>
      </w:divBdr>
    </w:div>
    <w:div w:id="726346021">
      <w:bodyDiv w:val="1"/>
      <w:marLeft w:val="0"/>
      <w:marRight w:val="0"/>
      <w:marTop w:val="0"/>
      <w:marBottom w:val="0"/>
      <w:divBdr>
        <w:top w:val="none" w:sz="0" w:space="0" w:color="auto"/>
        <w:left w:val="none" w:sz="0" w:space="0" w:color="auto"/>
        <w:bottom w:val="none" w:sz="0" w:space="0" w:color="auto"/>
        <w:right w:val="none" w:sz="0" w:space="0" w:color="auto"/>
      </w:divBdr>
    </w:div>
    <w:div w:id="731853594">
      <w:bodyDiv w:val="1"/>
      <w:marLeft w:val="0"/>
      <w:marRight w:val="0"/>
      <w:marTop w:val="0"/>
      <w:marBottom w:val="0"/>
      <w:divBdr>
        <w:top w:val="none" w:sz="0" w:space="0" w:color="auto"/>
        <w:left w:val="none" w:sz="0" w:space="0" w:color="auto"/>
        <w:bottom w:val="none" w:sz="0" w:space="0" w:color="auto"/>
        <w:right w:val="none" w:sz="0" w:space="0" w:color="auto"/>
      </w:divBdr>
    </w:div>
    <w:div w:id="742490108">
      <w:bodyDiv w:val="1"/>
      <w:marLeft w:val="0"/>
      <w:marRight w:val="0"/>
      <w:marTop w:val="0"/>
      <w:marBottom w:val="0"/>
      <w:divBdr>
        <w:top w:val="none" w:sz="0" w:space="0" w:color="auto"/>
        <w:left w:val="none" w:sz="0" w:space="0" w:color="auto"/>
        <w:bottom w:val="none" w:sz="0" w:space="0" w:color="auto"/>
        <w:right w:val="none" w:sz="0" w:space="0" w:color="auto"/>
      </w:divBdr>
    </w:div>
    <w:div w:id="757795329">
      <w:bodyDiv w:val="1"/>
      <w:marLeft w:val="0"/>
      <w:marRight w:val="0"/>
      <w:marTop w:val="0"/>
      <w:marBottom w:val="0"/>
      <w:divBdr>
        <w:top w:val="none" w:sz="0" w:space="0" w:color="auto"/>
        <w:left w:val="none" w:sz="0" w:space="0" w:color="auto"/>
        <w:bottom w:val="none" w:sz="0" w:space="0" w:color="auto"/>
        <w:right w:val="none" w:sz="0" w:space="0" w:color="auto"/>
      </w:divBdr>
    </w:div>
    <w:div w:id="762066338">
      <w:bodyDiv w:val="1"/>
      <w:marLeft w:val="0"/>
      <w:marRight w:val="0"/>
      <w:marTop w:val="0"/>
      <w:marBottom w:val="0"/>
      <w:divBdr>
        <w:top w:val="none" w:sz="0" w:space="0" w:color="auto"/>
        <w:left w:val="none" w:sz="0" w:space="0" w:color="auto"/>
        <w:bottom w:val="none" w:sz="0" w:space="0" w:color="auto"/>
        <w:right w:val="none" w:sz="0" w:space="0" w:color="auto"/>
      </w:divBdr>
    </w:div>
    <w:div w:id="784036925">
      <w:bodyDiv w:val="1"/>
      <w:marLeft w:val="0"/>
      <w:marRight w:val="0"/>
      <w:marTop w:val="0"/>
      <w:marBottom w:val="0"/>
      <w:divBdr>
        <w:top w:val="none" w:sz="0" w:space="0" w:color="auto"/>
        <w:left w:val="none" w:sz="0" w:space="0" w:color="auto"/>
        <w:bottom w:val="none" w:sz="0" w:space="0" w:color="auto"/>
        <w:right w:val="none" w:sz="0" w:space="0" w:color="auto"/>
      </w:divBdr>
    </w:div>
    <w:div w:id="790048844">
      <w:bodyDiv w:val="1"/>
      <w:marLeft w:val="0"/>
      <w:marRight w:val="0"/>
      <w:marTop w:val="0"/>
      <w:marBottom w:val="0"/>
      <w:divBdr>
        <w:top w:val="none" w:sz="0" w:space="0" w:color="auto"/>
        <w:left w:val="none" w:sz="0" w:space="0" w:color="auto"/>
        <w:bottom w:val="none" w:sz="0" w:space="0" w:color="auto"/>
        <w:right w:val="none" w:sz="0" w:space="0" w:color="auto"/>
      </w:divBdr>
    </w:div>
    <w:div w:id="806047663">
      <w:bodyDiv w:val="1"/>
      <w:marLeft w:val="0"/>
      <w:marRight w:val="0"/>
      <w:marTop w:val="0"/>
      <w:marBottom w:val="0"/>
      <w:divBdr>
        <w:top w:val="none" w:sz="0" w:space="0" w:color="auto"/>
        <w:left w:val="none" w:sz="0" w:space="0" w:color="auto"/>
        <w:bottom w:val="none" w:sz="0" w:space="0" w:color="auto"/>
        <w:right w:val="none" w:sz="0" w:space="0" w:color="auto"/>
      </w:divBdr>
    </w:div>
    <w:div w:id="806626741">
      <w:bodyDiv w:val="1"/>
      <w:marLeft w:val="0"/>
      <w:marRight w:val="0"/>
      <w:marTop w:val="0"/>
      <w:marBottom w:val="0"/>
      <w:divBdr>
        <w:top w:val="none" w:sz="0" w:space="0" w:color="auto"/>
        <w:left w:val="none" w:sz="0" w:space="0" w:color="auto"/>
        <w:bottom w:val="none" w:sz="0" w:space="0" w:color="auto"/>
        <w:right w:val="none" w:sz="0" w:space="0" w:color="auto"/>
      </w:divBdr>
    </w:div>
    <w:div w:id="824976150">
      <w:bodyDiv w:val="1"/>
      <w:marLeft w:val="0"/>
      <w:marRight w:val="0"/>
      <w:marTop w:val="0"/>
      <w:marBottom w:val="0"/>
      <w:divBdr>
        <w:top w:val="none" w:sz="0" w:space="0" w:color="auto"/>
        <w:left w:val="none" w:sz="0" w:space="0" w:color="auto"/>
        <w:bottom w:val="none" w:sz="0" w:space="0" w:color="auto"/>
        <w:right w:val="none" w:sz="0" w:space="0" w:color="auto"/>
      </w:divBdr>
    </w:div>
    <w:div w:id="831990571">
      <w:bodyDiv w:val="1"/>
      <w:marLeft w:val="0"/>
      <w:marRight w:val="0"/>
      <w:marTop w:val="0"/>
      <w:marBottom w:val="0"/>
      <w:divBdr>
        <w:top w:val="none" w:sz="0" w:space="0" w:color="auto"/>
        <w:left w:val="none" w:sz="0" w:space="0" w:color="auto"/>
        <w:bottom w:val="none" w:sz="0" w:space="0" w:color="auto"/>
        <w:right w:val="none" w:sz="0" w:space="0" w:color="auto"/>
      </w:divBdr>
    </w:div>
    <w:div w:id="861943835">
      <w:bodyDiv w:val="1"/>
      <w:marLeft w:val="0"/>
      <w:marRight w:val="0"/>
      <w:marTop w:val="0"/>
      <w:marBottom w:val="0"/>
      <w:divBdr>
        <w:top w:val="none" w:sz="0" w:space="0" w:color="auto"/>
        <w:left w:val="none" w:sz="0" w:space="0" w:color="auto"/>
        <w:bottom w:val="none" w:sz="0" w:space="0" w:color="auto"/>
        <w:right w:val="none" w:sz="0" w:space="0" w:color="auto"/>
      </w:divBdr>
    </w:div>
    <w:div w:id="862474954">
      <w:bodyDiv w:val="1"/>
      <w:marLeft w:val="0"/>
      <w:marRight w:val="0"/>
      <w:marTop w:val="0"/>
      <w:marBottom w:val="0"/>
      <w:divBdr>
        <w:top w:val="none" w:sz="0" w:space="0" w:color="auto"/>
        <w:left w:val="none" w:sz="0" w:space="0" w:color="auto"/>
        <w:bottom w:val="none" w:sz="0" w:space="0" w:color="auto"/>
        <w:right w:val="none" w:sz="0" w:space="0" w:color="auto"/>
      </w:divBdr>
    </w:div>
    <w:div w:id="864170903">
      <w:bodyDiv w:val="1"/>
      <w:marLeft w:val="0"/>
      <w:marRight w:val="0"/>
      <w:marTop w:val="0"/>
      <w:marBottom w:val="0"/>
      <w:divBdr>
        <w:top w:val="none" w:sz="0" w:space="0" w:color="auto"/>
        <w:left w:val="none" w:sz="0" w:space="0" w:color="auto"/>
        <w:bottom w:val="none" w:sz="0" w:space="0" w:color="auto"/>
        <w:right w:val="none" w:sz="0" w:space="0" w:color="auto"/>
      </w:divBdr>
    </w:div>
    <w:div w:id="867524651">
      <w:bodyDiv w:val="1"/>
      <w:marLeft w:val="0"/>
      <w:marRight w:val="0"/>
      <w:marTop w:val="0"/>
      <w:marBottom w:val="0"/>
      <w:divBdr>
        <w:top w:val="none" w:sz="0" w:space="0" w:color="auto"/>
        <w:left w:val="none" w:sz="0" w:space="0" w:color="auto"/>
        <w:bottom w:val="none" w:sz="0" w:space="0" w:color="auto"/>
        <w:right w:val="none" w:sz="0" w:space="0" w:color="auto"/>
      </w:divBdr>
    </w:div>
    <w:div w:id="874316625">
      <w:bodyDiv w:val="1"/>
      <w:marLeft w:val="0"/>
      <w:marRight w:val="0"/>
      <w:marTop w:val="0"/>
      <w:marBottom w:val="0"/>
      <w:divBdr>
        <w:top w:val="none" w:sz="0" w:space="0" w:color="auto"/>
        <w:left w:val="none" w:sz="0" w:space="0" w:color="auto"/>
        <w:bottom w:val="none" w:sz="0" w:space="0" w:color="auto"/>
        <w:right w:val="none" w:sz="0" w:space="0" w:color="auto"/>
      </w:divBdr>
    </w:div>
    <w:div w:id="879510322">
      <w:bodyDiv w:val="1"/>
      <w:marLeft w:val="0"/>
      <w:marRight w:val="0"/>
      <w:marTop w:val="0"/>
      <w:marBottom w:val="0"/>
      <w:divBdr>
        <w:top w:val="none" w:sz="0" w:space="0" w:color="auto"/>
        <w:left w:val="none" w:sz="0" w:space="0" w:color="auto"/>
        <w:bottom w:val="none" w:sz="0" w:space="0" w:color="auto"/>
        <w:right w:val="none" w:sz="0" w:space="0" w:color="auto"/>
      </w:divBdr>
    </w:div>
    <w:div w:id="881987880">
      <w:bodyDiv w:val="1"/>
      <w:marLeft w:val="0"/>
      <w:marRight w:val="0"/>
      <w:marTop w:val="0"/>
      <w:marBottom w:val="0"/>
      <w:divBdr>
        <w:top w:val="none" w:sz="0" w:space="0" w:color="auto"/>
        <w:left w:val="none" w:sz="0" w:space="0" w:color="auto"/>
        <w:bottom w:val="none" w:sz="0" w:space="0" w:color="auto"/>
        <w:right w:val="none" w:sz="0" w:space="0" w:color="auto"/>
      </w:divBdr>
    </w:div>
    <w:div w:id="882640730">
      <w:bodyDiv w:val="1"/>
      <w:marLeft w:val="0"/>
      <w:marRight w:val="0"/>
      <w:marTop w:val="0"/>
      <w:marBottom w:val="0"/>
      <w:divBdr>
        <w:top w:val="none" w:sz="0" w:space="0" w:color="auto"/>
        <w:left w:val="none" w:sz="0" w:space="0" w:color="auto"/>
        <w:bottom w:val="none" w:sz="0" w:space="0" w:color="auto"/>
        <w:right w:val="none" w:sz="0" w:space="0" w:color="auto"/>
      </w:divBdr>
    </w:div>
    <w:div w:id="883785499">
      <w:bodyDiv w:val="1"/>
      <w:marLeft w:val="0"/>
      <w:marRight w:val="0"/>
      <w:marTop w:val="0"/>
      <w:marBottom w:val="0"/>
      <w:divBdr>
        <w:top w:val="none" w:sz="0" w:space="0" w:color="auto"/>
        <w:left w:val="none" w:sz="0" w:space="0" w:color="auto"/>
        <w:bottom w:val="none" w:sz="0" w:space="0" w:color="auto"/>
        <w:right w:val="none" w:sz="0" w:space="0" w:color="auto"/>
      </w:divBdr>
    </w:div>
    <w:div w:id="896168096">
      <w:bodyDiv w:val="1"/>
      <w:marLeft w:val="0"/>
      <w:marRight w:val="0"/>
      <w:marTop w:val="0"/>
      <w:marBottom w:val="0"/>
      <w:divBdr>
        <w:top w:val="none" w:sz="0" w:space="0" w:color="auto"/>
        <w:left w:val="none" w:sz="0" w:space="0" w:color="auto"/>
        <w:bottom w:val="none" w:sz="0" w:space="0" w:color="auto"/>
        <w:right w:val="none" w:sz="0" w:space="0" w:color="auto"/>
      </w:divBdr>
    </w:div>
    <w:div w:id="897936397">
      <w:bodyDiv w:val="1"/>
      <w:marLeft w:val="0"/>
      <w:marRight w:val="0"/>
      <w:marTop w:val="0"/>
      <w:marBottom w:val="0"/>
      <w:divBdr>
        <w:top w:val="none" w:sz="0" w:space="0" w:color="auto"/>
        <w:left w:val="none" w:sz="0" w:space="0" w:color="auto"/>
        <w:bottom w:val="none" w:sz="0" w:space="0" w:color="auto"/>
        <w:right w:val="none" w:sz="0" w:space="0" w:color="auto"/>
      </w:divBdr>
    </w:div>
    <w:div w:id="912349810">
      <w:bodyDiv w:val="1"/>
      <w:marLeft w:val="0"/>
      <w:marRight w:val="0"/>
      <w:marTop w:val="0"/>
      <w:marBottom w:val="0"/>
      <w:divBdr>
        <w:top w:val="none" w:sz="0" w:space="0" w:color="auto"/>
        <w:left w:val="none" w:sz="0" w:space="0" w:color="auto"/>
        <w:bottom w:val="none" w:sz="0" w:space="0" w:color="auto"/>
        <w:right w:val="none" w:sz="0" w:space="0" w:color="auto"/>
      </w:divBdr>
    </w:div>
    <w:div w:id="929384887">
      <w:bodyDiv w:val="1"/>
      <w:marLeft w:val="0"/>
      <w:marRight w:val="0"/>
      <w:marTop w:val="0"/>
      <w:marBottom w:val="0"/>
      <w:divBdr>
        <w:top w:val="none" w:sz="0" w:space="0" w:color="auto"/>
        <w:left w:val="none" w:sz="0" w:space="0" w:color="auto"/>
        <w:bottom w:val="none" w:sz="0" w:space="0" w:color="auto"/>
        <w:right w:val="none" w:sz="0" w:space="0" w:color="auto"/>
      </w:divBdr>
    </w:div>
    <w:div w:id="929504663">
      <w:bodyDiv w:val="1"/>
      <w:marLeft w:val="0"/>
      <w:marRight w:val="0"/>
      <w:marTop w:val="0"/>
      <w:marBottom w:val="0"/>
      <w:divBdr>
        <w:top w:val="none" w:sz="0" w:space="0" w:color="auto"/>
        <w:left w:val="none" w:sz="0" w:space="0" w:color="auto"/>
        <w:bottom w:val="none" w:sz="0" w:space="0" w:color="auto"/>
        <w:right w:val="none" w:sz="0" w:space="0" w:color="auto"/>
      </w:divBdr>
    </w:div>
    <w:div w:id="932124987">
      <w:bodyDiv w:val="1"/>
      <w:marLeft w:val="0"/>
      <w:marRight w:val="0"/>
      <w:marTop w:val="0"/>
      <w:marBottom w:val="0"/>
      <w:divBdr>
        <w:top w:val="none" w:sz="0" w:space="0" w:color="auto"/>
        <w:left w:val="none" w:sz="0" w:space="0" w:color="auto"/>
        <w:bottom w:val="none" w:sz="0" w:space="0" w:color="auto"/>
        <w:right w:val="none" w:sz="0" w:space="0" w:color="auto"/>
      </w:divBdr>
    </w:div>
    <w:div w:id="935094651">
      <w:bodyDiv w:val="1"/>
      <w:marLeft w:val="0"/>
      <w:marRight w:val="0"/>
      <w:marTop w:val="0"/>
      <w:marBottom w:val="0"/>
      <w:divBdr>
        <w:top w:val="none" w:sz="0" w:space="0" w:color="auto"/>
        <w:left w:val="none" w:sz="0" w:space="0" w:color="auto"/>
        <w:bottom w:val="none" w:sz="0" w:space="0" w:color="auto"/>
        <w:right w:val="none" w:sz="0" w:space="0" w:color="auto"/>
      </w:divBdr>
    </w:div>
    <w:div w:id="938561513">
      <w:bodyDiv w:val="1"/>
      <w:marLeft w:val="0"/>
      <w:marRight w:val="0"/>
      <w:marTop w:val="0"/>
      <w:marBottom w:val="0"/>
      <w:divBdr>
        <w:top w:val="none" w:sz="0" w:space="0" w:color="auto"/>
        <w:left w:val="none" w:sz="0" w:space="0" w:color="auto"/>
        <w:bottom w:val="none" w:sz="0" w:space="0" w:color="auto"/>
        <w:right w:val="none" w:sz="0" w:space="0" w:color="auto"/>
      </w:divBdr>
    </w:div>
    <w:div w:id="941567529">
      <w:bodyDiv w:val="1"/>
      <w:marLeft w:val="0"/>
      <w:marRight w:val="0"/>
      <w:marTop w:val="0"/>
      <w:marBottom w:val="0"/>
      <w:divBdr>
        <w:top w:val="none" w:sz="0" w:space="0" w:color="auto"/>
        <w:left w:val="none" w:sz="0" w:space="0" w:color="auto"/>
        <w:bottom w:val="none" w:sz="0" w:space="0" w:color="auto"/>
        <w:right w:val="none" w:sz="0" w:space="0" w:color="auto"/>
      </w:divBdr>
    </w:div>
    <w:div w:id="949319738">
      <w:bodyDiv w:val="1"/>
      <w:marLeft w:val="0"/>
      <w:marRight w:val="0"/>
      <w:marTop w:val="0"/>
      <w:marBottom w:val="0"/>
      <w:divBdr>
        <w:top w:val="none" w:sz="0" w:space="0" w:color="auto"/>
        <w:left w:val="none" w:sz="0" w:space="0" w:color="auto"/>
        <w:bottom w:val="none" w:sz="0" w:space="0" w:color="auto"/>
        <w:right w:val="none" w:sz="0" w:space="0" w:color="auto"/>
      </w:divBdr>
    </w:div>
    <w:div w:id="952595344">
      <w:bodyDiv w:val="1"/>
      <w:marLeft w:val="0"/>
      <w:marRight w:val="0"/>
      <w:marTop w:val="0"/>
      <w:marBottom w:val="0"/>
      <w:divBdr>
        <w:top w:val="none" w:sz="0" w:space="0" w:color="auto"/>
        <w:left w:val="none" w:sz="0" w:space="0" w:color="auto"/>
        <w:bottom w:val="none" w:sz="0" w:space="0" w:color="auto"/>
        <w:right w:val="none" w:sz="0" w:space="0" w:color="auto"/>
      </w:divBdr>
      <w:divsChild>
        <w:div w:id="2132242725">
          <w:marLeft w:val="605"/>
          <w:marRight w:val="0"/>
          <w:marTop w:val="0"/>
          <w:marBottom w:val="0"/>
          <w:divBdr>
            <w:top w:val="none" w:sz="0" w:space="0" w:color="auto"/>
            <w:left w:val="none" w:sz="0" w:space="0" w:color="auto"/>
            <w:bottom w:val="none" w:sz="0" w:space="0" w:color="auto"/>
            <w:right w:val="none" w:sz="0" w:space="0" w:color="auto"/>
          </w:divBdr>
        </w:div>
      </w:divsChild>
    </w:div>
    <w:div w:id="957177355">
      <w:bodyDiv w:val="1"/>
      <w:marLeft w:val="0"/>
      <w:marRight w:val="0"/>
      <w:marTop w:val="0"/>
      <w:marBottom w:val="0"/>
      <w:divBdr>
        <w:top w:val="none" w:sz="0" w:space="0" w:color="auto"/>
        <w:left w:val="none" w:sz="0" w:space="0" w:color="auto"/>
        <w:bottom w:val="none" w:sz="0" w:space="0" w:color="auto"/>
        <w:right w:val="none" w:sz="0" w:space="0" w:color="auto"/>
      </w:divBdr>
    </w:div>
    <w:div w:id="958143515">
      <w:bodyDiv w:val="1"/>
      <w:marLeft w:val="0"/>
      <w:marRight w:val="0"/>
      <w:marTop w:val="0"/>
      <w:marBottom w:val="0"/>
      <w:divBdr>
        <w:top w:val="none" w:sz="0" w:space="0" w:color="auto"/>
        <w:left w:val="none" w:sz="0" w:space="0" w:color="auto"/>
        <w:bottom w:val="none" w:sz="0" w:space="0" w:color="auto"/>
        <w:right w:val="none" w:sz="0" w:space="0" w:color="auto"/>
      </w:divBdr>
    </w:div>
    <w:div w:id="959650460">
      <w:bodyDiv w:val="1"/>
      <w:marLeft w:val="0"/>
      <w:marRight w:val="0"/>
      <w:marTop w:val="0"/>
      <w:marBottom w:val="0"/>
      <w:divBdr>
        <w:top w:val="none" w:sz="0" w:space="0" w:color="auto"/>
        <w:left w:val="none" w:sz="0" w:space="0" w:color="auto"/>
        <w:bottom w:val="none" w:sz="0" w:space="0" w:color="auto"/>
        <w:right w:val="none" w:sz="0" w:space="0" w:color="auto"/>
      </w:divBdr>
    </w:div>
    <w:div w:id="962226063">
      <w:bodyDiv w:val="1"/>
      <w:marLeft w:val="0"/>
      <w:marRight w:val="0"/>
      <w:marTop w:val="0"/>
      <w:marBottom w:val="0"/>
      <w:divBdr>
        <w:top w:val="none" w:sz="0" w:space="0" w:color="auto"/>
        <w:left w:val="none" w:sz="0" w:space="0" w:color="auto"/>
        <w:bottom w:val="none" w:sz="0" w:space="0" w:color="auto"/>
        <w:right w:val="none" w:sz="0" w:space="0" w:color="auto"/>
      </w:divBdr>
    </w:div>
    <w:div w:id="962342777">
      <w:bodyDiv w:val="1"/>
      <w:marLeft w:val="0"/>
      <w:marRight w:val="0"/>
      <w:marTop w:val="0"/>
      <w:marBottom w:val="0"/>
      <w:divBdr>
        <w:top w:val="none" w:sz="0" w:space="0" w:color="auto"/>
        <w:left w:val="none" w:sz="0" w:space="0" w:color="auto"/>
        <w:bottom w:val="none" w:sz="0" w:space="0" w:color="auto"/>
        <w:right w:val="none" w:sz="0" w:space="0" w:color="auto"/>
      </w:divBdr>
    </w:div>
    <w:div w:id="962538875">
      <w:bodyDiv w:val="1"/>
      <w:marLeft w:val="0"/>
      <w:marRight w:val="0"/>
      <w:marTop w:val="0"/>
      <w:marBottom w:val="0"/>
      <w:divBdr>
        <w:top w:val="none" w:sz="0" w:space="0" w:color="auto"/>
        <w:left w:val="none" w:sz="0" w:space="0" w:color="auto"/>
        <w:bottom w:val="none" w:sz="0" w:space="0" w:color="auto"/>
        <w:right w:val="none" w:sz="0" w:space="0" w:color="auto"/>
      </w:divBdr>
    </w:div>
    <w:div w:id="973102441">
      <w:bodyDiv w:val="1"/>
      <w:marLeft w:val="0"/>
      <w:marRight w:val="0"/>
      <w:marTop w:val="0"/>
      <w:marBottom w:val="0"/>
      <w:divBdr>
        <w:top w:val="none" w:sz="0" w:space="0" w:color="auto"/>
        <w:left w:val="none" w:sz="0" w:space="0" w:color="auto"/>
        <w:bottom w:val="none" w:sz="0" w:space="0" w:color="auto"/>
        <w:right w:val="none" w:sz="0" w:space="0" w:color="auto"/>
      </w:divBdr>
    </w:div>
    <w:div w:id="974876345">
      <w:bodyDiv w:val="1"/>
      <w:marLeft w:val="0"/>
      <w:marRight w:val="0"/>
      <w:marTop w:val="0"/>
      <w:marBottom w:val="0"/>
      <w:divBdr>
        <w:top w:val="none" w:sz="0" w:space="0" w:color="auto"/>
        <w:left w:val="none" w:sz="0" w:space="0" w:color="auto"/>
        <w:bottom w:val="none" w:sz="0" w:space="0" w:color="auto"/>
        <w:right w:val="none" w:sz="0" w:space="0" w:color="auto"/>
      </w:divBdr>
    </w:div>
    <w:div w:id="977685931">
      <w:bodyDiv w:val="1"/>
      <w:marLeft w:val="0"/>
      <w:marRight w:val="0"/>
      <w:marTop w:val="0"/>
      <w:marBottom w:val="0"/>
      <w:divBdr>
        <w:top w:val="none" w:sz="0" w:space="0" w:color="auto"/>
        <w:left w:val="none" w:sz="0" w:space="0" w:color="auto"/>
        <w:bottom w:val="none" w:sz="0" w:space="0" w:color="auto"/>
        <w:right w:val="none" w:sz="0" w:space="0" w:color="auto"/>
      </w:divBdr>
    </w:div>
    <w:div w:id="990598205">
      <w:bodyDiv w:val="1"/>
      <w:marLeft w:val="0"/>
      <w:marRight w:val="0"/>
      <w:marTop w:val="0"/>
      <w:marBottom w:val="0"/>
      <w:divBdr>
        <w:top w:val="none" w:sz="0" w:space="0" w:color="auto"/>
        <w:left w:val="none" w:sz="0" w:space="0" w:color="auto"/>
        <w:bottom w:val="none" w:sz="0" w:space="0" w:color="auto"/>
        <w:right w:val="none" w:sz="0" w:space="0" w:color="auto"/>
      </w:divBdr>
    </w:div>
    <w:div w:id="1019551349">
      <w:bodyDiv w:val="1"/>
      <w:marLeft w:val="0"/>
      <w:marRight w:val="0"/>
      <w:marTop w:val="0"/>
      <w:marBottom w:val="0"/>
      <w:divBdr>
        <w:top w:val="none" w:sz="0" w:space="0" w:color="auto"/>
        <w:left w:val="none" w:sz="0" w:space="0" w:color="auto"/>
        <w:bottom w:val="none" w:sz="0" w:space="0" w:color="auto"/>
        <w:right w:val="none" w:sz="0" w:space="0" w:color="auto"/>
      </w:divBdr>
    </w:div>
    <w:div w:id="1027565597">
      <w:bodyDiv w:val="1"/>
      <w:marLeft w:val="0"/>
      <w:marRight w:val="0"/>
      <w:marTop w:val="0"/>
      <w:marBottom w:val="0"/>
      <w:divBdr>
        <w:top w:val="none" w:sz="0" w:space="0" w:color="auto"/>
        <w:left w:val="none" w:sz="0" w:space="0" w:color="auto"/>
        <w:bottom w:val="none" w:sz="0" w:space="0" w:color="auto"/>
        <w:right w:val="none" w:sz="0" w:space="0" w:color="auto"/>
      </w:divBdr>
    </w:div>
    <w:div w:id="1031421584">
      <w:bodyDiv w:val="1"/>
      <w:marLeft w:val="0"/>
      <w:marRight w:val="0"/>
      <w:marTop w:val="0"/>
      <w:marBottom w:val="0"/>
      <w:divBdr>
        <w:top w:val="none" w:sz="0" w:space="0" w:color="auto"/>
        <w:left w:val="none" w:sz="0" w:space="0" w:color="auto"/>
        <w:bottom w:val="none" w:sz="0" w:space="0" w:color="auto"/>
        <w:right w:val="none" w:sz="0" w:space="0" w:color="auto"/>
      </w:divBdr>
    </w:div>
    <w:div w:id="1042249702">
      <w:bodyDiv w:val="1"/>
      <w:marLeft w:val="0"/>
      <w:marRight w:val="0"/>
      <w:marTop w:val="0"/>
      <w:marBottom w:val="0"/>
      <w:divBdr>
        <w:top w:val="none" w:sz="0" w:space="0" w:color="auto"/>
        <w:left w:val="none" w:sz="0" w:space="0" w:color="auto"/>
        <w:bottom w:val="none" w:sz="0" w:space="0" w:color="auto"/>
        <w:right w:val="none" w:sz="0" w:space="0" w:color="auto"/>
      </w:divBdr>
    </w:div>
    <w:div w:id="1042362694">
      <w:bodyDiv w:val="1"/>
      <w:marLeft w:val="0"/>
      <w:marRight w:val="0"/>
      <w:marTop w:val="0"/>
      <w:marBottom w:val="0"/>
      <w:divBdr>
        <w:top w:val="none" w:sz="0" w:space="0" w:color="auto"/>
        <w:left w:val="none" w:sz="0" w:space="0" w:color="auto"/>
        <w:bottom w:val="none" w:sz="0" w:space="0" w:color="auto"/>
        <w:right w:val="none" w:sz="0" w:space="0" w:color="auto"/>
      </w:divBdr>
    </w:div>
    <w:div w:id="1052267758">
      <w:bodyDiv w:val="1"/>
      <w:marLeft w:val="0"/>
      <w:marRight w:val="0"/>
      <w:marTop w:val="0"/>
      <w:marBottom w:val="0"/>
      <w:divBdr>
        <w:top w:val="none" w:sz="0" w:space="0" w:color="auto"/>
        <w:left w:val="none" w:sz="0" w:space="0" w:color="auto"/>
        <w:bottom w:val="none" w:sz="0" w:space="0" w:color="auto"/>
        <w:right w:val="none" w:sz="0" w:space="0" w:color="auto"/>
      </w:divBdr>
    </w:div>
    <w:div w:id="1054811716">
      <w:bodyDiv w:val="1"/>
      <w:marLeft w:val="0"/>
      <w:marRight w:val="0"/>
      <w:marTop w:val="0"/>
      <w:marBottom w:val="0"/>
      <w:divBdr>
        <w:top w:val="none" w:sz="0" w:space="0" w:color="auto"/>
        <w:left w:val="none" w:sz="0" w:space="0" w:color="auto"/>
        <w:bottom w:val="none" w:sz="0" w:space="0" w:color="auto"/>
        <w:right w:val="none" w:sz="0" w:space="0" w:color="auto"/>
      </w:divBdr>
    </w:div>
    <w:div w:id="1076513418">
      <w:bodyDiv w:val="1"/>
      <w:marLeft w:val="0"/>
      <w:marRight w:val="0"/>
      <w:marTop w:val="0"/>
      <w:marBottom w:val="0"/>
      <w:divBdr>
        <w:top w:val="none" w:sz="0" w:space="0" w:color="auto"/>
        <w:left w:val="none" w:sz="0" w:space="0" w:color="auto"/>
        <w:bottom w:val="none" w:sz="0" w:space="0" w:color="auto"/>
        <w:right w:val="none" w:sz="0" w:space="0" w:color="auto"/>
      </w:divBdr>
    </w:div>
    <w:div w:id="1082096127">
      <w:bodyDiv w:val="1"/>
      <w:marLeft w:val="0"/>
      <w:marRight w:val="0"/>
      <w:marTop w:val="0"/>
      <w:marBottom w:val="0"/>
      <w:divBdr>
        <w:top w:val="none" w:sz="0" w:space="0" w:color="auto"/>
        <w:left w:val="none" w:sz="0" w:space="0" w:color="auto"/>
        <w:bottom w:val="none" w:sz="0" w:space="0" w:color="auto"/>
        <w:right w:val="none" w:sz="0" w:space="0" w:color="auto"/>
      </w:divBdr>
    </w:div>
    <w:div w:id="1086607164">
      <w:bodyDiv w:val="1"/>
      <w:marLeft w:val="0"/>
      <w:marRight w:val="0"/>
      <w:marTop w:val="0"/>
      <w:marBottom w:val="0"/>
      <w:divBdr>
        <w:top w:val="none" w:sz="0" w:space="0" w:color="auto"/>
        <w:left w:val="none" w:sz="0" w:space="0" w:color="auto"/>
        <w:bottom w:val="none" w:sz="0" w:space="0" w:color="auto"/>
        <w:right w:val="none" w:sz="0" w:space="0" w:color="auto"/>
      </w:divBdr>
    </w:div>
    <w:div w:id="1088624036">
      <w:bodyDiv w:val="1"/>
      <w:marLeft w:val="0"/>
      <w:marRight w:val="0"/>
      <w:marTop w:val="0"/>
      <w:marBottom w:val="0"/>
      <w:divBdr>
        <w:top w:val="none" w:sz="0" w:space="0" w:color="auto"/>
        <w:left w:val="none" w:sz="0" w:space="0" w:color="auto"/>
        <w:bottom w:val="none" w:sz="0" w:space="0" w:color="auto"/>
        <w:right w:val="none" w:sz="0" w:space="0" w:color="auto"/>
      </w:divBdr>
    </w:div>
    <w:div w:id="1092244559">
      <w:bodyDiv w:val="1"/>
      <w:marLeft w:val="0"/>
      <w:marRight w:val="0"/>
      <w:marTop w:val="0"/>
      <w:marBottom w:val="0"/>
      <w:divBdr>
        <w:top w:val="none" w:sz="0" w:space="0" w:color="auto"/>
        <w:left w:val="none" w:sz="0" w:space="0" w:color="auto"/>
        <w:bottom w:val="none" w:sz="0" w:space="0" w:color="auto"/>
        <w:right w:val="none" w:sz="0" w:space="0" w:color="auto"/>
      </w:divBdr>
    </w:div>
    <w:div w:id="1108163127">
      <w:bodyDiv w:val="1"/>
      <w:marLeft w:val="0"/>
      <w:marRight w:val="0"/>
      <w:marTop w:val="0"/>
      <w:marBottom w:val="0"/>
      <w:divBdr>
        <w:top w:val="none" w:sz="0" w:space="0" w:color="auto"/>
        <w:left w:val="none" w:sz="0" w:space="0" w:color="auto"/>
        <w:bottom w:val="none" w:sz="0" w:space="0" w:color="auto"/>
        <w:right w:val="none" w:sz="0" w:space="0" w:color="auto"/>
      </w:divBdr>
    </w:div>
    <w:div w:id="1114442018">
      <w:bodyDiv w:val="1"/>
      <w:marLeft w:val="0"/>
      <w:marRight w:val="0"/>
      <w:marTop w:val="0"/>
      <w:marBottom w:val="0"/>
      <w:divBdr>
        <w:top w:val="none" w:sz="0" w:space="0" w:color="auto"/>
        <w:left w:val="none" w:sz="0" w:space="0" w:color="auto"/>
        <w:bottom w:val="none" w:sz="0" w:space="0" w:color="auto"/>
        <w:right w:val="none" w:sz="0" w:space="0" w:color="auto"/>
      </w:divBdr>
    </w:div>
    <w:div w:id="1115367124">
      <w:bodyDiv w:val="1"/>
      <w:marLeft w:val="0"/>
      <w:marRight w:val="0"/>
      <w:marTop w:val="0"/>
      <w:marBottom w:val="0"/>
      <w:divBdr>
        <w:top w:val="none" w:sz="0" w:space="0" w:color="auto"/>
        <w:left w:val="none" w:sz="0" w:space="0" w:color="auto"/>
        <w:bottom w:val="none" w:sz="0" w:space="0" w:color="auto"/>
        <w:right w:val="none" w:sz="0" w:space="0" w:color="auto"/>
      </w:divBdr>
    </w:div>
    <w:div w:id="1120146382">
      <w:bodyDiv w:val="1"/>
      <w:marLeft w:val="0"/>
      <w:marRight w:val="0"/>
      <w:marTop w:val="0"/>
      <w:marBottom w:val="0"/>
      <w:divBdr>
        <w:top w:val="none" w:sz="0" w:space="0" w:color="auto"/>
        <w:left w:val="none" w:sz="0" w:space="0" w:color="auto"/>
        <w:bottom w:val="none" w:sz="0" w:space="0" w:color="auto"/>
        <w:right w:val="none" w:sz="0" w:space="0" w:color="auto"/>
      </w:divBdr>
    </w:div>
    <w:div w:id="1135290678">
      <w:bodyDiv w:val="1"/>
      <w:marLeft w:val="0"/>
      <w:marRight w:val="0"/>
      <w:marTop w:val="0"/>
      <w:marBottom w:val="0"/>
      <w:divBdr>
        <w:top w:val="none" w:sz="0" w:space="0" w:color="auto"/>
        <w:left w:val="none" w:sz="0" w:space="0" w:color="auto"/>
        <w:bottom w:val="none" w:sz="0" w:space="0" w:color="auto"/>
        <w:right w:val="none" w:sz="0" w:space="0" w:color="auto"/>
      </w:divBdr>
    </w:div>
    <w:div w:id="1137992868">
      <w:bodyDiv w:val="1"/>
      <w:marLeft w:val="0"/>
      <w:marRight w:val="0"/>
      <w:marTop w:val="0"/>
      <w:marBottom w:val="0"/>
      <w:divBdr>
        <w:top w:val="none" w:sz="0" w:space="0" w:color="auto"/>
        <w:left w:val="none" w:sz="0" w:space="0" w:color="auto"/>
        <w:bottom w:val="none" w:sz="0" w:space="0" w:color="auto"/>
        <w:right w:val="none" w:sz="0" w:space="0" w:color="auto"/>
      </w:divBdr>
    </w:div>
    <w:div w:id="1144734172">
      <w:bodyDiv w:val="1"/>
      <w:marLeft w:val="0"/>
      <w:marRight w:val="0"/>
      <w:marTop w:val="0"/>
      <w:marBottom w:val="0"/>
      <w:divBdr>
        <w:top w:val="none" w:sz="0" w:space="0" w:color="auto"/>
        <w:left w:val="none" w:sz="0" w:space="0" w:color="auto"/>
        <w:bottom w:val="none" w:sz="0" w:space="0" w:color="auto"/>
        <w:right w:val="none" w:sz="0" w:space="0" w:color="auto"/>
      </w:divBdr>
    </w:div>
    <w:div w:id="1149134146">
      <w:bodyDiv w:val="1"/>
      <w:marLeft w:val="0"/>
      <w:marRight w:val="0"/>
      <w:marTop w:val="0"/>
      <w:marBottom w:val="0"/>
      <w:divBdr>
        <w:top w:val="none" w:sz="0" w:space="0" w:color="auto"/>
        <w:left w:val="none" w:sz="0" w:space="0" w:color="auto"/>
        <w:bottom w:val="none" w:sz="0" w:space="0" w:color="auto"/>
        <w:right w:val="none" w:sz="0" w:space="0" w:color="auto"/>
      </w:divBdr>
    </w:div>
    <w:div w:id="1165433051">
      <w:bodyDiv w:val="1"/>
      <w:marLeft w:val="0"/>
      <w:marRight w:val="0"/>
      <w:marTop w:val="0"/>
      <w:marBottom w:val="0"/>
      <w:divBdr>
        <w:top w:val="none" w:sz="0" w:space="0" w:color="auto"/>
        <w:left w:val="none" w:sz="0" w:space="0" w:color="auto"/>
        <w:bottom w:val="none" w:sz="0" w:space="0" w:color="auto"/>
        <w:right w:val="none" w:sz="0" w:space="0" w:color="auto"/>
      </w:divBdr>
    </w:div>
    <w:div w:id="1166093968">
      <w:bodyDiv w:val="1"/>
      <w:marLeft w:val="0"/>
      <w:marRight w:val="0"/>
      <w:marTop w:val="0"/>
      <w:marBottom w:val="0"/>
      <w:divBdr>
        <w:top w:val="none" w:sz="0" w:space="0" w:color="auto"/>
        <w:left w:val="none" w:sz="0" w:space="0" w:color="auto"/>
        <w:bottom w:val="none" w:sz="0" w:space="0" w:color="auto"/>
        <w:right w:val="none" w:sz="0" w:space="0" w:color="auto"/>
      </w:divBdr>
    </w:div>
    <w:div w:id="1168443804">
      <w:bodyDiv w:val="1"/>
      <w:marLeft w:val="0"/>
      <w:marRight w:val="0"/>
      <w:marTop w:val="0"/>
      <w:marBottom w:val="0"/>
      <w:divBdr>
        <w:top w:val="none" w:sz="0" w:space="0" w:color="auto"/>
        <w:left w:val="none" w:sz="0" w:space="0" w:color="auto"/>
        <w:bottom w:val="none" w:sz="0" w:space="0" w:color="auto"/>
        <w:right w:val="none" w:sz="0" w:space="0" w:color="auto"/>
      </w:divBdr>
    </w:div>
    <w:div w:id="1168906816">
      <w:bodyDiv w:val="1"/>
      <w:marLeft w:val="0"/>
      <w:marRight w:val="0"/>
      <w:marTop w:val="0"/>
      <w:marBottom w:val="0"/>
      <w:divBdr>
        <w:top w:val="none" w:sz="0" w:space="0" w:color="auto"/>
        <w:left w:val="none" w:sz="0" w:space="0" w:color="auto"/>
        <w:bottom w:val="none" w:sz="0" w:space="0" w:color="auto"/>
        <w:right w:val="none" w:sz="0" w:space="0" w:color="auto"/>
      </w:divBdr>
    </w:div>
    <w:div w:id="1184787057">
      <w:bodyDiv w:val="1"/>
      <w:marLeft w:val="0"/>
      <w:marRight w:val="0"/>
      <w:marTop w:val="0"/>
      <w:marBottom w:val="0"/>
      <w:divBdr>
        <w:top w:val="none" w:sz="0" w:space="0" w:color="auto"/>
        <w:left w:val="none" w:sz="0" w:space="0" w:color="auto"/>
        <w:bottom w:val="none" w:sz="0" w:space="0" w:color="auto"/>
        <w:right w:val="none" w:sz="0" w:space="0" w:color="auto"/>
      </w:divBdr>
    </w:div>
    <w:div w:id="1209535129">
      <w:bodyDiv w:val="1"/>
      <w:marLeft w:val="0"/>
      <w:marRight w:val="0"/>
      <w:marTop w:val="0"/>
      <w:marBottom w:val="0"/>
      <w:divBdr>
        <w:top w:val="none" w:sz="0" w:space="0" w:color="auto"/>
        <w:left w:val="none" w:sz="0" w:space="0" w:color="auto"/>
        <w:bottom w:val="none" w:sz="0" w:space="0" w:color="auto"/>
        <w:right w:val="none" w:sz="0" w:space="0" w:color="auto"/>
      </w:divBdr>
    </w:div>
    <w:div w:id="1221398921">
      <w:bodyDiv w:val="1"/>
      <w:marLeft w:val="0"/>
      <w:marRight w:val="0"/>
      <w:marTop w:val="0"/>
      <w:marBottom w:val="0"/>
      <w:divBdr>
        <w:top w:val="none" w:sz="0" w:space="0" w:color="auto"/>
        <w:left w:val="none" w:sz="0" w:space="0" w:color="auto"/>
        <w:bottom w:val="none" w:sz="0" w:space="0" w:color="auto"/>
        <w:right w:val="none" w:sz="0" w:space="0" w:color="auto"/>
      </w:divBdr>
    </w:div>
    <w:div w:id="1223635285">
      <w:bodyDiv w:val="1"/>
      <w:marLeft w:val="0"/>
      <w:marRight w:val="0"/>
      <w:marTop w:val="0"/>
      <w:marBottom w:val="0"/>
      <w:divBdr>
        <w:top w:val="none" w:sz="0" w:space="0" w:color="auto"/>
        <w:left w:val="none" w:sz="0" w:space="0" w:color="auto"/>
        <w:bottom w:val="none" w:sz="0" w:space="0" w:color="auto"/>
        <w:right w:val="none" w:sz="0" w:space="0" w:color="auto"/>
      </w:divBdr>
    </w:div>
    <w:div w:id="1234972753">
      <w:bodyDiv w:val="1"/>
      <w:marLeft w:val="0"/>
      <w:marRight w:val="0"/>
      <w:marTop w:val="0"/>
      <w:marBottom w:val="0"/>
      <w:divBdr>
        <w:top w:val="none" w:sz="0" w:space="0" w:color="auto"/>
        <w:left w:val="none" w:sz="0" w:space="0" w:color="auto"/>
        <w:bottom w:val="none" w:sz="0" w:space="0" w:color="auto"/>
        <w:right w:val="none" w:sz="0" w:space="0" w:color="auto"/>
      </w:divBdr>
    </w:div>
    <w:div w:id="1237982190">
      <w:bodyDiv w:val="1"/>
      <w:marLeft w:val="0"/>
      <w:marRight w:val="0"/>
      <w:marTop w:val="0"/>
      <w:marBottom w:val="0"/>
      <w:divBdr>
        <w:top w:val="none" w:sz="0" w:space="0" w:color="auto"/>
        <w:left w:val="none" w:sz="0" w:space="0" w:color="auto"/>
        <w:bottom w:val="none" w:sz="0" w:space="0" w:color="auto"/>
        <w:right w:val="none" w:sz="0" w:space="0" w:color="auto"/>
      </w:divBdr>
    </w:div>
    <w:div w:id="1241909085">
      <w:bodyDiv w:val="1"/>
      <w:marLeft w:val="0"/>
      <w:marRight w:val="0"/>
      <w:marTop w:val="0"/>
      <w:marBottom w:val="0"/>
      <w:divBdr>
        <w:top w:val="none" w:sz="0" w:space="0" w:color="auto"/>
        <w:left w:val="none" w:sz="0" w:space="0" w:color="auto"/>
        <w:bottom w:val="none" w:sz="0" w:space="0" w:color="auto"/>
        <w:right w:val="none" w:sz="0" w:space="0" w:color="auto"/>
      </w:divBdr>
    </w:div>
    <w:div w:id="1251427137">
      <w:bodyDiv w:val="1"/>
      <w:marLeft w:val="0"/>
      <w:marRight w:val="0"/>
      <w:marTop w:val="0"/>
      <w:marBottom w:val="0"/>
      <w:divBdr>
        <w:top w:val="none" w:sz="0" w:space="0" w:color="auto"/>
        <w:left w:val="none" w:sz="0" w:space="0" w:color="auto"/>
        <w:bottom w:val="none" w:sz="0" w:space="0" w:color="auto"/>
        <w:right w:val="none" w:sz="0" w:space="0" w:color="auto"/>
      </w:divBdr>
    </w:div>
    <w:div w:id="1256748395">
      <w:bodyDiv w:val="1"/>
      <w:marLeft w:val="0"/>
      <w:marRight w:val="0"/>
      <w:marTop w:val="0"/>
      <w:marBottom w:val="0"/>
      <w:divBdr>
        <w:top w:val="none" w:sz="0" w:space="0" w:color="auto"/>
        <w:left w:val="none" w:sz="0" w:space="0" w:color="auto"/>
        <w:bottom w:val="none" w:sz="0" w:space="0" w:color="auto"/>
        <w:right w:val="none" w:sz="0" w:space="0" w:color="auto"/>
      </w:divBdr>
    </w:div>
    <w:div w:id="1267422797">
      <w:bodyDiv w:val="1"/>
      <w:marLeft w:val="0"/>
      <w:marRight w:val="0"/>
      <w:marTop w:val="0"/>
      <w:marBottom w:val="0"/>
      <w:divBdr>
        <w:top w:val="none" w:sz="0" w:space="0" w:color="auto"/>
        <w:left w:val="none" w:sz="0" w:space="0" w:color="auto"/>
        <w:bottom w:val="none" w:sz="0" w:space="0" w:color="auto"/>
        <w:right w:val="none" w:sz="0" w:space="0" w:color="auto"/>
      </w:divBdr>
    </w:div>
    <w:div w:id="1282763003">
      <w:bodyDiv w:val="1"/>
      <w:marLeft w:val="0"/>
      <w:marRight w:val="0"/>
      <w:marTop w:val="0"/>
      <w:marBottom w:val="0"/>
      <w:divBdr>
        <w:top w:val="none" w:sz="0" w:space="0" w:color="auto"/>
        <w:left w:val="none" w:sz="0" w:space="0" w:color="auto"/>
        <w:bottom w:val="none" w:sz="0" w:space="0" w:color="auto"/>
        <w:right w:val="none" w:sz="0" w:space="0" w:color="auto"/>
      </w:divBdr>
    </w:div>
    <w:div w:id="1286428828">
      <w:bodyDiv w:val="1"/>
      <w:marLeft w:val="0"/>
      <w:marRight w:val="0"/>
      <w:marTop w:val="0"/>
      <w:marBottom w:val="0"/>
      <w:divBdr>
        <w:top w:val="none" w:sz="0" w:space="0" w:color="auto"/>
        <w:left w:val="none" w:sz="0" w:space="0" w:color="auto"/>
        <w:bottom w:val="none" w:sz="0" w:space="0" w:color="auto"/>
        <w:right w:val="none" w:sz="0" w:space="0" w:color="auto"/>
      </w:divBdr>
    </w:div>
    <w:div w:id="1317223034">
      <w:bodyDiv w:val="1"/>
      <w:marLeft w:val="0"/>
      <w:marRight w:val="0"/>
      <w:marTop w:val="0"/>
      <w:marBottom w:val="0"/>
      <w:divBdr>
        <w:top w:val="none" w:sz="0" w:space="0" w:color="auto"/>
        <w:left w:val="none" w:sz="0" w:space="0" w:color="auto"/>
        <w:bottom w:val="none" w:sz="0" w:space="0" w:color="auto"/>
        <w:right w:val="none" w:sz="0" w:space="0" w:color="auto"/>
      </w:divBdr>
    </w:div>
    <w:div w:id="1321235155">
      <w:bodyDiv w:val="1"/>
      <w:marLeft w:val="0"/>
      <w:marRight w:val="0"/>
      <w:marTop w:val="0"/>
      <w:marBottom w:val="0"/>
      <w:divBdr>
        <w:top w:val="none" w:sz="0" w:space="0" w:color="auto"/>
        <w:left w:val="none" w:sz="0" w:space="0" w:color="auto"/>
        <w:bottom w:val="none" w:sz="0" w:space="0" w:color="auto"/>
        <w:right w:val="none" w:sz="0" w:space="0" w:color="auto"/>
      </w:divBdr>
    </w:div>
    <w:div w:id="1327660591">
      <w:bodyDiv w:val="1"/>
      <w:marLeft w:val="0"/>
      <w:marRight w:val="0"/>
      <w:marTop w:val="0"/>
      <w:marBottom w:val="0"/>
      <w:divBdr>
        <w:top w:val="none" w:sz="0" w:space="0" w:color="auto"/>
        <w:left w:val="none" w:sz="0" w:space="0" w:color="auto"/>
        <w:bottom w:val="none" w:sz="0" w:space="0" w:color="auto"/>
        <w:right w:val="none" w:sz="0" w:space="0" w:color="auto"/>
      </w:divBdr>
    </w:div>
    <w:div w:id="1335184596">
      <w:bodyDiv w:val="1"/>
      <w:marLeft w:val="0"/>
      <w:marRight w:val="0"/>
      <w:marTop w:val="0"/>
      <w:marBottom w:val="0"/>
      <w:divBdr>
        <w:top w:val="none" w:sz="0" w:space="0" w:color="auto"/>
        <w:left w:val="none" w:sz="0" w:space="0" w:color="auto"/>
        <w:bottom w:val="none" w:sz="0" w:space="0" w:color="auto"/>
        <w:right w:val="none" w:sz="0" w:space="0" w:color="auto"/>
      </w:divBdr>
    </w:div>
    <w:div w:id="1364087951">
      <w:bodyDiv w:val="1"/>
      <w:marLeft w:val="0"/>
      <w:marRight w:val="0"/>
      <w:marTop w:val="0"/>
      <w:marBottom w:val="0"/>
      <w:divBdr>
        <w:top w:val="none" w:sz="0" w:space="0" w:color="auto"/>
        <w:left w:val="none" w:sz="0" w:space="0" w:color="auto"/>
        <w:bottom w:val="none" w:sz="0" w:space="0" w:color="auto"/>
        <w:right w:val="none" w:sz="0" w:space="0" w:color="auto"/>
      </w:divBdr>
    </w:div>
    <w:div w:id="1373001659">
      <w:bodyDiv w:val="1"/>
      <w:marLeft w:val="0"/>
      <w:marRight w:val="0"/>
      <w:marTop w:val="0"/>
      <w:marBottom w:val="0"/>
      <w:divBdr>
        <w:top w:val="none" w:sz="0" w:space="0" w:color="auto"/>
        <w:left w:val="none" w:sz="0" w:space="0" w:color="auto"/>
        <w:bottom w:val="none" w:sz="0" w:space="0" w:color="auto"/>
        <w:right w:val="none" w:sz="0" w:space="0" w:color="auto"/>
      </w:divBdr>
    </w:div>
    <w:div w:id="1383090148">
      <w:bodyDiv w:val="1"/>
      <w:marLeft w:val="0"/>
      <w:marRight w:val="0"/>
      <w:marTop w:val="0"/>
      <w:marBottom w:val="0"/>
      <w:divBdr>
        <w:top w:val="none" w:sz="0" w:space="0" w:color="auto"/>
        <w:left w:val="none" w:sz="0" w:space="0" w:color="auto"/>
        <w:bottom w:val="none" w:sz="0" w:space="0" w:color="auto"/>
        <w:right w:val="none" w:sz="0" w:space="0" w:color="auto"/>
      </w:divBdr>
    </w:div>
    <w:div w:id="1388648039">
      <w:bodyDiv w:val="1"/>
      <w:marLeft w:val="0"/>
      <w:marRight w:val="0"/>
      <w:marTop w:val="0"/>
      <w:marBottom w:val="0"/>
      <w:divBdr>
        <w:top w:val="none" w:sz="0" w:space="0" w:color="auto"/>
        <w:left w:val="none" w:sz="0" w:space="0" w:color="auto"/>
        <w:bottom w:val="none" w:sz="0" w:space="0" w:color="auto"/>
        <w:right w:val="none" w:sz="0" w:space="0" w:color="auto"/>
      </w:divBdr>
    </w:div>
    <w:div w:id="1391879471">
      <w:bodyDiv w:val="1"/>
      <w:marLeft w:val="0"/>
      <w:marRight w:val="0"/>
      <w:marTop w:val="0"/>
      <w:marBottom w:val="0"/>
      <w:divBdr>
        <w:top w:val="none" w:sz="0" w:space="0" w:color="auto"/>
        <w:left w:val="none" w:sz="0" w:space="0" w:color="auto"/>
        <w:bottom w:val="none" w:sz="0" w:space="0" w:color="auto"/>
        <w:right w:val="none" w:sz="0" w:space="0" w:color="auto"/>
      </w:divBdr>
    </w:div>
    <w:div w:id="1397777878">
      <w:bodyDiv w:val="1"/>
      <w:marLeft w:val="0"/>
      <w:marRight w:val="0"/>
      <w:marTop w:val="0"/>
      <w:marBottom w:val="0"/>
      <w:divBdr>
        <w:top w:val="none" w:sz="0" w:space="0" w:color="auto"/>
        <w:left w:val="none" w:sz="0" w:space="0" w:color="auto"/>
        <w:bottom w:val="none" w:sz="0" w:space="0" w:color="auto"/>
        <w:right w:val="none" w:sz="0" w:space="0" w:color="auto"/>
      </w:divBdr>
    </w:div>
    <w:div w:id="1398745113">
      <w:bodyDiv w:val="1"/>
      <w:marLeft w:val="0"/>
      <w:marRight w:val="0"/>
      <w:marTop w:val="0"/>
      <w:marBottom w:val="0"/>
      <w:divBdr>
        <w:top w:val="none" w:sz="0" w:space="0" w:color="auto"/>
        <w:left w:val="none" w:sz="0" w:space="0" w:color="auto"/>
        <w:bottom w:val="none" w:sz="0" w:space="0" w:color="auto"/>
        <w:right w:val="none" w:sz="0" w:space="0" w:color="auto"/>
      </w:divBdr>
    </w:div>
    <w:div w:id="1401249870">
      <w:bodyDiv w:val="1"/>
      <w:marLeft w:val="0"/>
      <w:marRight w:val="0"/>
      <w:marTop w:val="0"/>
      <w:marBottom w:val="0"/>
      <w:divBdr>
        <w:top w:val="none" w:sz="0" w:space="0" w:color="auto"/>
        <w:left w:val="none" w:sz="0" w:space="0" w:color="auto"/>
        <w:bottom w:val="none" w:sz="0" w:space="0" w:color="auto"/>
        <w:right w:val="none" w:sz="0" w:space="0" w:color="auto"/>
      </w:divBdr>
    </w:div>
    <w:div w:id="1429303748">
      <w:bodyDiv w:val="1"/>
      <w:marLeft w:val="0"/>
      <w:marRight w:val="0"/>
      <w:marTop w:val="0"/>
      <w:marBottom w:val="0"/>
      <w:divBdr>
        <w:top w:val="none" w:sz="0" w:space="0" w:color="auto"/>
        <w:left w:val="none" w:sz="0" w:space="0" w:color="auto"/>
        <w:bottom w:val="none" w:sz="0" w:space="0" w:color="auto"/>
        <w:right w:val="none" w:sz="0" w:space="0" w:color="auto"/>
      </w:divBdr>
    </w:div>
    <w:div w:id="1443721611">
      <w:bodyDiv w:val="1"/>
      <w:marLeft w:val="0"/>
      <w:marRight w:val="0"/>
      <w:marTop w:val="0"/>
      <w:marBottom w:val="0"/>
      <w:divBdr>
        <w:top w:val="none" w:sz="0" w:space="0" w:color="auto"/>
        <w:left w:val="none" w:sz="0" w:space="0" w:color="auto"/>
        <w:bottom w:val="none" w:sz="0" w:space="0" w:color="auto"/>
        <w:right w:val="none" w:sz="0" w:space="0" w:color="auto"/>
      </w:divBdr>
    </w:div>
    <w:div w:id="1451633113">
      <w:bodyDiv w:val="1"/>
      <w:marLeft w:val="0"/>
      <w:marRight w:val="0"/>
      <w:marTop w:val="0"/>
      <w:marBottom w:val="0"/>
      <w:divBdr>
        <w:top w:val="none" w:sz="0" w:space="0" w:color="auto"/>
        <w:left w:val="none" w:sz="0" w:space="0" w:color="auto"/>
        <w:bottom w:val="none" w:sz="0" w:space="0" w:color="auto"/>
        <w:right w:val="none" w:sz="0" w:space="0" w:color="auto"/>
      </w:divBdr>
    </w:div>
    <w:div w:id="1467621103">
      <w:bodyDiv w:val="1"/>
      <w:marLeft w:val="0"/>
      <w:marRight w:val="0"/>
      <w:marTop w:val="0"/>
      <w:marBottom w:val="0"/>
      <w:divBdr>
        <w:top w:val="none" w:sz="0" w:space="0" w:color="auto"/>
        <w:left w:val="none" w:sz="0" w:space="0" w:color="auto"/>
        <w:bottom w:val="none" w:sz="0" w:space="0" w:color="auto"/>
        <w:right w:val="none" w:sz="0" w:space="0" w:color="auto"/>
      </w:divBdr>
    </w:div>
    <w:div w:id="1476289882">
      <w:bodyDiv w:val="1"/>
      <w:marLeft w:val="0"/>
      <w:marRight w:val="0"/>
      <w:marTop w:val="0"/>
      <w:marBottom w:val="0"/>
      <w:divBdr>
        <w:top w:val="none" w:sz="0" w:space="0" w:color="auto"/>
        <w:left w:val="none" w:sz="0" w:space="0" w:color="auto"/>
        <w:bottom w:val="none" w:sz="0" w:space="0" w:color="auto"/>
        <w:right w:val="none" w:sz="0" w:space="0" w:color="auto"/>
      </w:divBdr>
    </w:div>
    <w:div w:id="1485466497">
      <w:bodyDiv w:val="1"/>
      <w:marLeft w:val="0"/>
      <w:marRight w:val="0"/>
      <w:marTop w:val="0"/>
      <w:marBottom w:val="0"/>
      <w:divBdr>
        <w:top w:val="none" w:sz="0" w:space="0" w:color="auto"/>
        <w:left w:val="none" w:sz="0" w:space="0" w:color="auto"/>
        <w:bottom w:val="none" w:sz="0" w:space="0" w:color="auto"/>
        <w:right w:val="none" w:sz="0" w:space="0" w:color="auto"/>
      </w:divBdr>
    </w:div>
    <w:div w:id="1489132761">
      <w:bodyDiv w:val="1"/>
      <w:marLeft w:val="0"/>
      <w:marRight w:val="0"/>
      <w:marTop w:val="0"/>
      <w:marBottom w:val="0"/>
      <w:divBdr>
        <w:top w:val="none" w:sz="0" w:space="0" w:color="auto"/>
        <w:left w:val="none" w:sz="0" w:space="0" w:color="auto"/>
        <w:bottom w:val="none" w:sz="0" w:space="0" w:color="auto"/>
        <w:right w:val="none" w:sz="0" w:space="0" w:color="auto"/>
      </w:divBdr>
    </w:div>
    <w:div w:id="1492062220">
      <w:bodyDiv w:val="1"/>
      <w:marLeft w:val="0"/>
      <w:marRight w:val="0"/>
      <w:marTop w:val="0"/>
      <w:marBottom w:val="0"/>
      <w:divBdr>
        <w:top w:val="none" w:sz="0" w:space="0" w:color="auto"/>
        <w:left w:val="none" w:sz="0" w:space="0" w:color="auto"/>
        <w:bottom w:val="none" w:sz="0" w:space="0" w:color="auto"/>
        <w:right w:val="none" w:sz="0" w:space="0" w:color="auto"/>
      </w:divBdr>
    </w:div>
    <w:div w:id="1495534412">
      <w:bodyDiv w:val="1"/>
      <w:marLeft w:val="0"/>
      <w:marRight w:val="0"/>
      <w:marTop w:val="0"/>
      <w:marBottom w:val="0"/>
      <w:divBdr>
        <w:top w:val="none" w:sz="0" w:space="0" w:color="auto"/>
        <w:left w:val="none" w:sz="0" w:space="0" w:color="auto"/>
        <w:bottom w:val="none" w:sz="0" w:space="0" w:color="auto"/>
        <w:right w:val="none" w:sz="0" w:space="0" w:color="auto"/>
      </w:divBdr>
    </w:div>
    <w:div w:id="1497257935">
      <w:bodyDiv w:val="1"/>
      <w:marLeft w:val="0"/>
      <w:marRight w:val="0"/>
      <w:marTop w:val="0"/>
      <w:marBottom w:val="0"/>
      <w:divBdr>
        <w:top w:val="none" w:sz="0" w:space="0" w:color="auto"/>
        <w:left w:val="none" w:sz="0" w:space="0" w:color="auto"/>
        <w:bottom w:val="none" w:sz="0" w:space="0" w:color="auto"/>
        <w:right w:val="none" w:sz="0" w:space="0" w:color="auto"/>
      </w:divBdr>
    </w:div>
    <w:div w:id="1522359215">
      <w:bodyDiv w:val="1"/>
      <w:marLeft w:val="0"/>
      <w:marRight w:val="0"/>
      <w:marTop w:val="0"/>
      <w:marBottom w:val="0"/>
      <w:divBdr>
        <w:top w:val="none" w:sz="0" w:space="0" w:color="auto"/>
        <w:left w:val="none" w:sz="0" w:space="0" w:color="auto"/>
        <w:bottom w:val="none" w:sz="0" w:space="0" w:color="auto"/>
        <w:right w:val="none" w:sz="0" w:space="0" w:color="auto"/>
      </w:divBdr>
    </w:div>
    <w:div w:id="1531140211">
      <w:bodyDiv w:val="1"/>
      <w:marLeft w:val="0"/>
      <w:marRight w:val="0"/>
      <w:marTop w:val="0"/>
      <w:marBottom w:val="0"/>
      <w:divBdr>
        <w:top w:val="none" w:sz="0" w:space="0" w:color="auto"/>
        <w:left w:val="none" w:sz="0" w:space="0" w:color="auto"/>
        <w:bottom w:val="none" w:sz="0" w:space="0" w:color="auto"/>
        <w:right w:val="none" w:sz="0" w:space="0" w:color="auto"/>
      </w:divBdr>
    </w:div>
    <w:div w:id="1533300459">
      <w:bodyDiv w:val="1"/>
      <w:marLeft w:val="0"/>
      <w:marRight w:val="0"/>
      <w:marTop w:val="0"/>
      <w:marBottom w:val="0"/>
      <w:divBdr>
        <w:top w:val="none" w:sz="0" w:space="0" w:color="auto"/>
        <w:left w:val="none" w:sz="0" w:space="0" w:color="auto"/>
        <w:bottom w:val="none" w:sz="0" w:space="0" w:color="auto"/>
        <w:right w:val="none" w:sz="0" w:space="0" w:color="auto"/>
      </w:divBdr>
    </w:div>
    <w:div w:id="1535576561">
      <w:bodyDiv w:val="1"/>
      <w:marLeft w:val="0"/>
      <w:marRight w:val="0"/>
      <w:marTop w:val="0"/>
      <w:marBottom w:val="0"/>
      <w:divBdr>
        <w:top w:val="none" w:sz="0" w:space="0" w:color="auto"/>
        <w:left w:val="none" w:sz="0" w:space="0" w:color="auto"/>
        <w:bottom w:val="none" w:sz="0" w:space="0" w:color="auto"/>
        <w:right w:val="none" w:sz="0" w:space="0" w:color="auto"/>
      </w:divBdr>
    </w:div>
    <w:div w:id="1563519181">
      <w:bodyDiv w:val="1"/>
      <w:marLeft w:val="0"/>
      <w:marRight w:val="0"/>
      <w:marTop w:val="0"/>
      <w:marBottom w:val="0"/>
      <w:divBdr>
        <w:top w:val="none" w:sz="0" w:space="0" w:color="auto"/>
        <w:left w:val="none" w:sz="0" w:space="0" w:color="auto"/>
        <w:bottom w:val="none" w:sz="0" w:space="0" w:color="auto"/>
        <w:right w:val="none" w:sz="0" w:space="0" w:color="auto"/>
      </w:divBdr>
    </w:div>
    <w:div w:id="1578789110">
      <w:bodyDiv w:val="1"/>
      <w:marLeft w:val="0"/>
      <w:marRight w:val="0"/>
      <w:marTop w:val="0"/>
      <w:marBottom w:val="0"/>
      <w:divBdr>
        <w:top w:val="none" w:sz="0" w:space="0" w:color="auto"/>
        <w:left w:val="none" w:sz="0" w:space="0" w:color="auto"/>
        <w:bottom w:val="none" w:sz="0" w:space="0" w:color="auto"/>
        <w:right w:val="none" w:sz="0" w:space="0" w:color="auto"/>
      </w:divBdr>
    </w:div>
    <w:div w:id="1584995164">
      <w:bodyDiv w:val="1"/>
      <w:marLeft w:val="0"/>
      <w:marRight w:val="0"/>
      <w:marTop w:val="0"/>
      <w:marBottom w:val="0"/>
      <w:divBdr>
        <w:top w:val="none" w:sz="0" w:space="0" w:color="auto"/>
        <w:left w:val="none" w:sz="0" w:space="0" w:color="auto"/>
        <w:bottom w:val="none" w:sz="0" w:space="0" w:color="auto"/>
        <w:right w:val="none" w:sz="0" w:space="0" w:color="auto"/>
      </w:divBdr>
    </w:div>
    <w:div w:id="1592199029">
      <w:bodyDiv w:val="1"/>
      <w:marLeft w:val="0"/>
      <w:marRight w:val="0"/>
      <w:marTop w:val="0"/>
      <w:marBottom w:val="0"/>
      <w:divBdr>
        <w:top w:val="none" w:sz="0" w:space="0" w:color="auto"/>
        <w:left w:val="none" w:sz="0" w:space="0" w:color="auto"/>
        <w:bottom w:val="none" w:sz="0" w:space="0" w:color="auto"/>
        <w:right w:val="none" w:sz="0" w:space="0" w:color="auto"/>
      </w:divBdr>
    </w:div>
    <w:div w:id="1601258720">
      <w:bodyDiv w:val="1"/>
      <w:marLeft w:val="0"/>
      <w:marRight w:val="0"/>
      <w:marTop w:val="0"/>
      <w:marBottom w:val="0"/>
      <w:divBdr>
        <w:top w:val="none" w:sz="0" w:space="0" w:color="auto"/>
        <w:left w:val="none" w:sz="0" w:space="0" w:color="auto"/>
        <w:bottom w:val="none" w:sz="0" w:space="0" w:color="auto"/>
        <w:right w:val="none" w:sz="0" w:space="0" w:color="auto"/>
      </w:divBdr>
    </w:div>
    <w:div w:id="1602834892">
      <w:bodyDiv w:val="1"/>
      <w:marLeft w:val="0"/>
      <w:marRight w:val="0"/>
      <w:marTop w:val="0"/>
      <w:marBottom w:val="0"/>
      <w:divBdr>
        <w:top w:val="none" w:sz="0" w:space="0" w:color="auto"/>
        <w:left w:val="none" w:sz="0" w:space="0" w:color="auto"/>
        <w:bottom w:val="none" w:sz="0" w:space="0" w:color="auto"/>
        <w:right w:val="none" w:sz="0" w:space="0" w:color="auto"/>
      </w:divBdr>
    </w:div>
    <w:div w:id="1623076269">
      <w:bodyDiv w:val="1"/>
      <w:marLeft w:val="0"/>
      <w:marRight w:val="0"/>
      <w:marTop w:val="0"/>
      <w:marBottom w:val="0"/>
      <w:divBdr>
        <w:top w:val="none" w:sz="0" w:space="0" w:color="auto"/>
        <w:left w:val="none" w:sz="0" w:space="0" w:color="auto"/>
        <w:bottom w:val="none" w:sz="0" w:space="0" w:color="auto"/>
        <w:right w:val="none" w:sz="0" w:space="0" w:color="auto"/>
      </w:divBdr>
    </w:div>
    <w:div w:id="1631208430">
      <w:bodyDiv w:val="1"/>
      <w:marLeft w:val="0"/>
      <w:marRight w:val="0"/>
      <w:marTop w:val="0"/>
      <w:marBottom w:val="0"/>
      <w:divBdr>
        <w:top w:val="none" w:sz="0" w:space="0" w:color="auto"/>
        <w:left w:val="none" w:sz="0" w:space="0" w:color="auto"/>
        <w:bottom w:val="none" w:sz="0" w:space="0" w:color="auto"/>
        <w:right w:val="none" w:sz="0" w:space="0" w:color="auto"/>
      </w:divBdr>
    </w:div>
    <w:div w:id="1632976540">
      <w:bodyDiv w:val="1"/>
      <w:marLeft w:val="0"/>
      <w:marRight w:val="0"/>
      <w:marTop w:val="0"/>
      <w:marBottom w:val="0"/>
      <w:divBdr>
        <w:top w:val="none" w:sz="0" w:space="0" w:color="auto"/>
        <w:left w:val="none" w:sz="0" w:space="0" w:color="auto"/>
        <w:bottom w:val="none" w:sz="0" w:space="0" w:color="auto"/>
        <w:right w:val="none" w:sz="0" w:space="0" w:color="auto"/>
      </w:divBdr>
    </w:div>
    <w:div w:id="1636527653">
      <w:bodyDiv w:val="1"/>
      <w:marLeft w:val="0"/>
      <w:marRight w:val="0"/>
      <w:marTop w:val="0"/>
      <w:marBottom w:val="0"/>
      <w:divBdr>
        <w:top w:val="none" w:sz="0" w:space="0" w:color="auto"/>
        <w:left w:val="none" w:sz="0" w:space="0" w:color="auto"/>
        <w:bottom w:val="none" w:sz="0" w:space="0" w:color="auto"/>
        <w:right w:val="none" w:sz="0" w:space="0" w:color="auto"/>
      </w:divBdr>
    </w:div>
    <w:div w:id="1637293063">
      <w:bodyDiv w:val="1"/>
      <w:marLeft w:val="0"/>
      <w:marRight w:val="0"/>
      <w:marTop w:val="0"/>
      <w:marBottom w:val="0"/>
      <w:divBdr>
        <w:top w:val="none" w:sz="0" w:space="0" w:color="auto"/>
        <w:left w:val="none" w:sz="0" w:space="0" w:color="auto"/>
        <w:bottom w:val="none" w:sz="0" w:space="0" w:color="auto"/>
        <w:right w:val="none" w:sz="0" w:space="0" w:color="auto"/>
      </w:divBdr>
    </w:div>
    <w:div w:id="1646620401">
      <w:bodyDiv w:val="1"/>
      <w:marLeft w:val="0"/>
      <w:marRight w:val="0"/>
      <w:marTop w:val="0"/>
      <w:marBottom w:val="0"/>
      <w:divBdr>
        <w:top w:val="none" w:sz="0" w:space="0" w:color="auto"/>
        <w:left w:val="none" w:sz="0" w:space="0" w:color="auto"/>
        <w:bottom w:val="none" w:sz="0" w:space="0" w:color="auto"/>
        <w:right w:val="none" w:sz="0" w:space="0" w:color="auto"/>
      </w:divBdr>
    </w:div>
    <w:div w:id="1659111451">
      <w:bodyDiv w:val="1"/>
      <w:marLeft w:val="0"/>
      <w:marRight w:val="0"/>
      <w:marTop w:val="0"/>
      <w:marBottom w:val="0"/>
      <w:divBdr>
        <w:top w:val="none" w:sz="0" w:space="0" w:color="auto"/>
        <w:left w:val="none" w:sz="0" w:space="0" w:color="auto"/>
        <w:bottom w:val="none" w:sz="0" w:space="0" w:color="auto"/>
        <w:right w:val="none" w:sz="0" w:space="0" w:color="auto"/>
      </w:divBdr>
    </w:div>
    <w:div w:id="1669014492">
      <w:bodyDiv w:val="1"/>
      <w:marLeft w:val="0"/>
      <w:marRight w:val="0"/>
      <w:marTop w:val="0"/>
      <w:marBottom w:val="0"/>
      <w:divBdr>
        <w:top w:val="none" w:sz="0" w:space="0" w:color="auto"/>
        <w:left w:val="none" w:sz="0" w:space="0" w:color="auto"/>
        <w:bottom w:val="none" w:sz="0" w:space="0" w:color="auto"/>
        <w:right w:val="none" w:sz="0" w:space="0" w:color="auto"/>
      </w:divBdr>
    </w:div>
    <w:div w:id="1669090317">
      <w:bodyDiv w:val="1"/>
      <w:marLeft w:val="0"/>
      <w:marRight w:val="0"/>
      <w:marTop w:val="0"/>
      <w:marBottom w:val="0"/>
      <w:divBdr>
        <w:top w:val="none" w:sz="0" w:space="0" w:color="auto"/>
        <w:left w:val="none" w:sz="0" w:space="0" w:color="auto"/>
        <w:bottom w:val="none" w:sz="0" w:space="0" w:color="auto"/>
        <w:right w:val="none" w:sz="0" w:space="0" w:color="auto"/>
      </w:divBdr>
    </w:div>
    <w:div w:id="1669556298">
      <w:bodyDiv w:val="1"/>
      <w:marLeft w:val="0"/>
      <w:marRight w:val="0"/>
      <w:marTop w:val="0"/>
      <w:marBottom w:val="0"/>
      <w:divBdr>
        <w:top w:val="none" w:sz="0" w:space="0" w:color="auto"/>
        <w:left w:val="none" w:sz="0" w:space="0" w:color="auto"/>
        <w:bottom w:val="none" w:sz="0" w:space="0" w:color="auto"/>
        <w:right w:val="none" w:sz="0" w:space="0" w:color="auto"/>
      </w:divBdr>
    </w:div>
    <w:div w:id="1672829408">
      <w:bodyDiv w:val="1"/>
      <w:marLeft w:val="0"/>
      <w:marRight w:val="0"/>
      <w:marTop w:val="0"/>
      <w:marBottom w:val="0"/>
      <w:divBdr>
        <w:top w:val="none" w:sz="0" w:space="0" w:color="auto"/>
        <w:left w:val="none" w:sz="0" w:space="0" w:color="auto"/>
        <w:bottom w:val="none" w:sz="0" w:space="0" w:color="auto"/>
        <w:right w:val="none" w:sz="0" w:space="0" w:color="auto"/>
      </w:divBdr>
    </w:div>
    <w:div w:id="1673677046">
      <w:bodyDiv w:val="1"/>
      <w:marLeft w:val="0"/>
      <w:marRight w:val="0"/>
      <w:marTop w:val="0"/>
      <w:marBottom w:val="0"/>
      <w:divBdr>
        <w:top w:val="none" w:sz="0" w:space="0" w:color="auto"/>
        <w:left w:val="none" w:sz="0" w:space="0" w:color="auto"/>
        <w:bottom w:val="none" w:sz="0" w:space="0" w:color="auto"/>
        <w:right w:val="none" w:sz="0" w:space="0" w:color="auto"/>
      </w:divBdr>
    </w:div>
    <w:div w:id="1675645738">
      <w:bodyDiv w:val="1"/>
      <w:marLeft w:val="0"/>
      <w:marRight w:val="0"/>
      <w:marTop w:val="0"/>
      <w:marBottom w:val="0"/>
      <w:divBdr>
        <w:top w:val="none" w:sz="0" w:space="0" w:color="auto"/>
        <w:left w:val="none" w:sz="0" w:space="0" w:color="auto"/>
        <w:bottom w:val="none" w:sz="0" w:space="0" w:color="auto"/>
        <w:right w:val="none" w:sz="0" w:space="0" w:color="auto"/>
      </w:divBdr>
    </w:div>
    <w:div w:id="1679194529">
      <w:bodyDiv w:val="1"/>
      <w:marLeft w:val="0"/>
      <w:marRight w:val="0"/>
      <w:marTop w:val="0"/>
      <w:marBottom w:val="0"/>
      <w:divBdr>
        <w:top w:val="none" w:sz="0" w:space="0" w:color="auto"/>
        <w:left w:val="none" w:sz="0" w:space="0" w:color="auto"/>
        <w:bottom w:val="none" w:sz="0" w:space="0" w:color="auto"/>
        <w:right w:val="none" w:sz="0" w:space="0" w:color="auto"/>
      </w:divBdr>
    </w:div>
    <w:div w:id="1686900984">
      <w:bodyDiv w:val="1"/>
      <w:marLeft w:val="0"/>
      <w:marRight w:val="0"/>
      <w:marTop w:val="0"/>
      <w:marBottom w:val="0"/>
      <w:divBdr>
        <w:top w:val="none" w:sz="0" w:space="0" w:color="auto"/>
        <w:left w:val="none" w:sz="0" w:space="0" w:color="auto"/>
        <w:bottom w:val="none" w:sz="0" w:space="0" w:color="auto"/>
        <w:right w:val="none" w:sz="0" w:space="0" w:color="auto"/>
      </w:divBdr>
    </w:div>
    <w:div w:id="1697458479">
      <w:bodyDiv w:val="1"/>
      <w:marLeft w:val="0"/>
      <w:marRight w:val="0"/>
      <w:marTop w:val="0"/>
      <w:marBottom w:val="0"/>
      <w:divBdr>
        <w:top w:val="none" w:sz="0" w:space="0" w:color="auto"/>
        <w:left w:val="none" w:sz="0" w:space="0" w:color="auto"/>
        <w:bottom w:val="none" w:sz="0" w:space="0" w:color="auto"/>
        <w:right w:val="none" w:sz="0" w:space="0" w:color="auto"/>
      </w:divBdr>
    </w:div>
    <w:div w:id="1702507307">
      <w:bodyDiv w:val="1"/>
      <w:marLeft w:val="0"/>
      <w:marRight w:val="0"/>
      <w:marTop w:val="0"/>
      <w:marBottom w:val="0"/>
      <w:divBdr>
        <w:top w:val="none" w:sz="0" w:space="0" w:color="auto"/>
        <w:left w:val="none" w:sz="0" w:space="0" w:color="auto"/>
        <w:bottom w:val="none" w:sz="0" w:space="0" w:color="auto"/>
        <w:right w:val="none" w:sz="0" w:space="0" w:color="auto"/>
      </w:divBdr>
    </w:div>
    <w:div w:id="1724677870">
      <w:bodyDiv w:val="1"/>
      <w:marLeft w:val="0"/>
      <w:marRight w:val="0"/>
      <w:marTop w:val="0"/>
      <w:marBottom w:val="0"/>
      <w:divBdr>
        <w:top w:val="none" w:sz="0" w:space="0" w:color="auto"/>
        <w:left w:val="none" w:sz="0" w:space="0" w:color="auto"/>
        <w:bottom w:val="none" w:sz="0" w:space="0" w:color="auto"/>
        <w:right w:val="none" w:sz="0" w:space="0" w:color="auto"/>
      </w:divBdr>
    </w:div>
    <w:div w:id="1725905859">
      <w:bodyDiv w:val="1"/>
      <w:marLeft w:val="0"/>
      <w:marRight w:val="0"/>
      <w:marTop w:val="0"/>
      <w:marBottom w:val="0"/>
      <w:divBdr>
        <w:top w:val="none" w:sz="0" w:space="0" w:color="auto"/>
        <w:left w:val="none" w:sz="0" w:space="0" w:color="auto"/>
        <w:bottom w:val="none" w:sz="0" w:space="0" w:color="auto"/>
        <w:right w:val="none" w:sz="0" w:space="0" w:color="auto"/>
      </w:divBdr>
    </w:div>
    <w:div w:id="1727023272">
      <w:bodyDiv w:val="1"/>
      <w:marLeft w:val="0"/>
      <w:marRight w:val="0"/>
      <w:marTop w:val="0"/>
      <w:marBottom w:val="0"/>
      <w:divBdr>
        <w:top w:val="none" w:sz="0" w:space="0" w:color="auto"/>
        <w:left w:val="none" w:sz="0" w:space="0" w:color="auto"/>
        <w:bottom w:val="none" w:sz="0" w:space="0" w:color="auto"/>
        <w:right w:val="none" w:sz="0" w:space="0" w:color="auto"/>
      </w:divBdr>
    </w:div>
    <w:div w:id="1733701132">
      <w:bodyDiv w:val="1"/>
      <w:marLeft w:val="0"/>
      <w:marRight w:val="0"/>
      <w:marTop w:val="0"/>
      <w:marBottom w:val="0"/>
      <w:divBdr>
        <w:top w:val="none" w:sz="0" w:space="0" w:color="auto"/>
        <w:left w:val="none" w:sz="0" w:space="0" w:color="auto"/>
        <w:bottom w:val="none" w:sz="0" w:space="0" w:color="auto"/>
        <w:right w:val="none" w:sz="0" w:space="0" w:color="auto"/>
      </w:divBdr>
    </w:div>
    <w:div w:id="1745100273">
      <w:bodyDiv w:val="1"/>
      <w:marLeft w:val="0"/>
      <w:marRight w:val="0"/>
      <w:marTop w:val="0"/>
      <w:marBottom w:val="0"/>
      <w:divBdr>
        <w:top w:val="none" w:sz="0" w:space="0" w:color="auto"/>
        <w:left w:val="none" w:sz="0" w:space="0" w:color="auto"/>
        <w:bottom w:val="none" w:sz="0" w:space="0" w:color="auto"/>
        <w:right w:val="none" w:sz="0" w:space="0" w:color="auto"/>
      </w:divBdr>
    </w:div>
    <w:div w:id="1749107735">
      <w:bodyDiv w:val="1"/>
      <w:marLeft w:val="0"/>
      <w:marRight w:val="0"/>
      <w:marTop w:val="0"/>
      <w:marBottom w:val="0"/>
      <w:divBdr>
        <w:top w:val="none" w:sz="0" w:space="0" w:color="auto"/>
        <w:left w:val="none" w:sz="0" w:space="0" w:color="auto"/>
        <w:bottom w:val="none" w:sz="0" w:space="0" w:color="auto"/>
        <w:right w:val="none" w:sz="0" w:space="0" w:color="auto"/>
      </w:divBdr>
    </w:div>
    <w:div w:id="1750618449">
      <w:bodyDiv w:val="1"/>
      <w:marLeft w:val="0"/>
      <w:marRight w:val="0"/>
      <w:marTop w:val="0"/>
      <w:marBottom w:val="0"/>
      <w:divBdr>
        <w:top w:val="none" w:sz="0" w:space="0" w:color="auto"/>
        <w:left w:val="none" w:sz="0" w:space="0" w:color="auto"/>
        <w:bottom w:val="none" w:sz="0" w:space="0" w:color="auto"/>
        <w:right w:val="none" w:sz="0" w:space="0" w:color="auto"/>
      </w:divBdr>
    </w:div>
    <w:div w:id="1755128240">
      <w:bodyDiv w:val="1"/>
      <w:marLeft w:val="0"/>
      <w:marRight w:val="0"/>
      <w:marTop w:val="0"/>
      <w:marBottom w:val="0"/>
      <w:divBdr>
        <w:top w:val="none" w:sz="0" w:space="0" w:color="auto"/>
        <w:left w:val="none" w:sz="0" w:space="0" w:color="auto"/>
        <w:bottom w:val="none" w:sz="0" w:space="0" w:color="auto"/>
        <w:right w:val="none" w:sz="0" w:space="0" w:color="auto"/>
      </w:divBdr>
    </w:div>
    <w:div w:id="1763456234">
      <w:bodyDiv w:val="1"/>
      <w:marLeft w:val="0"/>
      <w:marRight w:val="0"/>
      <w:marTop w:val="0"/>
      <w:marBottom w:val="0"/>
      <w:divBdr>
        <w:top w:val="none" w:sz="0" w:space="0" w:color="auto"/>
        <w:left w:val="none" w:sz="0" w:space="0" w:color="auto"/>
        <w:bottom w:val="none" w:sz="0" w:space="0" w:color="auto"/>
        <w:right w:val="none" w:sz="0" w:space="0" w:color="auto"/>
      </w:divBdr>
    </w:div>
    <w:div w:id="1793792542">
      <w:bodyDiv w:val="1"/>
      <w:marLeft w:val="0"/>
      <w:marRight w:val="0"/>
      <w:marTop w:val="0"/>
      <w:marBottom w:val="0"/>
      <w:divBdr>
        <w:top w:val="none" w:sz="0" w:space="0" w:color="auto"/>
        <w:left w:val="none" w:sz="0" w:space="0" w:color="auto"/>
        <w:bottom w:val="none" w:sz="0" w:space="0" w:color="auto"/>
        <w:right w:val="none" w:sz="0" w:space="0" w:color="auto"/>
      </w:divBdr>
    </w:div>
    <w:div w:id="1796214329">
      <w:bodyDiv w:val="1"/>
      <w:marLeft w:val="0"/>
      <w:marRight w:val="0"/>
      <w:marTop w:val="0"/>
      <w:marBottom w:val="0"/>
      <w:divBdr>
        <w:top w:val="none" w:sz="0" w:space="0" w:color="auto"/>
        <w:left w:val="none" w:sz="0" w:space="0" w:color="auto"/>
        <w:bottom w:val="none" w:sz="0" w:space="0" w:color="auto"/>
        <w:right w:val="none" w:sz="0" w:space="0" w:color="auto"/>
      </w:divBdr>
    </w:div>
    <w:div w:id="1804731594">
      <w:bodyDiv w:val="1"/>
      <w:marLeft w:val="0"/>
      <w:marRight w:val="0"/>
      <w:marTop w:val="0"/>
      <w:marBottom w:val="0"/>
      <w:divBdr>
        <w:top w:val="none" w:sz="0" w:space="0" w:color="auto"/>
        <w:left w:val="none" w:sz="0" w:space="0" w:color="auto"/>
        <w:bottom w:val="none" w:sz="0" w:space="0" w:color="auto"/>
        <w:right w:val="none" w:sz="0" w:space="0" w:color="auto"/>
      </w:divBdr>
    </w:div>
    <w:div w:id="1812402434">
      <w:bodyDiv w:val="1"/>
      <w:marLeft w:val="0"/>
      <w:marRight w:val="0"/>
      <w:marTop w:val="0"/>
      <w:marBottom w:val="0"/>
      <w:divBdr>
        <w:top w:val="none" w:sz="0" w:space="0" w:color="auto"/>
        <w:left w:val="none" w:sz="0" w:space="0" w:color="auto"/>
        <w:bottom w:val="none" w:sz="0" w:space="0" w:color="auto"/>
        <w:right w:val="none" w:sz="0" w:space="0" w:color="auto"/>
      </w:divBdr>
    </w:div>
    <w:div w:id="1829713875">
      <w:bodyDiv w:val="1"/>
      <w:marLeft w:val="0"/>
      <w:marRight w:val="0"/>
      <w:marTop w:val="0"/>
      <w:marBottom w:val="0"/>
      <w:divBdr>
        <w:top w:val="none" w:sz="0" w:space="0" w:color="auto"/>
        <w:left w:val="none" w:sz="0" w:space="0" w:color="auto"/>
        <w:bottom w:val="none" w:sz="0" w:space="0" w:color="auto"/>
        <w:right w:val="none" w:sz="0" w:space="0" w:color="auto"/>
      </w:divBdr>
    </w:div>
    <w:div w:id="1854301419">
      <w:bodyDiv w:val="1"/>
      <w:marLeft w:val="0"/>
      <w:marRight w:val="0"/>
      <w:marTop w:val="0"/>
      <w:marBottom w:val="0"/>
      <w:divBdr>
        <w:top w:val="none" w:sz="0" w:space="0" w:color="auto"/>
        <w:left w:val="none" w:sz="0" w:space="0" w:color="auto"/>
        <w:bottom w:val="none" w:sz="0" w:space="0" w:color="auto"/>
        <w:right w:val="none" w:sz="0" w:space="0" w:color="auto"/>
      </w:divBdr>
    </w:div>
    <w:div w:id="1854565484">
      <w:bodyDiv w:val="1"/>
      <w:marLeft w:val="0"/>
      <w:marRight w:val="0"/>
      <w:marTop w:val="0"/>
      <w:marBottom w:val="0"/>
      <w:divBdr>
        <w:top w:val="none" w:sz="0" w:space="0" w:color="auto"/>
        <w:left w:val="none" w:sz="0" w:space="0" w:color="auto"/>
        <w:bottom w:val="none" w:sz="0" w:space="0" w:color="auto"/>
        <w:right w:val="none" w:sz="0" w:space="0" w:color="auto"/>
      </w:divBdr>
    </w:div>
    <w:div w:id="1865435841">
      <w:bodyDiv w:val="1"/>
      <w:marLeft w:val="0"/>
      <w:marRight w:val="0"/>
      <w:marTop w:val="0"/>
      <w:marBottom w:val="0"/>
      <w:divBdr>
        <w:top w:val="none" w:sz="0" w:space="0" w:color="auto"/>
        <w:left w:val="none" w:sz="0" w:space="0" w:color="auto"/>
        <w:bottom w:val="none" w:sz="0" w:space="0" w:color="auto"/>
        <w:right w:val="none" w:sz="0" w:space="0" w:color="auto"/>
      </w:divBdr>
    </w:div>
    <w:div w:id="1866599529">
      <w:bodyDiv w:val="1"/>
      <w:marLeft w:val="0"/>
      <w:marRight w:val="0"/>
      <w:marTop w:val="0"/>
      <w:marBottom w:val="0"/>
      <w:divBdr>
        <w:top w:val="none" w:sz="0" w:space="0" w:color="auto"/>
        <w:left w:val="none" w:sz="0" w:space="0" w:color="auto"/>
        <w:bottom w:val="none" w:sz="0" w:space="0" w:color="auto"/>
        <w:right w:val="none" w:sz="0" w:space="0" w:color="auto"/>
      </w:divBdr>
    </w:div>
    <w:div w:id="1868759878">
      <w:bodyDiv w:val="1"/>
      <w:marLeft w:val="0"/>
      <w:marRight w:val="0"/>
      <w:marTop w:val="0"/>
      <w:marBottom w:val="0"/>
      <w:divBdr>
        <w:top w:val="none" w:sz="0" w:space="0" w:color="auto"/>
        <w:left w:val="none" w:sz="0" w:space="0" w:color="auto"/>
        <w:bottom w:val="none" w:sz="0" w:space="0" w:color="auto"/>
        <w:right w:val="none" w:sz="0" w:space="0" w:color="auto"/>
      </w:divBdr>
    </w:div>
    <w:div w:id="1869446159">
      <w:bodyDiv w:val="1"/>
      <w:marLeft w:val="0"/>
      <w:marRight w:val="0"/>
      <w:marTop w:val="0"/>
      <w:marBottom w:val="0"/>
      <w:divBdr>
        <w:top w:val="none" w:sz="0" w:space="0" w:color="auto"/>
        <w:left w:val="none" w:sz="0" w:space="0" w:color="auto"/>
        <w:bottom w:val="none" w:sz="0" w:space="0" w:color="auto"/>
        <w:right w:val="none" w:sz="0" w:space="0" w:color="auto"/>
      </w:divBdr>
    </w:div>
    <w:div w:id="1870293745">
      <w:bodyDiv w:val="1"/>
      <w:marLeft w:val="0"/>
      <w:marRight w:val="0"/>
      <w:marTop w:val="0"/>
      <w:marBottom w:val="0"/>
      <w:divBdr>
        <w:top w:val="none" w:sz="0" w:space="0" w:color="auto"/>
        <w:left w:val="none" w:sz="0" w:space="0" w:color="auto"/>
        <w:bottom w:val="none" w:sz="0" w:space="0" w:color="auto"/>
        <w:right w:val="none" w:sz="0" w:space="0" w:color="auto"/>
      </w:divBdr>
    </w:div>
    <w:div w:id="1871915967">
      <w:bodyDiv w:val="1"/>
      <w:marLeft w:val="0"/>
      <w:marRight w:val="0"/>
      <w:marTop w:val="0"/>
      <w:marBottom w:val="0"/>
      <w:divBdr>
        <w:top w:val="none" w:sz="0" w:space="0" w:color="auto"/>
        <w:left w:val="none" w:sz="0" w:space="0" w:color="auto"/>
        <w:bottom w:val="none" w:sz="0" w:space="0" w:color="auto"/>
        <w:right w:val="none" w:sz="0" w:space="0" w:color="auto"/>
      </w:divBdr>
    </w:div>
    <w:div w:id="1879050033">
      <w:bodyDiv w:val="1"/>
      <w:marLeft w:val="0"/>
      <w:marRight w:val="0"/>
      <w:marTop w:val="0"/>
      <w:marBottom w:val="0"/>
      <w:divBdr>
        <w:top w:val="none" w:sz="0" w:space="0" w:color="auto"/>
        <w:left w:val="none" w:sz="0" w:space="0" w:color="auto"/>
        <w:bottom w:val="none" w:sz="0" w:space="0" w:color="auto"/>
        <w:right w:val="none" w:sz="0" w:space="0" w:color="auto"/>
      </w:divBdr>
    </w:div>
    <w:div w:id="1887403509">
      <w:bodyDiv w:val="1"/>
      <w:marLeft w:val="0"/>
      <w:marRight w:val="0"/>
      <w:marTop w:val="0"/>
      <w:marBottom w:val="0"/>
      <w:divBdr>
        <w:top w:val="none" w:sz="0" w:space="0" w:color="auto"/>
        <w:left w:val="none" w:sz="0" w:space="0" w:color="auto"/>
        <w:bottom w:val="none" w:sz="0" w:space="0" w:color="auto"/>
        <w:right w:val="none" w:sz="0" w:space="0" w:color="auto"/>
      </w:divBdr>
    </w:div>
    <w:div w:id="1894389435">
      <w:bodyDiv w:val="1"/>
      <w:marLeft w:val="0"/>
      <w:marRight w:val="0"/>
      <w:marTop w:val="0"/>
      <w:marBottom w:val="0"/>
      <w:divBdr>
        <w:top w:val="none" w:sz="0" w:space="0" w:color="auto"/>
        <w:left w:val="none" w:sz="0" w:space="0" w:color="auto"/>
        <w:bottom w:val="none" w:sz="0" w:space="0" w:color="auto"/>
        <w:right w:val="none" w:sz="0" w:space="0" w:color="auto"/>
      </w:divBdr>
    </w:div>
    <w:div w:id="1909072495">
      <w:bodyDiv w:val="1"/>
      <w:marLeft w:val="0"/>
      <w:marRight w:val="0"/>
      <w:marTop w:val="0"/>
      <w:marBottom w:val="0"/>
      <w:divBdr>
        <w:top w:val="none" w:sz="0" w:space="0" w:color="auto"/>
        <w:left w:val="none" w:sz="0" w:space="0" w:color="auto"/>
        <w:bottom w:val="none" w:sz="0" w:space="0" w:color="auto"/>
        <w:right w:val="none" w:sz="0" w:space="0" w:color="auto"/>
      </w:divBdr>
    </w:div>
    <w:div w:id="1909607867">
      <w:bodyDiv w:val="1"/>
      <w:marLeft w:val="0"/>
      <w:marRight w:val="0"/>
      <w:marTop w:val="0"/>
      <w:marBottom w:val="0"/>
      <w:divBdr>
        <w:top w:val="none" w:sz="0" w:space="0" w:color="auto"/>
        <w:left w:val="none" w:sz="0" w:space="0" w:color="auto"/>
        <w:bottom w:val="none" w:sz="0" w:space="0" w:color="auto"/>
        <w:right w:val="none" w:sz="0" w:space="0" w:color="auto"/>
      </w:divBdr>
    </w:div>
    <w:div w:id="1918856056">
      <w:bodyDiv w:val="1"/>
      <w:marLeft w:val="0"/>
      <w:marRight w:val="0"/>
      <w:marTop w:val="0"/>
      <w:marBottom w:val="0"/>
      <w:divBdr>
        <w:top w:val="none" w:sz="0" w:space="0" w:color="auto"/>
        <w:left w:val="none" w:sz="0" w:space="0" w:color="auto"/>
        <w:bottom w:val="none" w:sz="0" w:space="0" w:color="auto"/>
        <w:right w:val="none" w:sz="0" w:space="0" w:color="auto"/>
      </w:divBdr>
    </w:div>
    <w:div w:id="1931699395">
      <w:bodyDiv w:val="1"/>
      <w:marLeft w:val="0"/>
      <w:marRight w:val="0"/>
      <w:marTop w:val="0"/>
      <w:marBottom w:val="0"/>
      <w:divBdr>
        <w:top w:val="none" w:sz="0" w:space="0" w:color="auto"/>
        <w:left w:val="none" w:sz="0" w:space="0" w:color="auto"/>
        <w:bottom w:val="none" w:sz="0" w:space="0" w:color="auto"/>
        <w:right w:val="none" w:sz="0" w:space="0" w:color="auto"/>
      </w:divBdr>
    </w:div>
    <w:div w:id="1938903900">
      <w:bodyDiv w:val="1"/>
      <w:marLeft w:val="0"/>
      <w:marRight w:val="0"/>
      <w:marTop w:val="0"/>
      <w:marBottom w:val="0"/>
      <w:divBdr>
        <w:top w:val="none" w:sz="0" w:space="0" w:color="auto"/>
        <w:left w:val="none" w:sz="0" w:space="0" w:color="auto"/>
        <w:bottom w:val="none" w:sz="0" w:space="0" w:color="auto"/>
        <w:right w:val="none" w:sz="0" w:space="0" w:color="auto"/>
      </w:divBdr>
    </w:div>
    <w:div w:id="1942908776">
      <w:bodyDiv w:val="1"/>
      <w:marLeft w:val="0"/>
      <w:marRight w:val="0"/>
      <w:marTop w:val="0"/>
      <w:marBottom w:val="0"/>
      <w:divBdr>
        <w:top w:val="none" w:sz="0" w:space="0" w:color="auto"/>
        <w:left w:val="none" w:sz="0" w:space="0" w:color="auto"/>
        <w:bottom w:val="none" w:sz="0" w:space="0" w:color="auto"/>
        <w:right w:val="none" w:sz="0" w:space="0" w:color="auto"/>
      </w:divBdr>
    </w:div>
    <w:div w:id="1945071515">
      <w:bodyDiv w:val="1"/>
      <w:marLeft w:val="0"/>
      <w:marRight w:val="0"/>
      <w:marTop w:val="0"/>
      <w:marBottom w:val="0"/>
      <w:divBdr>
        <w:top w:val="none" w:sz="0" w:space="0" w:color="auto"/>
        <w:left w:val="none" w:sz="0" w:space="0" w:color="auto"/>
        <w:bottom w:val="none" w:sz="0" w:space="0" w:color="auto"/>
        <w:right w:val="none" w:sz="0" w:space="0" w:color="auto"/>
      </w:divBdr>
    </w:div>
    <w:div w:id="1953396029">
      <w:bodyDiv w:val="1"/>
      <w:marLeft w:val="0"/>
      <w:marRight w:val="0"/>
      <w:marTop w:val="0"/>
      <w:marBottom w:val="0"/>
      <w:divBdr>
        <w:top w:val="none" w:sz="0" w:space="0" w:color="auto"/>
        <w:left w:val="none" w:sz="0" w:space="0" w:color="auto"/>
        <w:bottom w:val="none" w:sz="0" w:space="0" w:color="auto"/>
        <w:right w:val="none" w:sz="0" w:space="0" w:color="auto"/>
      </w:divBdr>
    </w:div>
    <w:div w:id="1957832687">
      <w:bodyDiv w:val="1"/>
      <w:marLeft w:val="0"/>
      <w:marRight w:val="0"/>
      <w:marTop w:val="0"/>
      <w:marBottom w:val="0"/>
      <w:divBdr>
        <w:top w:val="none" w:sz="0" w:space="0" w:color="auto"/>
        <w:left w:val="none" w:sz="0" w:space="0" w:color="auto"/>
        <w:bottom w:val="none" w:sz="0" w:space="0" w:color="auto"/>
        <w:right w:val="none" w:sz="0" w:space="0" w:color="auto"/>
      </w:divBdr>
    </w:div>
    <w:div w:id="1958219765">
      <w:bodyDiv w:val="1"/>
      <w:marLeft w:val="0"/>
      <w:marRight w:val="0"/>
      <w:marTop w:val="0"/>
      <w:marBottom w:val="0"/>
      <w:divBdr>
        <w:top w:val="none" w:sz="0" w:space="0" w:color="auto"/>
        <w:left w:val="none" w:sz="0" w:space="0" w:color="auto"/>
        <w:bottom w:val="none" w:sz="0" w:space="0" w:color="auto"/>
        <w:right w:val="none" w:sz="0" w:space="0" w:color="auto"/>
      </w:divBdr>
    </w:div>
    <w:div w:id="1961379555">
      <w:bodyDiv w:val="1"/>
      <w:marLeft w:val="0"/>
      <w:marRight w:val="0"/>
      <w:marTop w:val="0"/>
      <w:marBottom w:val="0"/>
      <w:divBdr>
        <w:top w:val="none" w:sz="0" w:space="0" w:color="auto"/>
        <w:left w:val="none" w:sz="0" w:space="0" w:color="auto"/>
        <w:bottom w:val="none" w:sz="0" w:space="0" w:color="auto"/>
        <w:right w:val="none" w:sz="0" w:space="0" w:color="auto"/>
      </w:divBdr>
    </w:div>
    <w:div w:id="1969622534">
      <w:bodyDiv w:val="1"/>
      <w:marLeft w:val="0"/>
      <w:marRight w:val="0"/>
      <w:marTop w:val="0"/>
      <w:marBottom w:val="0"/>
      <w:divBdr>
        <w:top w:val="none" w:sz="0" w:space="0" w:color="auto"/>
        <w:left w:val="none" w:sz="0" w:space="0" w:color="auto"/>
        <w:bottom w:val="none" w:sz="0" w:space="0" w:color="auto"/>
        <w:right w:val="none" w:sz="0" w:space="0" w:color="auto"/>
      </w:divBdr>
    </w:div>
    <w:div w:id="1969822638">
      <w:bodyDiv w:val="1"/>
      <w:marLeft w:val="0"/>
      <w:marRight w:val="0"/>
      <w:marTop w:val="0"/>
      <w:marBottom w:val="0"/>
      <w:divBdr>
        <w:top w:val="none" w:sz="0" w:space="0" w:color="auto"/>
        <w:left w:val="none" w:sz="0" w:space="0" w:color="auto"/>
        <w:bottom w:val="none" w:sz="0" w:space="0" w:color="auto"/>
        <w:right w:val="none" w:sz="0" w:space="0" w:color="auto"/>
      </w:divBdr>
    </w:div>
    <w:div w:id="1985548124">
      <w:bodyDiv w:val="1"/>
      <w:marLeft w:val="0"/>
      <w:marRight w:val="0"/>
      <w:marTop w:val="0"/>
      <w:marBottom w:val="0"/>
      <w:divBdr>
        <w:top w:val="none" w:sz="0" w:space="0" w:color="auto"/>
        <w:left w:val="none" w:sz="0" w:space="0" w:color="auto"/>
        <w:bottom w:val="none" w:sz="0" w:space="0" w:color="auto"/>
        <w:right w:val="none" w:sz="0" w:space="0" w:color="auto"/>
      </w:divBdr>
    </w:div>
    <w:div w:id="1987736557">
      <w:bodyDiv w:val="1"/>
      <w:marLeft w:val="0"/>
      <w:marRight w:val="0"/>
      <w:marTop w:val="0"/>
      <w:marBottom w:val="0"/>
      <w:divBdr>
        <w:top w:val="none" w:sz="0" w:space="0" w:color="auto"/>
        <w:left w:val="none" w:sz="0" w:space="0" w:color="auto"/>
        <w:bottom w:val="none" w:sz="0" w:space="0" w:color="auto"/>
        <w:right w:val="none" w:sz="0" w:space="0" w:color="auto"/>
      </w:divBdr>
    </w:div>
    <w:div w:id="1989749973">
      <w:bodyDiv w:val="1"/>
      <w:marLeft w:val="0"/>
      <w:marRight w:val="0"/>
      <w:marTop w:val="0"/>
      <w:marBottom w:val="0"/>
      <w:divBdr>
        <w:top w:val="none" w:sz="0" w:space="0" w:color="auto"/>
        <w:left w:val="none" w:sz="0" w:space="0" w:color="auto"/>
        <w:bottom w:val="none" w:sz="0" w:space="0" w:color="auto"/>
        <w:right w:val="none" w:sz="0" w:space="0" w:color="auto"/>
      </w:divBdr>
    </w:div>
    <w:div w:id="1990592094">
      <w:bodyDiv w:val="1"/>
      <w:marLeft w:val="0"/>
      <w:marRight w:val="0"/>
      <w:marTop w:val="0"/>
      <w:marBottom w:val="0"/>
      <w:divBdr>
        <w:top w:val="none" w:sz="0" w:space="0" w:color="auto"/>
        <w:left w:val="none" w:sz="0" w:space="0" w:color="auto"/>
        <w:bottom w:val="none" w:sz="0" w:space="0" w:color="auto"/>
        <w:right w:val="none" w:sz="0" w:space="0" w:color="auto"/>
      </w:divBdr>
    </w:div>
    <w:div w:id="2000190496">
      <w:bodyDiv w:val="1"/>
      <w:marLeft w:val="0"/>
      <w:marRight w:val="0"/>
      <w:marTop w:val="0"/>
      <w:marBottom w:val="0"/>
      <w:divBdr>
        <w:top w:val="none" w:sz="0" w:space="0" w:color="auto"/>
        <w:left w:val="none" w:sz="0" w:space="0" w:color="auto"/>
        <w:bottom w:val="none" w:sz="0" w:space="0" w:color="auto"/>
        <w:right w:val="none" w:sz="0" w:space="0" w:color="auto"/>
      </w:divBdr>
    </w:div>
    <w:div w:id="2004578607">
      <w:bodyDiv w:val="1"/>
      <w:marLeft w:val="0"/>
      <w:marRight w:val="0"/>
      <w:marTop w:val="0"/>
      <w:marBottom w:val="0"/>
      <w:divBdr>
        <w:top w:val="none" w:sz="0" w:space="0" w:color="auto"/>
        <w:left w:val="none" w:sz="0" w:space="0" w:color="auto"/>
        <w:bottom w:val="none" w:sz="0" w:space="0" w:color="auto"/>
        <w:right w:val="none" w:sz="0" w:space="0" w:color="auto"/>
      </w:divBdr>
    </w:div>
    <w:div w:id="2009169831">
      <w:bodyDiv w:val="1"/>
      <w:marLeft w:val="0"/>
      <w:marRight w:val="0"/>
      <w:marTop w:val="0"/>
      <w:marBottom w:val="0"/>
      <w:divBdr>
        <w:top w:val="none" w:sz="0" w:space="0" w:color="auto"/>
        <w:left w:val="none" w:sz="0" w:space="0" w:color="auto"/>
        <w:bottom w:val="none" w:sz="0" w:space="0" w:color="auto"/>
        <w:right w:val="none" w:sz="0" w:space="0" w:color="auto"/>
      </w:divBdr>
    </w:div>
    <w:div w:id="2009628343">
      <w:bodyDiv w:val="1"/>
      <w:marLeft w:val="0"/>
      <w:marRight w:val="0"/>
      <w:marTop w:val="0"/>
      <w:marBottom w:val="0"/>
      <w:divBdr>
        <w:top w:val="none" w:sz="0" w:space="0" w:color="auto"/>
        <w:left w:val="none" w:sz="0" w:space="0" w:color="auto"/>
        <w:bottom w:val="none" w:sz="0" w:space="0" w:color="auto"/>
        <w:right w:val="none" w:sz="0" w:space="0" w:color="auto"/>
      </w:divBdr>
    </w:div>
    <w:div w:id="2029864647">
      <w:bodyDiv w:val="1"/>
      <w:marLeft w:val="0"/>
      <w:marRight w:val="0"/>
      <w:marTop w:val="0"/>
      <w:marBottom w:val="0"/>
      <w:divBdr>
        <w:top w:val="none" w:sz="0" w:space="0" w:color="auto"/>
        <w:left w:val="none" w:sz="0" w:space="0" w:color="auto"/>
        <w:bottom w:val="none" w:sz="0" w:space="0" w:color="auto"/>
        <w:right w:val="none" w:sz="0" w:space="0" w:color="auto"/>
      </w:divBdr>
    </w:div>
    <w:div w:id="2039742604">
      <w:bodyDiv w:val="1"/>
      <w:marLeft w:val="0"/>
      <w:marRight w:val="0"/>
      <w:marTop w:val="0"/>
      <w:marBottom w:val="0"/>
      <w:divBdr>
        <w:top w:val="none" w:sz="0" w:space="0" w:color="auto"/>
        <w:left w:val="none" w:sz="0" w:space="0" w:color="auto"/>
        <w:bottom w:val="none" w:sz="0" w:space="0" w:color="auto"/>
        <w:right w:val="none" w:sz="0" w:space="0" w:color="auto"/>
      </w:divBdr>
    </w:div>
    <w:div w:id="2047752681">
      <w:bodyDiv w:val="1"/>
      <w:marLeft w:val="0"/>
      <w:marRight w:val="0"/>
      <w:marTop w:val="0"/>
      <w:marBottom w:val="0"/>
      <w:divBdr>
        <w:top w:val="none" w:sz="0" w:space="0" w:color="auto"/>
        <w:left w:val="none" w:sz="0" w:space="0" w:color="auto"/>
        <w:bottom w:val="none" w:sz="0" w:space="0" w:color="auto"/>
        <w:right w:val="none" w:sz="0" w:space="0" w:color="auto"/>
      </w:divBdr>
    </w:div>
    <w:div w:id="2079159184">
      <w:bodyDiv w:val="1"/>
      <w:marLeft w:val="0"/>
      <w:marRight w:val="0"/>
      <w:marTop w:val="0"/>
      <w:marBottom w:val="0"/>
      <w:divBdr>
        <w:top w:val="none" w:sz="0" w:space="0" w:color="auto"/>
        <w:left w:val="none" w:sz="0" w:space="0" w:color="auto"/>
        <w:bottom w:val="none" w:sz="0" w:space="0" w:color="auto"/>
        <w:right w:val="none" w:sz="0" w:space="0" w:color="auto"/>
      </w:divBdr>
    </w:div>
    <w:div w:id="2090105469">
      <w:bodyDiv w:val="1"/>
      <w:marLeft w:val="0"/>
      <w:marRight w:val="0"/>
      <w:marTop w:val="0"/>
      <w:marBottom w:val="0"/>
      <w:divBdr>
        <w:top w:val="none" w:sz="0" w:space="0" w:color="auto"/>
        <w:left w:val="none" w:sz="0" w:space="0" w:color="auto"/>
        <w:bottom w:val="none" w:sz="0" w:space="0" w:color="auto"/>
        <w:right w:val="none" w:sz="0" w:space="0" w:color="auto"/>
      </w:divBdr>
    </w:div>
    <w:div w:id="2092585076">
      <w:bodyDiv w:val="1"/>
      <w:marLeft w:val="0"/>
      <w:marRight w:val="0"/>
      <w:marTop w:val="0"/>
      <w:marBottom w:val="0"/>
      <w:divBdr>
        <w:top w:val="none" w:sz="0" w:space="0" w:color="auto"/>
        <w:left w:val="none" w:sz="0" w:space="0" w:color="auto"/>
        <w:bottom w:val="none" w:sz="0" w:space="0" w:color="auto"/>
        <w:right w:val="none" w:sz="0" w:space="0" w:color="auto"/>
      </w:divBdr>
    </w:div>
    <w:div w:id="2096121577">
      <w:bodyDiv w:val="1"/>
      <w:marLeft w:val="0"/>
      <w:marRight w:val="0"/>
      <w:marTop w:val="0"/>
      <w:marBottom w:val="0"/>
      <w:divBdr>
        <w:top w:val="none" w:sz="0" w:space="0" w:color="auto"/>
        <w:left w:val="none" w:sz="0" w:space="0" w:color="auto"/>
        <w:bottom w:val="none" w:sz="0" w:space="0" w:color="auto"/>
        <w:right w:val="none" w:sz="0" w:space="0" w:color="auto"/>
      </w:divBdr>
    </w:div>
    <w:div w:id="2105808464">
      <w:bodyDiv w:val="1"/>
      <w:marLeft w:val="0"/>
      <w:marRight w:val="0"/>
      <w:marTop w:val="0"/>
      <w:marBottom w:val="0"/>
      <w:divBdr>
        <w:top w:val="none" w:sz="0" w:space="0" w:color="auto"/>
        <w:left w:val="none" w:sz="0" w:space="0" w:color="auto"/>
        <w:bottom w:val="none" w:sz="0" w:space="0" w:color="auto"/>
        <w:right w:val="none" w:sz="0" w:space="0" w:color="auto"/>
      </w:divBdr>
    </w:div>
    <w:div w:id="2117015099">
      <w:bodyDiv w:val="1"/>
      <w:marLeft w:val="0"/>
      <w:marRight w:val="0"/>
      <w:marTop w:val="0"/>
      <w:marBottom w:val="0"/>
      <w:divBdr>
        <w:top w:val="none" w:sz="0" w:space="0" w:color="auto"/>
        <w:left w:val="none" w:sz="0" w:space="0" w:color="auto"/>
        <w:bottom w:val="none" w:sz="0" w:space="0" w:color="auto"/>
        <w:right w:val="none" w:sz="0" w:space="0" w:color="auto"/>
      </w:divBdr>
    </w:div>
    <w:div w:id="2126728843">
      <w:bodyDiv w:val="1"/>
      <w:marLeft w:val="0"/>
      <w:marRight w:val="0"/>
      <w:marTop w:val="0"/>
      <w:marBottom w:val="0"/>
      <w:divBdr>
        <w:top w:val="none" w:sz="0" w:space="0" w:color="auto"/>
        <w:left w:val="none" w:sz="0" w:space="0" w:color="auto"/>
        <w:bottom w:val="none" w:sz="0" w:space="0" w:color="auto"/>
        <w:right w:val="none" w:sz="0" w:space="0" w:color="auto"/>
      </w:divBdr>
    </w:div>
    <w:div w:id="2127850312">
      <w:bodyDiv w:val="1"/>
      <w:marLeft w:val="0"/>
      <w:marRight w:val="0"/>
      <w:marTop w:val="0"/>
      <w:marBottom w:val="0"/>
      <w:divBdr>
        <w:top w:val="none" w:sz="0" w:space="0" w:color="auto"/>
        <w:left w:val="none" w:sz="0" w:space="0" w:color="auto"/>
        <w:bottom w:val="none" w:sz="0" w:space="0" w:color="auto"/>
        <w:right w:val="none" w:sz="0" w:space="0" w:color="auto"/>
      </w:divBdr>
    </w:div>
    <w:div w:id="2136021299">
      <w:bodyDiv w:val="1"/>
      <w:marLeft w:val="0"/>
      <w:marRight w:val="0"/>
      <w:marTop w:val="0"/>
      <w:marBottom w:val="0"/>
      <w:divBdr>
        <w:top w:val="none" w:sz="0" w:space="0" w:color="auto"/>
        <w:left w:val="none" w:sz="0" w:space="0" w:color="auto"/>
        <w:bottom w:val="none" w:sz="0" w:space="0" w:color="auto"/>
        <w:right w:val="none" w:sz="0" w:space="0" w:color="auto"/>
      </w:divBdr>
    </w:div>
    <w:div w:id="2140486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F18FB-3CF5-42D5-B9D8-D4F001F21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47453</Words>
  <Characters>298960</Characters>
  <Application>Microsoft Office Word</Application>
  <DocSecurity>0</DocSecurity>
  <Lines>2491</Lines>
  <Paragraphs>691</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345722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2019-11-04T16:35:00Z</dcterms:created>
  <dcterms:modified xsi:type="dcterms:W3CDTF">2019-11-07T20:41:00Z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zotero-version="5.0.66"&gt;&lt;session id="Y9b8NWjR"/&gt;&lt;style id="http://www.zotero.org/styles/the-american-journal-of-clinical-nutrition" hasBibliography="1" bibliographyStyleHasBeenSet="1"/&gt;&lt;prefs&gt;&lt;pref name="fieldType" value="Field"/&gt;&lt;/</vt:lpwstr>
  </property>
  <property fmtid="{D5CDD505-2E9C-101B-9397-08002B2CF9AE}" pid="3" name="ZOTERO_PREF_2">
    <vt:lpwstr>prefs&gt;&lt;/data&gt;</vt:lpwstr>
  </property>
</Properties>
</file>