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B05" w:rsidRPr="002C4077" w:rsidRDefault="00140691" w:rsidP="00851E20">
      <w:pPr>
        <w:spacing w:before="100" w:beforeAutospacing="1" w:after="100" w:afterAutospacing="1" w:line="360" w:lineRule="auto"/>
        <w:rPr>
          <w:rFonts w:asciiTheme="minorHAnsi" w:hAnsiTheme="minorHAnsi"/>
          <w:b/>
          <w:bCs/>
          <w:sz w:val="32"/>
          <w:lang w:val="en-GB"/>
        </w:rPr>
      </w:pPr>
      <w:r w:rsidRPr="002C4077">
        <w:rPr>
          <w:rFonts w:asciiTheme="minorHAnsi" w:hAnsiTheme="minorHAnsi"/>
          <w:b/>
          <w:bCs/>
          <w:sz w:val="32"/>
          <w:lang w:val="en-GB"/>
        </w:rPr>
        <w:t xml:space="preserve">The </w:t>
      </w:r>
      <w:r w:rsidR="004D3F9A" w:rsidRPr="002C4077">
        <w:rPr>
          <w:rFonts w:asciiTheme="minorHAnsi" w:hAnsiTheme="minorHAnsi"/>
          <w:b/>
          <w:bCs/>
          <w:sz w:val="32"/>
          <w:lang w:val="en-GB"/>
        </w:rPr>
        <w:t xml:space="preserve">intensive care medicine </w:t>
      </w:r>
      <w:r w:rsidRPr="002C4077">
        <w:rPr>
          <w:rFonts w:asciiTheme="minorHAnsi" w:hAnsiTheme="minorHAnsi"/>
          <w:b/>
          <w:bCs/>
          <w:sz w:val="32"/>
          <w:lang w:val="en-GB"/>
        </w:rPr>
        <w:t>research agenda on septic shock</w:t>
      </w:r>
    </w:p>
    <w:p w:rsidR="00275009" w:rsidRPr="00275009" w:rsidRDefault="00275009" w:rsidP="00851E20">
      <w:pPr>
        <w:spacing w:line="360" w:lineRule="auto"/>
        <w:rPr>
          <w:rFonts w:asciiTheme="minorHAnsi" w:hAnsiTheme="minorHAnsi" w:cs="Arial"/>
          <w:lang w:val="en-GB"/>
        </w:rPr>
      </w:pPr>
      <w:r>
        <w:rPr>
          <w:rFonts w:asciiTheme="minorHAnsi" w:hAnsiTheme="minorHAnsi" w:cs="Arial"/>
          <w:b/>
          <w:lang w:val="en-GB"/>
        </w:rPr>
        <w:t>Word count main text</w:t>
      </w:r>
      <w:r>
        <w:rPr>
          <w:rFonts w:asciiTheme="minorHAnsi" w:hAnsiTheme="minorHAnsi" w:cs="Arial"/>
          <w:lang w:val="en-GB"/>
        </w:rPr>
        <w:t xml:space="preserve"> 4077; Abstract 115</w:t>
      </w:r>
      <w:r w:rsidR="00310854">
        <w:rPr>
          <w:rFonts w:asciiTheme="minorHAnsi" w:hAnsiTheme="minorHAnsi" w:cs="Arial"/>
          <w:lang w:val="en-GB"/>
        </w:rPr>
        <w:t xml:space="preserve"> words</w:t>
      </w:r>
      <w:r>
        <w:rPr>
          <w:rFonts w:asciiTheme="minorHAnsi" w:hAnsiTheme="minorHAnsi" w:cs="Arial"/>
          <w:lang w:val="en-GB"/>
        </w:rPr>
        <w:t xml:space="preserve">; </w:t>
      </w:r>
      <w:r w:rsidR="00D06366">
        <w:rPr>
          <w:rFonts w:asciiTheme="minorHAnsi" w:hAnsiTheme="minorHAnsi" w:cs="Arial"/>
          <w:lang w:val="en-GB"/>
        </w:rPr>
        <w:t>3</w:t>
      </w:r>
      <w:r w:rsidR="003331FC">
        <w:rPr>
          <w:rFonts w:asciiTheme="minorHAnsi" w:hAnsiTheme="minorHAnsi" w:cs="Arial"/>
          <w:lang w:val="en-GB"/>
        </w:rPr>
        <w:t xml:space="preserve"> figure</w:t>
      </w:r>
      <w:r w:rsidR="00D06366">
        <w:rPr>
          <w:rFonts w:asciiTheme="minorHAnsi" w:hAnsiTheme="minorHAnsi" w:cs="Arial"/>
          <w:lang w:val="en-GB"/>
        </w:rPr>
        <w:t>s</w:t>
      </w:r>
      <w:r w:rsidR="00310854">
        <w:rPr>
          <w:rFonts w:asciiTheme="minorHAnsi" w:hAnsiTheme="minorHAnsi" w:cs="Arial"/>
          <w:lang w:val="en-GB"/>
        </w:rPr>
        <w:t xml:space="preserve"> and 96</w:t>
      </w:r>
      <w:r>
        <w:rPr>
          <w:rFonts w:asciiTheme="minorHAnsi" w:hAnsiTheme="minorHAnsi" w:cs="Arial"/>
          <w:lang w:val="en-GB"/>
        </w:rPr>
        <w:t xml:space="preserve"> references.</w:t>
      </w:r>
    </w:p>
    <w:p w:rsidR="00275009" w:rsidRDefault="00275009" w:rsidP="00851E20">
      <w:pPr>
        <w:spacing w:line="360" w:lineRule="auto"/>
        <w:rPr>
          <w:rFonts w:asciiTheme="minorHAnsi" w:hAnsiTheme="minorHAnsi" w:cs="Arial"/>
          <w:b/>
          <w:lang w:val="en-GB"/>
        </w:rPr>
      </w:pPr>
    </w:p>
    <w:p w:rsidR="000C4992" w:rsidRPr="007141B1" w:rsidRDefault="000C4992" w:rsidP="00851E20">
      <w:pPr>
        <w:spacing w:line="360" w:lineRule="auto"/>
        <w:rPr>
          <w:rFonts w:asciiTheme="minorHAnsi" w:hAnsiTheme="minorHAnsi" w:cs="Arial"/>
          <w:b/>
          <w:lang w:val="en-GB"/>
        </w:rPr>
      </w:pPr>
      <w:r w:rsidRPr="007141B1">
        <w:rPr>
          <w:rFonts w:asciiTheme="minorHAnsi" w:hAnsiTheme="minorHAnsi" w:cs="Arial"/>
          <w:b/>
          <w:lang w:val="en-GB"/>
        </w:rPr>
        <w:t>Anders Perner</w:t>
      </w:r>
    </w:p>
    <w:p w:rsidR="006A7B23" w:rsidRPr="007141B1" w:rsidRDefault="000C4992" w:rsidP="00851E20">
      <w:pPr>
        <w:spacing w:line="360" w:lineRule="auto"/>
        <w:rPr>
          <w:rFonts w:asciiTheme="minorHAnsi" w:hAnsiTheme="minorHAnsi" w:cs="Arial"/>
          <w:lang w:val="en-GB"/>
        </w:rPr>
      </w:pPr>
      <w:r w:rsidRPr="007141B1">
        <w:rPr>
          <w:rFonts w:asciiTheme="minorHAnsi" w:hAnsiTheme="minorHAnsi" w:cs="Arial"/>
          <w:lang w:val="en-GB"/>
        </w:rPr>
        <w:t xml:space="preserve">Department of </w:t>
      </w:r>
      <w:r w:rsidR="006A7B23" w:rsidRPr="007141B1">
        <w:rPr>
          <w:rFonts w:asciiTheme="minorHAnsi" w:hAnsiTheme="minorHAnsi" w:cs="Arial"/>
          <w:lang w:val="en-GB"/>
        </w:rPr>
        <w:t>Intensive Care, Rigshospitalet</w:t>
      </w:r>
    </w:p>
    <w:p w:rsidR="000C4992" w:rsidRPr="007141B1" w:rsidRDefault="000C4992" w:rsidP="00851E20">
      <w:pPr>
        <w:spacing w:line="360" w:lineRule="auto"/>
        <w:rPr>
          <w:rFonts w:asciiTheme="minorHAnsi" w:hAnsiTheme="minorHAnsi" w:cs="Arial"/>
          <w:lang w:val="en-GB"/>
        </w:rPr>
      </w:pPr>
      <w:r w:rsidRPr="007141B1">
        <w:rPr>
          <w:rFonts w:asciiTheme="minorHAnsi" w:hAnsiTheme="minorHAnsi" w:cs="Arial"/>
          <w:lang w:val="en-GB"/>
        </w:rPr>
        <w:t>University of Copenhagen, Denmark.</w:t>
      </w:r>
    </w:p>
    <w:p w:rsidR="000C4992" w:rsidRPr="007141B1" w:rsidRDefault="000C4992" w:rsidP="00851E20">
      <w:pPr>
        <w:spacing w:line="360" w:lineRule="auto"/>
        <w:rPr>
          <w:rFonts w:asciiTheme="minorHAnsi" w:hAnsiTheme="minorHAnsi" w:cs="Arial"/>
          <w:lang w:val="en-GB"/>
        </w:rPr>
      </w:pPr>
      <w:r w:rsidRPr="007141B1">
        <w:rPr>
          <w:rFonts w:asciiTheme="minorHAnsi" w:hAnsiTheme="minorHAnsi" w:cs="Arial"/>
          <w:lang w:val="en-GB"/>
        </w:rPr>
        <w:t>anders.perner@regionh.dk</w:t>
      </w:r>
    </w:p>
    <w:p w:rsidR="00EC239F" w:rsidRPr="007141B1" w:rsidRDefault="00EC239F" w:rsidP="00851E20">
      <w:pPr>
        <w:spacing w:line="360" w:lineRule="auto"/>
        <w:rPr>
          <w:rFonts w:asciiTheme="minorHAnsi" w:hAnsiTheme="minorHAnsi" w:cs="Arial"/>
          <w:lang w:val="en-GB"/>
        </w:rPr>
      </w:pPr>
    </w:p>
    <w:p w:rsidR="00EC239F" w:rsidRPr="007141B1" w:rsidRDefault="00EC239F" w:rsidP="00851E20">
      <w:pPr>
        <w:spacing w:line="360" w:lineRule="auto"/>
        <w:rPr>
          <w:rFonts w:asciiTheme="minorHAnsi" w:hAnsiTheme="minorHAnsi"/>
          <w:b/>
          <w:szCs w:val="20"/>
          <w:lang w:val="en-GB"/>
        </w:rPr>
      </w:pPr>
      <w:r w:rsidRPr="007141B1">
        <w:rPr>
          <w:rFonts w:asciiTheme="minorHAnsi" w:hAnsiTheme="minorHAnsi"/>
          <w:b/>
          <w:szCs w:val="20"/>
          <w:lang w:val="en-GB"/>
        </w:rPr>
        <w:t>Anthony C Gordon</w:t>
      </w:r>
    </w:p>
    <w:p w:rsidR="00EC239F" w:rsidRPr="007141B1" w:rsidRDefault="00EC239F" w:rsidP="00851E20">
      <w:pPr>
        <w:spacing w:line="360" w:lineRule="auto"/>
        <w:rPr>
          <w:rFonts w:asciiTheme="minorHAnsi" w:hAnsiTheme="minorHAnsi"/>
          <w:szCs w:val="20"/>
          <w:lang w:val="en-GB"/>
        </w:rPr>
      </w:pPr>
      <w:r w:rsidRPr="007141B1">
        <w:rPr>
          <w:rFonts w:asciiTheme="minorHAnsi" w:hAnsiTheme="minorHAnsi"/>
          <w:szCs w:val="20"/>
          <w:lang w:val="en-GB"/>
        </w:rPr>
        <w:t>Section of Anaesthetics, Pain Medicine and Intensive Care</w:t>
      </w:r>
    </w:p>
    <w:p w:rsidR="00EC239F" w:rsidRPr="007141B1" w:rsidRDefault="00EC239F" w:rsidP="00851E20">
      <w:pPr>
        <w:spacing w:line="360" w:lineRule="auto"/>
        <w:rPr>
          <w:rFonts w:asciiTheme="minorHAnsi" w:hAnsiTheme="minorHAnsi"/>
          <w:szCs w:val="20"/>
          <w:lang w:val="en-GB"/>
        </w:rPr>
      </w:pPr>
      <w:r w:rsidRPr="007141B1">
        <w:rPr>
          <w:rFonts w:asciiTheme="minorHAnsi" w:hAnsiTheme="minorHAnsi"/>
          <w:szCs w:val="20"/>
          <w:lang w:val="en-GB"/>
        </w:rPr>
        <w:t>Department of Surgery &amp; Cancer</w:t>
      </w:r>
    </w:p>
    <w:p w:rsidR="00EC239F" w:rsidRPr="007141B1" w:rsidRDefault="00EC239F" w:rsidP="00851E20">
      <w:pPr>
        <w:spacing w:line="360" w:lineRule="auto"/>
        <w:rPr>
          <w:rFonts w:asciiTheme="minorHAnsi" w:hAnsiTheme="minorHAnsi"/>
          <w:szCs w:val="20"/>
          <w:lang w:val="en-GB"/>
        </w:rPr>
      </w:pPr>
      <w:r w:rsidRPr="007141B1">
        <w:rPr>
          <w:rFonts w:asciiTheme="minorHAnsi" w:hAnsiTheme="minorHAnsi"/>
          <w:szCs w:val="20"/>
          <w:lang w:val="en-GB"/>
        </w:rPr>
        <w:t>Imperial College London,</w:t>
      </w:r>
    </w:p>
    <w:p w:rsidR="00EC239F" w:rsidRPr="007141B1" w:rsidRDefault="00EC239F" w:rsidP="00851E20">
      <w:pPr>
        <w:spacing w:line="360" w:lineRule="auto"/>
        <w:rPr>
          <w:rFonts w:asciiTheme="minorHAnsi" w:hAnsiTheme="minorHAnsi"/>
          <w:szCs w:val="20"/>
          <w:lang w:val="en-GB"/>
        </w:rPr>
      </w:pPr>
      <w:r w:rsidRPr="007141B1">
        <w:rPr>
          <w:rFonts w:asciiTheme="minorHAnsi" w:hAnsiTheme="minorHAnsi"/>
          <w:szCs w:val="20"/>
          <w:lang w:val="en-GB"/>
        </w:rPr>
        <w:t>London, UK</w:t>
      </w:r>
    </w:p>
    <w:p w:rsidR="004F59BB" w:rsidRPr="007141B1" w:rsidRDefault="004F59BB" w:rsidP="004F59BB">
      <w:pPr>
        <w:spacing w:line="360" w:lineRule="auto"/>
        <w:rPr>
          <w:rFonts w:asciiTheme="minorHAnsi" w:hAnsiTheme="minorHAnsi"/>
          <w:szCs w:val="20"/>
          <w:lang w:val="en-GB"/>
        </w:rPr>
      </w:pPr>
    </w:p>
    <w:p w:rsidR="004F59BB" w:rsidRPr="007141B1" w:rsidRDefault="004F59BB" w:rsidP="004F59BB">
      <w:pPr>
        <w:spacing w:line="360" w:lineRule="auto"/>
        <w:rPr>
          <w:rFonts w:asciiTheme="minorHAnsi" w:hAnsiTheme="minorHAnsi"/>
          <w:b/>
          <w:lang w:val="en-GB"/>
        </w:rPr>
      </w:pPr>
      <w:r w:rsidRPr="007141B1">
        <w:rPr>
          <w:rFonts w:asciiTheme="minorHAnsi" w:hAnsiTheme="minorHAnsi"/>
          <w:b/>
          <w:lang w:val="en-GB"/>
        </w:rPr>
        <w:t>Derek C Angus</w:t>
      </w:r>
    </w:p>
    <w:p w:rsidR="004F59BB" w:rsidRPr="007141B1" w:rsidRDefault="004F59BB" w:rsidP="004F59BB">
      <w:pPr>
        <w:spacing w:line="360" w:lineRule="auto"/>
        <w:rPr>
          <w:rFonts w:asciiTheme="minorHAnsi" w:hAnsiTheme="minorHAnsi"/>
          <w:lang w:val="en-GB"/>
        </w:rPr>
      </w:pPr>
      <w:r w:rsidRPr="007141B1">
        <w:rPr>
          <w:rFonts w:asciiTheme="minorHAnsi" w:hAnsiTheme="minorHAnsi"/>
          <w:lang w:val="en-GB"/>
        </w:rPr>
        <w:t>Department of Critical Care Medicine</w:t>
      </w:r>
    </w:p>
    <w:p w:rsidR="004F59BB" w:rsidRPr="007141B1" w:rsidRDefault="004F59BB" w:rsidP="004F59BB">
      <w:pPr>
        <w:spacing w:line="360" w:lineRule="auto"/>
        <w:rPr>
          <w:rFonts w:asciiTheme="minorHAnsi" w:hAnsiTheme="minorHAnsi"/>
          <w:lang w:val="en-GB"/>
        </w:rPr>
      </w:pPr>
      <w:r w:rsidRPr="007141B1">
        <w:rPr>
          <w:rFonts w:asciiTheme="minorHAnsi" w:hAnsiTheme="minorHAnsi"/>
          <w:lang w:val="en-GB"/>
        </w:rPr>
        <w:t>University of Pittsburgh School of Medicine</w:t>
      </w:r>
    </w:p>
    <w:p w:rsidR="004F59BB" w:rsidRPr="004660CE" w:rsidRDefault="004F59BB" w:rsidP="004F59BB">
      <w:pPr>
        <w:spacing w:line="360" w:lineRule="auto"/>
        <w:rPr>
          <w:rFonts w:asciiTheme="minorHAnsi" w:hAnsiTheme="minorHAnsi"/>
          <w:szCs w:val="20"/>
          <w:lang w:val="fr-FR"/>
        </w:rPr>
      </w:pPr>
      <w:r w:rsidRPr="004660CE">
        <w:rPr>
          <w:rFonts w:asciiTheme="minorHAnsi" w:hAnsiTheme="minorHAnsi"/>
          <w:lang w:val="fr-FR"/>
        </w:rPr>
        <w:t>Pittsburgh, USA</w:t>
      </w:r>
    </w:p>
    <w:p w:rsidR="004F59BB" w:rsidRPr="004660CE" w:rsidRDefault="004F59BB" w:rsidP="004F59BB">
      <w:pPr>
        <w:spacing w:line="360" w:lineRule="auto"/>
        <w:rPr>
          <w:rFonts w:asciiTheme="minorHAnsi" w:hAnsiTheme="minorHAnsi"/>
          <w:szCs w:val="20"/>
          <w:lang w:val="fr-FR"/>
        </w:rPr>
      </w:pPr>
    </w:p>
    <w:p w:rsidR="004F59BB" w:rsidRPr="004660CE" w:rsidRDefault="004F59BB" w:rsidP="004F59BB">
      <w:pPr>
        <w:spacing w:line="360" w:lineRule="auto"/>
        <w:rPr>
          <w:rFonts w:asciiTheme="minorHAnsi" w:eastAsia="Times New Roman" w:hAnsiTheme="minorHAnsi"/>
          <w:b/>
          <w:lang w:val="fr-FR"/>
        </w:rPr>
      </w:pPr>
      <w:r w:rsidRPr="004660CE">
        <w:rPr>
          <w:rFonts w:asciiTheme="minorHAnsi" w:eastAsia="Times New Roman" w:hAnsiTheme="minorHAnsi"/>
          <w:b/>
          <w:lang w:val="fr-FR"/>
        </w:rPr>
        <w:t>Francois Lamontagne</w:t>
      </w:r>
    </w:p>
    <w:p w:rsidR="004F59BB" w:rsidRPr="00750403" w:rsidRDefault="004F59BB" w:rsidP="004F59BB">
      <w:pPr>
        <w:spacing w:line="360" w:lineRule="auto"/>
        <w:rPr>
          <w:rFonts w:asciiTheme="minorHAnsi" w:eastAsia="Times New Roman" w:hAnsiTheme="minorHAnsi"/>
          <w:lang w:val="fr-FR"/>
        </w:rPr>
      </w:pPr>
      <w:r w:rsidRPr="00750403">
        <w:rPr>
          <w:rFonts w:asciiTheme="minorHAnsi" w:eastAsia="Times New Roman" w:hAnsiTheme="minorHAnsi"/>
          <w:lang w:val="fr-FR"/>
        </w:rPr>
        <w:t>Department of Medicine, Faculté de médecine et des sciences de la santé, Université de Sherbrooke</w:t>
      </w:r>
    </w:p>
    <w:p w:rsidR="004F59BB" w:rsidRPr="00A804A1" w:rsidRDefault="004F59BB" w:rsidP="004F59BB">
      <w:pPr>
        <w:spacing w:line="360" w:lineRule="auto"/>
        <w:rPr>
          <w:rFonts w:asciiTheme="minorHAnsi" w:eastAsia="Times New Roman" w:hAnsiTheme="minorHAnsi"/>
          <w:lang w:val="fr-FR"/>
        </w:rPr>
      </w:pPr>
      <w:r w:rsidRPr="00A804A1">
        <w:rPr>
          <w:rFonts w:asciiTheme="minorHAnsi" w:eastAsia="Times New Roman" w:hAnsiTheme="minorHAnsi"/>
          <w:lang w:val="fr-FR"/>
        </w:rPr>
        <w:t>Centre de recherche du CHU de Sherbrooke</w:t>
      </w:r>
    </w:p>
    <w:p w:rsidR="004F59BB" w:rsidRPr="007141B1" w:rsidRDefault="004F59BB" w:rsidP="004F59BB">
      <w:pPr>
        <w:spacing w:line="360" w:lineRule="auto"/>
        <w:rPr>
          <w:rFonts w:asciiTheme="minorHAnsi" w:hAnsiTheme="minorHAnsi"/>
          <w:szCs w:val="20"/>
          <w:lang w:val="en-GB"/>
        </w:rPr>
      </w:pPr>
      <w:proofErr w:type="spellStart"/>
      <w:r w:rsidRPr="007141B1">
        <w:rPr>
          <w:rFonts w:asciiTheme="minorHAnsi" w:eastAsia="Times New Roman" w:hAnsiTheme="minorHAnsi"/>
          <w:lang w:val="en-GB"/>
        </w:rPr>
        <w:t>Sherbrooke</w:t>
      </w:r>
      <w:proofErr w:type="spellEnd"/>
      <w:r w:rsidRPr="007141B1">
        <w:rPr>
          <w:rFonts w:asciiTheme="minorHAnsi" w:eastAsia="Times New Roman" w:hAnsiTheme="minorHAnsi"/>
          <w:lang w:val="en-GB"/>
        </w:rPr>
        <w:t>, Canada</w:t>
      </w:r>
    </w:p>
    <w:p w:rsidR="00EC239F" w:rsidRPr="007141B1" w:rsidRDefault="00EC239F" w:rsidP="004F59BB">
      <w:pPr>
        <w:spacing w:line="360" w:lineRule="auto"/>
        <w:rPr>
          <w:rFonts w:asciiTheme="minorHAnsi" w:hAnsiTheme="minorHAnsi"/>
          <w:szCs w:val="20"/>
          <w:lang w:val="en-GB"/>
        </w:rPr>
      </w:pPr>
    </w:p>
    <w:p w:rsidR="009B1B05" w:rsidRPr="007141B1" w:rsidRDefault="009B1B05" w:rsidP="004F59BB">
      <w:pPr>
        <w:spacing w:line="360" w:lineRule="auto"/>
        <w:rPr>
          <w:rFonts w:asciiTheme="minorHAnsi" w:hAnsiTheme="minorHAnsi"/>
          <w:b/>
          <w:szCs w:val="20"/>
          <w:lang w:val="en-GB"/>
        </w:rPr>
      </w:pPr>
      <w:r w:rsidRPr="007141B1">
        <w:rPr>
          <w:rFonts w:asciiTheme="minorHAnsi" w:hAnsiTheme="minorHAnsi"/>
          <w:b/>
          <w:szCs w:val="20"/>
          <w:lang w:val="en-GB"/>
        </w:rPr>
        <w:t>Flavia Machado</w:t>
      </w:r>
    </w:p>
    <w:p w:rsidR="009B1B05" w:rsidRPr="007141B1" w:rsidRDefault="009B1B05" w:rsidP="004F59BB">
      <w:pPr>
        <w:spacing w:line="360" w:lineRule="auto"/>
        <w:rPr>
          <w:rFonts w:asciiTheme="minorHAnsi" w:hAnsiTheme="minorHAnsi" w:cs="Arial"/>
          <w:shd w:val="clear" w:color="auto" w:fill="FFFFFF"/>
          <w:lang w:val="en-GB"/>
        </w:rPr>
      </w:pPr>
      <w:r w:rsidRPr="007141B1">
        <w:rPr>
          <w:rFonts w:asciiTheme="minorHAnsi" w:hAnsiTheme="minorHAnsi" w:cs="Arial"/>
          <w:shd w:val="clear" w:color="auto" w:fill="FFFFFF"/>
          <w:lang w:val="en-GB"/>
        </w:rPr>
        <w:t>Federal University of São Paulo</w:t>
      </w:r>
    </w:p>
    <w:p w:rsidR="009B1B05" w:rsidRPr="007141B1" w:rsidRDefault="009B1B05" w:rsidP="004F59BB">
      <w:pPr>
        <w:spacing w:line="360" w:lineRule="auto"/>
        <w:rPr>
          <w:rFonts w:asciiTheme="minorHAnsi" w:hAnsiTheme="minorHAnsi"/>
          <w:szCs w:val="20"/>
          <w:lang w:val="en-GB"/>
        </w:rPr>
      </w:pPr>
      <w:r w:rsidRPr="007141B1">
        <w:rPr>
          <w:rFonts w:asciiTheme="minorHAnsi" w:hAnsiTheme="minorHAnsi" w:cs="Arial"/>
          <w:shd w:val="clear" w:color="auto" w:fill="FFFFFF"/>
          <w:lang w:val="en-GB"/>
        </w:rPr>
        <w:t>São Paulo, Brazil</w:t>
      </w:r>
    </w:p>
    <w:p w:rsidR="009B1B05" w:rsidRPr="007141B1" w:rsidRDefault="009B1B05" w:rsidP="004F59BB">
      <w:pPr>
        <w:spacing w:line="360" w:lineRule="auto"/>
        <w:rPr>
          <w:rFonts w:asciiTheme="minorHAnsi" w:hAnsiTheme="minorHAnsi"/>
          <w:szCs w:val="20"/>
          <w:lang w:val="en-GB"/>
        </w:rPr>
      </w:pPr>
    </w:p>
    <w:p w:rsidR="00EC239F" w:rsidRPr="007141B1" w:rsidRDefault="00EC239F" w:rsidP="00851E20">
      <w:pPr>
        <w:spacing w:line="360" w:lineRule="auto"/>
        <w:rPr>
          <w:rFonts w:asciiTheme="minorHAnsi" w:hAnsiTheme="minorHAnsi"/>
          <w:b/>
          <w:lang w:val="en-GB"/>
        </w:rPr>
      </w:pPr>
      <w:r w:rsidRPr="007141B1">
        <w:rPr>
          <w:rFonts w:asciiTheme="minorHAnsi" w:hAnsiTheme="minorHAnsi"/>
          <w:b/>
          <w:lang w:val="en-GB"/>
        </w:rPr>
        <w:lastRenderedPageBreak/>
        <w:t>James A Russell</w:t>
      </w:r>
    </w:p>
    <w:p w:rsidR="00EC239F" w:rsidRPr="007141B1" w:rsidRDefault="00EC239F" w:rsidP="00851E20">
      <w:pPr>
        <w:spacing w:line="360" w:lineRule="auto"/>
        <w:rPr>
          <w:rFonts w:asciiTheme="minorHAnsi" w:hAnsiTheme="minorHAnsi"/>
          <w:lang w:val="en-GB"/>
        </w:rPr>
      </w:pPr>
      <w:r w:rsidRPr="007141B1">
        <w:rPr>
          <w:rFonts w:asciiTheme="minorHAnsi" w:hAnsiTheme="minorHAnsi"/>
          <w:lang w:val="en-GB"/>
        </w:rPr>
        <w:t>Centre for Heart Lung Innovation</w:t>
      </w:r>
    </w:p>
    <w:p w:rsidR="00EC239F" w:rsidRPr="007141B1" w:rsidRDefault="00EC239F" w:rsidP="00851E20">
      <w:pPr>
        <w:spacing w:line="360" w:lineRule="auto"/>
        <w:rPr>
          <w:rFonts w:asciiTheme="minorHAnsi" w:hAnsiTheme="minorHAnsi"/>
          <w:lang w:val="en-GB"/>
        </w:rPr>
      </w:pPr>
      <w:r w:rsidRPr="007141B1">
        <w:rPr>
          <w:rFonts w:asciiTheme="minorHAnsi" w:hAnsiTheme="minorHAnsi"/>
          <w:lang w:val="en-GB"/>
        </w:rPr>
        <w:t>St. Paul’s Hospital</w:t>
      </w:r>
    </w:p>
    <w:p w:rsidR="00EC239F" w:rsidRPr="007141B1" w:rsidRDefault="00EC239F" w:rsidP="00851E20">
      <w:pPr>
        <w:spacing w:line="360" w:lineRule="auto"/>
        <w:rPr>
          <w:rFonts w:asciiTheme="minorHAnsi" w:hAnsiTheme="minorHAnsi"/>
          <w:lang w:val="en-GB"/>
        </w:rPr>
      </w:pPr>
      <w:r w:rsidRPr="007141B1">
        <w:rPr>
          <w:rFonts w:asciiTheme="minorHAnsi" w:hAnsiTheme="minorHAnsi"/>
          <w:lang w:val="en-GB"/>
        </w:rPr>
        <w:t>University of British Columbia,</w:t>
      </w:r>
    </w:p>
    <w:p w:rsidR="00EC239F" w:rsidRPr="00750403" w:rsidRDefault="00EC239F" w:rsidP="00851E20">
      <w:pPr>
        <w:spacing w:line="360" w:lineRule="auto"/>
        <w:rPr>
          <w:rFonts w:asciiTheme="minorHAnsi" w:hAnsiTheme="minorHAnsi"/>
          <w:lang w:val="fr-FR"/>
        </w:rPr>
      </w:pPr>
      <w:r w:rsidRPr="00750403">
        <w:rPr>
          <w:rFonts w:asciiTheme="minorHAnsi" w:hAnsiTheme="minorHAnsi"/>
          <w:lang w:val="fr-FR"/>
        </w:rPr>
        <w:t>Vancouver, BC, Canada</w:t>
      </w:r>
    </w:p>
    <w:p w:rsidR="000C4992" w:rsidRPr="00750403" w:rsidRDefault="000C4992" w:rsidP="00851E20">
      <w:pPr>
        <w:spacing w:line="360" w:lineRule="auto"/>
        <w:rPr>
          <w:rFonts w:asciiTheme="minorHAnsi" w:hAnsiTheme="minorHAnsi" w:cs="Arial"/>
          <w:lang w:val="fr-FR"/>
        </w:rPr>
      </w:pPr>
    </w:p>
    <w:p w:rsidR="009426F4" w:rsidRPr="00750403" w:rsidRDefault="009426F4" w:rsidP="009426F4">
      <w:pPr>
        <w:spacing w:line="360" w:lineRule="auto"/>
        <w:rPr>
          <w:rFonts w:asciiTheme="minorHAnsi" w:hAnsiTheme="minorHAnsi" w:cs="Arial"/>
          <w:b/>
          <w:lang w:val="fr-FR"/>
        </w:rPr>
      </w:pPr>
      <w:r w:rsidRPr="00750403">
        <w:rPr>
          <w:rFonts w:asciiTheme="minorHAnsi" w:hAnsiTheme="minorHAnsi" w:cs="Arial"/>
          <w:b/>
          <w:lang w:val="fr-FR"/>
        </w:rPr>
        <w:t>Jean-Francois Timsit</w:t>
      </w:r>
    </w:p>
    <w:p w:rsidR="009426F4" w:rsidRPr="007141B1" w:rsidRDefault="009426F4" w:rsidP="009426F4">
      <w:pPr>
        <w:spacing w:line="360" w:lineRule="auto"/>
        <w:rPr>
          <w:rFonts w:asciiTheme="minorHAnsi" w:hAnsiTheme="minorHAnsi" w:cs="Arial"/>
          <w:lang w:val="en-GB"/>
        </w:rPr>
      </w:pPr>
      <w:r w:rsidRPr="007141B1">
        <w:rPr>
          <w:rFonts w:asciiTheme="minorHAnsi" w:hAnsiTheme="minorHAnsi" w:cs="Arial"/>
          <w:lang w:val="en-GB"/>
        </w:rPr>
        <w:t>APHP medical and infectious diseases ICU Bichat university hospital</w:t>
      </w:r>
    </w:p>
    <w:p w:rsidR="009426F4" w:rsidRPr="007141B1" w:rsidRDefault="009426F4" w:rsidP="009426F4">
      <w:pPr>
        <w:spacing w:line="360" w:lineRule="auto"/>
        <w:rPr>
          <w:rFonts w:asciiTheme="minorHAnsi" w:hAnsiTheme="minorHAnsi" w:cs="Arial"/>
          <w:lang w:val="en-GB"/>
        </w:rPr>
      </w:pPr>
      <w:r w:rsidRPr="007141B1">
        <w:rPr>
          <w:rFonts w:asciiTheme="minorHAnsi" w:hAnsiTheme="minorHAnsi" w:cs="Arial"/>
          <w:lang w:val="en-GB"/>
        </w:rPr>
        <w:t xml:space="preserve">UMR 1137 IAME, </w:t>
      </w:r>
      <w:proofErr w:type="spellStart"/>
      <w:r w:rsidRPr="007141B1">
        <w:rPr>
          <w:rFonts w:asciiTheme="minorHAnsi" w:hAnsiTheme="minorHAnsi" w:cs="Arial"/>
          <w:lang w:val="en-GB"/>
        </w:rPr>
        <w:t>Inserm</w:t>
      </w:r>
      <w:proofErr w:type="spellEnd"/>
      <w:r w:rsidRPr="007141B1">
        <w:rPr>
          <w:rFonts w:asciiTheme="minorHAnsi" w:hAnsiTheme="minorHAnsi" w:cs="Arial"/>
          <w:lang w:val="en-GB"/>
        </w:rPr>
        <w:t>/university Paris-Diderot</w:t>
      </w:r>
    </w:p>
    <w:p w:rsidR="009426F4" w:rsidRPr="007141B1" w:rsidRDefault="009426F4" w:rsidP="009426F4">
      <w:pPr>
        <w:spacing w:line="360" w:lineRule="auto"/>
        <w:rPr>
          <w:rFonts w:asciiTheme="minorHAnsi" w:hAnsiTheme="minorHAnsi" w:cs="Arial"/>
          <w:lang w:val="en-GB"/>
        </w:rPr>
      </w:pPr>
      <w:r w:rsidRPr="007141B1">
        <w:rPr>
          <w:rFonts w:asciiTheme="minorHAnsi" w:hAnsiTheme="minorHAnsi" w:cs="Arial"/>
          <w:lang w:val="en-GB"/>
        </w:rPr>
        <w:t>France</w:t>
      </w:r>
    </w:p>
    <w:p w:rsidR="009426F4" w:rsidRPr="007141B1" w:rsidRDefault="009426F4" w:rsidP="00851E20">
      <w:pPr>
        <w:spacing w:line="360" w:lineRule="auto"/>
        <w:rPr>
          <w:rFonts w:asciiTheme="minorHAnsi" w:hAnsiTheme="minorHAnsi" w:cs="Arial"/>
          <w:lang w:val="en-GB"/>
        </w:rPr>
      </w:pPr>
    </w:p>
    <w:p w:rsidR="00A35BC1" w:rsidRPr="007141B1" w:rsidRDefault="00A35BC1" w:rsidP="00851E20">
      <w:pPr>
        <w:spacing w:line="360" w:lineRule="auto"/>
        <w:rPr>
          <w:rFonts w:asciiTheme="minorHAnsi" w:hAnsiTheme="minorHAnsi"/>
          <w:b/>
          <w:lang w:val="en-GB"/>
        </w:rPr>
      </w:pPr>
      <w:r w:rsidRPr="007141B1">
        <w:rPr>
          <w:rFonts w:asciiTheme="minorHAnsi" w:hAnsiTheme="minorHAnsi"/>
          <w:b/>
          <w:lang w:val="en-GB"/>
        </w:rPr>
        <w:t xml:space="preserve">John </w:t>
      </w:r>
      <w:r w:rsidR="00DC4C33">
        <w:rPr>
          <w:rFonts w:asciiTheme="minorHAnsi" w:hAnsiTheme="minorHAnsi"/>
          <w:b/>
          <w:lang w:val="en-GB"/>
        </w:rPr>
        <w:t xml:space="preserve">C </w:t>
      </w:r>
      <w:r w:rsidRPr="007141B1">
        <w:rPr>
          <w:rFonts w:asciiTheme="minorHAnsi" w:hAnsiTheme="minorHAnsi"/>
          <w:b/>
          <w:lang w:val="en-GB"/>
        </w:rPr>
        <w:t>Marshall</w:t>
      </w:r>
    </w:p>
    <w:p w:rsidR="00A35BC1" w:rsidRPr="007141B1" w:rsidRDefault="00A35BC1" w:rsidP="00851E20">
      <w:pPr>
        <w:spacing w:line="360" w:lineRule="auto"/>
        <w:rPr>
          <w:rFonts w:asciiTheme="minorHAnsi" w:hAnsiTheme="minorHAnsi"/>
          <w:lang w:val="en-GB"/>
        </w:rPr>
      </w:pPr>
      <w:r w:rsidRPr="007141B1">
        <w:rPr>
          <w:rFonts w:asciiTheme="minorHAnsi" w:hAnsiTheme="minorHAnsi"/>
          <w:lang w:val="en-GB"/>
        </w:rPr>
        <w:t xml:space="preserve">Departments of Surgery and Critical Care Medicine </w:t>
      </w:r>
    </w:p>
    <w:p w:rsidR="00A35BC1" w:rsidRPr="007141B1" w:rsidRDefault="00A35BC1" w:rsidP="00851E20">
      <w:pPr>
        <w:spacing w:line="360" w:lineRule="auto"/>
        <w:rPr>
          <w:rFonts w:asciiTheme="minorHAnsi" w:hAnsiTheme="minorHAnsi"/>
          <w:lang w:val="en-GB"/>
        </w:rPr>
      </w:pPr>
      <w:r w:rsidRPr="007141B1">
        <w:rPr>
          <w:rFonts w:asciiTheme="minorHAnsi" w:hAnsiTheme="minorHAnsi"/>
          <w:lang w:val="en-GB"/>
        </w:rPr>
        <w:t>The Keenan Research Centre for Biomedical Science</w:t>
      </w:r>
    </w:p>
    <w:p w:rsidR="00A35BC1" w:rsidRPr="007141B1" w:rsidRDefault="00A35BC1" w:rsidP="00851E20">
      <w:pPr>
        <w:spacing w:line="360" w:lineRule="auto"/>
        <w:rPr>
          <w:rFonts w:asciiTheme="minorHAnsi" w:hAnsiTheme="minorHAnsi"/>
          <w:lang w:val="en-GB"/>
        </w:rPr>
      </w:pPr>
      <w:r w:rsidRPr="007141B1">
        <w:rPr>
          <w:rFonts w:asciiTheme="minorHAnsi" w:hAnsiTheme="minorHAnsi"/>
          <w:lang w:val="en-GB"/>
        </w:rPr>
        <w:t>St. Michael’s Hospital, University of Toronto</w:t>
      </w:r>
    </w:p>
    <w:p w:rsidR="00A35BC1" w:rsidRPr="007141B1" w:rsidRDefault="00A35BC1" w:rsidP="00851E20">
      <w:pPr>
        <w:spacing w:line="360" w:lineRule="auto"/>
        <w:rPr>
          <w:rFonts w:asciiTheme="minorHAnsi" w:hAnsiTheme="minorHAnsi"/>
          <w:lang w:val="en-GB"/>
        </w:rPr>
      </w:pPr>
      <w:r w:rsidRPr="007141B1">
        <w:rPr>
          <w:rFonts w:asciiTheme="minorHAnsi" w:hAnsiTheme="minorHAnsi"/>
          <w:lang w:val="en-GB"/>
        </w:rPr>
        <w:t>Canada</w:t>
      </w:r>
    </w:p>
    <w:p w:rsidR="00A35BC1" w:rsidRPr="007141B1" w:rsidRDefault="00A35BC1" w:rsidP="00851E20">
      <w:pPr>
        <w:spacing w:line="360" w:lineRule="auto"/>
        <w:rPr>
          <w:rFonts w:asciiTheme="minorHAnsi" w:hAnsiTheme="minorHAnsi"/>
          <w:lang w:val="en-GB"/>
        </w:rPr>
      </w:pPr>
    </w:p>
    <w:p w:rsidR="000C4992" w:rsidRPr="007141B1" w:rsidRDefault="000C4992" w:rsidP="00851E20">
      <w:pPr>
        <w:spacing w:line="360" w:lineRule="auto"/>
        <w:rPr>
          <w:rFonts w:asciiTheme="minorHAnsi" w:hAnsiTheme="minorHAnsi" w:cs="Arial"/>
          <w:b/>
          <w:lang w:val="en-GB"/>
        </w:rPr>
      </w:pPr>
      <w:r w:rsidRPr="007141B1">
        <w:rPr>
          <w:rFonts w:asciiTheme="minorHAnsi" w:hAnsiTheme="minorHAnsi" w:cs="Arial"/>
          <w:b/>
          <w:lang w:val="en-GB"/>
        </w:rPr>
        <w:t>John Myburgh</w:t>
      </w:r>
    </w:p>
    <w:p w:rsidR="000C4992" w:rsidRPr="007141B1" w:rsidRDefault="000C4992" w:rsidP="00851E20">
      <w:pPr>
        <w:spacing w:line="360" w:lineRule="auto"/>
        <w:rPr>
          <w:rFonts w:asciiTheme="minorHAnsi" w:hAnsiTheme="minorHAnsi" w:cs="Arial"/>
          <w:lang w:val="en-GB"/>
        </w:rPr>
      </w:pPr>
      <w:r w:rsidRPr="007141B1">
        <w:rPr>
          <w:rFonts w:asciiTheme="minorHAnsi" w:hAnsiTheme="minorHAnsi" w:cs="Arial"/>
          <w:lang w:val="en-GB"/>
        </w:rPr>
        <w:t>The George Institute for Global Health, Sydney</w:t>
      </w:r>
    </w:p>
    <w:p w:rsidR="00A35BC1" w:rsidRPr="007141B1" w:rsidRDefault="000C4992" w:rsidP="00851E20">
      <w:pPr>
        <w:spacing w:line="360" w:lineRule="auto"/>
        <w:rPr>
          <w:rFonts w:asciiTheme="minorHAnsi" w:hAnsiTheme="minorHAnsi" w:cs="Arial"/>
          <w:lang w:val="en-GB"/>
        </w:rPr>
      </w:pPr>
      <w:r w:rsidRPr="007141B1">
        <w:rPr>
          <w:rFonts w:asciiTheme="minorHAnsi" w:hAnsiTheme="minorHAnsi" w:cs="Arial"/>
          <w:lang w:val="en-GB"/>
        </w:rPr>
        <w:t>St George Clinical School, Unive</w:t>
      </w:r>
      <w:r w:rsidR="00A35BC1" w:rsidRPr="007141B1">
        <w:rPr>
          <w:rFonts w:asciiTheme="minorHAnsi" w:hAnsiTheme="minorHAnsi" w:cs="Arial"/>
          <w:lang w:val="en-GB"/>
        </w:rPr>
        <w:t>rsity of New South Wales, Sydney</w:t>
      </w:r>
    </w:p>
    <w:p w:rsidR="000C4992" w:rsidRPr="007141B1" w:rsidRDefault="000C4992" w:rsidP="00851E20">
      <w:pPr>
        <w:spacing w:line="360" w:lineRule="auto"/>
        <w:rPr>
          <w:rFonts w:asciiTheme="minorHAnsi" w:hAnsiTheme="minorHAnsi" w:cs="Arial"/>
          <w:lang w:val="en-GB"/>
        </w:rPr>
      </w:pPr>
      <w:r w:rsidRPr="007141B1">
        <w:rPr>
          <w:rFonts w:asciiTheme="minorHAnsi" w:hAnsiTheme="minorHAnsi" w:cs="Arial"/>
          <w:lang w:val="en-GB"/>
        </w:rPr>
        <w:t>Australia</w:t>
      </w:r>
    </w:p>
    <w:p w:rsidR="00E26721" w:rsidRPr="007141B1" w:rsidRDefault="00E26721" w:rsidP="00E26721">
      <w:pPr>
        <w:spacing w:after="200" w:line="360" w:lineRule="auto"/>
        <w:rPr>
          <w:rFonts w:asciiTheme="minorHAnsi" w:hAnsiTheme="minorHAnsi"/>
          <w:b/>
          <w:color w:val="000000"/>
          <w:lang w:val="en-GB"/>
        </w:rPr>
      </w:pPr>
    </w:p>
    <w:p w:rsidR="009B1B05" w:rsidRPr="007141B1" w:rsidRDefault="00E26721" w:rsidP="00F163A6">
      <w:pPr>
        <w:spacing w:after="200" w:line="276" w:lineRule="auto"/>
        <w:rPr>
          <w:rFonts w:asciiTheme="minorHAnsi" w:hAnsiTheme="minorHAnsi" w:cs="Arial"/>
          <w:b/>
          <w:lang w:val="en-GB"/>
        </w:rPr>
      </w:pPr>
      <w:r w:rsidRPr="007141B1">
        <w:rPr>
          <w:rFonts w:asciiTheme="minorHAnsi" w:hAnsiTheme="minorHAnsi" w:cs="Arial"/>
          <w:b/>
          <w:lang w:val="en-GB"/>
        </w:rPr>
        <w:t>Manu Shankar-Hari</w:t>
      </w:r>
    </w:p>
    <w:p w:rsidR="00C52A84" w:rsidRPr="007141B1" w:rsidRDefault="00C52A84" w:rsidP="00C52A84">
      <w:pPr>
        <w:spacing w:after="200" w:line="276" w:lineRule="auto"/>
        <w:rPr>
          <w:rFonts w:asciiTheme="minorHAnsi" w:hAnsiTheme="minorHAnsi" w:cs="Arial"/>
          <w:shd w:val="clear" w:color="auto" w:fill="FFFFFF"/>
          <w:lang w:val="en-GB"/>
        </w:rPr>
      </w:pPr>
      <w:r w:rsidRPr="007141B1">
        <w:rPr>
          <w:rFonts w:asciiTheme="minorHAnsi" w:hAnsiTheme="minorHAnsi" w:cs="Arial"/>
          <w:shd w:val="clear" w:color="auto" w:fill="FFFFFF"/>
          <w:lang w:val="en-GB"/>
        </w:rPr>
        <w:t>Guys and St Thomas' Hospital</w:t>
      </w:r>
      <w:r>
        <w:rPr>
          <w:rFonts w:asciiTheme="minorHAnsi" w:hAnsiTheme="minorHAnsi" w:cs="Arial"/>
          <w:shd w:val="clear" w:color="auto" w:fill="FFFFFF"/>
          <w:lang w:val="en-GB"/>
        </w:rPr>
        <w:t xml:space="preserve"> NHS Foundation Trust, London</w:t>
      </w:r>
    </w:p>
    <w:p w:rsidR="009B1B05" w:rsidRDefault="00C52A84" w:rsidP="00C52A84">
      <w:pPr>
        <w:spacing w:line="360" w:lineRule="auto"/>
        <w:rPr>
          <w:rFonts w:asciiTheme="minorHAnsi" w:hAnsiTheme="minorHAnsi" w:cs="Arial"/>
          <w:shd w:val="clear" w:color="auto" w:fill="FFFFFF"/>
          <w:lang w:val="en-GB"/>
        </w:rPr>
      </w:pPr>
      <w:r>
        <w:rPr>
          <w:rFonts w:asciiTheme="minorHAnsi" w:hAnsiTheme="minorHAnsi" w:cs="Arial"/>
          <w:shd w:val="clear" w:color="auto" w:fill="FFFFFF"/>
          <w:lang w:val="en-GB"/>
        </w:rPr>
        <w:t xml:space="preserve">Department of </w:t>
      </w:r>
      <w:proofErr w:type="spellStart"/>
      <w:r>
        <w:rPr>
          <w:rFonts w:asciiTheme="minorHAnsi" w:hAnsiTheme="minorHAnsi" w:cs="Arial"/>
          <w:shd w:val="clear" w:color="auto" w:fill="FFFFFF"/>
          <w:lang w:val="en-GB"/>
        </w:rPr>
        <w:t>Immunobiology</w:t>
      </w:r>
      <w:proofErr w:type="spellEnd"/>
      <w:r>
        <w:rPr>
          <w:rFonts w:asciiTheme="minorHAnsi" w:hAnsiTheme="minorHAnsi" w:cs="Arial"/>
          <w:shd w:val="clear" w:color="auto" w:fill="FFFFFF"/>
          <w:lang w:val="en-GB"/>
        </w:rPr>
        <w:t xml:space="preserve">, </w:t>
      </w:r>
      <w:r w:rsidRPr="007141B1">
        <w:rPr>
          <w:rFonts w:asciiTheme="minorHAnsi" w:hAnsiTheme="minorHAnsi" w:cs="Arial"/>
          <w:shd w:val="clear" w:color="auto" w:fill="FFFFFF"/>
          <w:lang w:val="en-GB"/>
        </w:rPr>
        <w:t>Kings College London, UK</w:t>
      </w:r>
    </w:p>
    <w:p w:rsidR="00C52A84" w:rsidRPr="007141B1" w:rsidRDefault="00C52A84" w:rsidP="00C52A84">
      <w:pPr>
        <w:spacing w:line="360" w:lineRule="auto"/>
        <w:rPr>
          <w:rFonts w:asciiTheme="minorHAnsi" w:hAnsiTheme="minorHAnsi"/>
          <w:b/>
          <w:lang w:val="en-GB"/>
        </w:rPr>
      </w:pPr>
    </w:p>
    <w:p w:rsidR="00E26721" w:rsidRPr="007141B1" w:rsidRDefault="00E26721" w:rsidP="00F163A6">
      <w:pPr>
        <w:spacing w:line="360" w:lineRule="auto"/>
        <w:rPr>
          <w:rFonts w:asciiTheme="minorHAnsi" w:hAnsiTheme="minorHAnsi"/>
          <w:b/>
          <w:lang w:val="en-GB"/>
        </w:rPr>
      </w:pPr>
      <w:r w:rsidRPr="007141B1">
        <w:rPr>
          <w:rFonts w:asciiTheme="minorHAnsi" w:hAnsiTheme="minorHAnsi"/>
          <w:b/>
          <w:lang w:val="en-GB"/>
        </w:rPr>
        <w:t>Mervyn Singer</w:t>
      </w:r>
    </w:p>
    <w:p w:rsidR="00E26721" w:rsidRPr="007141B1" w:rsidRDefault="00E26721" w:rsidP="00F163A6">
      <w:pPr>
        <w:spacing w:line="360" w:lineRule="auto"/>
        <w:rPr>
          <w:rFonts w:asciiTheme="minorHAnsi" w:hAnsiTheme="minorHAnsi"/>
          <w:lang w:val="en-GB"/>
        </w:rPr>
      </w:pPr>
      <w:r w:rsidRPr="007141B1">
        <w:rPr>
          <w:rFonts w:asciiTheme="minorHAnsi" w:hAnsiTheme="minorHAnsi"/>
          <w:lang w:val="en-GB"/>
        </w:rPr>
        <w:t>Bloomsbury Institute of Intensive Care Medicine</w:t>
      </w:r>
    </w:p>
    <w:p w:rsidR="00E26721" w:rsidRPr="007141B1" w:rsidRDefault="00E26721" w:rsidP="00F163A6">
      <w:pPr>
        <w:spacing w:line="360" w:lineRule="auto"/>
        <w:rPr>
          <w:rFonts w:asciiTheme="minorHAnsi" w:hAnsiTheme="minorHAnsi"/>
          <w:lang w:val="en-GB"/>
        </w:rPr>
      </w:pPr>
      <w:r w:rsidRPr="007141B1">
        <w:rPr>
          <w:rFonts w:asciiTheme="minorHAnsi" w:hAnsiTheme="minorHAnsi"/>
          <w:lang w:val="en-GB"/>
        </w:rPr>
        <w:t>Division of Medicine</w:t>
      </w:r>
    </w:p>
    <w:p w:rsidR="002C4077" w:rsidRDefault="00BB6440" w:rsidP="00E26721">
      <w:pPr>
        <w:spacing w:line="360" w:lineRule="auto"/>
        <w:rPr>
          <w:rFonts w:asciiTheme="minorHAnsi" w:hAnsiTheme="minorHAnsi"/>
          <w:lang w:val="en-GB"/>
        </w:rPr>
      </w:pPr>
      <w:r>
        <w:rPr>
          <w:rFonts w:asciiTheme="minorHAnsi" w:hAnsiTheme="minorHAnsi"/>
          <w:lang w:val="en-GB"/>
        </w:rPr>
        <w:t>University College London</w:t>
      </w:r>
      <w:r w:rsidR="00E26721" w:rsidRPr="007141B1">
        <w:rPr>
          <w:rFonts w:asciiTheme="minorHAnsi" w:hAnsiTheme="minorHAnsi"/>
          <w:lang w:val="en-GB"/>
        </w:rPr>
        <w:t>, UK</w:t>
      </w:r>
    </w:p>
    <w:p w:rsidR="009B1B05" w:rsidRPr="007141B1" w:rsidRDefault="00877B94" w:rsidP="00851E20">
      <w:pPr>
        <w:spacing w:after="200" w:line="360" w:lineRule="auto"/>
        <w:rPr>
          <w:rFonts w:asciiTheme="minorHAnsi" w:hAnsiTheme="minorHAnsi"/>
          <w:b/>
          <w:color w:val="000000"/>
          <w:sz w:val="28"/>
          <w:lang w:val="en-GB"/>
        </w:rPr>
      </w:pPr>
      <w:r w:rsidRPr="007141B1">
        <w:rPr>
          <w:rFonts w:asciiTheme="minorHAnsi" w:hAnsiTheme="minorHAnsi"/>
          <w:b/>
          <w:color w:val="000000"/>
          <w:sz w:val="28"/>
          <w:lang w:val="en-GB"/>
        </w:rPr>
        <w:lastRenderedPageBreak/>
        <w:t>Abstract</w:t>
      </w:r>
    </w:p>
    <w:p w:rsidR="00A35BC1" w:rsidRDefault="004D5B52" w:rsidP="00851E20">
      <w:pPr>
        <w:spacing w:after="200" w:line="360" w:lineRule="auto"/>
        <w:rPr>
          <w:rFonts w:asciiTheme="minorHAnsi" w:hAnsiTheme="minorHAnsi"/>
          <w:color w:val="000000"/>
          <w:lang w:val="en-GB"/>
        </w:rPr>
      </w:pPr>
      <w:r>
        <w:rPr>
          <w:rFonts w:asciiTheme="minorHAnsi" w:hAnsiTheme="minorHAnsi"/>
          <w:color w:val="000000"/>
          <w:lang w:val="en-GB"/>
        </w:rPr>
        <w:t xml:space="preserve">Septic shock remains a </w:t>
      </w:r>
      <w:r w:rsidR="008A1510">
        <w:rPr>
          <w:rFonts w:asciiTheme="minorHAnsi" w:hAnsiTheme="minorHAnsi"/>
          <w:color w:val="000000"/>
          <w:lang w:val="en-GB"/>
        </w:rPr>
        <w:t>global</w:t>
      </w:r>
      <w:r>
        <w:rPr>
          <w:rFonts w:asciiTheme="minorHAnsi" w:hAnsiTheme="minorHAnsi"/>
          <w:color w:val="000000"/>
          <w:lang w:val="en-GB"/>
        </w:rPr>
        <w:t xml:space="preserve"> health </w:t>
      </w:r>
      <w:r w:rsidR="008A1510">
        <w:rPr>
          <w:rFonts w:asciiTheme="minorHAnsi" w:hAnsiTheme="minorHAnsi"/>
          <w:color w:val="000000"/>
          <w:lang w:val="en-GB"/>
        </w:rPr>
        <w:t>challenge with millions of cases every year, high rates of mortality and morbidity, impaired quality of life among survivors</w:t>
      </w:r>
      <w:r w:rsidR="00725D67">
        <w:rPr>
          <w:rFonts w:asciiTheme="minorHAnsi" w:hAnsiTheme="minorHAnsi"/>
          <w:color w:val="000000"/>
          <w:lang w:val="en-GB"/>
        </w:rPr>
        <w:t xml:space="preserve"> and relatives</w:t>
      </w:r>
      <w:r w:rsidR="00011609">
        <w:rPr>
          <w:rFonts w:asciiTheme="minorHAnsi" w:hAnsiTheme="minorHAnsi"/>
          <w:color w:val="000000"/>
          <w:lang w:val="en-GB"/>
        </w:rPr>
        <w:t>,</w:t>
      </w:r>
      <w:r w:rsidR="008A1510">
        <w:rPr>
          <w:rFonts w:asciiTheme="minorHAnsi" w:hAnsiTheme="minorHAnsi"/>
          <w:color w:val="000000"/>
          <w:lang w:val="en-GB"/>
        </w:rPr>
        <w:t xml:space="preserve"> and high resource use both in developed and developing nations. Care and outcomes are improving through organisational initiatives and </w:t>
      </w:r>
      <w:r w:rsidR="002C4077">
        <w:rPr>
          <w:rFonts w:asciiTheme="minorHAnsi" w:hAnsiTheme="minorHAnsi"/>
          <w:color w:val="000000"/>
          <w:lang w:val="en-GB"/>
        </w:rPr>
        <w:t>updated</w:t>
      </w:r>
      <w:r w:rsidR="008A1510">
        <w:rPr>
          <w:rFonts w:asciiTheme="minorHAnsi" w:hAnsiTheme="minorHAnsi"/>
          <w:color w:val="000000"/>
          <w:lang w:val="en-GB"/>
        </w:rPr>
        <w:t xml:space="preserve"> clinical practice guidelines based </w:t>
      </w:r>
      <w:r w:rsidR="002C4077">
        <w:rPr>
          <w:rFonts w:asciiTheme="minorHAnsi" w:hAnsiTheme="minorHAnsi"/>
          <w:color w:val="000000"/>
          <w:lang w:val="en-GB"/>
        </w:rPr>
        <w:t xml:space="preserve">on </w:t>
      </w:r>
      <w:r w:rsidR="008A1510">
        <w:rPr>
          <w:rFonts w:asciiTheme="minorHAnsi" w:hAnsiTheme="minorHAnsi"/>
          <w:color w:val="000000"/>
          <w:lang w:val="en-GB"/>
        </w:rPr>
        <w:t>clinical r</w:t>
      </w:r>
      <w:r>
        <w:rPr>
          <w:rFonts w:asciiTheme="minorHAnsi" w:hAnsiTheme="minorHAnsi"/>
          <w:color w:val="000000"/>
          <w:lang w:val="en-GB"/>
        </w:rPr>
        <w:t xml:space="preserve">esearch </w:t>
      </w:r>
      <w:r w:rsidR="002C4077">
        <w:rPr>
          <w:rFonts w:asciiTheme="minorHAnsi" w:hAnsiTheme="minorHAnsi"/>
          <w:color w:val="000000"/>
          <w:lang w:val="en-GB"/>
        </w:rPr>
        <w:t>mainly done by large collaborative networks. This progress is likely to continue through the collaborative work of the established and merging trials groups in many parts of the world and through refined trial methodology and translational work. In this review, international experts</w:t>
      </w:r>
      <w:r w:rsidR="002C4077" w:rsidRPr="007141B1">
        <w:rPr>
          <w:rFonts w:asciiTheme="minorHAnsi" w:hAnsiTheme="minorHAnsi"/>
          <w:color w:val="000000"/>
          <w:lang w:val="en-GB"/>
        </w:rPr>
        <w:t xml:space="preserve"> summarize the current position of clinical research in sep</w:t>
      </w:r>
      <w:r w:rsidR="00725D67">
        <w:rPr>
          <w:rFonts w:asciiTheme="minorHAnsi" w:hAnsiTheme="minorHAnsi"/>
          <w:color w:val="000000"/>
          <w:lang w:val="en-GB"/>
        </w:rPr>
        <w:t>tic shock</w:t>
      </w:r>
      <w:r w:rsidR="002C4077" w:rsidRPr="007141B1">
        <w:rPr>
          <w:rFonts w:asciiTheme="minorHAnsi" w:hAnsiTheme="minorHAnsi"/>
          <w:color w:val="000000"/>
          <w:lang w:val="en-GB"/>
        </w:rPr>
        <w:t xml:space="preserve"> and propose a research agenda to advance this field.</w:t>
      </w:r>
    </w:p>
    <w:p w:rsidR="002C4077" w:rsidRDefault="002C4077">
      <w:pPr>
        <w:spacing w:after="200" w:line="276" w:lineRule="auto"/>
        <w:rPr>
          <w:rFonts w:asciiTheme="minorHAnsi" w:hAnsiTheme="minorHAnsi"/>
          <w:b/>
          <w:color w:val="000000"/>
          <w:sz w:val="28"/>
          <w:lang w:val="en-GB"/>
        </w:rPr>
      </w:pPr>
      <w:r>
        <w:rPr>
          <w:rFonts w:asciiTheme="minorHAnsi" w:hAnsiTheme="minorHAnsi"/>
          <w:b/>
          <w:color w:val="000000"/>
          <w:sz w:val="28"/>
          <w:lang w:val="en-GB"/>
        </w:rPr>
        <w:br w:type="page"/>
      </w:r>
    </w:p>
    <w:p w:rsidR="00140691" w:rsidRPr="007141B1" w:rsidRDefault="00140691" w:rsidP="00851E20">
      <w:pPr>
        <w:spacing w:before="100" w:beforeAutospacing="1" w:after="100" w:afterAutospacing="1" w:line="360" w:lineRule="auto"/>
        <w:rPr>
          <w:rFonts w:asciiTheme="minorHAnsi" w:hAnsiTheme="minorHAnsi"/>
          <w:b/>
          <w:color w:val="000000"/>
          <w:sz w:val="22"/>
          <w:lang w:val="en-GB"/>
        </w:rPr>
      </w:pPr>
      <w:r w:rsidRPr="007141B1">
        <w:rPr>
          <w:rFonts w:asciiTheme="minorHAnsi" w:hAnsiTheme="minorHAnsi"/>
          <w:b/>
          <w:color w:val="000000"/>
          <w:sz w:val="28"/>
          <w:lang w:val="en-GB"/>
        </w:rPr>
        <w:lastRenderedPageBreak/>
        <w:t>Introduction</w:t>
      </w:r>
    </w:p>
    <w:p w:rsidR="009426F4" w:rsidRPr="007141B1" w:rsidRDefault="009426F4" w:rsidP="009426F4">
      <w:pPr>
        <w:spacing w:before="100" w:beforeAutospacing="1" w:after="100" w:afterAutospacing="1" w:line="360" w:lineRule="auto"/>
        <w:rPr>
          <w:rFonts w:asciiTheme="minorHAnsi" w:hAnsiTheme="minorHAnsi"/>
          <w:color w:val="000000"/>
          <w:lang w:val="en-GB"/>
        </w:rPr>
      </w:pPr>
      <w:r w:rsidRPr="007141B1">
        <w:rPr>
          <w:rFonts w:asciiTheme="minorHAnsi" w:hAnsiTheme="minorHAnsi"/>
          <w:color w:val="000000"/>
          <w:lang w:val="en-GB"/>
        </w:rPr>
        <w:t xml:space="preserve">Sepsis has been extensively researched </w:t>
      </w:r>
      <w:r w:rsidR="002C284B">
        <w:rPr>
          <w:rFonts w:asciiTheme="minorHAnsi" w:hAnsiTheme="minorHAnsi"/>
          <w:color w:val="000000"/>
          <w:lang w:val="en-GB"/>
        </w:rPr>
        <w:t>over</w:t>
      </w:r>
      <w:r w:rsidRPr="007141B1">
        <w:rPr>
          <w:rFonts w:asciiTheme="minorHAnsi" w:hAnsiTheme="minorHAnsi"/>
          <w:color w:val="000000"/>
          <w:lang w:val="en-GB"/>
        </w:rPr>
        <w:t xml:space="preserve"> the last 50 years. </w:t>
      </w:r>
      <w:r w:rsidR="00E30963" w:rsidRPr="007141B1">
        <w:rPr>
          <w:rFonts w:asciiTheme="minorHAnsi" w:hAnsiTheme="minorHAnsi"/>
          <w:color w:val="000000"/>
          <w:lang w:val="en-GB"/>
        </w:rPr>
        <w:t xml:space="preserve">We </w:t>
      </w:r>
      <w:r w:rsidR="009F7B4A">
        <w:rPr>
          <w:rFonts w:asciiTheme="minorHAnsi" w:hAnsiTheme="minorHAnsi"/>
          <w:color w:val="000000"/>
          <w:lang w:val="en-GB"/>
        </w:rPr>
        <w:t>can</w:t>
      </w:r>
      <w:r w:rsidR="00E30963" w:rsidRPr="007141B1">
        <w:rPr>
          <w:rFonts w:asciiTheme="minorHAnsi" w:hAnsiTheme="minorHAnsi"/>
          <w:color w:val="000000"/>
          <w:lang w:val="en-GB"/>
        </w:rPr>
        <w:t xml:space="preserve"> better </w:t>
      </w:r>
      <w:r w:rsidR="00E30963">
        <w:rPr>
          <w:rFonts w:asciiTheme="minorHAnsi" w:hAnsiTheme="minorHAnsi"/>
          <w:color w:val="000000"/>
          <w:lang w:val="en-GB"/>
        </w:rPr>
        <w:t>defin</w:t>
      </w:r>
      <w:r w:rsidR="009F7B4A">
        <w:rPr>
          <w:rFonts w:asciiTheme="minorHAnsi" w:hAnsiTheme="minorHAnsi"/>
          <w:color w:val="000000"/>
          <w:lang w:val="en-GB"/>
        </w:rPr>
        <w:t>e the</w:t>
      </w:r>
      <w:r w:rsidR="00011609" w:rsidRPr="007141B1">
        <w:rPr>
          <w:rFonts w:asciiTheme="minorHAnsi" w:hAnsiTheme="minorHAnsi"/>
          <w:color w:val="000000"/>
          <w:lang w:val="en-GB"/>
        </w:rPr>
        <w:t xml:space="preserve"> host immun</w:t>
      </w:r>
      <w:r w:rsidR="00DC4C33">
        <w:rPr>
          <w:rFonts w:asciiTheme="minorHAnsi" w:hAnsiTheme="minorHAnsi"/>
          <w:color w:val="000000"/>
          <w:lang w:val="en-GB"/>
        </w:rPr>
        <w:t>e</w:t>
      </w:r>
      <w:r w:rsidR="00011609" w:rsidRPr="007141B1">
        <w:rPr>
          <w:rFonts w:asciiTheme="minorHAnsi" w:hAnsiTheme="minorHAnsi"/>
          <w:color w:val="000000"/>
          <w:lang w:val="en-GB"/>
        </w:rPr>
        <w:t xml:space="preserve"> response </w:t>
      </w:r>
      <w:r w:rsidR="00011609">
        <w:rPr>
          <w:rFonts w:asciiTheme="minorHAnsi" w:hAnsiTheme="minorHAnsi"/>
          <w:color w:val="000000"/>
          <w:lang w:val="en-GB"/>
        </w:rPr>
        <w:t>to infection</w:t>
      </w:r>
      <w:r w:rsidR="00011609" w:rsidRPr="007141B1">
        <w:rPr>
          <w:rFonts w:asciiTheme="minorHAnsi" w:hAnsiTheme="minorHAnsi"/>
          <w:color w:val="000000"/>
          <w:lang w:val="en-GB"/>
        </w:rPr>
        <w:t xml:space="preserve"> and </w:t>
      </w:r>
      <w:r w:rsidR="009F7B4A">
        <w:rPr>
          <w:rFonts w:asciiTheme="minorHAnsi" w:hAnsiTheme="minorHAnsi"/>
          <w:color w:val="000000"/>
          <w:lang w:val="en-GB"/>
        </w:rPr>
        <w:t>hav</w:t>
      </w:r>
      <w:r w:rsidR="00E30963">
        <w:rPr>
          <w:rFonts w:asciiTheme="minorHAnsi" w:hAnsiTheme="minorHAnsi"/>
          <w:color w:val="000000"/>
          <w:lang w:val="en-GB"/>
        </w:rPr>
        <w:t>e</w:t>
      </w:r>
      <w:r w:rsidR="00011609" w:rsidRPr="007141B1">
        <w:rPr>
          <w:rFonts w:asciiTheme="minorHAnsi" w:hAnsiTheme="minorHAnsi"/>
          <w:color w:val="000000"/>
          <w:lang w:val="en-GB"/>
        </w:rPr>
        <w:t xml:space="preserve"> made considerable progress in the provision of </w:t>
      </w:r>
      <w:r w:rsidR="00E30963">
        <w:rPr>
          <w:rFonts w:asciiTheme="minorHAnsi" w:hAnsiTheme="minorHAnsi"/>
          <w:color w:val="000000"/>
          <w:lang w:val="en-GB"/>
        </w:rPr>
        <w:t xml:space="preserve">vital </w:t>
      </w:r>
      <w:r w:rsidR="00011609" w:rsidRPr="007141B1">
        <w:rPr>
          <w:rFonts w:asciiTheme="minorHAnsi" w:hAnsiTheme="minorHAnsi"/>
          <w:color w:val="000000"/>
          <w:lang w:val="en-GB"/>
        </w:rPr>
        <w:t>organ support.</w:t>
      </w:r>
      <w:r w:rsidR="0000519D" w:rsidRPr="007141B1">
        <w:rPr>
          <w:rFonts w:asciiTheme="minorHAnsi" w:hAnsiTheme="minorHAnsi"/>
          <w:color w:val="000000"/>
          <w:lang w:val="en-GB"/>
        </w:rPr>
        <w:t xml:space="preserve"> Today, many individuals with septic shock</w:t>
      </w:r>
      <w:r w:rsidR="00FD6718">
        <w:rPr>
          <w:rFonts w:asciiTheme="minorHAnsi" w:hAnsiTheme="minorHAnsi"/>
          <w:color w:val="000000"/>
          <w:lang w:val="en-GB"/>
        </w:rPr>
        <w:t>,</w:t>
      </w:r>
      <w:r w:rsidR="0000519D" w:rsidRPr="007141B1">
        <w:rPr>
          <w:rFonts w:asciiTheme="minorHAnsi" w:hAnsiTheme="minorHAnsi"/>
          <w:color w:val="000000"/>
          <w:lang w:val="en-GB"/>
        </w:rPr>
        <w:t xml:space="preserve"> who would previously have died</w:t>
      </w:r>
      <w:r w:rsidR="00FD6718">
        <w:rPr>
          <w:rFonts w:asciiTheme="minorHAnsi" w:hAnsiTheme="minorHAnsi"/>
          <w:color w:val="000000"/>
          <w:lang w:val="en-GB"/>
        </w:rPr>
        <w:t>,</w:t>
      </w:r>
      <w:r w:rsidR="0000519D" w:rsidRPr="007141B1">
        <w:rPr>
          <w:rFonts w:asciiTheme="minorHAnsi" w:hAnsiTheme="minorHAnsi"/>
          <w:color w:val="000000"/>
          <w:lang w:val="en-GB"/>
        </w:rPr>
        <w:t xml:space="preserve"> will survive</w:t>
      </w:r>
      <w:r w:rsidR="00654437">
        <w:rPr>
          <w:rFonts w:asciiTheme="minorHAnsi" w:hAnsiTheme="minorHAnsi"/>
          <w:color w:val="000000"/>
          <w:lang w:val="en-GB"/>
        </w:rPr>
        <w:t xml:space="preserve"> a reflection of</w:t>
      </w:r>
      <w:r w:rsidR="0000519D" w:rsidRPr="007141B1">
        <w:rPr>
          <w:rFonts w:asciiTheme="minorHAnsi" w:hAnsiTheme="minorHAnsi"/>
          <w:color w:val="000000"/>
          <w:lang w:val="en-GB"/>
        </w:rPr>
        <w:t xml:space="preserve"> improved treatment of precipitating infections</w:t>
      </w:r>
      <w:r w:rsidR="009F7B4A">
        <w:rPr>
          <w:rFonts w:asciiTheme="minorHAnsi" w:hAnsiTheme="minorHAnsi"/>
          <w:color w:val="000000"/>
          <w:lang w:val="en-GB"/>
        </w:rPr>
        <w:t>,</w:t>
      </w:r>
      <w:r w:rsidR="0000519D" w:rsidRPr="007141B1">
        <w:rPr>
          <w:rFonts w:asciiTheme="minorHAnsi" w:hAnsiTheme="minorHAnsi"/>
          <w:color w:val="000000"/>
          <w:lang w:val="en-GB"/>
        </w:rPr>
        <w:t xml:space="preserve"> </w:t>
      </w:r>
      <w:r w:rsidR="009F7B4A">
        <w:rPr>
          <w:rFonts w:asciiTheme="minorHAnsi" w:hAnsiTheme="minorHAnsi"/>
          <w:color w:val="000000"/>
          <w:lang w:val="en-GB"/>
        </w:rPr>
        <w:t>better</w:t>
      </w:r>
      <w:r w:rsidR="0000519D" w:rsidRPr="007141B1">
        <w:rPr>
          <w:rFonts w:asciiTheme="minorHAnsi" w:hAnsiTheme="minorHAnsi"/>
          <w:color w:val="000000"/>
          <w:lang w:val="en-GB"/>
        </w:rPr>
        <w:t xml:space="preserve"> and safer organ support</w:t>
      </w:r>
      <w:r w:rsidR="009F7B4A">
        <w:rPr>
          <w:rFonts w:asciiTheme="minorHAnsi" w:hAnsiTheme="minorHAnsi"/>
          <w:color w:val="000000"/>
          <w:lang w:val="en-GB"/>
        </w:rPr>
        <w:t>,</w:t>
      </w:r>
      <w:r w:rsidR="0000519D" w:rsidRPr="007141B1">
        <w:rPr>
          <w:rFonts w:asciiTheme="minorHAnsi" w:hAnsiTheme="minorHAnsi"/>
          <w:color w:val="000000"/>
          <w:lang w:val="en-GB"/>
        </w:rPr>
        <w:t xml:space="preserve"> </w:t>
      </w:r>
      <w:r w:rsidR="009F7B4A">
        <w:rPr>
          <w:rFonts w:asciiTheme="minorHAnsi" w:hAnsiTheme="minorHAnsi"/>
          <w:color w:val="000000"/>
          <w:lang w:val="en-GB"/>
        </w:rPr>
        <w:t xml:space="preserve">less iatrogenic harm, </w:t>
      </w:r>
      <w:r w:rsidR="0000519D" w:rsidRPr="007141B1">
        <w:rPr>
          <w:rFonts w:asciiTheme="minorHAnsi" w:hAnsiTheme="minorHAnsi"/>
          <w:color w:val="000000"/>
          <w:lang w:val="en-GB"/>
        </w:rPr>
        <w:t xml:space="preserve">and </w:t>
      </w:r>
      <w:r w:rsidR="00654437">
        <w:rPr>
          <w:rFonts w:asciiTheme="minorHAnsi" w:hAnsiTheme="minorHAnsi"/>
          <w:color w:val="000000"/>
          <w:lang w:val="en-GB"/>
        </w:rPr>
        <w:t>more</w:t>
      </w:r>
      <w:r w:rsidR="00E30963">
        <w:rPr>
          <w:rFonts w:asciiTheme="minorHAnsi" w:hAnsiTheme="minorHAnsi"/>
          <w:color w:val="000000"/>
          <w:lang w:val="en-GB"/>
        </w:rPr>
        <w:t xml:space="preserve"> co-ordinated and effective</w:t>
      </w:r>
      <w:r w:rsidR="00E30963" w:rsidRPr="007141B1">
        <w:rPr>
          <w:rFonts w:asciiTheme="minorHAnsi" w:hAnsiTheme="minorHAnsi"/>
          <w:color w:val="000000"/>
          <w:lang w:val="en-GB"/>
        </w:rPr>
        <w:t xml:space="preserve"> intensive care</w:t>
      </w:r>
      <w:r w:rsidR="00E30963">
        <w:rPr>
          <w:rFonts w:asciiTheme="minorHAnsi" w:hAnsiTheme="minorHAnsi"/>
          <w:color w:val="000000"/>
          <w:lang w:val="en-GB"/>
        </w:rPr>
        <w:t xml:space="preserve"> medicine</w:t>
      </w:r>
      <w:r w:rsidRPr="007141B1">
        <w:rPr>
          <w:rFonts w:asciiTheme="minorHAnsi" w:hAnsiTheme="minorHAnsi"/>
          <w:color w:val="000000"/>
          <w:lang w:val="en-GB"/>
        </w:rPr>
        <w:t>.</w:t>
      </w:r>
      <w:r w:rsidR="00F163A6">
        <w:rPr>
          <w:rFonts w:asciiTheme="minorHAnsi" w:hAnsiTheme="minorHAnsi"/>
          <w:color w:val="000000"/>
          <w:lang w:val="en-GB"/>
        </w:rPr>
        <w:t xml:space="preserve"> </w:t>
      </w:r>
      <w:r w:rsidR="0000519D" w:rsidRPr="007141B1">
        <w:rPr>
          <w:rFonts w:asciiTheme="minorHAnsi" w:hAnsiTheme="minorHAnsi"/>
          <w:color w:val="000000"/>
          <w:lang w:val="en-GB"/>
        </w:rPr>
        <w:t>However</w:t>
      </w:r>
      <w:r w:rsidR="009F7B4A">
        <w:rPr>
          <w:rFonts w:asciiTheme="minorHAnsi" w:hAnsiTheme="minorHAnsi"/>
          <w:color w:val="000000"/>
          <w:lang w:val="en-GB"/>
        </w:rPr>
        <w:t>,</w:t>
      </w:r>
      <w:r w:rsidR="0000519D" w:rsidRPr="007141B1">
        <w:rPr>
          <w:rFonts w:asciiTheme="minorHAnsi" w:hAnsiTheme="minorHAnsi"/>
          <w:color w:val="000000"/>
          <w:lang w:val="en-GB"/>
        </w:rPr>
        <w:t xml:space="preserve"> we </w:t>
      </w:r>
      <w:r w:rsidR="009F7B4A">
        <w:rPr>
          <w:rFonts w:asciiTheme="minorHAnsi" w:hAnsiTheme="minorHAnsi"/>
          <w:color w:val="000000"/>
          <w:lang w:val="en-GB"/>
        </w:rPr>
        <w:t xml:space="preserve">still </w:t>
      </w:r>
      <w:r w:rsidR="0000519D" w:rsidRPr="007141B1">
        <w:rPr>
          <w:rFonts w:asciiTheme="minorHAnsi" w:hAnsiTheme="minorHAnsi"/>
          <w:color w:val="000000"/>
          <w:lang w:val="en-GB"/>
        </w:rPr>
        <w:t xml:space="preserve">lack specific therapies to directly </w:t>
      </w:r>
      <w:r w:rsidR="00E30963" w:rsidRPr="007141B1">
        <w:rPr>
          <w:rFonts w:asciiTheme="minorHAnsi" w:hAnsiTheme="minorHAnsi"/>
          <w:color w:val="000000"/>
          <w:lang w:val="en-GB"/>
        </w:rPr>
        <w:t xml:space="preserve">treat </w:t>
      </w:r>
      <w:r w:rsidR="0000519D" w:rsidRPr="007141B1">
        <w:rPr>
          <w:rFonts w:asciiTheme="minorHAnsi" w:hAnsiTheme="minorHAnsi"/>
          <w:color w:val="000000"/>
          <w:lang w:val="en-GB"/>
        </w:rPr>
        <w:t xml:space="preserve">the dysregulated host response. All trials of </w:t>
      </w:r>
      <w:r w:rsidR="00011609">
        <w:rPr>
          <w:rFonts w:asciiTheme="minorHAnsi" w:hAnsiTheme="minorHAnsi"/>
          <w:color w:val="000000"/>
          <w:lang w:val="en-GB"/>
        </w:rPr>
        <w:t>interventions</w:t>
      </w:r>
      <w:r w:rsidR="0000519D" w:rsidRPr="007141B1">
        <w:rPr>
          <w:rFonts w:asciiTheme="minorHAnsi" w:hAnsiTheme="minorHAnsi"/>
          <w:color w:val="000000"/>
          <w:lang w:val="en-GB"/>
        </w:rPr>
        <w:t xml:space="preserve"> designed to manipulate the host’s immune response during sepsis have disappoint</w:t>
      </w:r>
      <w:r w:rsidR="009F7B4A">
        <w:rPr>
          <w:rFonts w:asciiTheme="minorHAnsi" w:hAnsiTheme="minorHAnsi"/>
          <w:color w:val="000000"/>
          <w:lang w:val="en-GB"/>
        </w:rPr>
        <w:t>ed. T</w:t>
      </w:r>
      <w:r w:rsidRPr="007141B1">
        <w:rPr>
          <w:rFonts w:asciiTheme="minorHAnsi" w:hAnsiTheme="minorHAnsi"/>
          <w:color w:val="000000"/>
          <w:lang w:val="en-GB"/>
        </w:rPr>
        <w:t xml:space="preserve">he only </w:t>
      </w:r>
      <w:r w:rsidR="00011609">
        <w:rPr>
          <w:rFonts w:asciiTheme="minorHAnsi" w:hAnsiTheme="minorHAnsi"/>
          <w:color w:val="000000"/>
          <w:lang w:val="en-GB"/>
        </w:rPr>
        <w:t>therapy</w:t>
      </w:r>
      <w:r w:rsidRPr="007141B1">
        <w:rPr>
          <w:rFonts w:asciiTheme="minorHAnsi" w:hAnsiTheme="minorHAnsi"/>
          <w:color w:val="000000"/>
          <w:lang w:val="en-GB"/>
        </w:rPr>
        <w:t xml:space="preserve"> with initial encouraging results</w:t>
      </w:r>
      <w:r w:rsidR="00011609">
        <w:rPr>
          <w:rFonts w:asciiTheme="minorHAnsi" w:hAnsiTheme="minorHAnsi"/>
          <w:color w:val="000000"/>
          <w:lang w:val="en-GB"/>
        </w:rPr>
        <w:t>,</w:t>
      </w:r>
      <w:r w:rsidR="00011609" w:rsidRPr="00011609">
        <w:rPr>
          <w:rFonts w:asciiTheme="minorHAnsi" w:hAnsiTheme="minorHAnsi"/>
          <w:color w:val="000000"/>
          <w:lang w:val="en-GB"/>
        </w:rPr>
        <w:t xml:space="preserve"> </w:t>
      </w:r>
      <w:r w:rsidR="00011609" w:rsidRPr="007141B1">
        <w:rPr>
          <w:rFonts w:asciiTheme="minorHAnsi" w:hAnsiTheme="minorHAnsi"/>
          <w:color w:val="000000"/>
          <w:lang w:val="en-GB"/>
        </w:rPr>
        <w:t>activated protein C (APC)</w:t>
      </w:r>
      <w:r w:rsidR="00CD4170" w:rsidRPr="007141B1">
        <w:rPr>
          <w:rFonts w:asciiTheme="minorHAnsi" w:hAnsiTheme="minorHAnsi"/>
          <w:color w:val="000000"/>
          <w:lang w:val="en-GB"/>
        </w:rPr>
        <w:t xml:space="preserve"> </w:t>
      </w:r>
      <w:r w:rsidR="00CD4170" w:rsidRPr="007141B1">
        <w:rPr>
          <w:rFonts w:asciiTheme="minorHAnsi" w:hAnsiTheme="minorHAnsi"/>
          <w:color w:val="000000"/>
          <w:lang w:val="en-GB"/>
        </w:rPr>
        <w:fldChar w:fldCharType="begin"/>
      </w:r>
      <w:r w:rsidR="00CD4170" w:rsidRPr="007141B1">
        <w:rPr>
          <w:rFonts w:asciiTheme="minorHAnsi" w:hAnsiTheme="minorHAnsi"/>
          <w:color w:val="000000"/>
          <w:lang w:val="en-GB"/>
        </w:rPr>
        <w:instrText xml:space="preserve"> ADDIN ZOTERO_ITEM CSL_CITATION {"citationID":"1nu083vjqh","properties":{"formattedCitation":"[1]","plainCitation":"[1]"},"citationItems":[{"id":2,"uris":["http://zotero.org/users/local/ZaW79YVG/items/BDD4D2J2"],"uri":["http://zotero.org/users/local/ZaW79YVG/items/BDD4D2J2"],"itemData":{"id":2,"type":"article-journal","title":"Efficacy and safety of recombinant human activated protein C for severe sepsis","container-title":"The New England Journal of Medicine","page":"699-709","volume":"344","issue":"10","source":"PubMed","abstract":"BACKGROUND: Drotrecogin alfa (activated), or recombinant human activated protein C, has antithrombotic, antiinflammatory, and profibrinolytic properties. In a previous study, drotrecogin alfa activated produced dose-dependent reductions in the levels of markers of coagulation and inflammation in patients with severe sepsis. In this phase 3 trial, we assessed whether treatment with drotrecogin alfa activated reduced the rate of death from any cause among patients with severe sepsis.\nMETHODS: We conducted a randomized, double-blind, placebo-controlled, multicenter trial. Patients with systemic inflammation and organ failure due to acute infection were enrolled and assigned to receive an intravenous infusion of either placebo or drotrecogin alfa activated (24 microg per kilogram of body weight per hour) for a total duration of 96 hours. The prospectively defined primary end point was death from any cause and was assessed 28 days after the start of the infusion. Patients were monitored for adverse events; changes in vital signs, laboratory variables, and the results of microbiologic cultures; and the development of neutralizing antibodies against activated protein C.\nRESULTS: A total of 1690 randomized patients were treated (840 in the placebo group and 850 in the drotrecogin alfa activated group). The mortality rate was 30.8 percent in the placebo group and 24.7 percent in the drotrecogin alfa activated group. On the basis of the prospectively defined primary analysis, treatment with drotrecogin alfa activated was associated with a reduction in the relative risk of death of 19.4 percent (95 percent confidence interval, 6.6 to 30.5) and an absolute reduction in the risk of death of 6.1 percent (P=0.005). The incidence of serious bleeding was higher in the drotrecogin alfa activated group than in the placebo group (3.5 percent vs. 2.0 percent, P=0.06).\nCONCLUSIONS: Treatment with drotrecogin alfa activated significantly reduces mortality in patients with severe sepsis and may be associated with an increased risk of bleeding.","DOI":"10.1056/NEJM200103083441001","ISSN":"0028-4793","note":"PMID: 11236773","journalAbbreviation":"N. Engl. J. Med.","language":"eng","author":[{"family":"Bernard","given":"G. R."},{"family":"Vincent","given":"J. L."},{"family":"Laterre","given":"P. F."},{"family":"LaRosa","given":"S. P."},{"family":"Dhainaut","given":"J. F."},{"family":"Lopez-Rodriguez","given":"A."},{"family":"Steingrub","given":"J. S."},{"family":"Garber","given":"G. E."},{"family":"Helterbrand","given":"J. D."},{"family":"Ely","given":"E. W."},{"family":"Fisher","given":"C. J."},{"literal":"Recombinant human protein C Worldwide Evaluation in Severe Sepsis (PROWESS) study group"}],"issued":{"date-parts":[["2001",3,8]]},"PMID":"11236773"}}],"schema":"https://github.com/citation-style-language/schema/raw/master/csl-citation.json"} </w:instrText>
      </w:r>
      <w:r w:rsidR="00CD4170" w:rsidRPr="007141B1">
        <w:rPr>
          <w:rFonts w:asciiTheme="minorHAnsi" w:hAnsiTheme="minorHAnsi"/>
          <w:color w:val="000000"/>
          <w:lang w:val="en-GB"/>
        </w:rPr>
        <w:fldChar w:fldCharType="separate"/>
      </w:r>
      <w:r w:rsidR="00CD4170" w:rsidRPr="007141B1">
        <w:rPr>
          <w:rFonts w:ascii="Calibri" w:hAnsi="Calibri" w:cs="Calibri"/>
          <w:lang w:val="en-GB"/>
        </w:rPr>
        <w:t>[1]</w:t>
      </w:r>
      <w:r w:rsidR="00CD4170" w:rsidRPr="007141B1">
        <w:rPr>
          <w:rFonts w:asciiTheme="minorHAnsi" w:hAnsiTheme="minorHAnsi"/>
          <w:color w:val="000000"/>
          <w:lang w:val="en-GB"/>
        </w:rPr>
        <w:fldChar w:fldCharType="end"/>
      </w:r>
      <w:r w:rsidRPr="007141B1">
        <w:rPr>
          <w:rFonts w:asciiTheme="minorHAnsi" w:hAnsiTheme="minorHAnsi"/>
          <w:color w:val="000000"/>
          <w:lang w:val="en-GB"/>
        </w:rPr>
        <w:t xml:space="preserve">, was </w:t>
      </w:r>
      <w:r w:rsidR="009F7B4A">
        <w:rPr>
          <w:rFonts w:asciiTheme="minorHAnsi" w:hAnsiTheme="minorHAnsi"/>
          <w:color w:val="000000"/>
          <w:lang w:val="en-GB"/>
        </w:rPr>
        <w:t>subsequently withdrawn</w:t>
      </w:r>
      <w:r w:rsidRPr="007141B1">
        <w:rPr>
          <w:rFonts w:asciiTheme="minorHAnsi" w:hAnsiTheme="minorHAnsi"/>
          <w:color w:val="000000"/>
          <w:lang w:val="en-GB"/>
        </w:rPr>
        <w:t xml:space="preserve"> </w:t>
      </w:r>
      <w:r w:rsidR="009F7B4A">
        <w:rPr>
          <w:rFonts w:asciiTheme="minorHAnsi" w:hAnsiTheme="minorHAnsi"/>
          <w:color w:val="000000"/>
          <w:lang w:val="en-GB"/>
        </w:rPr>
        <w:t>due to</w:t>
      </w:r>
      <w:r w:rsidR="00E65013" w:rsidRPr="007141B1">
        <w:rPr>
          <w:rFonts w:asciiTheme="minorHAnsi" w:hAnsiTheme="minorHAnsi"/>
          <w:color w:val="000000"/>
          <w:lang w:val="en-GB"/>
        </w:rPr>
        <w:t xml:space="preserve"> neutral results </w:t>
      </w:r>
      <w:r w:rsidR="009F7B4A">
        <w:rPr>
          <w:rFonts w:asciiTheme="minorHAnsi" w:hAnsiTheme="minorHAnsi"/>
          <w:color w:val="000000"/>
          <w:lang w:val="en-GB"/>
        </w:rPr>
        <w:t>in</w:t>
      </w:r>
      <w:r w:rsidR="009F7B4A" w:rsidRPr="007141B1">
        <w:rPr>
          <w:rFonts w:asciiTheme="minorHAnsi" w:hAnsiTheme="minorHAnsi"/>
          <w:color w:val="000000"/>
          <w:lang w:val="en-GB"/>
        </w:rPr>
        <w:t xml:space="preserve"> </w:t>
      </w:r>
      <w:r w:rsidRPr="007141B1">
        <w:rPr>
          <w:rFonts w:asciiTheme="minorHAnsi" w:hAnsiTheme="minorHAnsi"/>
          <w:color w:val="000000"/>
          <w:lang w:val="en-GB"/>
        </w:rPr>
        <w:t>the confirma</w:t>
      </w:r>
      <w:r w:rsidR="00E65013" w:rsidRPr="007141B1">
        <w:rPr>
          <w:rFonts w:asciiTheme="minorHAnsi" w:hAnsiTheme="minorHAnsi"/>
          <w:color w:val="000000"/>
          <w:lang w:val="en-GB"/>
        </w:rPr>
        <w:t>to</w:t>
      </w:r>
      <w:r w:rsidRPr="007141B1">
        <w:rPr>
          <w:rFonts w:asciiTheme="minorHAnsi" w:hAnsiTheme="minorHAnsi"/>
          <w:color w:val="000000"/>
          <w:lang w:val="en-GB"/>
        </w:rPr>
        <w:t>ry trial</w:t>
      </w:r>
      <w:r w:rsidR="006B160C" w:rsidRPr="007141B1">
        <w:rPr>
          <w:rFonts w:asciiTheme="minorHAnsi" w:hAnsiTheme="minorHAnsi"/>
          <w:color w:val="000000"/>
          <w:lang w:val="en-GB"/>
        </w:rPr>
        <w:t xml:space="preserve"> </w:t>
      </w:r>
      <w:r w:rsidR="00750403">
        <w:rPr>
          <w:rFonts w:asciiTheme="minorHAnsi" w:hAnsiTheme="minorHAnsi"/>
          <w:color w:val="000000"/>
          <w:lang w:val="en-GB"/>
        </w:rPr>
        <w:fldChar w:fldCharType="begin"/>
      </w:r>
      <w:r w:rsidR="00750403">
        <w:rPr>
          <w:rFonts w:asciiTheme="minorHAnsi" w:hAnsiTheme="minorHAnsi"/>
          <w:color w:val="000000"/>
          <w:lang w:val="en-GB"/>
        </w:rPr>
        <w:instrText xml:space="preserve"> ADDIN ZOTERO_ITEM CSL_CITATION {"citationID":"1mvpkn2u9k","properties":{"formattedCitation":"[2]","plainCitation":"[2]"},"citationItems":[{"id":203,"uris":["http://zotero.org/users/local/tmXAZSH1/items/3SD5JFGF"],"uri":["http://zotero.org/users/local/tmXAZSH1/items/3SD5JFGF"],"itemData":{"id":203,"type":"article-journal","title":"Drotrecogin alfa (activated) in adults with septic shock","container-title":"The New England Journal of Medicine","page":"2055-2064","volume":"366","issue":"22","source":"PubMed","abstract":"BACKGROUND: There have been conflicting reports on the efficacy of recombinant human activated protein C, or drotrecogin alfa (activated) (DrotAA), for the treatment of patients with septic shock.\nMETHODS: In this randomized, double-blind, placebo-controlled, multicenter trial, we assigned 1697 patients with infection, systemic inflammation, and shock who were receiving fluids and vasopressors above a threshold dose for 4 hours to receive either DrotAA (at a dose of 24 μg per kilogram of body weight per hour) or placebo for 96 hours. The primary outcome was death from any cause 28 days after randomization.\nRESULTS: At 28 days, 223 of 846 patients (26.4%) in the DrotAA group and 202 of 834 (24.2%) in the placebo group had died (relative risk in the DrotAA group, 1.09; 95% confidence interval [CI], 0.92 to 1.28; P=0.31). At 90 days, 287 of 842 patients (34.1%) in the DrotAA group and 269 of 822 (32.7%) in the placebo group had died (relative risk, 1.04; 95% CI, 0.90 to 1.19; P=0.56). Among patients with severe protein C deficiency at baseline, 98 of 342 (28.7%) in the DrotAA group had died at 28 days, as compared with 102 of 331 (30.8%) in the placebo group (risk ratio, 0.93; 95% CI, 0.74 to 1.17; P=0.54). Similarly, rates of death at 28 and 90 days were not significantly different in other predefined subgroups, including patients at increased risk for death. Serious bleeding during the treatment period occurred in 10 patients in the DrotAA group and 8 in the placebo group (P=0.81).\nCONCLUSIONS: DrotAA did not significantly reduce mortality at 28 or 90 days, as compared with placebo, in patients with septic shock. (Funded by Eli Lilly; PROWESS-SHOCK ClinicalTrials.gov number, NCT00604214.).","DOI":"10.1056/NEJMoa1202290","ISSN":"1533-4406","note":"PMID: 22616830","journalAbbreviation":"N. Engl. J. Med.","language":"eng","author":[{"family":"Ranieri","given":"V. Marco"},{"family":"Thompson","given":"B. Taylor"},{"family":"Barie","given":"Philip S."},{"family":"Dhainaut","given":"Jean-François"},{"family":"Douglas","given":"Ivor S."},{"family":"Finfer","given":"Simon"},{"family":"Gårdlund","given":"Bengt"},{"family":"Marshall","given":"John C."},{"family":"Rhodes","given":"Andrew"},{"family":"Artigas","given":"Antonio"},{"family":"Payen","given":"Didier"},{"family":"Tenhunen","given":"Jyrki"},{"family":"Al-Khalidi","given":"Hussein R."},{"family":"Thompson","given":"Vivian"},{"family":"Janes","given":"Jonathan"},{"family":"Macias","given":"William L."},{"family":"Vangerow","given":"Burkhard"},{"family":"Williams","given":"Mark D."},{"literal":"PROWESS-SHOCK Study Group"}],"issued":{"date-parts":[["2012",5,31]]},"PMID":"22616830"}}],"schema":"https://github.com/citation-style-language/schema/raw/master/csl-citation.json"} </w:instrText>
      </w:r>
      <w:r w:rsidR="00750403">
        <w:rPr>
          <w:rFonts w:asciiTheme="minorHAnsi" w:hAnsiTheme="minorHAnsi"/>
          <w:color w:val="000000"/>
          <w:lang w:val="en-GB"/>
        </w:rPr>
        <w:fldChar w:fldCharType="separate"/>
      </w:r>
      <w:r w:rsidR="00750403" w:rsidRPr="00C2575C">
        <w:rPr>
          <w:rFonts w:ascii="Calibri" w:hAnsi="Calibri"/>
          <w:lang w:val="en-US"/>
        </w:rPr>
        <w:t>[2]</w:t>
      </w:r>
      <w:r w:rsidR="00750403">
        <w:rPr>
          <w:rFonts w:asciiTheme="minorHAnsi" w:hAnsiTheme="minorHAnsi"/>
          <w:color w:val="000000"/>
          <w:lang w:val="en-GB"/>
        </w:rPr>
        <w:fldChar w:fldCharType="end"/>
      </w:r>
      <w:r w:rsidRPr="007141B1">
        <w:rPr>
          <w:rFonts w:asciiTheme="minorHAnsi" w:hAnsiTheme="minorHAnsi"/>
          <w:color w:val="000000"/>
          <w:lang w:val="en-GB"/>
        </w:rPr>
        <w:t xml:space="preserve">. </w:t>
      </w:r>
    </w:p>
    <w:p w:rsidR="009426F4" w:rsidRPr="007141B1" w:rsidRDefault="00DC4C33" w:rsidP="009426F4">
      <w:pPr>
        <w:spacing w:before="100" w:beforeAutospacing="1" w:after="100" w:afterAutospacing="1" w:line="360" w:lineRule="auto"/>
        <w:rPr>
          <w:rFonts w:asciiTheme="minorHAnsi" w:hAnsiTheme="minorHAnsi"/>
          <w:color w:val="000000"/>
          <w:lang w:val="en-GB"/>
        </w:rPr>
      </w:pPr>
      <w:r>
        <w:rPr>
          <w:rFonts w:asciiTheme="minorHAnsi" w:hAnsiTheme="minorHAnsi"/>
          <w:color w:val="000000"/>
          <w:lang w:val="en-GB"/>
        </w:rPr>
        <w:t>I</w:t>
      </w:r>
      <w:r w:rsidR="0000519D" w:rsidRPr="007141B1">
        <w:rPr>
          <w:rFonts w:asciiTheme="minorHAnsi" w:hAnsiTheme="minorHAnsi"/>
          <w:color w:val="000000"/>
          <w:lang w:val="en-GB"/>
        </w:rPr>
        <w:t xml:space="preserve">mportant lessons </w:t>
      </w:r>
      <w:r>
        <w:rPr>
          <w:rFonts w:asciiTheme="minorHAnsi" w:hAnsiTheme="minorHAnsi"/>
          <w:color w:val="000000"/>
          <w:lang w:val="en-GB"/>
        </w:rPr>
        <w:t>can</w:t>
      </w:r>
      <w:r w:rsidR="0000519D" w:rsidRPr="007141B1">
        <w:rPr>
          <w:rFonts w:asciiTheme="minorHAnsi" w:hAnsiTheme="minorHAnsi"/>
          <w:color w:val="000000"/>
          <w:lang w:val="en-GB"/>
        </w:rPr>
        <w:t xml:space="preserve"> be learned from recent advances in the understanding and treatment of cancer</w:t>
      </w:r>
      <w:r w:rsidR="009426F4" w:rsidRPr="007141B1">
        <w:rPr>
          <w:rFonts w:asciiTheme="minorHAnsi" w:hAnsiTheme="minorHAnsi"/>
          <w:color w:val="000000"/>
          <w:lang w:val="en-GB"/>
        </w:rPr>
        <w:t xml:space="preserve">. Targeted therapy is the result of </w:t>
      </w:r>
      <w:r>
        <w:rPr>
          <w:rFonts w:asciiTheme="minorHAnsi" w:hAnsiTheme="minorHAnsi"/>
          <w:color w:val="000000"/>
          <w:lang w:val="en-GB"/>
        </w:rPr>
        <w:t xml:space="preserve">a </w:t>
      </w:r>
      <w:r w:rsidR="009426F4" w:rsidRPr="007141B1">
        <w:rPr>
          <w:rFonts w:asciiTheme="minorHAnsi" w:hAnsiTheme="minorHAnsi"/>
          <w:color w:val="000000"/>
          <w:lang w:val="en-GB"/>
        </w:rPr>
        <w:t>centur</w:t>
      </w:r>
      <w:r>
        <w:rPr>
          <w:rFonts w:asciiTheme="minorHAnsi" w:hAnsiTheme="minorHAnsi"/>
          <w:color w:val="000000"/>
          <w:lang w:val="en-GB"/>
        </w:rPr>
        <w:t>y</w:t>
      </w:r>
      <w:r w:rsidR="009426F4" w:rsidRPr="007141B1">
        <w:rPr>
          <w:rFonts w:asciiTheme="minorHAnsi" w:hAnsiTheme="minorHAnsi"/>
          <w:color w:val="000000"/>
          <w:lang w:val="en-GB"/>
        </w:rPr>
        <w:t xml:space="preserve"> of research </w:t>
      </w:r>
      <w:r w:rsidR="00E65013" w:rsidRPr="007141B1">
        <w:rPr>
          <w:rFonts w:asciiTheme="minorHAnsi" w:hAnsiTheme="minorHAnsi"/>
          <w:color w:val="000000"/>
          <w:lang w:val="en-GB"/>
        </w:rPr>
        <w:t>i</w:t>
      </w:r>
      <w:r w:rsidR="009426F4" w:rsidRPr="007141B1">
        <w:rPr>
          <w:rFonts w:asciiTheme="minorHAnsi" w:hAnsiTheme="minorHAnsi"/>
          <w:color w:val="000000"/>
          <w:lang w:val="en-GB"/>
        </w:rPr>
        <w:t xml:space="preserve">n histological and anatomical classifications, understanding of global mechanisms of </w:t>
      </w:r>
      <w:r w:rsidR="00011609">
        <w:rPr>
          <w:rFonts w:asciiTheme="minorHAnsi" w:hAnsiTheme="minorHAnsi"/>
          <w:color w:val="000000"/>
          <w:lang w:val="en-GB"/>
        </w:rPr>
        <w:t>onc</w:t>
      </w:r>
      <w:r w:rsidR="00011609" w:rsidRPr="007141B1">
        <w:rPr>
          <w:rFonts w:asciiTheme="minorHAnsi" w:hAnsiTheme="minorHAnsi"/>
          <w:color w:val="000000"/>
          <w:lang w:val="en-GB"/>
        </w:rPr>
        <w:t xml:space="preserve">ogenesis </w:t>
      </w:r>
      <w:r w:rsidR="009426F4" w:rsidRPr="007141B1">
        <w:rPr>
          <w:rFonts w:asciiTheme="minorHAnsi" w:hAnsiTheme="minorHAnsi"/>
          <w:color w:val="000000"/>
          <w:lang w:val="en-GB"/>
        </w:rPr>
        <w:t>and anti-cancer immunity and</w:t>
      </w:r>
      <w:r w:rsidR="009F7B4A">
        <w:rPr>
          <w:rFonts w:asciiTheme="minorHAnsi" w:hAnsiTheme="minorHAnsi"/>
          <w:color w:val="000000"/>
          <w:lang w:val="en-GB"/>
        </w:rPr>
        <w:t>,</w:t>
      </w:r>
      <w:r w:rsidR="009426F4" w:rsidRPr="007141B1">
        <w:rPr>
          <w:rFonts w:asciiTheme="minorHAnsi" w:hAnsiTheme="minorHAnsi"/>
          <w:color w:val="000000"/>
          <w:lang w:val="en-GB"/>
        </w:rPr>
        <w:t xml:space="preserve"> ultimately, </w:t>
      </w:r>
      <w:r w:rsidR="00E65013" w:rsidRPr="007141B1">
        <w:rPr>
          <w:rFonts w:asciiTheme="minorHAnsi" w:hAnsiTheme="minorHAnsi"/>
          <w:color w:val="000000"/>
          <w:lang w:val="en-GB"/>
        </w:rPr>
        <w:t xml:space="preserve">the </w:t>
      </w:r>
      <w:r w:rsidR="009426F4" w:rsidRPr="007141B1">
        <w:rPr>
          <w:rFonts w:asciiTheme="minorHAnsi" w:hAnsiTheme="minorHAnsi"/>
          <w:color w:val="000000"/>
          <w:lang w:val="en-GB"/>
        </w:rPr>
        <w:t xml:space="preserve">demonstration of </w:t>
      </w:r>
      <w:r w:rsidR="009F7B4A">
        <w:rPr>
          <w:rFonts w:asciiTheme="minorHAnsi" w:hAnsiTheme="minorHAnsi"/>
          <w:color w:val="000000"/>
          <w:lang w:val="en-GB"/>
        </w:rPr>
        <w:t>highly</w:t>
      </w:r>
      <w:r w:rsidR="009F7B4A" w:rsidRPr="007141B1">
        <w:rPr>
          <w:rFonts w:asciiTheme="minorHAnsi" w:hAnsiTheme="minorHAnsi"/>
          <w:color w:val="000000"/>
          <w:lang w:val="en-GB"/>
        </w:rPr>
        <w:t xml:space="preserve"> </w:t>
      </w:r>
      <w:r w:rsidR="009426F4" w:rsidRPr="007141B1">
        <w:rPr>
          <w:rFonts w:asciiTheme="minorHAnsi" w:hAnsiTheme="minorHAnsi"/>
          <w:color w:val="000000"/>
          <w:lang w:val="en-GB"/>
        </w:rPr>
        <w:t xml:space="preserve">specific immunological signatures. </w:t>
      </w:r>
      <w:r>
        <w:rPr>
          <w:rFonts w:asciiTheme="minorHAnsi" w:hAnsiTheme="minorHAnsi"/>
          <w:color w:val="000000"/>
          <w:lang w:val="en-GB"/>
        </w:rPr>
        <w:t>This has enabled</w:t>
      </w:r>
      <w:r w:rsidR="009F7B4A">
        <w:rPr>
          <w:rFonts w:asciiTheme="minorHAnsi" w:hAnsiTheme="minorHAnsi"/>
          <w:color w:val="000000"/>
          <w:lang w:val="en-GB"/>
        </w:rPr>
        <w:t xml:space="preserve"> the</w:t>
      </w:r>
      <w:r>
        <w:rPr>
          <w:rFonts w:asciiTheme="minorHAnsi" w:hAnsiTheme="minorHAnsi"/>
          <w:color w:val="000000"/>
          <w:lang w:val="en-GB"/>
        </w:rPr>
        <w:t xml:space="preserve"> </w:t>
      </w:r>
      <w:r w:rsidR="009F7B4A">
        <w:rPr>
          <w:rFonts w:asciiTheme="minorHAnsi" w:hAnsiTheme="minorHAnsi"/>
          <w:color w:val="000000"/>
          <w:lang w:val="en-GB"/>
        </w:rPr>
        <w:t>design</w:t>
      </w:r>
      <w:r w:rsidR="009F7B4A" w:rsidRPr="007141B1">
        <w:rPr>
          <w:rFonts w:asciiTheme="minorHAnsi" w:hAnsiTheme="minorHAnsi"/>
          <w:color w:val="000000"/>
          <w:lang w:val="en-GB"/>
        </w:rPr>
        <w:t xml:space="preserve"> </w:t>
      </w:r>
      <w:r>
        <w:rPr>
          <w:rFonts w:asciiTheme="minorHAnsi" w:hAnsiTheme="minorHAnsi"/>
          <w:color w:val="000000"/>
          <w:lang w:val="en-GB"/>
        </w:rPr>
        <w:t>of</w:t>
      </w:r>
      <w:r w:rsidR="009426F4" w:rsidRPr="007141B1">
        <w:rPr>
          <w:rFonts w:asciiTheme="minorHAnsi" w:hAnsiTheme="minorHAnsi"/>
          <w:color w:val="000000"/>
          <w:lang w:val="en-GB"/>
        </w:rPr>
        <w:t xml:space="preserve"> </w:t>
      </w:r>
      <w:r w:rsidR="00E65013" w:rsidRPr="007141B1">
        <w:rPr>
          <w:rFonts w:asciiTheme="minorHAnsi" w:hAnsiTheme="minorHAnsi"/>
          <w:color w:val="000000"/>
          <w:lang w:val="en-GB"/>
        </w:rPr>
        <w:t xml:space="preserve">specific </w:t>
      </w:r>
      <w:r w:rsidR="009426F4" w:rsidRPr="007141B1">
        <w:rPr>
          <w:rFonts w:asciiTheme="minorHAnsi" w:hAnsiTheme="minorHAnsi"/>
          <w:color w:val="000000"/>
          <w:lang w:val="en-GB"/>
        </w:rPr>
        <w:t xml:space="preserve">drugs and successful clinical </w:t>
      </w:r>
      <w:r w:rsidR="00E65013" w:rsidRPr="007141B1">
        <w:rPr>
          <w:rFonts w:asciiTheme="minorHAnsi" w:hAnsiTheme="minorHAnsi"/>
          <w:color w:val="000000"/>
          <w:lang w:val="en-GB"/>
        </w:rPr>
        <w:t>trials</w:t>
      </w:r>
      <w:r w:rsidR="009426F4" w:rsidRPr="007141B1">
        <w:rPr>
          <w:rFonts w:asciiTheme="minorHAnsi" w:hAnsiTheme="minorHAnsi"/>
          <w:color w:val="000000"/>
          <w:lang w:val="en-GB"/>
        </w:rPr>
        <w:t xml:space="preserve">. </w:t>
      </w:r>
      <w:r w:rsidR="009F7B4A">
        <w:rPr>
          <w:rFonts w:asciiTheme="minorHAnsi" w:hAnsiTheme="minorHAnsi"/>
          <w:color w:val="000000"/>
          <w:lang w:val="en-GB"/>
        </w:rPr>
        <w:t>This</w:t>
      </w:r>
      <w:r w:rsidR="009F7B4A" w:rsidRPr="007141B1">
        <w:rPr>
          <w:rFonts w:asciiTheme="minorHAnsi" w:hAnsiTheme="minorHAnsi"/>
          <w:color w:val="000000"/>
          <w:lang w:val="en-GB"/>
        </w:rPr>
        <w:t xml:space="preserve"> </w:t>
      </w:r>
      <w:r w:rsidR="009426F4" w:rsidRPr="007141B1">
        <w:rPr>
          <w:rFonts w:asciiTheme="minorHAnsi" w:hAnsiTheme="minorHAnsi"/>
          <w:color w:val="000000"/>
          <w:lang w:val="en-GB"/>
        </w:rPr>
        <w:t>process</w:t>
      </w:r>
      <w:r w:rsidR="009F7B4A">
        <w:rPr>
          <w:rFonts w:asciiTheme="minorHAnsi" w:hAnsiTheme="minorHAnsi"/>
          <w:color w:val="000000"/>
          <w:lang w:val="en-GB"/>
        </w:rPr>
        <w:t>,</w:t>
      </w:r>
      <w:r w:rsidR="009426F4" w:rsidRPr="007141B1">
        <w:rPr>
          <w:rFonts w:asciiTheme="minorHAnsi" w:hAnsiTheme="minorHAnsi"/>
          <w:color w:val="000000"/>
          <w:lang w:val="en-GB"/>
        </w:rPr>
        <w:t xml:space="preserve"> only </w:t>
      </w:r>
      <w:r w:rsidR="00011609">
        <w:rPr>
          <w:rFonts w:asciiTheme="minorHAnsi" w:hAnsiTheme="minorHAnsi"/>
          <w:color w:val="000000"/>
          <w:lang w:val="en-GB"/>
        </w:rPr>
        <w:t>completed</w:t>
      </w:r>
      <w:r w:rsidR="009426F4" w:rsidRPr="007141B1">
        <w:rPr>
          <w:rFonts w:asciiTheme="minorHAnsi" w:hAnsiTheme="minorHAnsi"/>
          <w:color w:val="000000"/>
          <w:lang w:val="en-GB"/>
        </w:rPr>
        <w:t xml:space="preserve"> in </w:t>
      </w:r>
      <w:r w:rsidR="00E65013" w:rsidRPr="007141B1">
        <w:rPr>
          <w:rFonts w:asciiTheme="minorHAnsi" w:hAnsiTheme="minorHAnsi"/>
          <w:color w:val="000000"/>
          <w:lang w:val="en-GB"/>
        </w:rPr>
        <w:t xml:space="preserve">a </w:t>
      </w:r>
      <w:r w:rsidR="009426F4" w:rsidRPr="007141B1">
        <w:rPr>
          <w:rFonts w:asciiTheme="minorHAnsi" w:hAnsiTheme="minorHAnsi"/>
          <w:color w:val="000000"/>
          <w:lang w:val="en-GB"/>
        </w:rPr>
        <w:t xml:space="preserve">few </w:t>
      </w:r>
      <w:r w:rsidR="00E65013" w:rsidRPr="007141B1">
        <w:rPr>
          <w:rFonts w:asciiTheme="minorHAnsi" w:hAnsiTheme="minorHAnsi"/>
          <w:color w:val="000000"/>
          <w:lang w:val="en-GB"/>
        </w:rPr>
        <w:t>cancer</w:t>
      </w:r>
      <w:r w:rsidR="00011609">
        <w:rPr>
          <w:rFonts w:asciiTheme="minorHAnsi" w:hAnsiTheme="minorHAnsi"/>
          <w:color w:val="000000"/>
          <w:lang w:val="en-GB"/>
        </w:rPr>
        <w:t xml:space="preserve"> types</w:t>
      </w:r>
      <w:r w:rsidR="009F7B4A">
        <w:rPr>
          <w:rFonts w:asciiTheme="minorHAnsi" w:hAnsiTheme="minorHAnsi"/>
          <w:color w:val="000000"/>
          <w:lang w:val="en-GB"/>
        </w:rPr>
        <w:t xml:space="preserve"> and</w:t>
      </w:r>
      <w:r w:rsidR="009426F4" w:rsidRPr="007141B1">
        <w:rPr>
          <w:rFonts w:asciiTheme="minorHAnsi" w:hAnsiTheme="minorHAnsi"/>
          <w:color w:val="000000"/>
          <w:lang w:val="en-GB"/>
        </w:rPr>
        <w:t xml:space="preserve"> </w:t>
      </w:r>
      <w:r w:rsidR="009F7B4A">
        <w:rPr>
          <w:rFonts w:asciiTheme="minorHAnsi" w:hAnsiTheme="minorHAnsi"/>
          <w:color w:val="000000"/>
          <w:lang w:val="en-GB"/>
        </w:rPr>
        <w:t>leading to</w:t>
      </w:r>
      <w:r w:rsidR="009426F4" w:rsidRPr="007141B1">
        <w:rPr>
          <w:rFonts w:asciiTheme="minorHAnsi" w:hAnsiTheme="minorHAnsi"/>
          <w:color w:val="000000"/>
          <w:lang w:val="en-GB"/>
        </w:rPr>
        <w:t xml:space="preserve"> approval </w:t>
      </w:r>
      <w:r w:rsidR="00E65013" w:rsidRPr="007141B1">
        <w:rPr>
          <w:rFonts w:asciiTheme="minorHAnsi" w:hAnsiTheme="minorHAnsi"/>
          <w:color w:val="000000"/>
          <w:lang w:val="en-GB"/>
        </w:rPr>
        <w:t>of</w:t>
      </w:r>
      <w:r w:rsidR="009F7B4A">
        <w:rPr>
          <w:rFonts w:asciiTheme="minorHAnsi" w:hAnsiTheme="minorHAnsi"/>
          <w:color w:val="000000"/>
          <w:lang w:val="en-GB"/>
        </w:rPr>
        <w:t xml:space="preserve"> some</w:t>
      </w:r>
      <w:r w:rsidR="00E65013" w:rsidRPr="007141B1">
        <w:rPr>
          <w:rFonts w:asciiTheme="minorHAnsi" w:hAnsiTheme="minorHAnsi"/>
          <w:color w:val="000000"/>
          <w:lang w:val="en-GB"/>
        </w:rPr>
        <w:t xml:space="preserve"> very expensive new drugs, </w:t>
      </w:r>
      <w:r w:rsidR="009426F4" w:rsidRPr="007141B1">
        <w:rPr>
          <w:rFonts w:asciiTheme="minorHAnsi" w:hAnsiTheme="minorHAnsi"/>
          <w:color w:val="000000"/>
          <w:lang w:val="en-GB"/>
        </w:rPr>
        <w:t>may serve as a</w:t>
      </w:r>
      <w:r w:rsidR="00011609">
        <w:rPr>
          <w:rFonts w:asciiTheme="minorHAnsi" w:hAnsiTheme="minorHAnsi"/>
          <w:color w:val="000000"/>
          <w:lang w:val="en-GB"/>
        </w:rPr>
        <w:t>n example for sepsis research.</w:t>
      </w:r>
    </w:p>
    <w:p w:rsidR="009426F4" w:rsidRPr="007141B1" w:rsidRDefault="00E65013" w:rsidP="009426F4">
      <w:pPr>
        <w:spacing w:before="100" w:beforeAutospacing="1" w:after="100" w:afterAutospacing="1" w:line="360" w:lineRule="auto"/>
        <w:rPr>
          <w:rFonts w:asciiTheme="minorHAnsi" w:hAnsiTheme="minorHAnsi"/>
          <w:color w:val="000000"/>
          <w:lang w:val="en-GB"/>
        </w:rPr>
      </w:pPr>
      <w:r w:rsidRPr="007141B1">
        <w:rPr>
          <w:rFonts w:asciiTheme="minorHAnsi" w:hAnsiTheme="minorHAnsi"/>
          <w:color w:val="000000"/>
          <w:lang w:val="en-GB"/>
        </w:rPr>
        <w:t>For</w:t>
      </w:r>
      <w:r w:rsidR="009426F4" w:rsidRPr="007141B1">
        <w:rPr>
          <w:rFonts w:asciiTheme="minorHAnsi" w:hAnsiTheme="minorHAnsi"/>
          <w:color w:val="000000"/>
          <w:lang w:val="en-GB"/>
        </w:rPr>
        <w:t xml:space="preserve"> more than 30 years, </w:t>
      </w:r>
      <w:r w:rsidR="009F7B4A">
        <w:rPr>
          <w:rFonts w:asciiTheme="minorHAnsi" w:hAnsiTheme="minorHAnsi"/>
          <w:color w:val="000000"/>
          <w:lang w:val="en-GB"/>
        </w:rPr>
        <w:t>multiple</w:t>
      </w:r>
      <w:r w:rsidR="009F7B4A" w:rsidRPr="007141B1">
        <w:rPr>
          <w:rFonts w:asciiTheme="minorHAnsi" w:hAnsiTheme="minorHAnsi"/>
          <w:color w:val="000000"/>
          <w:lang w:val="en-GB"/>
        </w:rPr>
        <w:t xml:space="preserve"> </w:t>
      </w:r>
      <w:r w:rsidR="009426F4" w:rsidRPr="007141B1">
        <w:rPr>
          <w:rFonts w:asciiTheme="minorHAnsi" w:hAnsiTheme="minorHAnsi"/>
          <w:color w:val="000000"/>
          <w:lang w:val="en-GB"/>
        </w:rPr>
        <w:t xml:space="preserve">editorials and reviews </w:t>
      </w:r>
      <w:r w:rsidR="00D02B6A" w:rsidRPr="007141B1">
        <w:rPr>
          <w:rFonts w:asciiTheme="minorHAnsi" w:hAnsiTheme="minorHAnsi"/>
          <w:color w:val="000000"/>
          <w:lang w:val="en-GB"/>
        </w:rPr>
        <w:t xml:space="preserve">have </w:t>
      </w:r>
      <w:r w:rsidR="001344F0">
        <w:rPr>
          <w:rFonts w:asciiTheme="minorHAnsi" w:hAnsiTheme="minorHAnsi"/>
          <w:color w:val="000000"/>
          <w:lang w:val="en-GB"/>
        </w:rPr>
        <w:t xml:space="preserve">emphasised </w:t>
      </w:r>
      <w:r w:rsidR="009426F4" w:rsidRPr="007141B1">
        <w:rPr>
          <w:rFonts w:asciiTheme="minorHAnsi" w:hAnsiTheme="minorHAnsi"/>
          <w:color w:val="000000"/>
          <w:lang w:val="en-GB"/>
        </w:rPr>
        <w:t>that sepsis is a heterogeneous syndrome, depending on the infectious process</w:t>
      </w:r>
      <w:r w:rsidRPr="007141B1">
        <w:rPr>
          <w:rFonts w:asciiTheme="minorHAnsi" w:hAnsiTheme="minorHAnsi"/>
          <w:color w:val="000000"/>
          <w:lang w:val="en-GB"/>
        </w:rPr>
        <w:t xml:space="preserve"> (e.g.</w:t>
      </w:r>
      <w:r w:rsidR="0000519D" w:rsidRPr="007141B1">
        <w:rPr>
          <w:rFonts w:asciiTheme="minorHAnsi" w:hAnsiTheme="minorHAnsi"/>
          <w:color w:val="000000"/>
          <w:lang w:val="en-GB"/>
        </w:rPr>
        <w:t>,</w:t>
      </w:r>
      <w:r w:rsidRPr="007141B1">
        <w:rPr>
          <w:rFonts w:asciiTheme="minorHAnsi" w:hAnsiTheme="minorHAnsi"/>
          <w:color w:val="000000"/>
          <w:lang w:val="en-GB"/>
        </w:rPr>
        <w:t xml:space="preserve"> </w:t>
      </w:r>
      <w:r w:rsidR="00D02B6A" w:rsidRPr="007141B1">
        <w:rPr>
          <w:rFonts w:asciiTheme="minorHAnsi" w:hAnsiTheme="minorHAnsi"/>
          <w:color w:val="000000"/>
          <w:lang w:val="en-GB"/>
        </w:rPr>
        <w:t>m</w:t>
      </w:r>
      <w:r w:rsidRPr="007141B1">
        <w:rPr>
          <w:rFonts w:asciiTheme="minorHAnsi" w:hAnsiTheme="minorHAnsi"/>
          <w:color w:val="000000"/>
          <w:lang w:val="en-GB"/>
        </w:rPr>
        <w:t>icroorganism</w:t>
      </w:r>
      <w:r w:rsidR="00D02B6A" w:rsidRPr="007141B1">
        <w:rPr>
          <w:rFonts w:asciiTheme="minorHAnsi" w:hAnsiTheme="minorHAnsi"/>
          <w:color w:val="000000"/>
          <w:lang w:val="en-GB"/>
        </w:rPr>
        <w:t>, focus</w:t>
      </w:r>
      <w:r w:rsidRPr="007141B1">
        <w:rPr>
          <w:rFonts w:asciiTheme="minorHAnsi" w:hAnsiTheme="minorHAnsi"/>
          <w:color w:val="000000"/>
          <w:lang w:val="en-GB"/>
        </w:rPr>
        <w:t xml:space="preserve"> and </w:t>
      </w:r>
      <w:r w:rsidR="00011609">
        <w:rPr>
          <w:rFonts w:asciiTheme="minorHAnsi" w:hAnsiTheme="minorHAnsi"/>
          <w:color w:val="000000"/>
          <w:lang w:val="en-GB"/>
        </w:rPr>
        <w:t>speed</w:t>
      </w:r>
      <w:r w:rsidR="009426F4" w:rsidRPr="007141B1">
        <w:rPr>
          <w:rFonts w:asciiTheme="minorHAnsi" w:hAnsiTheme="minorHAnsi"/>
          <w:color w:val="000000"/>
          <w:lang w:val="en-GB"/>
        </w:rPr>
        <w:t xml:space="preserve"> of </w:t>
      </w:r>
      <w:r w:rsidR="00654437">
        <w:rPr>
          <w:rFonts w:asciiTheme="minorHAnsi" w:hAnsiTheme="minorHAnsi"/>
          <w:color w:val="000000"/>
          <w:lang w:val="en-GB"/>
        </w:rPr>
        <w:t>evolution</w:t>
      </w:r>
      <w:r w:rsidR="009426F4" w:rsidRPr="007141B1">
        <w:rPr>
          <w:rFonts w:asciiTheme="minorHAnsi" w:hAnsiTheme="minorHAnsi"/>
          <w:color w:val="000000"/>
          <w:lang w:val="en-GB"/>
        </w:rPr>
        <w:t xml:space="preserve">) and </w:t>
      </w:r>
      <w:r w:rsidRPr="007141B1">
        <w:rPr>
          <w:rFonts w:asciiTheme="minorHAnsi" w:hAnsiTheme="minorHAnsi"/>
          <w:color w:val="000000"/>
          <w:lang w:val="en-GB"/>
        </w:rPr>
        <w:t xml:space="preserve">on the </w:t>
      </w:r>
      <w:r w:rsidR="009426F4" w:rsidRPr="007141B1">
        <w:rPr>
          <w:rFonts w:asciiTheme="minorHAnsi" w:hAnsiTheme="minorHAnsi"/>
          <w:color w:val="000000"/>
          <w:lang w:val="en-GB"/>
        </w:rPr>
        <w:t xml:space="preserve">specific </w:t>
      </w:r>
      <w:r w:rsidR="00CC1AB2" w:rsidRPr="007141B1">
        <w:rPr>
          <w:rFonts w:asciiTheme="minorHAnsi" w:hAnsiTheme="minorHAnsi"/>
          <w:color w:val="000000"/>
          <w:lang w:val="en-GB"/>
        </w:rPr>
        <w:t>innate and adaptive</w:t>
      </w:r>
      <w:r w:rsidR="00CC1AB2">
        <w:rPr>
          <w:rFonts w:asciiTheme="minorHAnsi" w:hAnsiTheme="minorHAnsi"/>
          <w:color w:val="000000"/>
          <w:lang w:val="en-GB"/>
        </w:rPr>
        <w:t xml:space="preserve"> immune</w:t>
      </w:r>
      <w:r w:rsidR="00CC1AB2" w:rsidRPr="007141B1">
        <w:rPr>
          <w:rFonts w:asciiTheme="minorHAnsi" w:hAnsiTheme="minorHAnsi"/>
          <w:color w:val="000000"/>
          <w:lang w:val="en-GB"/>
        </w:rPr>
        <w:t xml:space="preserve"> </w:t>
      </w:r>
      <w:r w:rsidR="009426F4" w:rsidRPr="007141B1">
        <w:rPr>
          <w:rFonts w:asciiTheme="minorHAnsi" w:hAnsiTheme="minorHAnsi"/>
          <w:color w:val="000000"/>
          <w:lang w:val="en-GB"/>
        </w:rPr>
        <w:t xml:space="preserve">response of </w:t>
      </w:r>
      <w:r w:rsidR="00CC1AB2">
        <w:rPr>
          <w:rFonts w:asciiTheme="minorHAnsi" w:hAnsiTheme="minorHAnsi"/>
          <w:color w:val="000000"/>
          <w:lang w:val="en-GB"/>
        </w:rPr>
        <w:t>an individual</w:t>
      </w:r>
      <w:r w:rsidRPr="007141B1">
        <w:rPr>
          <w:rFonts w:asciiTheme="minorHAnsi" w:hAnsiTheme="minorHAnsi"/>
          <w:color w:val="000000"/>
          <w:lang w:val="en-GB"/>
        </w:rPr>
        <w:t xml:space="preserve"> patient</w:t>
      </w:r>
      <w:r w:rsidR="00D06366">
        <w:rPr>
          <w:rFonts w:asciiTheme="minorHAnsi" w:hAnsiTheme="minorHAnsi"/>
          <w:color w:val="000000"/>
          <w:lang w:val="en-GB"/>
        </w:rPr>
        <w:t xml:space="preserve"> (Fig. 1)</w:t>
      </w:r>
      <w:r w:rsidR="009426F4" w:rsidRPr="007141B1">
        <w:rPr>
          <w:rFonts w:asciiTheme="minorHAnsi" w:hAnsiTheme="minorHAnsi"/>
          <w:color w:val="000000"/>
          <w:lang w:val="en-GB"/>
        </w:rPr>
        <w:t xml:space="preserve">. </w:t>
      </w:r>
      <w:r w:rsidR="001344F0">
        <w:rPr>
          <w:rFonts w:asciiTheme="minorHAnsi" w:hAnsiTheme="minorHAnsi"/>
          <w:color w:val="000000"/>
          <w:lang w:val="en-GB"/>
        </w:rPr>
        <w:t>In hindsight</w:t>
      </w:r>
      <w:r w:rsidRPr="007141B1">
        <w:rPr>
          <w:rFonts w:asciiTheme="minorHAnsi" w:hAnsiTheme="minorHAnsi"/>
          <w:color w:val="000000"/>
          <w:lang w:val="en-GB"/>
        </w:rPr>
        <w:t>, i</w:t>
      </w:r>
      <w:r w:rsidR="009426F4" w:rsidRPr="007141B1">
        <w:rPr>
          <w:rFonts w:asciiTheme="minorHAnsi" w:hAnsiTheme="minorHAnsi"/>
          <w:color w:val="000000"/>
          <w:lang w:val="en-GB"/>
        </w:rPr>
        <w:t>t was</w:t>
      </w:r>
      <w:r w:rsidRPr="007141B1">
        <w:rPr>
          <w:rFonts w:asciiTheme="minorHAnsi" w:hAnsiTheme="minorHAnsi"/>
          <w:color w:val="000000"/>
          <w:lang w:val="en-GB"/>
        </w:rPr>
        <w:t xml:space="preserve"> naive</w:t>
      </w:r>
      <w:r w:rsidR="009426F4" w:rsidRPr="007141B1">
        <w:rPr>
          <w:rFonts w:asciiTheme="minorHAnsi" w:hAnsiTheme="minorHAnsi"/>
          <w:color w:val="000000"/>
          <w:lang w:val="en-GB"/>
        </w:rPr>
        <w:t xml:space="preserve"> to </w:t>
      </w:r>
      <w:r w:rsidR="00CC1AB2">
        <w:rPr>
          <w:rFonts w:asciiTheme="minorHAnsi" w:hAnsiTheme="minorHAnsi"/>
          <w:color w:val="000000"/>
          <w:lang w:val="en-GB"/>
        </w:rPr>
        <w:t>believe</w:t>
      </w:r>
      <w:r w:rsidR="00CC1AB2" w:rsidRPr="007141B1">
        <w:rPr>
          <w:rFonts w:asciiTheme="minorHAnsi" w:hAnsiTheme="minorHAnsi"/>
          <w:color w:val="000000"/>
          <w:lang w:val="en-GB"/>
        </w:rPr>
        <w:t xml:space="preserve"> </w:t>
      </w:r>
      <w:r w:rsidR="009426F4" w:rsidRPr="007141B1">
        <w:rPr>
          <w:rFonts w:asciiTheme="minorHAnsi" w:hAnsiTheme="minorHAnsi"/>
          <w:color w:val="000000"/>
          <w:lang w:val="en-GB"/>
        </w:rPr>
        <w:t>that one drug w</w:t>
      </w:r>
      <w:r w:rsidRPr="007141B1">
        <w:rPr>
          <w:rFonts w:asciiTheme="minorHAnsi" w:hAnsiTheme="minorHAnsi"/>
          <w:color w:val="000000"/>
          <w:lang w:val="en-GB"/>
        </w:rPr>
        <w:t>ould</w:t>
      </w:r>
      <w:r w:rsidR="009426F4" w:rsidRPr="007141B1">
        <w:rPr>
          <w:rFonts w:asciiTheme="minorHAnsi" w:hAnsiTheme="minorHAnsi"/>
          <w:color w:val="000000"/>
          <w:lang w:val="en-GB"/>
        </w:rPr>
        <w:t xml:space="preserve"> suit all cases, act on all the components of this complex phenomenon</w:t>
      </w:r>
      <w:r w:rsidR="005B5282">
        <w:rPr>
          <w:rFonts w:asciiTheme="minorHAnsi" w:hAnsiTheme="minorHAnsi"/>
          <w:color w:val="000000"/>
          <w:lang w:val="en-GB"/>
        </w:rPr>
        <w:t>,</w:t>
      </w:r>
      <w:r w:rsidR="009426F4" w:rsidRPr="007141B1">
        <w:rPr>
          <w:rFonts w:asciiTheme="minorHAnsi" w:hAnsiTheme="minorHAnsi"/>
          <w:color w:val="000000"/>
          <w:lang w:val="en-GB"/>
        </w:rPr>
        <w:t xml:space="preserve"> and improve </w:t>
      </w:r>
      <w:r w:rsidR="00DC4C33" w:rsidRPr="007141B1">
        <w:rPr>
          <w:rFonts w:asciiTheme="minorHAnsi" w:hAnsiTheme="minorHAnsi"/>
          <w:color w:val="000000"/>
          <w:lang w:val="en-GB"/>
        </w:rPr>
        <w:t xml:space="preserve">outcome </w:t>
      </w:r>
      <w:r w:rsidR="00DC4C33">
        <w:rPr>
          <w:rFonts w:asciiTheme="minorHAnsi" w:hAnsiTheme="minorHAnsi"/>
          <w:color w:val="000000"/>
          <w:lang w:val="en-GB"/>
        </w:rPr>
        <w:t xml:space="preserve">for all </w:t>
      </w:r>
      <w:r w:rsidR="009426F4" w:rsidRPr="007141B1">
        <w:rPr>
          <w:rFonts w:asciiTheme="minorHAnsi" w:hAnsiTheme="minorHAnsi"/>
          <w:color w:val="000000"/>
          <w:lang w:val="en-GB"/>
        </w:rPr>
        <w:t xml:space="preserve">patients. </w:t>
      </w:r>
    </w:p>
    <w:p w:rsidR="00716554" w:rsidRDefault="009426F4" w:rsidP="009426F4">
      <w:pPr>
        <w:spacing w:before="100" w:beforeAutospacing="1" w:after="100" w:afterAutospacing="1" w:line="360" w:lineRule="auto"/>
        <w:rPr>
          <w:rFonts w:asciiTheme="minorHAnsi" w:hAnsiTheme="minorHAnsi"/>
          <w:color w:val="000000"/>
          <w:lang w:val="en-GB"/>
        </w:rPr>
      </w:pPr>
      <w:r w:rsidRPr="007141B1">
        <w:rPr>
          <w:rFonts w:asciiTheme="minorHAnsi" w:hAnsiTheme="minorHAnsi"/>
          <w:color w:val="000000"/>
          <w:lang w:val="en-GB"/>
        </w:rPr>
        <w:t xml:space="preserve">It is now time to </w:t>
      </w:r>
      <w:r w:rsidR="0000519D" w:rsidRPr="007141B1">
        <w:rPr>
          <w:rFonts w:asciiTheme="minorHAnsi" w:hAnsiTheme="minorHAnsi"/>
          <w:color w:val="000000"/>
          <w:lang w:val="en-GB"/>
        </w:rPr>
        <w:t>go</w:t>
      </w:r>
      <w:r w:rsidR="00CD4170" w:rsidRPr="007141B1">
        <w:rPr>
          <w:rFonts w:asciiTheme="minorHAnsi" w:hAnsiTheme="minorHAnsi"/>
          <w:color w:val="000000"/>
          <w:lang w:val="en-GB"/>
        </w:rPr>
        <w:t xml:space="preserve"> back to the drawing board </w:t>
      </w:r>
      <w:r w:rsidR="00CD4170" w:rsidRPr="007141B1">
        <w:rPr>
          <w:rFonts w:asciiTheme="minorHAnsi" w:hAnsiTheme="minorHAnsi"/>
          <w:color w:val="000000"/>
          <w:lang w:val="en-GB"/>
        </w:rPr>
        <w:fldChar w:fldCharType="begin"/>
      </w:r>
      <w:r w:rsidR="00750403">
        <w:rPr>
          <w:rFonts w:asciiTheme="minorHAnsi" w:hAnsiTheme="minorHAnsi"/>
          <w:color w:val="000000"/>
          <w:lang w:val="en-GB"/>
        </w:rPr>
        <w:instrText xml:space="preserve"> ADDIN ZOTERO_ITEM CSL_CITATION {"citationID":"2bpf8utip8","properties":{"formattedCitation":"[3]","plainCitation":"[3]"},"citationItems":[{"id":4,"uris":["http://zotero.org/users/local/ZaW79YVG/items/MPWFAJAA"],"uri":["http://zotero.org/users/local/ZaW79YVG/items/MPWFAJAA"],"itemData":{"id":4,"type":"article-journal","title":"The search for effective therapy for sepsis: back to the drawing board?","container-title":"JAMA","page":"2614-2615","volume":"306","issue":"23","source":"PubMed","DOI":"10.1001/jama.2011.1853","ISSN":"1538-3598","note":"PMID: 22187284","shortTitle":"The search for effective therapy for sepsis","journalAbbreviation":"JAMA","language":"eng","author":[{"family":"Angus","given":"Derek C."}],"issued":{"date-parts":[["2011",12,21]]},"PMID":"22187284"}}],"schema":"https://github.com/citation-style-language/schema/raw/master/csl-citation.json"} </w:instrText>
      </w:r>
      <w:r w:rsidR="00CD4170" w:rsidRPr="007141B1">
        <w:rPr>
          <w:rFonts w:asciiTheme="minorHAnsi" w:hAnsiTheme="minorHAnsi"/>
          <w:color w:val="000000"/>
          <w:lang w:val="en-GB"/>
        </w:rPr>
        <w:fldChar w:fldCharType="separate"/>
      </w:r>
      <w:r w:rsidR="00750403" w:rsidRPr="00C2575C">
        <w:rPr>
          <w:rFonts w:ascii="Calibri" w:hAnsi="Calibri"/>
          <w:lang w:val="en-US"/>
        </w:rPr>
        <w:t>[3]</w:t>
      </w:r>
      <w:r w:rsidR="00CD4170" w:rsidRPr="007141B1">
        <w:rPr>
          <w:rFonts w:asciiTheme="minorHAnsi" w:hAnsiTheme="minorHAnsi"/>
          <w:color w:val="000000"/>
          <w:lang w:val="en-GB"/>
        </w:rPr>
        <w:fldChar w:fldCharType="end"/>
      </w:r>
      <w:r w:rsidRPr="007141B1">
        <w:rPr>
          <w:rFonts w:asciiTheme="minorHAnsi" w:hAnsiTheme="minorHAnsi"/>
          <w:color w:val="000000"/>
          <w:lang w:val="en-GB"/>
        </w:rPr>
        <w:t xml:space="preserve">. </w:t>
      </w:r>
      <w:r w:rsidR="00CC1AB2" w:rsidRPr="007141B1">
        <w:rPr>
          <w:rFonts w:asciiTheme="minorHAnsi" w:hAnsiTheme="minorHAnsi"/>
          <w:color w:val="000000"/>
          <w:lang w:val="en-GB"/>
        </w:rPr>
        <w:t xml:space="preserve">The classification of patients is still </w:t>
      </w:r>
      <w:r w:rsidR="00CC1AB2">
        <w:rPr>
          <w:rFonts w:asciiTheme="minorHAnsi" w:hAnsiTheme="minorHAnsi"/>
          <w:color w:val="000000"/>
          <w:lang w:val="en-GB"/>
        </w:rPr>
        <w:t>non-specific</w:t>
      </w:r>
      <w:r w:rsidR="00CC1AB2" w:rsidRPr="007141B1">
        <w:rPr>
          <w:rFonts w:asciiTheme="minorHAnsi" w:hAnsiTheme="minorHAnsi"/>
          <w:color w:val="000000"/>
          <w:lang w:val="en-GB"/>
        </w:rPr>
        <w:t>, even using the new definitions</w:t>
      </w:r>
      <w:r w:rsidR="00CC1AB2">
        <w:rPr>
          <w:rFonts w:asciiTheme="minorHAnsi" w:hAnsiTheme="minorHAnsi"/>
          <w:color w:val="000000"/>
          <w:lang w:val="en-GB"/>
        </w:rPr>
        <w:t xml:space="preserve"> </w:t>
      </w:r>
      <w:r w:rsidR="00CC1AB2" w:rsidRPr="007141B1">
        <w:rPr>
          <w:rFonts w:asciiTheme="minorHAnsi" w:hAnsiTheme="minorHAnsi"/>
          <w:color w:val="000000"/>
          <w:lang w:val="en-GB"/>
        </w:rPr>
        <w:fldChar w:fldCharType="begin"/>
      </w:r>
      <w:r w:rsidR="00CC1AB2">
        <w:rPr>
          <w:rFonts w:asciiTheme="minorHAnsi" w:hAnsiTheme="minorHAnsi"/>
          <w:color w:val="000000"/>
          <w:lang w:val="en-GB"/>
        </w:rPr>
        <w:instrText xml:space="preserve"> ADDIN ZOTERO_ITEM CSL_CITATION {"citationID":"alorkndff","properties":{"formattedCitation":"[4]","plainCitation":"[4]"},"citationItems":[{"id":6,"uris":["http://zotero.org/users/local/ZaW79YVG/items/AT2V5RES"],"uri":["http://zotero.org/users/local/ZaW79YVG/items/AT2V5RES"],"itemData":{"id":6,"type":"article-journal","title":"The Third International Consensus Definitions for Sepsis and Septic Shock (Sepsis-3)","container-title":"JAMA","page":"801-810","volume":"315","issue":"8","source":"PubMed","abstract":"IMPORTANCE: Definitions of sepsis and septic shock were last revised in 2001. Considerable advances have since been made into the pathobiology (changes in organ function, morphology, cell biology, biochemistry, immunology, and circulation), management, and epidemiology of sepsis, suggesting the need for reexamination.\nOBJECTIVE: To evaluate and, as needed, update definitions for sepsis and septic shock.\nPROCESS: A task force (n = 19) with expertise in sepsis pathobiology, clinical trials, and epidemiology was convened by the Society of Critical Care Medicine and the European Society of Intensive Care Medicine. Definitions and clinical criteria were generated through meetings, Delphi processes, analysis of electronic health record databases, and voting, followed by circulation to international professional societies, requesting peer review and endorsement (by 31 societies listed in the Acknowledgment).\nKEY FINDINGS FROM EVIDENCE SYNTHESIS: Limitations of previous definitions included an excessive focus on inflammation, the misleading model that sepsis follows a continuum through severe sepsis to shock, and inadequate specificity and sensitivity of the systemic inflammatory response syndrome (SIRS) criteria. Multiple definitions and terminologies are currently in use for sepsis, septic shock, and organ dysfunction, leading to discrepancies in reported incidence and observed mortality. The task force concluded the term severe sepsis was redundant.\nRECOMMENDATIONS: Sepsis should be defined as life-threatening organ dysfunction caused by a dysregulated host response to infection. For clinical operationalization, organ dysfunction can be represented by an increase in the Sequential [Sepsis-related] Organ Failure Assessment (SOFA) score of 2 points or more, which is associated with an in-hospital mortality greater than 10%. Septic shock should be defined as a subset of sepsis in which particularly profound circulatory, cellular, and metabolic abnormalities are associated with a greater risk of mortality than with sepsis alone. Patients with septic shock can be clinically identified by a vasopressor requirement to maintain a mean arterial pressure of 65 mm Hg or greater and serum lactate level greater than 2 mmol/L (&gt;18 mg/dL) in the absence of hypovolemia. This combination is associated with hospital mortality rates greater than 40%. In out-of-hospital, emergency department, or general hospital ward settings, adult patients with suspected infection can be rapidly identified as being more likely to have poor outcomes typical of sepsis if they have at least 2 of the following clinical criteria that together constitute a new bedside clinical score termed quickSOFA (qSOFA): respiratory rate of 22/min or greater, altered mentation, or systolic blood pressure of 100 mm Hg or less.\nCONCLUSIONS AND RELEVANCE: These updated definitions and clinical criteria should replace previous definitions, offer greater consistency for epidemiologic studies and clinical trials, and facilitate earlier recognition and more timely management of patients with sepsis or at risk of developing sepsis.","DOI":"10.1001/jama.2016.0287","ISSN":"1538-3598","note":"PMID: 26903338\nPMCID: PMC4968574","journalAbbreviation":"JAMA","language":"eng","author":[{"family":"Singer","given":"Mervyn"},{"family":"Deutschman","given":"Clifford S."},{"family":"Seymour","given":"Christopher Warren"},{"family":"Shankar-Hari","given":"Manu"},{"family":"Annane","given":"Djillali"},{"family":"Bauer","given":"Michael"},{"family":"Bellomo","given":"Rinaldo"},{"family":"Bernard","given":"Gordon R."},{"family":"Chiche","given":"Jean-Daniel"},{"family":"Coopersmith","given":"Craig M."},{"family":"Hotchkiss","given":"Richard S."},{"family":"Levy","given":"Mitchell M."},{"family":"Marshall","given":"John C."},{"family":"Martin","given":"Greg S."},{"family":"Opal","given":"Steven M."},{"family":"Rubenfeld","given":"Gordon D."},{"family":"Poll","given":"Tom","non-dropping-particle":"van der"},{"family":"Vincent","given":"Jean-Louis"},{"family":"Angus","given":"Derek C."}],"issued":{"date-parts":[["2016",2,23]]},"PMID":"26903338","PMCID":"PMC4968574"}}],"schema":"https://github.com/citation-style-language/schema/raw/master/csl-citation.json"} </w:instrText>
      </w:r>
      <w:r w:rsidR="00CC1AB2" w:rsidRPr="007141B1">
        <w:rPr>
          <w:rFonts w:asciiTheme="minorHAnsi" w:hAnsiTheme="minorHAnsi"/>
          <w:color w:val="000000"/>
          <w:lang w:val="en-GB"/>
        </w:rPr>
        <w:fldChar w:fldCharType="separate"/>
      </w:r>
      <w:r w:rsidR="00CC1AB2" w:rsidRPr="00C2575C">
        <w:rPr>
          <w:rFonts w:ascii="Calibri" w:hAnsi="Calibri"/>
          <w:lang w:val="en-US"/>
        </w:rPr>
        <w:t>[4]</w:t>
      </w:r>
      <w:r w:rsidR="00CC1AB2" w:rsidRPr="007141B1">
        <w:rPr>
          <w:rFonts w:asciiTheme="minorHAnsi" w:hAnsiTheme="minorHAnsi"/>
          <w:color w:val="000000"/>
          <w:lang w:val="en-GB"/>
        </w:rPr>
        <w:fldChar w:fldCharType="end"/>
      </w:r>
      <w:r w:rsidR="00CC1AB2">
        <w:rPr>
          <w:rFonts w:asciiTheme="minorHAnsi" w:hAnsiTheme="minorHAnsi"/>
          <w:color w:val="000000"/>
          <w:lang w:val="en-GB"/>
        </w:rPr>
        <w:t xml:space="preserve">. </w:t>
      </w:r>
      <w:r w:rsidRPr="007141B1">
        <w:rPr>
          <w:rFonts w:asciiTheme="minorHAnsi" w:hAnsiTheme="minorHAnsi"/>
          <w:color w:val="000000"/>
          <w:lang w:val="en-GB"/>
        </w:rPr>
        <w:t>We</w:t>
      </w:r>
      <w:r w:rsidR="00CC1AB2">
        <w:rPr>
          <w:rFonts w:asciiTheme="minorHAnsi" w:hAnsiTheme="minorHAnsi"/>
          <w:color w:val="000000"/>
          <w:lang w:val="en-GB"/>
        </w:rPr>
        <w:t xml:space="preserve"> thus</w:t>
      </w:r>
      <w:r w:rsidRPr="007141B1">
        <w:rPr>
          <w:rFonts w:asciiTheme="minorHAnsi" w:hAnsiTheme="minorHAnsi"/>
          <w:color w:val="000000"/>
          <w:lang w:val="en-GB"/>
        </w:rPr>
        <w:t xml:space="preserve"> need to better characterize the different</w:t>
      </w:r>
      <w:r w:rsidR="00D02B6A" w:rsidRPr="007141B1">
        <w:rPr>
          <w:rFonts w:asciiTheme="minorHAnsi" w:hAnsiTheme="minorHAnsi"/>
          <w:color w:val="000000"/>
          <w:lang w:val="en-GB"/>
        </w:rPr>
        <w:t xml:space="preserve"> types</w:t>
      </w:r>
      <w:r w:rsidR="00DC4C33">
        <w:rPr>
          <w:rFonts w:asciiTheme="minorHAnsi" w:hAnsiTheme="minorHAnsi"/>
          <w:color w:val="000000"/>
          <w:lang w:val="en-GB"/>
        </w:rPr>
        <w:t xml:space="preserve"> of</w:t>
      </w:r>
      <w:r w:rsidRPr="007141B1">
        <w:rPr>
          <w:rFonts w:asciiTheme="minorHAnsi" w:hAnsiTheme="minorHAnsi"/>
          <w:color w:val="000000"/>
          <w:lang w:val="en-GB"/>
        </w:rPr>
        <w:t xml:space="preserve"> sepsis by defining more homogeneous groups of patients</w:t>
      </w:r>
      <w:r w:rsidR="00716554">
        <w:rPr>
          <w:rFonts w:asciiTheme="minorHAnsi" w:hAnsiTheme="minorHAnsi"/>
          <w:color w:val="000000"/>
          <w:lang w:val="en-GB"/>
        </w:rPr>
        <w:t>, per</w:t>
      </w:r>
      <w:r w:rsidR="00CC1AB2">
        <w:rPr>
          <w:rFonts w:asciiTheme="minorHAnsi" w:hAnsiTheme="minorHAnsi"/>
          <w:color w:val="000000"/>
          <w:lang w:val="en-GB"/>
        </w:rPr>
        <w:t>haps based on their biological profile rather than clinical criteria alone</w:t>
      </w:r>
      <w:r w:rsidRPr="007141B1">
        <w:rPr>
          <w:rFonts w:asciiTheme="minorHAnsi" w:hAnsiTheme="minorHAnsi"/>
          <w:color w:val="000000"/>
          <w:lang w:val="en-GB"/>
        </w:rPr>
        <w:t xml:space="preserve">. </w:t>
      </w:r>
      <w:r w:rsidR="00716554">
        <w:rPr>
          <w:rFonts w:asciiTheme="minorHAnsi" w:hAnsiTheme="minorHAnsi"/>
          <w:color w:val="000000"/>
          <w:lang w:val="en-GB"/>
        </w:rPr>
        <w:t>L</w:t>
      </w:r>
      <w:r w:rsidRPr="007141B1">
        <w:rPr>
          <w:rFonts w:asciiTheme="minorHAnsi" w:hAnsiTheme="minorHAnsi"/>
          <w:color w:val="000000"/>
          <w:lang w:val="en-GB"/>
        </w:rPr>
        <w:t>arge epidemiological studies and classification analyses</w:t>
      </w:r>
      <w:r w:rsidR="00716554">
        <w:rPr>
          <w:rFonts w:asciiTheme="minorHAnsi" w:hAnsiTheme="minorHAnsi"/>
          <w:color w:val="000000"/>
          <w:lang w:val="en-GB"/>
        </w:rPr>
        <w:t xml:space="preserve"> may help to identify</w:t>
      </w:r>
      <w:r w:rsidR="00716554" w:rsidRPr="007141B1">
        <w:rPr>
          <w:rFonts w:asciiTheme="minorHAnsi" w:hAnsiTheme="minorHAnsi"/>
          <w:color w:val="000000"/>
          <w:lang w:val="en-GB"/>
        </w:rPr>
        <w:t xml:space="preserve"> </w:t>
      </w:r>
      <w:r w:rsidR="00165E6D">
        <w:rPr>
          <w:rFonts w:asciiTheme="minorHAnsi" w:hAnsiTheme="minorHAnsi"/>
          <w:color w:val="000000"/>
          <w:lang w:val="en-GB"/>
        </w:rPr>
        <w:t xml:space="preserve">classes of </w:t>
      </w:r>
      <w:r w:rsidR="00165E6D" w:rsidRPr="007141B1">
        <w:rPr>
          <w:rFonts w:asciiTheme="minorHAnsi" w:hAnsiTheme="minorHAnsi"/>
          <w:color w:val="000000"/>
          <w:lang w:val="en-GB"/>
        </w:rPr>
        <w:t>clinical phenotypes and genotypes</w:t>
      </w:r>
      <w:r w:rsidR="00165E6D">
        <w:rPr>
          <w:rFonts w:asciiTheme="minorHAnsi" w:hAnsiTheme="minorHAnsi"/>
          <w:color w:val="000000"/>
          <w:lang w:val="en-GB"/>
        </w:rPr>
        <w:t xml:space="preserve"> that respond differently to therapies</w:t>
      </w:r>
      <w:r w:rsidRPr="007141B1">
        <w:rPr>
          <w:rFonts w:asciiTheme="minorHAnsi" w:hAnsiTheme="minorHAnsi"/>
          <w:color w:val="000000"/>
          <w:lang w:val="en-GB"/>
        </w:rPr>
        <w:t xml:space="preserve">. </w:t>
      </w:r>
      <w:r w:rsidRPr="007141B1">
        <w:rPr>
          <w:rFonts w:asciiTheme="minorHAnsi" w:hAnsiTheme="minorHAnsi"/>
          <w:color w:val="000000"/>
          <w:lang w:val="en-GB"/>
        </w:rPr>
        <w:lastRenderedPageBreak/>
        <w:t>We</w:t>
      </w:r>
      <w:r w:rsidR="00716554">
        <w:rPr>
          <w:rFonts w:asciiTheme="minorHAnsi" w:hAnsiTheme="minorHAnsi"/>
          <w:color w:val="000000"/>
          <w:lang w:val="en-GB"/>
        </w:rPr>
        <w:t xml:space="preserve"> also</w:t>
      </w:r>
      <w:r w:rsidRPr="007141B1">
        <w:rPr>
          <w:rFonts w:asciiTheme="minorHAnsi" w:hAnsiTheme="minorHAnsi"/>
          <w:color w:val="000000"/>
          <w:lang w:val="en-GB"/>
        </w:rPr>
        <w:t xml:space="preserve"> need to develop</w:t>
      </w:r>
      <w:r w:rsidR="00716554">
        <w:rPr>
          <w:rFonts w:asciiTheme="minorHAnsi" w:hAnsiTheme="minorHAnsi"/>
          <w:color w:val="000000"/>
          <w:lang w:val="en-GB"/>
        </w:rPr>
        <w:t xml:space="preserve"> and validate</w:t>
      </w:r>
      <w:r w:rsidRPr="007141B1">
        <w:rPr>
          <w:rFonts w:asciiTheme="minorHAnsi" w:hAnsiTheme="minorHAnsi"/>
          <w:color w:val="000000"/>
          <w:lang w:val="en-GB"/>
        </w:rPr>
        <w:t xml:space="preserve"> </w:t>
      </w:r>
      <w:r w:rsidR="0000519D" w:rsidRPr="007141B1">
        <w:rPr>
          <w:rFonts w:asciiTheme="minorHAnsi" w:hAnsiTheme="minorHAnsi"/>
          <w:color w:val="000000"/>
          <w:lang w:val="en-GB"/>
        </w:rPr>
        <w:t>stratification tools</w:t>
      </w:r>
      <w:r w:rsidRPr="007141B1">
        <w:rPr>
          <w:rFonts w:asciiTheme="minorHAnsi" w:hAnsiTheme="minorHAnsi"/>
          <w:color w:val="000000"/>
          <w:lang w:val="en-GB"/>
        </w:rPr>
        <w:t xml:space="preserve"> </w:t>
      </w:r>
      <w:r w:rsidR="0000519D" w:rsidRPr="007141B1">
        <w:rPr>
          <w:rFonts w:asciiTheme="minorHAnsi" w:hAnsiTheme="minorHAnsi"/>
          <w:color w:val="000000"/>
          <w:lang w:val="en-GB"/>
        </w:rPr>
        <w:t xml:space="preserve">that </w:t>
      </w:r>
      <w:r w:rsidRPr="007141B1">
        <w:rPr>
          <w:rFonts w:asciiTheme="minorHAnsi" w:hAnsiTheme="minorHAnsi"/>
          <w:color w:val="000000"/>
          <w:lang w:val="en-GB"/>
        </w:rPr>
        <w:t xml:space="preserve">rapidly </w:t>
      </w:r>
      <w:r w:rsidR="0000519D" w:rsidRPr="007141B1">
        <w:rPr>
          <w:rFonts w:asciiTheme="minorHAnsi" w:hAnsiTheme="minorHAnsi"/>
          <w:color w:val="000000"/>
          <w:lang w:val="en-GB"/>
        </w:rPr>
        <w:t>identify patients who will respond to a given intervention</w:t>
      </w:r>
      <w:r w:rsidRPr="007141B1">
        <w:rPr>
          <w:rFonts w:asciiTheme="minorHAnsi" w:hAnsiTheme="minorHAnsi"/>
          <w:color w:val="000000"/>
          <w:lang w:val="en-GB"/>
        </w:rPr>
        <w:t xml:space="preserve">. </w:t>
      </w:r>
    </w:p>
    <w:p w:rsidR="00D02B6A" w:rsidRPr="007141B1" w:rsidRDefault="009426F4" w:rsidP="009426F4">
      <w:pPr>
        <w:spacing w:before="100" w:beforeAutospacing="1" w:after="100" w:afterAutospacing="1" w:line="360" w:lineRule="auto"/>
        <w:rPr>
          <w:rFonts w:asciiTheme="minorHAnsi" w:hAnsiTheme="minorHAnsi"/>
          <w:color w:val="000000"/>
          <w:lang w:val="en-GB"/>
        </w:rPr>
      </w:pPr>
      <w:r w:rsidRPr="007141B1">
        <w:rPr>
          <w:rFonts w:asciiTheme="minorHAnsi" w:hAnsiTheme="minorHAnsi"/>
          <w:color w:val="000000"/>
          <w:lang w:val="en-GB"/>
        </w:rPr>
        <w:t xml:space="preserve">In this </w:t>
      </w:r>
      <w:r w:rsidR="00D02B6A" w:rsidRPr="007141B1">
        <w:rPr>
          <w:rFonts w:asciiTheme="minorHAnsi" w:hAnsiTheme="minorHAnsi"/>
          <w:color w:val="000000"/>
          <w:lang w:val="en-GB"/>
        </w:rPr>
        <w:t xml:space="preserve">narrative </w:t>
      </w:r>
      <w:r w:rsidRPr="007141B1">
        <w:rPr>
          <w:rFonts w:asciiTheme="minorHAnsi" w:hAnsiTheme="minorHAnsi"/>
          <w:color w:val="000000"/>
          <w:lang w:val="en-GB"/>
        </w:rPr>
        <w:t>review</w:t>
      </w:r>
      <w:r w:rsidR="00716554">
        <w:rPr>
          <w:rFonts w:asciiTheme="minorHAnsi" w:hAnsiTheme="minorHAnsi"/>
          <w:color w:val="000000"/>
          <w:lang w:val="en-GB"/>
        </w:rPr>
        <w:t>,</w:t>
      </w:r>
      <w:r w:rsidRPr="007141B1">
        <w:rPr>
          <w:rFonts w:asciiTheme="minorHAnsi" w:hAnsiTheme="minorHAnsi"/>
          <w:color w:val="000000"/>
          <w:lang w:val="en-GB"/>
        </w:rPr>
        <w:t xml:space="preserve"> </w:t>
      </w:r>
      <w:r w:rsidR="00D02B6A" w:rsidRPr="007141B1">
        <w:rPr>
          <w:rFonts w:asciiTheme="minorHAnsi" w:hAnsiTheme="minorHAnsi"/>
          <w:color w:val="000000"/>
          <w:lang w:val="en-GB"/>
        </w:rPr>
        <w:t xml:space="preserve">invited by the editorial board of Intensive Care Medicine, </w:t>
      </w:r>
      <w:r w:rsidRPr="007141B1">
        <w:rPr>
          <w:rFonts w:asciiTheme="minorHAnsi" w:hAnsiTheme="minorHAnsi"/>
          <w:color w:val="000000"/>
          <w:lang w:val="en-GB"/>
        </w:rPr>
        <w:t>w</w:t>
      </w:r>
      <w:r w:rsidR="0000519D" w:rsidRPr="007141B1">
        <w:rPr>
          <w:rFonts w:asciiTheme="minorHAnsi" w:hAnsiTheme="minorHAnsi"/>
          <w:color w:val="000000"/>
          <w:lang w:val="en-GB"/>
        </w:rPr>
        <w:t>e</w:t>
      </w:r>
      <w:r w:rsidRPr="007141B1">
        <w:rPr>
          <w:rFonts w:asciiTheme="minorHAnsi" w:hAnsiTheme="minorHAnsi"/>
          <w:color w:val="000000"/>
          <w:lang w:val="en-GB"/>
        </w:rPr>
        <w:t xml:space="preserve"> summarize </w:t>
      </w:r>
      <w:r w:rsidR="00D02B6A" w:rsidRPr="007141B1">
        <w:rPr>
          <w:rFonts w:asciiTheme="minorHAnsi" w:hAnsiTheme="minorHAnsi"/>
          <w:color w:val="000000"/>
          <w:lang w:val="en-GB"/>
        </w:rPr>
        <w:t>the current position of the field of clinical research in sepsis</w:t>
      </w:r>
      <w:r w:rsidR="00725D67">
        <w:rPr>
          <w:rFonts w:asciiTheme="minorHAnsi" w:hAnsiTheme="minorHAnsi"/>
          <w:color w:val="000000"/>
          <w:lang w:val="en-GB"/>
        </w:rPr>
        <w:t xml:space="preserve"> and septic shock</w:t>
      </w:r>
      <w:r w:rsidR="00D02B6A" w:rsidRPr="007141B1">
        <w:rPr>
          <w:rFonts w:asciiTheme="minorHAnsi" w:hAnsiTheme="minorHAnsi"/>
          <w:color w:val="000000"/>
          <w:lang w:val="en-GB"/>
        </w:rPr>
        <w:t xml:space="preserve"> </w:t>
      </w:r>
      <w:r w:rsidRPr="007141B1">
        <w:rPr>
          <w:rFonts w:asciiTheme="minorHAnsi" w:hAnsiTheme="minorHAnsi"/>
          <w:color w:val="000000"/>
          <w:lang w:val="en-GB"/>
        </w:rPr>
        <w:t xml:space="preserve">and propose a research agenda to </w:t>
      </w:r>
      <w:r w:rsidR="00D02B6A" w:rsidRPr="007141B1">
        <w:rPr>
          <w:rFonts w:asciiTheme="minorHAnsi" w:hAnsiTheme="minorHAnsi"/>
          <w:color w:val="000000"/>
          <w:lang w:val="en-GB"/>
        </w:rPr>
        <w:t>advance this field</w:t>
      </w:r>
      <w:r w:rsidRPr="007141B1">
        <w:rPr>
          <w:rFonts w:asciiTheme="minorHAnsi" w:hAnsiTheme="minorHAnsi"/>
          <w:color w:val="000000"/>
          <w:lang w:val="en-GB"/>
        </w:rPr>
        <w:t>.</w:t>
      </w:r>
    </w:p>
    <w:p w:rsidR="005812A4" w:rsidRPr="007141B1" w:rsidRDefault="00140691" w:rsidP="00F163A6">
      <w:pPr>
        <w:spacing w:before="100" w:beforeAutospacing="1" w:after="100" w:afterAutospacing="1" w:line="360" w:lineRule="auto"/>
        <w:rPr>
          <w:rFonts w:asciiTheme="minorHAnsi" w:hAnsiTheme="minorHAnsi"/>
          <w:b/>
          <w:color w:val="000000"/>
          <w:sz w:val="28"/>
          <w:lang w:val="en-GB"/>
        </w:rPr>
      </w:pPr>
      <w:r w:rsidRPr="007141B1">
        <w:rPr>
          <w:rFonts w:asciiTheme="minorHAnsi" w:hAnsiTheme="minorHAnsi"/>
          <w:b/>
          <w:color w:val="000000"/>
          <w:sz w:val="28"/>
          <w:lang w:val="en-GB"/>
        </w:rPr>
        <w:t xml:space="preserve">What is the current standard of care for delivering the best possible </w:t>
      </w:r>
      <w:r w:rsidR="00CA7719" w:rsidRPr="007141B1">
        <w:rPr>
          <w:rFonts w:asciiTheme="minorHAnsi" w:hAnsiTheme="minorHAnsi"/>
          <w:b/>
          <w:color w:val="000000"/>
          <w:sz w:val="28"/>
          <w:lang w:val="en-GB"/>
        </w:rPr>
        <w:t>sepsis</w:t>
      </w:r>
      <w:r w:rsidRPr="007141B1">
        <w:rPr>
          <w:rFonts w:asciiTheme="minorHAnsi" w:hAnsiTheme="minorHAnsi"/>
          <w:b/>
          <w:color w:val="000000"/>
          <w:sz w:val="28"/>
          <w:lang w:val="en-GB"/>
        </w:rPr>
        <w:t xml:space="preserve"> care?</w:t>
      </w:r>
    </w:p>
    <w:p w:rsidR="007141B1" w:rsidRPr="007141B1" w:rsidRDefault="0000519D" w:rsidP="00F163A6">
      <w:pPr>
        <w:spacing w:line="360" w:lineRule="auto"/>
        <w:rPr>
          <w:rFonts w:asciiTheme="minorHAnsi" w:hAnsiTheme="minorHAnsi" w:cs="Arial"/>
          <w:lang w:val="en-GB" w:eastAsia="it-IT"/>
        </w:rPr>
      </w:pPr>
      <w:r w:rsidRPr="007141B1">
        <w:rPr>
          <w:rFonts w:asciiTheme="minorHAnsi" w:hAnsiTheme="minorHAnsi" w:cs="Arial"/>
          <w:lang w:val="en-GB" w:eastAsia="it-IT"/>
        </w:rPr>
        <w:t>Arguably the most accepted international standard of care for the treatment of septic shock is the set of guidelines articulated by the Surviving Sepsis Campaign (SSC), the 201</w:t>
      </w:r>
      <w:r w:rsidR="00693E8C">
        <w:rPr>
          <w:rFonts w:asciiTheme="minorHAnsi" w:hAnsiTheme="minorHAnsi" w:cs="Arial"/>
          <w:lang w:val="en-GB" w:eastAsia="it-IT"/>
        </w:rPr>
        <w:t>6</w:t>
      </w:r>
      <w:r w:rsidRPr="007141B1">
        <w:rPr>
          <w:rFonts w:asciiTheme="minorHAnsi" w:hAnsiTheme="minorHAnsi" w:cs="Arial"/>
          <w:lang w:val="en-GB" w:eastAsia="it-IT"/>
        </w:rPr>
        <w:t xml:space="preserve"> </w:t>
      </w:r>
      <w:r w:rsidR="00693E8C">
        <w:rPr>
          <w:rFonts w:asciiTheme="minorHAnsi" w:hAnsiTheme="minorHAnsi" w:cs="Arial"/>
          <w:lang w:val="en-GB" w:eastAsia="it-IT"/>
        </w:rPr>
        <w:t xml:space="preserve">iteration </w:t>
      </w:r>
      <w:r w:rsidR="00716554" w:rsidRPr="007141B1">
        <w:rPr>
          <w:rFonts w:asciiTheme="minorHAnsi" w:hAnsiTheme="minorHAnsi" w:cs="Arial"/>
          <w:lang w:val="en-GB" w:eastAsia="it-IT"/>
        </w:rPr>
        <w:t xml:space="preserve">of which </w:t>
      </w:r>
      <w:r w:rsidR="00693E8C">
        <w:rPr>
          <w:rFonts w:asciiTheme="minorHAnsi" w:hAnsiTheme="minorHAnsi" w:cs="Arial"/>
          <w:lang w:val="en-GB" w:eastAsia="it-IT"/>
        </w:rPr>
        <w:t>has recently been published</w:t>
      </w:r>
      <w:r w:rsidR="00A804A1">
        <w:rPr>
          <w:rFonts w:asciiTheme="minorHAnsi" w:hAnsiTheme="minorHAnsi" w:cs="Arial"/>
          <w:lang w:val="en-GB" w:eastAsia="it-IT"/>
        </w:rPr>
        <w:t xml:space="preserve"> </w:t>
      </w:r>
      <w:r w:rsidR="00A804A1">
        <w:rPr>
          <w:rFonts w:asciiTheme="minorHAnsi" w:hAnsiTheme="minorHAnsi" w:cs="Arial"/>
          <w:lang w:val="en-GB" w:eastAsia="it-IT"/>
        </w:rPr>
        <w:fldChar w:fldCharType="begin"/>
      </w:r>
      <w:r w:rsidR="00A804A1">
        <w:rPr>
          <w:rFonts w:asciiTheme="minorHAnsi" w:hAnsiTheme="minorHAnsi" w:cs="Arial"/>
          <w:lang w:val="en-GB" w:eastAsia="it-IT"/>
        </w:rPr>
        <w:instrText xml:space="preserve"> ADDIN ZOTERO_ITEM CSL_CITATION {"citationID":"1calsf9dai","properties":{"formattedCitation":"[5]","plainCitation":"[5]"},"citationItems":[{"id":36,"uris":["http://zotero.org/users/local/tmXAZSH1/items/475BNTXK"],"uri":["http://zotero.org/users/local/tmXAZSH1/items/475BNTXK"],"itemData":{"id":36,"type":"article-journal","title":"Surviving Sepsis Campaign: International Guidelines for Management of Sepsis and Septic Shock: 2016","container-title":"Intensive Care Medicine","source":"PubMed","abstract":"OBJECTIVE: To provide an update to \"Surviving Sepsis Campaign Guidelines for Management of Sepsis and Septic Shock: 2012\".\nDESIGN: A consensus committee of 55 international experts representing 25 international organizations was convened. Nominal groups were assembled at key international meetings (for those committee members attending the conference). A formal conflict-of-interest (COI) policy was developed at the onset of the process and enforced throughout. A stand-alone meeting was held for all panel members in December 2015. Teleconferences and electronic-based discussion among subgroups and among the entire committee served as an integral part of the development.\nMETHODS: The panel consisted of five sections: hemodynamics, infection, adjunctive therapies, metabolic, and ventilation. Population, intervention, comparison, and outcomes (PICO) questions were reviewed and updated as needed, and evidence profiles were generated. Each subgroup generated a list of questions, searched for best available evidence, and then followed the principles of the Grading of Recommendations Assessment, Development, and Evaluation (GRADE) system to assess the quality of evidence from high to very low, and to formulate recommendations as strong or weak, or best practice statement when applicable.\nRESULTS: The Surviving Sepsis Guideline panel provided 93 statements on early management and resuscitation of patients with sepsis or septic shock. Overall, 32 were strong recommendations, 39 were weak recommendations, and 18 were best-practice statements. No recommendation was provided for four questions.\nCONCLUSIONS: Substantial agreement exists among a large cohort of international experts regarding many strong recommendations for the best care of patients with sepsis. Although a significant number of aspects of care have relatively weak support, evidence-based recommendations regarding the acute management of sepsis and septic shock are the foundation of improved outcomes for these critically ill patients with high mortality.","DOI":"10.1007/s00134-017-4683-6","ISSN":"1432-1238","note":"PMID: 28101605","shortTitle":"Surviving Sepsis Campaign","journalAbbreviation":"Intensive Care Med","language":"eng","author":[{"family":"Rhodes","given":"Andrew"},{"family":"Evans","given":"Laura E."},{"family":"Alhazzani","given":"Waleed"},{"family":"Levy","given":"Mitchell M."},{"family":"Antonelli","given":"Massimo"},{"family":"Ferrer","given":"Ricard"},{"family":"Kumar","given":"Anand"},{"family":"Sevransky","given":"Jonathan E."},{"family":"Sprung","given":"Charles L."},{"family":"Nunnally","given":"Mark E."},{"family":"Rochwerg","given":"Bram"},{"family":"Rubenfeld","given":"Gordon D."},{"family":"Angus","given":"Derek C."},{"family":"Annane","given":"Djillali"},{"family":"Beale","given":"Richard J."},{"family":"Bellinghan","given":"Geoffrey J."},{"family":"Bernard","given":"Gordon R."},{"family":"Chiche","given":"Jean-Daniel"},{"family":"Coopersmith","given":"Craig"},{"family":"De Backer","given":"Daniel P."},{"family":"French","given":"Craig J."},{"family":"Fujishima","given":"Seitaro"},{"family":"Gerlach","given":"Herwig"},{"family":"Hidalgo","given":"Jorge Luis"},{"family":"Hollenberg","given":"Steven M."},{"family":"Jones","given":"Alan E."},{"family":"Karnad","given":"Dilip R."},{"family":"Kleinpell","given":"Ruth M."},{"family":"Koh","given":"Younsuk"},{"family":"Lisboa","given":"Thiago Costa"},{"family":"Machado","given":"Flavia R."},{"family":"Marini","given":"John J."},{"family":"Marshall","given":"John C."},{"family":"Mazuski","given":"John E."},{"family":"McIntyre","given":"Lauralyn A."},{"family":"McLean","given":"Anthony S."},{"family":"Mehta","given":"Sangeeta"},{"family":"Moreno","given":"Rui P."},{"family":"Myburgh","given":"John"},{"family":"Navalesi","given":"Paolo"},{"family":"Nishida","given":"Osamu"},{"family":"Osborn","given":"Tiffany M."},{"family":"Perner","given":"Anders"},{"family":"Plunkett","given":"Colleen M."},{"family":"Ranieri","given":"Marco"},{"family":"Schorr","given":"Christa A."},{"family":"Seckel","given":"Maureen A."},{"family":"Seymour","given":"Christopher W."},{"family":"Shieh","given":"Lisa"},{"family":"Shukri","given":"Khalid A."},{"family":"Simpson","given":"Steven Q."},{"family":"Singer","given":"Mervyn"},{"family":"Thompson","given":"B. Taylor"},{"family":"Townsend","given":"Sean R."},{"family":"Van der Poll","given":"Thomas"},{"family":"Vincent","given":"Jean-Louis"},{"family":"Wiersinga","given":"W. Joost"},{"family":"Zimmerman","given":"Janice L."},{"family":"Dellinger","given":"R. Phillip"}],"issued":{"date-parts":[["2017",1,18]]},"PMID":"28101605"}}],"schema":"https://github.com/citation-style-language/schema/raw/master/csl-citation.json"} </w:instrText>
      </w:r>
      <w:r w:rsidR="00A804A1">
        <w:rPr>
          <w:rFonts w:asciiTheme="minorHAnsi" w:hAnsiTheme="minorHAnsi" w:cs="Arial"/>
          <w:lang w:val="en-GB" w:eastAsia="it-IT"/>
        </w:rPr>
        <w:fldChar w:fldCharType="separate"/>
      </w:r>
      <w:r w:rsidR="00A804A1" w:rsidRPr="00310854">
        <w:rPr>
          <w:rFonts w:ascii="Calibri" w:hAnsi="Calibri"/>
          <w:lang w:val="en-US"/>
        </w:rPr>
        <w:t>[5]</w:t>
      </w:r>
      <w:r w:rsidR="00A804A1">
        <w:rPr>
          <w:rFonts w:asciiTheme="minorHAnsi" w:hAnsiTheme="minorHAnsi" w:cs="Arial"/>
          <w:lang w:val="en-GB" w:eastAsia="it-IT"/>
        </w:rPr>
        <w:fldChar w:fldCharType="end"/>
      </w:r>
      <w:r w:rsidRPr="007141B1">
        <w:rPr>
          <w:rFonts w:asciiTheme="minorHAnsi" w:hAnsiTheme="minorHAnsi" w:cs="Arial"/>
          <w:lang w:val="en-GB" w:eastAsia="it-IT"/>
        </w:rPr>
        <w:t>.</w:t>
      </w:r>
      <w:r w:rsidR="007141B1" w:rsidRPr="007141B1">
        <w:rPr>
          <w:rFonts w:asciiTheme="minorHAnsi" w:hAnsiTheme="minorHAnsi" w:cs="Arial"/>
          <w:lang w:val="en-GB" w:eastAsia="it-IT"/>
        </w:rPr>
        <w:t xml:space="preserve"> </w:t>
      </w:r>
      <w:r w:rsidR="00422C35" w:rsidRPr="007141B1">
        <w:rPr>
          <w:rFonts w:asciiTheme="minorHAnsi" w:hAnsiTheme="minorHAnsi" w:cs="Arial"/>
          <w:lang w:val="en-GB" w:eastAsia="it-IT"/>
        </w:rPr>
        <w:t xml:space="preserve">These guidelines </w:t>
      </w:r>
      <w:r w:rsidR="00422C35">
        <w:rPr>
          <w:rFonts w:asciiTheme="minorHAnsi" w:hAnsiTheme="minorHAnsi" w:cs="Arial"/>
          <w:lang w:val="en-GB" w:eastAsia="it-IT"/>
        </w:rPr>
        <w:t xml:space="preserve">emphasise the use of screening tools to allow </w:t>
      </w:r>
      <w:r w:rsidR="00422C35" w:rsidRPr="007141B1">
        <w:rPr>
          <w:rFonts w:asciiTheme="minorHAnsi" w:hAnsiTheme="minorHAnsi" w:cs="Arial"/>
          <w:lang w:val="en-GB" w:eastAsia="it-IT"/>
        </w:rPr>
        <w:t>early recognition of sepsis</w:t>
      </w:r>
      <w:r w:rsidR="00422C35">
        <w:rPr>
          <w:rFonts w:asciiTheme="minorHAnsi" w:hAnsiTheme="minorHAnsi" w:cs="Arial"/>
          <w:lang w:val="en-GB" w:eastAsia="it-IT"/>
        </w:rPr>
        <w:t xml:space="preserve"> with prompt initiation of broad spectrum antimicrobial therapy guided by pharmacokinetic/</w:t>
      </w:r>
      <w:proofErr w:type="spellStart"/>
      <w:r w:rsidR="00422C35">
        <w:rPr>
          <w:rFonts w:asciiTheme="minorHAnsi" w:hAnsiTheme="minorHAnsi" w:cs="Arial"/>
          <w:lang w:val="en-GB" w:eastAsia="it-IT"/>
        </w:rPr>
        <w:t>pharmacodynamic</w:t>
      </w:r>
      <w:proofErr w:type="spellEnd"/>
      <w:r w:rsidR="00422C35">
        <w:rPr>
          <w:rFonts w:asciiTheme="minorHAnsi" w:hAnsiTheme="minorHAnsi" w:cs="Arial"/>
          <w:lang w:val="en-GB" w:eastAsia="it-IT"/>
        </w:rPr>
        <w:t xml:space="preserve"> principles, microbiological </w:t>
      </w:r>
      <w:r w:rsidR="00716554">
        <w:rPr>
          <w:rFonts w:asciiTheme="minorHAnsi" w:hAnsiTheme="minorHAnsi" w:cs="Arial"/>
          <w:lang w:val="en-GB" w:eastAsia="it-IT"/>
        </w:rPr>
        <w:t xml:space="preserve">techniques </w:t>
      </w:r>
      <w:r w:rsidR="00422C35">
        <w:rPr>
          <w:rFonts w:asciiTheme="minorHAnsi" w:hAnsiTheme="minorHAnsi" w:cs="Arial"/>
          <w:lang w:val="en-GB" w:eastAsia="it-IT"/>
        </w:rPr>
        <w:t>aiming to identify the causative agents</w:t>
      </w:r>
      <w:r w:rsidR="00716554">
        <w:rPr>
          <w:rFonts w:asciiTheme="minorHAnsi" w:hAnsiTheme="minorHAnsi" w:cs="Arial"/>
          <w:lang w:val="en-GB" w:eastAsia="it-IT"/>
        </w:rPr>
        <w:t>,</w:t>
      </w:r>
      <w:r w:rsidR="00422C35">
        <w:rPr>
          <w:rFonts w:asciiTheme="minorHAnsi" w:hAnsiTheme="minorHAnsi" w:cs="Arial"/>
          <w:lang w:val="en-GB" w:eastAsia="it-IT"/>
        </w:rPr>
        <w:t xml:space="preserve"> and appropriate source control. A</w:t>
      </w:r>
      <w:r w:rsidR="00422C35" w:rsidRPr="007141B1">
        <w:rPr>
          <w:rFonts w:asciiTheme="minorHAnsi" w:hAnsiTheme="minorHAnsi" w:cs="Arial"/>
          <w:lang w:val="en-GB" w:eastAsia="it-IT"/>
        </w:rPr>
        <w:t xml:space="preserve">ll institutions should have strategies to promote awareness of </w:t>
      </w:r>
      <w:r w:rsidR="00422C35">
        <w:rPr>
          <w:rFonts w:asciiTheme="minorHAnsi" w:hAnsiTheme="minorHAnsi" w:cs="Arial"/>
          <w:lang w:val="en-GB" w:eastAsia="it-IT"/>
        </w:rPr>
        <w:t>sepsis</w:t>
      </w:r>
      <w:r w:rsidR="00422C35" w:rsidRPr="007141B1">
        <w:rPr>
          <w:rFonts w:asciiTheme="minorHAnsi" w:hAnsiTheme="minorHAnsi" w:cs="Arial"/>
          <w:lang w:val="en-GB" w:eastAsia="it-IT"/>
        </w:rPr>
        <w:t xml:space="preserve">-associated hypotension and severe hyperlactatemia </w:t>
      </w:r>
      <w:r w:rsidR="00422C35">
        <w:rPr>
          <w:rFonts w:asciiTheme="minorHAnsi" w:hAnsiTheme="minorHAnsi" w:cs="Arial"/>
          <w:lang w:val="en-GB" w:eastAsia="it-IT"/>
        </w:rPr>
        <w:t>as these are</w:t>
      </w:r>
      <w:r w:rsidR="007141B1" w:rsidRPr="007141B1">
        <w:rPr>
          <w:rFonts w:asciiTheme="minorHAnsi" w:hAnsiTheme="minorHAnsi" w:cs="Arial"/>
          <w:lang w:val="en-GB" w:eastAsia="it-IT"/>
        </w:rPr>
        <w:t xml:space="preserve"> life-threatening conditions. </w:t>
      </w:r>
      <w:r w:rsidR="00F44043" w:rsidRPr="007141B1">
        <w:rPr>
          <w:rFonts w:asciiTheme="minorHAnsi" w:hAnsiTheme="minorHAnsi" w:cs="Arial"/>
          <w:lang w:val="en-GB" w:eastAsia="it-IT"/>
        </w:rPr>
        <w:t xml:space="preserve">Identification should be followed by </w:t>
      </w:r>
      <w:r w:rsidR="00F44043">
        <w:rPr>
          <w:rFonts w:asciiTheme="minorHAnsi" w:hAnsiTheme="minorHAnsi" w:cs="Arial"/>
          <w:lang w:val="en-GB" w:eastAsia="it-IT"/>
        </w:rPr>
        <w:t xml:space="preserve">appropriate </w:t>
      </w:r>
      <w:r w:rsidR="00F44043" w:rsidRPr="007141B1">
        <w:rPr>
          <w:rFonts w:asciiTheme="minorHAnsi" w:hAnsiTheme="minorHAnsi" w:cs="Arial"/>
          <w:lang w:val="en-GB" w:eastAsia="it-IT"/>
        </w:rPr>
        <w:t xml:space="preserve">fluid resuscitation </w:t>
      </w:r>
      <w:r w:rsidR="00F44043">
        <w:rPr>
          <w:rFonts w:asciiTheme="minorHAnsi" w:hAnsiTheme="minorHAnsi" w:cs="Arial"/>
          <w:lang w:val="en-GB" w:eastAsia="it-IT"/>
        </w:rPr>
        <w:t>using an empiric dose of</w:t>
      </w:r>
      <w:r w:rsidR="00F44043" w:rsidRPr="007141B1">
        <w:rPr>
          <w:rFonts w:asciiTheme="minorHAnsi" w:hAnsiTheme="minorHAnsi" w:cs="Arial"/>
          <w:lang w:val="en-GB" w:eastAsia="it-IT"/>
        </w:rPr>
        <w:t xml:space="preserve"> 30</w:t>
      </w:r>
      <w:r w:rsidR="00F44043">
        <w:rPr>
          <w:rFonts w:asciiTheme="minorHAnsi" w:hAnsiTheme="minorHAnsi" w:cs="Arial"/>
          <w:lang w:val="en-GB" w:eastAsia="it-IT"/>
        </w:rPr>
        <w:t xml:space="preserve"> </w:t>
      </w:r>
      <w:r w:rsidR="00F44043" w:rsidRPr="007141B1">
        <w:rPr>
          <w:rFonts w:asciiTheme="minorHAnsi" w:hAnsiTheme="minorHAnsi" w:cs="Arial"/>
          <w:lang w:val="en-GB" w:eastAsia="it-IT"/>
        </w:rPr>
        <w:t>ml/kg of crystalloids</w:t>
      </w:r>
      <w:r w:rsidR="00F44043">
        <w:rPr>
          <w:rFonts w:asciiTheme="minorHAnsi" w:hAnsiTheme="minorHAnsi" w:cs="Arial"/>
          <w:lang w:val="en-GB" w:eastAsia="it-IT"/>
        </w:rPr>
        <w:t xml:space="preserve"> over the first 3 hours</w:t>
      </w:r>
      <w:r w:rsidR="00F44043" w:rsidRPr="007141B1">
        <w:rPr>
          <w:rFonts w:asciiTheme="minorHAnsi" w:hAnsiTheme="minorHAnsi" w:cs="Arial"/>
          <w:lang w:val="en-GB" w:eastAsia="it-IT"/>
        </w:rPr>
        <w:t>, while avoiding starches</w:t>
      </w:r>
      <w:r w:rsidR="007141B1" w:rsidRPr="007141B1">
        <w:rPr>
          <w:rFonts w:asciiTheme="minorHAnsi" w:hAnsiTheme="minorHAnsi" w:cs="Arial"/>
          <w:lang w:val="en-GB" w:eastAsia="it-IT"/>
        </w:rPr>
        <w:t xml:space="preserve">. </w:t>
      </w:r>
      <w:r w:rsidR="00716554">
        <w:rPr>
          <w:rFonts w:asciiTheme="minorHAnsi" w:hAnsiTheme="minorHAnsi" w:cs="Arial"/>
          <w:lang w:val="en-GB" w:eastAsia="it-IT"/>
        </w:rPr>
        <w:t>F</w:t>
      </w:r>
      <w:r w:rsidR="007141B1" w:rsidRPr="007141B1">
        <w:rPr>
          <w:rFonts w:asciiTheme="minorHAnsi" w:hAnsiTheme="minorHAnsi" w:cs="Arial"/>
          <w:lang w:val="en-GB" w:eastAsia="it-IT"/>
        </w:rPr>
        <w:t xml:space="preserve">urther fluid resuscitation </w:t>
      </w:r>
      <w:r w:rsidR="00735BC7">
        <w:rPr>
          <w:rFonts w:asciiTheme="minorHAnsi" w:hAnsiTheme="minorHAnsi" w:cs="Arial"/>
          <w:lang w:val="en-GB" w:eastAsia="it-IT"/>
        </w:rPr>
        <w:t>should</w:t>
      </w:r>
      <w:r w:rsidR="007141B1" w:rsidRPr="007141B1">
        <w:rPr>
          <w:rFonts w:asciiTheme="minorHAnsi" w:hAnsiTheme="minorHAnsi" w:cs="Arial"/>
          <w:lang w:val="en-GB" w:eastAsia="it-IT"/>
        </w:rPr>
        <w:t xml:space="preserve"> be guided by frequent reassessment of hemodynamic status using </w:t>
      </w:r>
      <w:r w:rsidR="00735BC7">
        <w:rPr>
          <w:rFonts w:asciiTheme="minorHAnsi" w:hAnsiTheme="minorHAnsi" w:cs="Arial"/>
          <w:lang w:val="en-GB" w:eastAsia="it-IT"/>
        </w:rPr>
        <w:t>appropriate</w:t>
      </w:r>
      <w:r w:rsidR="00735BC7" w:rsidRPr="007141B1">
        <w:rPr>
          <w:rFonts w:asciiTheme="minorHAnsi" w:hAnsiTheme="minorHAnsi" w:cs="Arial"/>
          <w:lang w:val="en-GB" w:eastAsia="it-IT"/>
        </w:rPr>
        <w:t xml:space="preserve"> </w:t>
      </w:r>
      <w:r w:rsidR="007141B1" w:rsidRPr="007141B1">
        <w:rPr>
          <w:rFonts w:asciiTheme="minorHAnsi" w:hAnsiTheme="minorHAnsi" w:cs="Arial"/>
          <w:lang w:val="en-GB" w:eastAsia="it-IT"/>
        </w:rPr>
        <w:t xml:space="preserve">monitoring and </w:t>
      </w:r>
      <w:r w:rsidR="00735BC7" w:rsidRPr="007141B1">
        <w:rPr>
          <w:rFonts w:asciiTheme="minorHAnsi" w:hAnsiTheme="minorHAnsi" w:cs="Arial"/>
          <w:lang w:val="en-GB" w:eastAsia="it-IT"/>
        </w:rPr>
        <w:t>evaluation</w:t>
      </w:r>
      <w:r w:rsidR="00735BC7">
        <w:rPr>
          <w:rFonts w:asciiTheme="minorHAnsi" w:hAnsiTheme="minorHAnsi" w:cs="Arial"/>
          <w:lang w:val="en-GB" w:eastAsia="it-IT"/>
        </w:rPr>
        <w:t xml:space="preserve"> of</w:t>
      </w:r>
      <w:r w:rsidR="00735BC7" w:rsidRPr="007141B1">
        <w:rPr>
          <w:rFonts w:asciiTheme="minorHAnsi" w:hAnsiTheme="minorHAnsi" w:cs="Arial"/>
          <w:lang w:val="en-GB" w:eastAsia="it-IT"/>
        </w:rPr>
        <w:t xml:space="preserve"> </w:t>
      </w:r>
      <w:r w:rsidR="007141B1" w:rsidRPr="007141B1">
        <w:rPr>
          <w:rFonts w:asciiTheme="minorHAnsi" w:hAnsiTheme="minorHAnsi" w:cs="Arial"/>
          <w:lang w:val="en-GB" w:eastAsia="it-IT"/>
        </w:rPr>
        <w:t>fluid responsiveness. Vasopressors should</w:t>
      </w:r>
      <w:r w:rsidR="00735BC7">
        <w:rPr>
          <w:rFonts w:asciiTheme="minorHAnsi" w:hAnsiTheme="minorHAnsi" w:cs="Arial"/>
          <w:lang w:val="en-GB" w:eastAsia="it-IT"/>
        </w:rPr>
        <w:t>, in general,</w:t>
      </w:r>
      <w:r w:rsidR="007141B1" w:rsidRPr="007141B1">
        <w:rPr>
          <w:rFonts w:asciiTheme="minorHAnsi" w:hAnsiTheme="minorHAnsi" w:cs="Arial"/>
          <w:lang w:val="en-GB" w:eastAsia="it-IT"/>
        </w:rPr>
        <w:t xml:space="preserve"> </w:t>
      </w:r>
      <w:r w:rsidR="00735BC7">
        <w:rPr>
          <w:rFonts w:asciiTheme="minorHAnsi" w:hAnsiTheme="minorHAnsi" w:cs="Arial"/>
          <w:lang w:val="en-GB" w:eastAsia="it-IT"/>
        </w:rPr>
        <w:t xml:space="preserve">be </w:t>
      </w:r>
      <w:r w:rsidR="007C70AC">
        <w:rPr>
          <w:rFonts w:asciiTheme="minorHAnsi" w:hAnsiTheme="minorHAnsi" w:cs="Arial"/>
          <w:lang w:val="en-GB" w:eastAsia="it-IT"/>
        </w:rPr>
        <w:t xml:space="preserve">initially </w:t>
      </w:r>
      <w:r w:rsidR="007141B1" w:rsidRPr="007141B1">
        <w:rPr>
          <w:rFonts w:asciiTheme="minorHAnsi" w:hAnsiTheme="minorHAnsi" w:cs="Arial"/>
          <w:lang w:val="en-GB" w:eastAsia="it-IT"/>
        </w:rPr>
        <w:t>t</w:t>
      </w:r>
      <w:r w:rsidR="00E30963">
        <w:rPr>
          <w:rFonts w:asciiTheme="minorHAnsi" w:hAnsiTheme="minorHAnsi" w:cs="Arial"/>
          <w:lang w:val="en-GB" w:eastAsia="it-IT"/>
        </w:rPr>
        <w:t>itrated to a</w:t>
      </w:r>
      <w:r w:rsidR="007141B1" w:rsidRPr="007141B1">
        <w:rPr>
          <w:rFonts w:asciiTheme="minorHAnsi" w:hAnsiTheme="minorHAnsi" w:cs="Arial"/>
          <w:lang w:val="en-GB" w:eastAsia="it-IT"/>
        </w:rPr>
        <w:t xml:space="preserve"> mean arterial pressure of 65 mmHg, with </w:t>
      </w:r>
      <w:r w:rsidR="00735BC7" w:rsidRPr="007141B1">
        <w:rPr>
          <w:rFonts w:asciiTheme="minorHAnsi" w:hAnsiTheme="minorHAnsi" w:cs="Arial"/>
          <w:lang w:val="en-GB" w:eastAsia="it-IT"/>
        </w:rPr>
        <w:t>nor</w:t>
      </w:r>
      <w:r w:rsidR="00735BC7">
        <w:rPr>
          <w:rFonts w:asciiTheme="minorHAnsi" w:hAnsiTheme="minorHAnsi" w:cs="Arial"/>
          <w:lang w:val="en-GB" w:eastAsia="it-IT"/>
        </w:rPr>
        <w:t>epinephr</w:t>
      </w:r>
      <w:r w:rsidR="00735BC7" w:rsidRPr="007141B1">
        <w:rPr>
          <w:rFonts w:asciiTheme="minorHAnsi" w:hAnsiTheme="minorHAnsi" w:cs="Arial"/>
          <w:lang w:val="en-GB" w:eastAsia="it-IT"/>
        </w:rPr>
        <w:t xml:space="preserve">ine </w:t>
      </w:r>
      <w:r w:rsidR="007141B1" w:rsidRPr="007141B1">
        <w:rPr>
          <w:rFonts w:asciiTheme="minorHAnsi" w:hAnsiTheme="minorHAnsi" w:cs="Arial"/>
          <w:lang w:val="en-GB" w:eastAsia="it-IT"/>
        </w:rPr>
        <w:t xml:space="preserve">as the first-line therapy, and </w:t>
      </w:r>
      <w:r w:rsidR="00735BC7">
        <w:rPr>
          <w:rFonts w:asciiTheme="minorHAnsi" w:hAnsiTheme="minorHAnsi" w:cs="Arial"/>
          <w:lang w:val="en-GB" w:eastAsia="it-IT"/>
        </w:rPr>
        <w:t>epinephrine</w:t>
      </w:r>
      <w:r w:rsidR="00735BC7" w:rsidRPr="007141B1">
        <w:rPr>
          <w:rFonts w:asciiTheme="minorHAnsi" w:hAnsiTheme="minorHAnsi" w:cs="Arial"/>
          <w:lang w:val="en-GB" w:eastAsia="it-IT"/>
        </w:rPr>
        <w:t xml:space="preserve"> </w:t>
      </w:r>
      <w:r w:rsidR="007141B1" w:rsidRPr="007141B1">
        <w:rPr>
          <w:rFonts w:asciiTheme="minorHAnsi" w:hAnsiTheme="minorHAnsi" w:cs="Arial"/>
          <w:lang w:val="en-GB" w:eastAsia="it-IT"/>
        </w:rPr>
        <w:t>and vasopressin as second-line agents. It is suggested that patients with severe hyperlactatemia receive hemodynamic optimization until lactate is normali</w:t>
      </w:r>
      <w:r w:rsidR="007141B1">
        <w:rPr>
          <w:rFonts w:asciiTheme="minorHAnsi" w:hAnsiTheme="minorHAnsi" w:cs="Arial"/>
          <w:lang w:val="en-GB" w:eastAsia="it-IT"/>
        </w:rPr>
        <w:t>s</w:t>
      </w:r>
      <w:r w:rsidR="007141B1" w:rsidRPr="007141B1">
        <w:rPr>
          <w:rFonts w:asciiTheme="minorHAnsi" w:hAnsiTheme="minorHAnsi" w:cs="Arial"/>
          <w:lang w:val="en-GB" w:eastAsia="it-IT"/>
        </w:rPr>
        <w:t xml:space="preserve">ed. </w:t>
      </w:r>
      <w:proofErr w:type="gramStart"/>
      <w:r w:rsidR="007141B1" w:rsidRPr="007141B1">
        <w:rPr>
          <w:rFonts w:asciiTheme="minorHAnsi" w:hAnsiTheme="minorHAnsi" w:cs="Arial"/>
          <w:lang w:val="en-GB" w:eastAsia="it-IT"/>
        </w:rPr>
        <w:t>Quality of care indicators include</w:t>
      </w:r>
      <w:proofErr w:type="gramEnd"/>
      <w:r w:rsidR="007141B1" w:rsidRPr="007141B1">
        <w:rPr>
          <w:rFonts w:asciiTheme="minorHAnsi" w:hAnsiTheme="minorHAnsi" w:cs="Arial"/>
          <w:lang w:val="en-GB" w:eastAsia="it-IT"/>
        </w:rPr>
        <w:t xml:space="preserve"> a second lactate sampling when the baseline is high</w:t>
      </w:r>
      <w:r w:rsidR="00735BC7">
        <w:rPr>
          <w:rFonts w:asciiTheme="minorHAnsi" w:hAnsiTheme="minorHAnsi" w:cs="Arial"/>
          <w:lang w:val="en-GB" w:eastAsia="it-IT"/>
        </w:rPr>
        <w:t>,</w:t>
      </w:r>
      <w:r w:rsidR="007141B1" w:rsidRPr="007141B1">
        <w:rPr>
          <w:rFonts w:asciiTheme="minorHAnsi" w:hAnsiTheme="minorHAnsi" w:cs="Arial"/>
          <w:lang w:val="en-GB" w:eastAsia="it-IT"/>
        </w:rPr>
        <w:t xml:space="preserve"> and re-assessment of fluid status and perfusion</w:t>
      </w:r>
      <w:r w:rsidR="006F7F14">
        <w:rPr>
          <w:rFonts w:asciiTheme="minorHAnsi" w:hAnsiTheme="minorHAnsi" w:cs="Arial"/>
          <w:lang w:val="en-GB" w:eastAsia="it-IT"/>
        </w:rPr>
        <w:t xml:space="preserve"> (</w:t>
      </w:r>
      <w:r w:rsidR="006F7F14" w:rsidRPr="006F7F14">
        <w:rPr>
          <w:rFonts w:asciiTheme="minorHAnsi" w:hAnsiTheme="minorHAnsi" w:cs="Arial"/>
          <w:lang w:val="en-GB" w:eastAsia="it-IT"/>
        </w:rPr>
        <w:t>www.survivingsepsis.org/Bundles/Pages/default.aspx</w:t>
      </w:r>
      <w:r w:rsidR="006F7F14">
        <w:rPr>
          <w:rFonts w:asciiTheme="minorHAnsi" w:hAnsiTheme="minorHAnsi" w:cs="Arial"/>
          <w:lang w:val="en-GB" w:eastAsia="it-IT"/>
        </w:rPr>
        <w:t>)</w:t>
      </w:r>
      <w:r w:rsidR="007141B1" w:rsidRPr="007141B1">
        <w:rPr>
          <w:rFonts w:asciiTheme="minorHAnsi" w:hAnsiTheme="minorHAnsi" w:cs="Arial"/>
          <w:lang w:val="en-GB" w:eastAsia="it-IT"/>
        </w:rPr>
        <w:t xml:space="preserve">. </w:t>
      </w:r>
    </w:p>
    <w:p w:rsidR="00310854" w:rsidRDefault="00310854" w:rsidP="00F163A6">
      <w:pPr>
        <w:spacing w:line="360" w:lineRule="auto"/>
        <w:rPr>
          <w:rFonts w:asciiTheme="minorHAnsi" w:hAnsiTheme="minorHAnsi" w:cs="Arial"/>
          <w:lang w:val="en-GB" w:eastAsia="it-IT"/>
        </w:rPr>
      </w:pPr>
    </w:p>
    <w:p w:rsidR="007141B1" w:rsidRPr="007141B1" w:rsidRDefault="007141B1" w:rsidP="00F163A6">
      <w:pPr>
        <w:spacing w:line="360" w:lineRule="auto"/>
        <w:rPr>
          <w:rFonts w:asciiTheme="minorHAnsi" w:eastAsiaTheme="minorEastAsia" w:hAnsiTheme="minorHAnsi" w:cs="Arial"/>
          <w:lang w:val="en-GB" w:eastAsia="it-IT"/>
        </w:rPr>
      </w:pPr>
      <w:r w:rsidRPr="007141B1">
        <w:rPr>
          <w:rFonts w:asciiTheme="minorHAnsi" w:hAnsiTheme="minorHAnsi" w:cs="Arial"/>
          <w:lang w:val="en-GB" w:eastAsia="it-IT"/>
        </w:rPr>
        <w:t xml:space="preserve">Although these guidelines are based on the best available evidence as assessed by a group of experts, </w:t>
      </w:r>
      <w:r w:rsidRPr="007141B1">
        <w:rPr>
          <w:rFonts w:asciiTheme="minorHAnsi" w:eastAsiaTheme="minorEastAsia" w:hAnsiTheme="minorHAnsi" w:cs="Arial"/>
          <w:lang w:val="en-GB" w:eastAsia="it-IT"/>
        </w:rPr>
        <w:t xml:space="preserve">they are only rarely supported by high quality evidence. Of </w:t>
      </w:r>
      <w:r w:rsidR="00F50E48">
        <w:rPr>
          <w:rFonts w:asciiTheme="minorHAnsi" w:eastAsiaTheme="minorEastAsia" w:hAnsiTheme="minorHAnsi" w:cs="Arial"/>
          <w:lang w:val="en-GB" w:eastAsia="it-IT"/>
        </w:rPr>
        <w:t>the 93</w:t>
      </w:r>
      <w:r w:rsidRPr="007141B1">
        <w:rPr>
          <w:rFonts w:asciiTheme="minorHAnsi" w:eastAsiaTheme="minorEastAsia" w:hAnsiTheme="minorHAnsi" w:cs="Arial"/>
          <w:lang w:val="en-GB" w:eastAsia="it-IT"/>
        </w:rPr>
        <w:t xml:space="preserve"> statements</w:t>
      </w:r>
      <w:r w:rsidR="00F50E48">
        <w:rPr>
          <w:rFonts w:asciiTheme="minorHAnsi" w:eastAsiaTheme="minorEastAsia" w:hAnsiTheme="minorHAnsi" w:cs="Arial"/>
          <w:lang w:val="en-GB" w:eastAsia="it-IT"/>
        </w:rPr>
        <w:t xml:space="preserve"> in the 2016 iteration</w:t>
      </w:r>
      <w:r w:rsidRPr="007141B1">
        <w:rPr>
          <w:rFonts w:asciiTheme="minorHAnsi" w:eastAsiaTheme="minorEastAsia" w:hAnsiTheme="minorHAnsi" w:cs="Arial"/>
          <w:lang w:val="en-GB" w:eastAsia="it-IT"/>
        </w:rPr>
        <w:t xml:space="preserve">, only </w:t>
      </w:r>
      <w:r w:rsidR="00F50E48">
        <w:rPr>
          <w:rFonts w:asciiTheme="minorHAnsi" w:eastAsiaTheme="minorEastAsia" w:hAnsiTheme="minorHAnsi" w:cs="Arial"/>
          <w:lang w:val="en-GB" w:eastAsia="it-IT"/>
        </w:rPr>
        <w:t>7</w:t>
      </w:r>
      <w:r w:rsidRPr="007141B1">
        <w:rPr>
          <w:rFonts w:asciiTheme="minorHAnsi" w:eastAsiaTheme="minorEastAsia" w:hAnsiTheme="minorHAnsi" w:cs="Arial"/>
          <w:lang w:val="en-GB" w:eastAsia="it-IT"/>
        </w:rPr>
        <w:t xml:space="preserve"> </w:t>
      </w:r>
      <w:r w:rsidR="00F50E48">
        <w:rPr>
          <w:rFonts w:asciiTheme="minorHAnsi" w:eastAsiaTheme="minorEastAsia" w:hAnsiTheme="minorHAnsi" w:cs="Arial"/>
          <w:lang w:val="en-GB" w:eastAsia="it-IT"/>
        </w:rPr>
        <w:t>are</w:t>
      </w:r>
      <w:r w:rsidRPr="007141B1">
        <w:rPr>
          <w:rFonts w:asciiTheme="minorHAnsi" w:eastAsiaTheme="minorEastAsia" w:hAnsiTheme="minorHAnsi" w:cs="Arial"/>
          <w:lang w:val="en-GB" w:eastAsia="it-IT"/>
        </w:rPr>
        <w:t xml:space="preserve"> based on high </w:t>
      </w:r>
      <w:r w:rsidR="00F50E48">
        <w:rPr>
          <w:rFonts w:asciiTheme="minorHAnsi" w:eastAsiaTheme="minorEastAsia" w:hAnsiTheme="minorHAnsi" w:cs="Arial"/>
          <w:lang w:val="en-GB" w:eastAsia="it-IT"/>
        </w:rPr>
        <w:t xml:space="preserve">level </w:t>
      </w:r>
      <w:r w:rsidRPr="007141B1">
        <w:rPr>
          <w:rFonts w:asciiTheme="minorHAnsi" w:eastAsiaTheme="minorEastAsia" w:hAnsiTheme="minorHAnsi" w:cs="Arial"/>
          <w:lang w:val="en-GB" w:eastAsia="it-IT"/>
        </w:rPr>
        <w:t xml:space="preserve">evidence, </w:t>
      </w:r>
      <w:r w:rsidR="00F50E48">
        <w:rPr>
          <w:rFonts w:asciiTheme="minorHAnsi" w:eastAsiaTheme="minorEastAsia" w:hAnsiTheme="minorHAnsi" w:cs="Arial"/>
          <w:lang w:val="en-GB" w:eastAsia="it-IT"/>
        </w:rPr>
        <w:t>28</w:t>
      </w:r>
      <w:r w:rsidRPr="007141B1">
        <w:rPr>
          <w:rFonts w:asciiTheme="minorHAnsi" w:eastAsiaTheme="minorEastAsia" w:hAnsiTheme="minorHAnsi" w:cs="Arial"/>
          <w:lang w:val="en-GB" w:eastAsia="it-IT"/>
        </w:rPr>
        <w:t xml:space="preserve"> on moderate evidence, </w:t>
      </w:r>
      <w:r w:rsidR="00F50E48">
        <w:rPr>
          <w:rFonts w:asciiTheme="minorHAnsi" w:eastAsiaTheme="minorEastAsia" w:hAnsiTheme="minorHAnsi" w:cs="Arial"/>
          <w:lang w:val="en-GB" w:eastAsia="it-IT"/>
        </w:rPr>
        <w:t>and 58</w:t>
      </w:r>
      <w:r w:rsidRPr="007141B1">
        <w:rPr>
          <w:rFonts w:asciiTheme="minorHAnsi" w:eastAsiaTheme="minorEastAsia" w:hAnsiTheme="minorHAnsi" w:cs="Arial"/>
          <w:lang w:val="en-GB" w:eastAsia="it-IT"/>
        </w:rPr>
        <w:t xml:space="preserve"> on low </w:t>
      </w:r>
      <w:r w:rsidR="00F50E48">
        <w:rPr>
          <w:rFonts w:asciiTheme="minorHAnsi" w:eastAsiaTheme="minorEastAsia" w:hAnsiTheme="minorHAnsi" w:cs="Arial"/>
          <w:lang w:val="en-GB" w:eastAsia="it-IT"/>
        </w:rPr>
        <w:t>or</w:t>
      </w:r>
      <w:r w:rsidRPr="007141B1">
        <w:rPr>
          <w:rFonts w:asciiTheme="minorHAnsi" w:eastAsiaTheme="minorEastAsia" w:hAnsiTheme="minorHAnsi" w:cs="Arial"/>
          <w:lang w:val="en-GB" w:eastAsia="it-IT"/>
        </w:rPr>
        <w:t xml:space="preserve"> very low evidence. Two interrelated questions arise when international standards are based on</w:t>
      </w:r>
      <w:r w:rsidR="00735BC7">
        <w:rPr>
          <w:rFonts w:asciiTheme="minorHAnsi" w:eastAsiaTheme="minorEastAsia" w:hAnsiTheme="minorHAnsi" w:cs="Arial"/>
          <w:lang w:val="en-GB" w:eastAsia="it-IT"/>
        </w:rPr>
        <w:t xml:space="preserve"> such</w:t>
      </w:r>
      <w:r w:rsidRPr="007141B1">
        <w:rPr>
          <w:rFonts w:asciiTheme="minorHAnsi" w:eastAsiaTheme="minorEastAsia" w:hAnsiTheme="minorHAnsi" w:cs="Arial"/>
          <w:lang w:val="en-GB" w:eastAsia="it-IT"/>
        </w:rPr>
        <w:t xml:space="preserve"> </w:t>
      </w:r>
      <w:r w:rsidR="00735BC7">
        <w:rPr>
          <w:rFonts w:asciiTheme="minorHAnsi" w:eastAsiaTheme="minorEastAsia" w:hAnsiTheme="minorHAnsi" w:cs="Arial"/>
          <w:lang w:val="en-GB" w:eastAsia="it-IT"/>
        </w:rPr>
        <w:t>paltry</w:t>
      </w:r>
      <w:r w:rsidRPr="007141B1">
        <w:rPr>
          <w:rFonts w:asciiTheme="minorHAnsi" w:eastAsiaTheme="minorEastAsia" w:hAnsiTheme="minorHAnsi" w:cs="Arial"/>
          <w:lang w:val="en-GB" w:eastAsia="it-IT"/>
        </w:rPr>
        <w:t xml:space="preserve"> evidence. First, will the low evidence, and accompanying uncertainty, lead to physician </w:t>
      </w:r>
      <w:r w:rsidRPr="007141B1">
        <w:rPr>
          <w:rFonts w:asciiTheme="minorHAnsi" w:eastAsiaTheme="minorEastAsia" w:hAnsiTheme="minorHAnsi" w:cs="Arial"/>
          <w:lang w:val="en-GB" w:eastAsia="it-IT"/>
        </w:rPr>
        <w:lastRenderedPageBreak/>
        <w:t xml:space="preserve">disagreement and poor uptake of the guidelines? Second, if the guidelines are applied, </w:t>
      </w:r>
      <w:r w:rsidR="00735BC7" w:rsidRPr="007141B1">
        <w:rPr>
          <w:rFonts w:asciiTheme="minorHAnsi" w:eastAsiaTheme="minorEastAsia" w:hAnsiTheme="minorHAnsi" w:cs="Arial"/>
          <w:lang w:val="en-GB" w:eastAsia="it-IT"/>
        </w:rPr>
        <w:t>will they improve outcome</w:t>
      </w:r>
      <w:r w:rsidR="00735BC7">
        <w:rPr>
          <w:rFonts w:asciiTheme="minorHAnsi" w:eastAsiaTheme="minorEastAsia" w:hAnsiTheme="minorHAnsi" w:cs="Arial"/>
          <w:lang w:val="en-GB" w:eastAsia="it-IT"/>
        </w:rPr>
        <w:t>s</w:t>
      </w:r>
      <w:r w:rsidR="00735BC7" w:rsidRPr="007141B1">
        <w:rPr>
          <w:rFonts w:asciiTheme="minorHAnsi" w:eastAsiaTheme="minorEastAsia" w:hAnsiTheme="minorHAnsi" w:cs="Arial"/>
          <w:lang w:val="en-GB" w:eastAsia="it-IT"/>
        </w:rPr>
        <w:t xml:space="preserve"> </w:t>
      </w:r>
      <w:r w:rsidR="00735BC7">
        <w:rPr>
          <w:rFonts w:asciiTheme="minorHAnsi" w:eastAsiaTheme="minorEastAsia" w:hAnsiTheme="minorHAnsi" w:cs="Arial"/>
          <w:lang w:val="en-GB" w:eastAsia="it-IT"/>
        </w:rPr>
        <w:t>accepting that</w:t>
      </w:r>
      <w:r w:rsidR="00735BC7" w:rsidRPr="007141B1">
        <w:rPr>
          <w:rFonts w:asciiTheme="minorHAnsi" w:eastAsiaTheme="minorEastAsia" w:hAnsiTheme="minorHAnsi" w:cs="Arial"/>
          <w:lang w:val="en-GB" w:eastAsia="it-IT"/>
        </w:rPr>
        <w:t xml:space="preserve"> </w:t>
      </w:r>
      <w:r w:rsidRPr="007141B1">
        <w:rPr>
          <w:rFonts w:asciiTheme="minorHAnsi" w:eastAsiaTheme="minorEastAsia" w:hAnsiTheme="minorHAnsi" w:cs="Arial"/>
          <w:lang w:val="en-GB" w:eastAsia="it-IT"/>
        </w:rPr>
        <w:t xml:space="preserve">the </w:t>
      </w:r>
      <w:r w:rsidR="00E30963">
        <w:rPr>
          <w:rFonts w:asciiTheme="minorHAnsi" w:eastAsiaTheme="minorEastAsia" w:hAnsiTheme="minorHAnsi" w:cs="Arial"/>
          <w:lang w:val="en-GB" w:eastAsia="it-IT"/>
        </w:rPr>
        <w:t xml:space="preserve">individual </w:t>
      </w:r>
      <w:r w:rsidRPr="007141B1">
        <w:rPr>
          <w:rFonts w:asciiTheme="minorHAnsi" w:eastAsiaTheme="minorEastAsia" w:hAnsiTheme="minorHAnsi" w:cs="Arial"/>
          <w:lang w:val="en-GB" w:eastAsia="it-IT"/>
        </w:rPr>
        <w:t xml:space="preserve">elements may not in fact work? Together, these issues underpin the larger question of whether we should promote and use guidelines at all. </w:t>
      </w:r>
    </w:p>
    <w:p w:rsidR="00310854" w:rsidRDefault="00310854" w:rsidP="00F163A6">
      <w:pPr>
        <w:spacing w:line="360" w:lineRule="auto"/>
        <w:rPr>
          <w:rFonts w:asciiTheme="minorHAnsi" w:eastAsia="GuardianSansGR-Regular" w:hAnsiTheme="minorHAnsi" w:cs="Arial"/>
          <w:color w:val="1A171C"/>
          <w:lang w:val="en-GB"/>
        </w:rPr>
      </w:pPr>
    </w:p>
    <w:p w:rsidR="007141B1" w:rsidRDefault="007141B1" w:rsidP="00F163A6">
      <w:pPr>
        <w:spacing w:line="360" w:lineRule="auto"/>
        <w:rPr>
          <w:rFonts w:asciiTheme="minorHAnsi" w:eastAsia="GuardianSansGR-Regular" w:hAnsiTheme="minorHAnsi" w:cs="Arial"/>
          <w:color w:val="1A171C"/>
          <w:lang w:val="en-GB"/>
        </w:rPr>
      </w:pPr>
      <w:r w:rsidRPr="007141B1">
        <w:rPr>
          <w:rFonts w:asciiTheme="minorHAnsi" w:eastAsia="GuardianSansGR-Regular" w:hAnsiTheme="minorHAnsi" w:cs="Arial"/>
          <w:color w:val="1A171C"/>
          <w:lang w:val="en-GB"/>
        </w:rPr>
        <w:t>Increasing standardization, even in the absence of known efficacy, has the advantage of promoting reliability</w:t>
      </w:r>
      <w:r w:rsidR="00735BC7">
        <w:rPr>
          <w:rFonts w:asciiTheme="minorHAnsi" w:eastAsia="GuardianSansGR-Regular" w:hAnsiTheme="minorHAnsi" w:cs="Arial"/>
          <w:color w:val="1A171C"/>
          <w:lang w:val="en-GB"/>
        </w:rPr>
        <w:t xml:space="preserve">. This </w:t>
      </w:r>
      <w:r w:rsidR="006F7F14">
        <w:rPr>
          <w:rFonts w:asciiTheme="minorHAnsi" w:eastAsia="GuardianSansGR-Regular" w:hAnsiTheme="minorHAnsi" w:cs="Arial"/>
          <w:color w:val="1A171C"/>
          <w:lang w:val="en-GB"/>
        </w:rPr>
        <w:t>may</w:t>
      </w:r>
      <w:r w:rsidRPr="007141B1">
        <w:rPr>
          <w:rFonts w:asciiTheme="minorHAnsi" w:eastAsia="GuardianSansGR-Regular" w:hAnsiTheme="minorHAnsi" w:cs="Arial"/>
          <w:color w:val="1A171C"/>
          <w:lang w:val="en-GB"/>
        </w:rPr>
        <w:t xml:space="preserve"> facilitate quicker learning about good versus bad processes, simply because random noise is reduced</w:t>
      </w:r>
      <w:r w:rsidR="000E37EF">
        <w:rPr>
          <w:rFonts w:asciiTheme="minorHAnsi" w:eastAsia="GuardianSansGR-Regular" w:hAnsiTheme="minorHAnsi" w:cs="Arial"/>
          <w:color w:val="1A171C"/>
          <w:lang w:val="en-GB"/>
        </w:rPr>
        <w:t xml:space="preserve"> (Fig </w:t>
      </w:r>
      <w:r w:rsidR="00D06366">
        <w:rPr>
          <w:rFonts w:asciiTheme="minorHAnsi" w:eastAsia="GuardianSansGR-Regular" w:hAnsiTheme="minorHAnsi" w:cs="Arial"/>
          <w:color w:val="1A171C"/>
          <w:lang w:val="en-GB"/>
        </w:rPr>
        <w:t>2</w:t>
      </w:r>
      <w:r w:rsidR="000E37EF">
        <w:rPr>
          <w:rFonts w:asciiTheme="minorHAnsi" w:eastAsia="GuardianSansGR-Regular" w:hAnsiTheme="minorHAnsi" w:cs="Arial"/>
          <w:color w:val="1A171C"/>
          <w:lang w:val="en-GB"/>
        </w:rPr>
        <w:t>)</w:t>
      </w:r>
      <w:r w:rsidRPr="007141B1">
        <w:rPr>
          <w:rFonts w:asciiTheme="minorHAnsi" w:eastAsia="GuardianSansGR-Regular" w:hAnsiTheme="minorHAnsi" w:cs="Arial"/>
          <w:color w:val="1A171C"/>
          <w:lang w:val="en-GB"/>
        </w:rPr>
        <w:t>.</w:t>
      </w:r>
      <w:r w:rsidR="001344F0">
        <w:rPr>
          <w:rFonts w:asciiTheme="minorHAnsi" w:eastAsia="GuardianSansGR-Regular" w:hAnsiTheme="minorHAnsi" w:cs="Arial"/>
          <w:color w:val="1A171C"/>
          <w:lang w:val="en-GB"/>
        </w:rPr>
        <w:t xml:space="preserve"> T</w:t>
      </w:r>
      <w:r w:rsidRPr="007141B1">
        <w:rPr>
          <w:rFonts w:asciiTheme="minorHAnsi" w:eastAsia="GuardianSansGR-Regular" w:hAnsiTheme="minorHAnsi" w:cs="Arial"/>
          <w:color w:val="1A171C"/>
          <w:lang w:val="en-GB"/>
        </w:rPr>
        <w:t>he underlying principle of seeking to reduce variation in care has some rationale. Quality improvement initiatives based on S</w:t>
      </w:r>
      <w:r w:rsidR="004B5525">
        <w:rPr>
          <w:rFonts w:asciiTheme="minorHAnsi" w:eastAsia="GuardianSansGR-Regular" w:hAnsiTheme="minorHAnsi" w:cs="Arial"/>
          <w:color w:val="1A171C"/>
          <w:lang w:val="en-GB"/>
        </w:rPr>
        <w:t xml:space="preserve">SC </w:t>
      </w:r>
      <w:r w:rsidRPr="007141B1">
        <w:rPr>
          <w:rFonts w:asciiTheme="minorHAnsi" w:eastAsia="GuardianSansGR-Regular" w:hAnsiTheme="minorHAnsi" w:cs="Arial"/>
          <w:color w:val="1A171C"/>
          <w:lang w:val="en-GB"/>
        </w:rPr>
        <w:t xml:space="preserve">bundles have been associated with a reduction in sepsis mortality </w:t>
      </w:r>
      <w:r w:rsidR="004660CE">
        <w:rPr>
          <w:rFonts w:asciiTheme="minorHAnsi" w:eastAsia="GuardianSansGR-Regular" w:hAnsiTheme="minorHAnsi" w:cs="Arial"/>
          <w:color w:val="1A171C"/>
          <w:lang w:val="en-GB"/>
        </w:rPr>
        <w:fldChar w:fldCharType="begin"/>
      </w:r>
      <w:r w:rsidR="004660CE">
        <w:rPr>
          <w:rFonts w:asciiTheme="minorHAnsi" w:eastAsia="GuardianSansGR-Regular" w:hAnsiTheme="minorHAnsi" w:cs="Arial"/>
          <w:color w:val="1A171C"/>
          <w:lang w:val="en-GB"/>
        </w:rPr>
        <w:instrText xml:space="preserve"> ADDIN ZOTERO_ITEM CSL_CITATION {"citationID":"91n1j6icv","properties":{"formattedCitation":"[6]","plainCitation":"[6]"},"citationItems":[{"id":205,"uris":["http://zotero.org/users/local/tmXAZSH1/items/C4ETUP65"],"uri":["http://zotero.org/users/local/tmXAZSH1/items/C4ETUP65"],"itemData":{"id":205,"type":"article-journal","title":"Surviving Sepsis Campaign: association between performance metrics and outcomes in a 7.5-year study","container-title":"Intensive Care Medicine","page":"1623-1633","volume":"40","issue":"11","source":"PubMed","abstract":"PURPOSE: To determine the association between compliance with the Surviving Sepsis Campaign (SSC) performance bundles and mortality.\nDESIGN: Compliance with the SSC performance bundles, which are based on the 2004 SSC guidelines, was measured in 29,470 subjects entered into the SSC database from January 1, 2005 through June 30, 2012. Compliance was defined as evidence that all bundle elements were achieved.\nSETTING: Two hundred eighteen community, academic, and tertiary care hospitals in the United States, South America, and Europe.\nPATIENTS: Patients from the emergency department, medical and surgical wards, and ICU who met diagnosis criteria for severe sepsis and septic shock.\nMETHODS: A multifaceted, collaborative change intervention aimed at facilitating adoption of the SSC resuscitation and management bundles was introduced. Compliance with the SSC bundles and associated mortality rate was the primary outcome variable.\nRESULTS: Overall lower mortality was observed in high (29.0%) versus low (38.6%) resuscitation bundle compliance sites (p &lt; 0.001) and between high (33.4%) and low (32.3%) management bundle compliance sites (p = 0.039). Hospital mortality rates dropped 0.7% per site for every 3 months (quarter) of participation (p &lt; 0.001). Hospital and intensive care unit length of stay decreased 4% (95% CI 1-7%; p = 0.012) for every 10% increase in site compliance with the resuscitation bundle.\nCONCLUSIONS: This analysis demonstrates that increased compliance with sepsis performance bundles was associated with a 25% relative risk reduction in mortality rate. Every 10% increase in compliance and additional quarter of participation in the SSC initiative was associated with a significant decrease in the odds ratio for hospital mortality. These results demonstrate that performance metrics can drive change in clinical behavior, improve quality of care, and may decrease mortality in patients with severe sepsis and septic shock.","DOI":"10.1007/s00134-014-3496-0","ISSN":"1432-1238","note":"PMID: 25270221","shortTitle":"Surviving Sepsis Campaign","journalAbbreviation":"Intensive Care Med","language":"eng","author":[{"family":"Levy","given":"Mitchell M."},{"family":"Rhodes","given":"Andrew"},{"family":"Phillips","given":"Gary S."},{"family":"Townsend","given":"Sean R."},{"family":"Schorr","given":"Christa A."},{"family":"Beale","given":"Richard"},{"family":"Osborn","given":"Tiffany"},{"family":"Lemeshow","given":"Stanley"},{"family":"Chiche","given":"Jean-Daniel"},{"family":"Artigas","given":"Antonio"},{"family":"Dellinger","given":"R. Phillip"}],"issued":{"date-parts":[["2014",11]]},"PMID":"25270221"}}],"schema":"https://github.com/citation-style-language/schema/raw/master/csl-citation.json"} </w:instrText>
      </w:r>
      <w:r w:rsidR="004660CE">
        <w:rPr>
          <w:rFonts w:asciiTheme="minorHAnsi" w:eastAsia="GuardianSansGR-Regular" w:hAnsiTheme="minorHAnsi" w:cs="Arial"/>
          <w:color w:val="1A171C"/>
          <w:lang w:val="en-GB"/>
        </w:rPr>
        <w:fldChar w:fldCharType="separate"/>
      </w:r>
      <w:r w:rsidR="004660CE" w:rsidRPr="00C2575C">
        <w:rPr>
          <w:rFonts w:ascii="Calibri" w:hAnsi="Calibri"/>
          <w:lang w:val="en-US"/>
        </w:rPr>
        <w:t>[6]</w:t>
      </w:r>
      <w:r w:rsidR="004660CE">
        <w:rPr>
          <w:rFonts w:asciiTheme="minorHAnsi" w:eastAsia="GuardianSansGR-Regular" w:hAnsiTheme="minorHAnsi" w:cs="Arial"/>
          <w:color w:val="1A171C"/>
          <w:lang w:val="en-GB"/>
        </w:rPr>
        <w:fldChar w:fldCharType="end"/>
      </w:r>
      <w:r w:rsidR="00735BC7">
        <w:rPr>
          <w:rFonts w:asciiTheme="minorHAnsi" w:eastAsia="GuardianSansGR-Regular" w:hAnsiTheme="minorHAnsi" w:cs="Arial"/>
          <w:color w:val="1A171C"/>
          <w:lang w:val="en-GB"/>
        </w:rPr>
        <w:t>,</w:t>
      </w:r>
      <w:r w:rsidRPr="007141B1">
        <w:rPr>
          <w:rFonts w:asciiTheme="minorHAnsi" w:eastAsia="GuardianSansGR-Regular" w:hAnsiTheme="minorHAnsi" w:cs="Arial"/>
          <w:color w:val="1A171C"/>
          <w:lang w:val="en-GB"/>
        </w:rPr>
        <w:t xml:space="preserve"> even though the components of the bundle were not demonstrate</w:t>
      </w:r>
      <w:r w:rsidR="00D37B15">
        <w:rPr>
          <w:rFonts w:asciiTheme="minorHAnsi" w:eastAsia="GuardianSansGR-Regular" w:hAnsiTheme="minorHAnsi" w:cs="Arial"/>
          <w:color w:val="1A171C"/>
          <w:lang w:val="en-GB"/>
        </w:rPr>
        <w:t>d to lower mortality in randomis</w:t>
      </w:r>
      <w:r w:rsidRPr="007141B1">
        <w:rPr>
          <w:rFonts w:asciiTheme="minorHAnsi" w:eastAsia="GuardianSansGR-Regular" w:hAnsiTheme="minorHAnsi" w:cs="Arial"/>
          <w:color w:val="1A171C"/>
          <w:lang w:val="en-GB"/>
        </w:rPr>
        <w:t>ed trials.</w:t>
      </w:r>
      <w:r w:rsidR="00422C35">
        <w:rPr>
          <w:rFonts w:asciiTheme="minorHAnsi" w:eastAsia="GuardianSansGR-Regular" w:hAnsiTheme="minorHAnsi" w:cs="Arial"/>
          <w:color w:val="1A171C"/>
          <w:lang w:val="en-GB"/>
        </w:rPr>
        <w:t xml:space="preserve"> </w:t>
      </w:r>
      <w:r w:rsidR="00735BC7">
        <w:rPr>
          <w:rFonts w:asciiTheme="minorHAnsi" w:eastAsia="GuardianSansGR-Regular" w:hAnsiTheme="minorHAnsi" w:cs="Arial"/>
          <w:color w:val="1A171C"/>
          <w:lang w:val="en-GB"/>
        </w:rPr>
        <w:t>However</w:t>
      </w:r>
      <w:r w:rsidRPr="007141B1">
        <w:rPr>
          <w:rFonts w:asciiTheme="minorHAnsi" w:eastAsia="GuardianSansGR-Regular" w:hAnsiTheme="minorHAnsi" w:cs="Arial"/>
          <w:color w:val="1A171C"/>
          <w:lang w:val="en-GB"/>
        </w:rPr>
        <w:t xml:space="preserve">, compliance </w:t>
      </w:r>
      <w:r w:rsidR="00735BC7">
        <w:rPr>
          <w:rFonts w:asciiTheme="minorHAnsi" w:eastAsia="GuardianSansGR-Regular" w:hAnsiTheme="minorHAnsi" w:cs="Arial"/>
          <w:color w:val="1A171C"/>
          <w:lang w:val="en-GB"/>
        </w:rPr>
        <w:t>is</w:t>
      </w:r>
      <w:r w:rsidR="00735BC7" w:rsidRPr="007141B1">
        <w:rPr>
          <w:rFonts w:asciiTheme="minorHAnsi" w:eastAsia="GuardianSansGR-Regular" w:hAnsiTheme="minorHAnsi" w:cs="Arial"/>
          <w:color w:val="1A171C"/>
          <w:lang w:val="en-GB"/>
        </w:rPr>
        <w:t xml:space="preserve"> </w:t>
      </w:r>
      <w:r w:rsidRPr="007141B1">
        <w:rPr>
          <w:rFonts w:asciiTheme="minorHAnsi" w:eastAsia="GuardianSansGR-Regular" w:hAnsiTheme="minorHAnsi" w:cs="Arial"/>
          <w:color w:val="1A171C"/>
          <w:lang w:val="en-GB"/>
        </w:rPr>
        <w:t xml:space="preserve">rarely high for any component of the bundle and there is concern that </w:t>
      </w:r>
      <w:r w:rsidRPr="007141B1">
        <w:rPr>
          <w:rFonts w:asciiTheme="minorHAnsi" w:eastAsiaTheme="minorEastAsia" w:hAnsiTheme="minorHAnsi" w:cs="Arial"/>
          <w:lang w:val="en-GB" w:eastAsia="it-IT"/>
        </w:rPr>
        <w:t>f</w:t>
      </w:r>
      <w:r w:rsidRPr="007141B1">
        <w:rPr>
          <w:rFonts w:asciiTheme="minorHAnsi" w:eastAsia="GuardianSansGR-Regular" w:hAnsiTheme="minorHAnsi" w:cs="Arial"/>
          <w:color w:val="1A171C"/>
          <w:lang w:val="en-GB"/>
        </w:rPr>
        <w:t xml:space="preserve">orcing uniform management based on weak evidence may inadvertently cause harm. As such, one </w:t>
      </w:r>
      <w:r w:rsidR="00EC018D">
        <w:rPr>
          <w:rFonts w:asciiTheme="minorHAnsi" w:eastAsia="GuardianSansGR-Regular" w:hAnsiTheme="minorHAnsi" w:cs="Arial"/>
          <w:color w:val="1A171C"/>
          <w:lang w:val="en-GB"/>
        </w:rPr>
        <w:t xml:space="preserve">should </w:t>
      </w:r>
      <w:r w:rsidRPr="007141B1">
        <w:rPr>
          <w:rFonts w:asciiTheme="minorHAnsi" w:eastAsia="GuardianSansGR-Regular" w:hAnsiTheme="minorHAnsi" w:cs="Arial"/>
          <w:color w:val="1A171C"/>
          <w:lang w:val="en-GB"/>
        </w:rPr>
        <w:t>be careful when converting guidelines into mandates</w:t>
      </w:r>
      <w:r w:rsidR="004660CE">
        <w:rPr>
          <w:rFonts w:asciiTheme="minorHAnsi" w:eastAsia="GuardianSansGR-Regular" w:hAnsiTheme="minorHAnsi" w:cs="Arial"/>
          <w:color w:val="1A171C"/>
          <w:lang w:val="en-GB"/>
        </w:rPr>
        <w:t xml:space="preserve"> </w:t>
      </w:r>
      <w:r w:rsidR="004660CE">
        <w:rPr>
          <w:rFonts w:asciiTheme="minorHAnsi" w:eastAsia="GuardianSansGR-Regular" w:hAnsiTheme="minorHAnsi" w:cs="Arial"/>
          <w:color w:val="1A171C"/>
          <w:lang w:val="en-GB"/>
        </w:rPr>
        <w:fldChar w:fldCharType="begin"/>
      </w:r>
      <w:r w:rsidR="004660CE">
        <w:rPr>
          <w:rFonts w:asciiTheme="minorHAnsi" w:eastAsia="GuardianSansGR-Regular" w:hAnsiTheme="minorHAnsi" w:cs="Arial"/>
          <w:color w:val="1A171C"/>
          <w:lang w:val="en-GB"/>
        </w:rPr>
        <w:instrText xml:space="preserve"> ADDIN ZOTERO_ITEM CSL_CITATION {"citationID":"10mhiocr2c","properties":{"formattedCitation":"[7]","plainCitation":"[7]"},"citationItems":[{"id":207,"uris":["http://zotero.org/users/local/tmXAZSH1/items/PC64P7KB"],"uri":["http://zotero.org/users/local/tmXAZSH1/items/PC64P7KB"],"itemData":{"id":207,"type":"article-journal","title":"New Mandated Centers for Medicare and Medicaid Services Requirements for Sepsis Reporting: Caution from the Field","container-title":"The Journal of Emergency Medicine","source":"PubMed","abstract":"BACKGROUND: The release of the Center for Medicare and Medicaid Service's (CMS) latest quality measure, Severe Sepsis/Septic Shock Early Management Bundle (SEP-1), has intensified the long-standing debate over optimal care for severe sepsis and septic shock. Although the last decade of research has demonstrated the importance of comprehensive bundled care in conjunction with compliance mechanisms to reduce patient mortality, it is not clear that SEP-1 achieves this aim. The heterogeneous and often cryptic presentation of severe sepsis and septic shock, along with the multifaceted criteria for the definition of this clinical syndrome, pose a particular challenge for fitting requirements to this disease, and implementation could have unintended consequences.\nOBJECTIVE: Following a simulated reporting exercise, in which 50 charts underwent expert review, we aimed to detail the challenges of, and offer suggestions on how to rethink, measuring performance in severe sepsis and septic shock care.\nDISCUSSION: There were several challenges associated with the design and implementation of this measure. The ambiguous definition of severe sepsis and septic shock, prescriptive fluid volume requirements, rigid reassessment, and complex abstraction logic all raise significant concern.\nCONCLUSIONS: Although SEP-1 represents an important first step in requiring hospitals to improve outcomes for patients with severe sepsis and septic shock, the current approach must be revisited. The volume and complexity of the currently required SEP-1 reporting elements deserve serious consideration and revision before they are used as measures of accountability and tied to reimbursement.","DOI":"10.1016/j.jemermed.2016.08.009","ISSN":"0736-4679","note":"PMID: 27720289","shortTitle":"New Mandated Centers for Medicare and Medicaid Services Requirements for Sepsis Reporting","journalAbbreviation":"J Emerg Med","language":"eng","author":[{"family":"Aaronson","given":"Emily L."},{"family":"Filbin","given":"Michael R."},{"family":"Brown","given":"David F. M."},{"family":"Tobin","given":"Kathy"},{"family":"Mort","given":"Elizabeth A."}],"issued":{"date-parts":[["2016",10,5]]},"PMID":"27720289"}}],"schema":"https://github.com/citation-style-language/schema/raw/master/csl-citation.json"} </w:instrText>
      </w:r>
      <w:r w:rsidR="004660CE">
        <w:rPr>
          <w:rFonts w:asciiTheme="minorHAnsi" w:eastAsia="GuardianSansGR-Regular" w:hAnsiTheme="minorHAnsi" w:cs="Arial"/>
          <w:color w:val="1A171C"/>
          <w:lang w:val="en-GB"/>
        </w:rPr>
        <w:fldChar w:fldCharType="separate"/>
      </w:r>
      <w:r w:rsidR="004660CE" w:rsidRPr="00C2575C">
        <w:rPr>
          <w:rFonts w:ascii="Calibri" w:hAnsi="Calibri"/>
          <w:lang w:val="en-US"/>
        </w:rPr>
        <w:t>[7]</w:t>
      </w:r>
      <w:r w:rsidR="004660CE">
        <w:rPr>
          <w:rFonts w:asciiTheme="minorHAnsi" w:eastAsia="GuardianSansGR-Regular" w:hAnsiTheme="minorHAnsi" w:cs="Arial"/>
          <w:color w:val="1A171C"/>
          <w:lang w:val="en-GB"/>
        </w:rPr>
        <w:fldChar w:fldCharType="end"/>
      </w:r>
      <w:r w:rsidRPr="00D37B15">
        <w:rPr>
          <w:rFonts w:asciiTheme="minorHAnsi" w:eastAsia="GuardianSansGR-Regular" w:hAnsiTheme="minorHAnsi" w:cs="Arial"/>
          <w:color w:val="1A171C"/>
          <w:lang w:val="en-GB"/>
        </w:rPr>
        <w:t>.</w:t>
      </w:r>
    </w:p>
    <w:p w:rsidR="004B5525" w:rsidRPr="007141B1" w:rsidRDefault="004B5525" w:rsidP="00F163A6">
      <w:pPr>
        <w:spacing w:line="360" w:lineRule="auto"/>
        <w:rPr>
          <w:rFonts w:asciiTheme="minorHAnsi" w:eastAsia="GuardianSansGR-Regular" w:hAnsiTheme="minorHAnsi" w:cs="Arial"/>
          <w:color w:val="1A171C"/>
          <w:lang w:val="en-GB"/>
        </w:rPr>
      </w:pPr>
    </w:p>
    <w:p w:rsidR="007141B1" w:rsidRPr="007141B1" w:rsidRDefault="00735BC7" w:rsidP="00F163A6">
      <w:pPr>
        <w:spacing w:line="360" w:lineRule="auto"/>
        <w:rPr>
          <w:rFonts w:asciiTheme="minorHAnsi" w:eastAsiaTheme="minorEastAsia" w:hAnsiTheme="minorHAnsi" w:cs="Arial"/>
          <w:lang w:val="en-GB" w:eastAsia="it-IT"/>
        </w:rPr>
      </w:pPr>
      <w:r>
        <w:rPr>
          <w:rFonts w:asciiTheme="minorHAnsi" w:eastAsiaTheme="minorEastAsia" w:hAnsiTheme="minorHAnsi" w:cs="Arial"/>
          <w:lang w:val="en-GB" w:eastAsia="it-IT"/>
        </w:rPr>
        <w:t>In addition, c</w:t>
      </w:r>
      <w:r w:rsidRPr="007141B1">
        <w:rPr>
          <w:rFonts w:asciiTheme="minorHAnsi" w:eastAsiaTheme="minorEastAsia" w:hAnsiTheme="minorHAnsi" w:cs="Arial"/>
          <w:lang w:val="en-GB" w:eastAsia="it-IT"/>
        </w:rPr>
        <w:t xml:space="preserve">ompliance </w:t>
      </w:r>
      <w:r w:rsidR="007141B1" w:rsidRPr="007141B1">
        <w:rPr>
          <w:rFonts w:asciiTheme="minorHAnsi" w:eastAsiaTheme="minorEastAsia" w:hAnsiTheme="minorHAnsi" w:cs="Arial"/>
          <w:lang w:val="en-GB" w:eastAsia="it-IT"/>
        </w:rPr>
        <w:t>with resuscitation measures in the 3</w:t>
      </w:r>
      <w:r w:rsidR="00D37B15">
        <w:rPr>
          <w:rFonts w:asciiTheme="minorHAnsi" w:eastAsiaTheme="minorEastAsia" w:hAnsiTheme="minorHAnsi" w:cs="Arial"/>
          <w:lang w:val="en-GB" w:eastAsia="it-IT"/>
        </w:rPr>
        <w:t>-</w:t>
      </w:r>
      <w:r w:rsidR="007141B1" w:rsidRPr="007141B1">
        <w:rPr>
          <w:rFonts w:asciiTheme="minorHAnsi" w:eastAsiaTheme="minorEastAsia" w:hAnsiTheme="minorHAnsi" w:cs="Arial"/>
          <w:lang w:val="en-GB" w:eastAsia="it-IT"/>
        </w:rPr>
        <w:t xml:space="preserve"> and 6-hour SSC bundles is highly variable across studies</w:t>
      </w:r>
      <w:r>
        <w:rPr>
          <w:rFonts w:asciiTheme="minorHAnsi" w:eastAsiaTheme="minorEastAsia" w:hAnsiTheme="minorHAnsi" w:cs="Arial"/>
          <w:lang w:val="en-GB" w:eastAsia="it-IT"/>
        </w:rPr>
        <w:t xml:space="preserve"> </w:t>
      </w:r>
      <w:r>
        <w:rPr>
          <w:rFonts w:asciiTheme="minorHAnsi" w:hAnsiTheme="minorHAnsi" w:cs="Arial"/>
          <w:color w:val="000000"/>
          <w:lang w:val="en-GB"/>
        </w:rPr>
        <w:fldChar w:fldCharType="begin"/>
      </w:r>
      <w:r>
        <w:rPr>
          <w:rFonts w:asciiTheme="minorHAnsi" w:hAnsiTheme="minorHAnsi" w:cs="Arial"/>
          <w:color w:val="000000"/>
          <w:lang w:val="en-GB"/>
        </w:rPr>
        <w:instrText xml:space="preserve"> ADDIN ZOTERO_ITEM CSL_CITATION {"citationID":"2i30p7m4ll","properties":{"formattedCitation":"[8, 9]","plainCitation":"[8, 9]"},"citationItems":[{"id":209,"uris":["http://zotero.org/users/local/tmXAZSH1/items/RPCAGZMH"],"uri":["http://zotero.org/users/local/tmXAZSH1/items/RPCAGZMH"],"itemData":{"id":209,"type":"article-journal","title":"Management of severe sepsis in patients admitted to Asian intensive care units: prospective cohort study","container-title":"BMJ (Clinical research ed.)","page":"d3245","volume":"342","source":"PubMed","abstract":"OBJECTIVES: To assess the compliance of Asian intensive care units and hospitals to the Surviving Sepsis Campaign's resuscitation and management bundles. Secondary objectives were to evaluate the impact of compliance on mortality and the organisational characteristics of hospitals that were associated with higher compliance.\nDESIGN: Prospective cohort study.\nSETTING: 150 intensive care units in 16 Asian countries.\nPARTICIPANTS: 1285 adult patients with severe sepsis admitted to these intensive care units in July 2009. The organisational characteristics of participating centres, the patients' baseline characteristics, the achievement of targets within the resuscitation and management bundles, and outcome data were recorded.\nMAIN OUTCOME MEASURE: Compliance with the Surviving Sepsis Campaign's resuscitation (six hours) and management (24 hours) bundles.\nRESULTS: Hospital mortality was 44.5% (572/1285). Compliance rates for the resuscitation and management bundles were 7.6% (98/1285) and 3.5% (45/1285), respectively. On logistic regression analysis, compliance with the following bundle targets independently predicted decreased mortality: blood cultures (achieved in 803/1285; 62.5%, 95% confidence interval 59.8% to 65.1%), broad spectrum antibiotics (achieved in 821/1285; 63.9%, 61.3% to 66.5%), and central venous pressure (achieved in 345/870; 39.7%, 36.4% to 42.9%). High income countries, university hospitals, intensive care units with an accredited fellowship programme, and surgical intensive care units were more likely to be compliant with the resuscitation bundle.\nCONCLUSIONS: While mortality from severe sepsis is high, compliance with resuscitation and management bundles is generally poor in much of Asia. As the centres included in this study might not be fully representative, achievement rates reported might overestimate the true degree of compliance with recommended care and should be interpreted with caution. Achievement of targets for blood cultures, antibiotics, and central venous pressure was independently associated with improved survival.","ISSN":"1756-1833","note":"PMID: 21669950\nPMCID: PMC3113333","shortTitle":"Management of severe sepsis in patients admitted to Asian intensive care units","journalAbbreviation":"BMJ","language":"eng","author":[{"family":"Phua","given":"Jason"},{"family":"Koh","given":"Younsuck"},{"family":"Du","given":"Bin"},{"family":"Tang","given":"Yao-Qing"},{"family":"Divatia","given":"Jigeeshu V."},{"family":"Tan","given":"Cheng Cheng"},{"family":"Gomersall","given":"Charles D."},{"family":"Faruq","given":"Mohammad Omar"},{"family":"Shrestha","given":"Babu Raja"},{"family":"Gia Binh","given":"Nguyen"},{"family":"Arabi","given":"Yaseen M."},{"family":"Salahuddin","given":"Nawal"},{"family":"Wahyuprajitno","given":"Bambang"},{"family":"Tu","given":"Mei-Lien"},{"family":"Wahab","given":"Ahmad Yazid Haji Abd"},{"family":"Hameed","given":"Akmal A."},{"family":"Nishimura","given":"Masaji"},{"family":"Procyshyn","given":"Mark"},{"family":"Chan","given":"Yiong Huak"},{"literal":"MOSAICS Study Group"}],"issued":{"date-parts":[["2011",6,13]]},"PMID":"21669950","PMCID":"PMC3113333"}},{"id":211,"uris":["http://zotero.org/users/local/tmXAZSH1/items/N7NX33PE"],"uri":["http://zotero.org/users/local/tmXAZSH1/items/N7NX33PE"],"itemData":{"id":211,"type":"article-journal","title":"Implementation of a multifaceted sepsis education program in an emerging country setting: clinical outcomes and cost-effectiveness in a long-term follow-up study","container-title":"Intensive Care Medicine","page":"182-191","volume":"40","issue":"2","source":"PubMed","abstract":"PURPOSE: To evaluate whether a multifaceted, centrally coordinated quality improvement program in a network of hospitals can increase compliance with the resuscitation bundle and improve clinical and economic outcomes in an emerging country setting.\nMETHODS: This was a pre- and post-intervention study in ten private hospitals (1,650 beds) in Brazil (from May 2010 to January 2012), enrolling 2,120 patients with severe sepsis or septic shock. The program used a multifaceted approach: screening strategies, multidisciplinary educational sessions, case management, and continuous performance assessment. The network administration and an external consultant provided performance feedback and benchmarking within the network. The primary outcome was compliance with the resuscitation bundle. The secondary outcomes were hospital mortality, hospital and ICU length of stay, quality-adjusted life year (QALY) gain, and cost-effectiveness.\nRESULTS: The proportion of patients who received all the required items for the resuscitation bundle improved from 13% [95% confidence interval (CI) 8-18%] at baseline to 62% (95% CI 54-69%) in the last trimester (p &lt; 0.001). Hospital mortality decreased from 55% (95% CI 48-62%) to 26% (95% CI 19-32%, p &lt; 0.001). Full compliance with the resuscitation bundle was associated with lower risk of hospital mortality (propensity weighted corrected risk ratio 0.74; 95% CI 0.56-0.94, p = 0.02). There was a reduction in the total cost per patient from 29.3 (95% CI 23.9-35.4) to 17.5 (95% CI 14.3-21.1) thousand US dollars from baseline to the last 3 months (mean difference -11,815; 95% CI -18,604 to -5,338). The mean QALY increased from 2.63 (95% CI 2.15-3.14) to 4.06 (95% CI 3.58-4.57). For each QALY, the full compliance saves US$5,383.\nCONCLUSIONS: A multifaceted approach to severe sepsis and septic shock patients in an emerging country setting led to high compliance with the resuscitation bundle. The intervention was cost-effective and associated with a reduction in mortality.","DOI":"10.1007/s00134-013-3131-5","ISSN":"1432-1238","note":"PMID: 24146003","shortTitle":"Implementation of a multifaceted sepsis education program in an emerging country setting","journalAbbreviation":"Intensive Care Med","language":"eng","author":[{"family":"Noritomi","given":"Danilo Teixeira"},{"family":"Ranzani","given":"Otavio T."},{"family":"Monteiro","given":"Mariana Barbosa"},{"family":"Ferreira","given":"Elaine Maria"},{"family":"Santos","given":"Sergio Ricardo"},{"family":"Leibel","given":"Fernando"},{"family":"Machado","given":"Flavia Ribeiro"}],"issued":{"date-parts":[["2014",2]]},"PMID":"24146003"}}],"schema":"https://github.com/citation-style-language/schema/raw/master/csl-citation.json"} </w:instrText>
      </w:r>
      <w:r>
        <w:rPr>
          <w:rFonts w:asciiTheme="minorHAnsi" w:hAnsiTheme="minorHAnsi" w:cs="Arial"/>
          <w:color w:val="000000"/>
          <w:lang w:val="en-GB"/>
        </w:rPr>
        <w:fldChar w:fldCharType="separate"/>
      </w:r>
      <w:r>
        <w:rPr>
          <w:rFonts w:ascii="Calibri" w:hAnsi="Calibri"/>
          <w:lang w:val="en-US"/>
        </w:rPr>
        <w:t>[8-11</w:t>
      </w:r>
      <w:r w:rsidRPr="00C2575C">
        <w:rPr>
          <w:rFonts w:ascii="Calibri" w:hAnsi="Calibri"/>
          <w:lang w:val="en-US"/>
        </w:rPr>
        <w:t>]</w:t>
      </w:r>
      <w:r>
        <w:rPr>
          <w:rFonts w:asciiTheme="minorHAnsi" w:hAnsiTheme="minorHAnsi" w:cs="Arial"/>
          <w:color w:val="000000"/>
          <w:lang w:val="en-GB"/>
        </w:rPr>
        <w:fldChar w:fldCharType="end"/>
      </w:r>
      <w:r w:rsidR="007141B1" w:rsidRPr="007141B1">
        <w:rPr>
          <w:rFonts w:asciiTheme="minorHAnsi" w:eastAsiaTheme="minorEastAsia" w:hAnsiTheme="minorHAnsi" w:cs="Arial"/>
          <w:lang w:val="en-GB" w:eastAsia="it-IT"/>
        </w:rPr>
        <w:t xml:space="preserve">, suggesting they are not standards of care </w:t>
      </w:r>
      <w:r>
        <w:rPr>
          <w:rFonts w:asciiTheme="minorHAnsi" w:eastAsiaTheme="minorEastAsia" w:hAnsiTheme="minorHAnsi" w:cs="Arial"/>
          <w:lang w:val="en-GB" w:eastAsia="it-IT"/>
        </w:rPr>
        <w:t>across</w:t>
      </w:r>
      <w:r w:rsidRPr="007141B1">
        <w:rPr>
          <w:rFonts w:asciiTheme="minorHAnsi" w:eastAsiaTheme="minorEastAsia" w:hAnsiTheme="minorHAnsi" w:cs="Arial"/>
          <w:lang w:val="en-GB" w:eastAsia="it-IT"/>
        </w:rPr>
        <w:t xml:space="preserve"> </w:t>
      </w:r>
      <w:r w:rsidR="007141B1" w:rsidRPr="007141B1">
        <w:rPr>
          <w:rFonts w:asciiTheme="minorHAnsi" w:eastAsiaTheme="minorEastAsia" w:hAnsiTheme="minorHAnsi" w:cs="Arial"/>
          <w:lang w:val="en-GB" w:eastAsia="it-IT"/>
        </w:rPr>
        <w:t>all settings</w:t>
      </w:r>
      <w:r w:rsidR="00165E6D" w:rsidRPr="00165E6D">
        <w:rPr>
          <w:rFonts w:asciiTheme="minorHAnsi" w:eastAsiaTheme="minorEastAsia" w:hAnsiTheme="minorHAnsi" w:cs="Arial"/>
          <w:lang w:val="en-GB" w:eastAsia="it-IT"/>
        </w:rPr>
        <w:t xml:space="preserve"> </w:t>
      </w:r>
      <w:r w:rsidR="00165E6D">
        <w:rPr>
          <w:rFonts w:asciiTheme="minorHAnsi" w:eastAsiaTheme="minorEastAsia" w:hAnsiTheme="minorHAnsi" w:cs="Arial"/>
          <w:lang w:val="en-GB" w:eastAsia="it-IT"/>
        </w:rPr>
        <w:t>or that the guidelines are in fact difficult to follow and comply with even in excellent centres</w:t>
      </w:r>
      <w:r w:rsidR="007141B1" w:rsidRPr="007141B1">
        <w:rPr>
          <w:rFonts w:asciiTheme="minorHAnsi" w:eastAsiaTheme="minorEastAsia" w:hAnsiTheme="minorHAnsi" w:cs="Arial"/>
          <w:lang w:val="en-GB" w:eastAsia="it-IT"/>
        </w:rPr>
        <w:t xml:space="preserve">. A multinational one-day prevalence study also showed </w:t>
      </w:r>
      <w:r w:rsidR="00654437">
        <w:rPr>
          <w:rFonts w:asciiTheme="minorHAnsi" w:eastAsiaTheme="minorEastAsia" w:hAnsiTheme="minorHAnsi" w:cs="Arial"/>
          <w:lang w:val="en-GB" w:eastAsia="it-IT"/>
        </w:rPr>
        <w:t>low</w:t>
      </w:r>
      <w:r w:rsidR="007141B1" w:rsidRPr="007141B1">
        <w:rPr>
          <w:rFonts w:asciiTheme="minorHAnsi" w:eastAsiaTheme="minorEastAsia" w:hAnsiTheme="minorHAnsi" w:cs="Arial"/>
          <w:lang w:val="en-GB" w:eastAsia="it-IT"/>
        </w:rPr>
        <w:t xml:space="preserve"> compliance rates with all resuscitation items, including lactate sampling (5</w:t>
      </w:r>
      <w:r w:rsidR="00D37B15">
        <w:rPr>
          <w:rFonts w:asciiTheme="minorHAnsi" w:eastAsiaTheme="minorEastAsia" w:hAnsiTheme="minorHAnsi" w:cs="Arial"/>
          <w:lang w:val="en-GB" w:eastAsia="it-IT"/>
        </w:rPr>
        <w:t>6</w:t>
      </w:r>
      <w:r w:rsidR="007141B1" w:rsidRPr="007141B1">
        <w:rPr>
          <w:rFonts w:asciiTheme="minorHAnsi" w:eastAsiaTheme="minorEastAsia" w:hAnsiTheme="minorHAnsi" w:cs="Arial"/>
          <w:lang w:val="en-GB" w:eastAsia="it-IT"/>
        </w:rPr>
        <w:t>%), repeat lactate sampling (64</w:t>
      </w:r>
      <w:r w:rsidR="00D37B15">
        <w:rPr>
          <w:rFonts w:asciiTheme="minorHAnsi" w:eastAsiaTheme="minorEastAsia" w:hAnsiTheme="minorHAnsi" w:cs="Arial"/>
          <w:lang w:val="en-GB" w:eastAsia="it-IT"/>
        </w:rPr>
        <w:t>%</w:t>
      </w:r>
      <w:r w:rsidR="007141B1" w:rsidRPr="007141B1">
        <w:rPr>
          <w:rFonts w:asciiTheme="minorHAnsi" w:eastAsiaTheme="minorEastAsia" w:hAnsiTheme="minorHAnsi" w:cs="Arial"/>
          <w:lang w:val="en-GB" w:eastAsia="it-IT"/>
        </w:rPr>
        <w:t xml:space="preserve">), </w:t>
      </w:r>
      <w:r w:rsidR="00C75480">
        <w:rPr>
          <w:rFonts w:asciiTheme="minorHAnsi" w:eastAsiaTheme="minorEastAsia" w:hAnsiTheme="minorHAnsi" w:cs="Arial"/>
          <w:lang w:val="en-GB" w:eastAsia="it-IT"/>
        </w:rPr>
        <w:t>administering</w:t>
      </w:r>
      <w:r w:rsidRPr="007141B1">
        <w:rPr>
          <w:rFonts w:asciiTheme="minorHAnsi" w:eastAsiaTheme="minorEastAsia" w:hAnsiTheme="minorHAnsi" w:cs="Arial"/>
          <w:lang w:val="en-GB" w:eastAsia="it-IT"/>
        </w:rPr>
        <w:t xml:space="preserve"> </w:t>
      </w:r>
      <w:r w:rsidR="007141B1" w:rsidRPr="007141B1">
        <w:rPr>
          <w:rFonts w:asciiTheme="minorHAnsi" w:eastAsiaTheme="minorEastAsia" w:hAnsiTheme="minorHAnsi" w:cs="Arial"/>
          <w:lang w:val="en-GB" w:eastAsia="it-IT"/>
        </w:rPr>
        <w:t>30 mL/kg of crystalloids</w:t>
      </w:r>
      <w:r>
        <w:rPr>
          <w:rFonts w:asciiTheme="minorHAnsi" w:eastAsiaTheme="minorEastAsia" w:hAnsiTheme="minorHAnsi" w:cs="Arial"/>
          <w:lang w:val="en-GB" w:eastAsia="it-IT"/>
        </w:rPr>
        <w:t xml:space="preserve"> for fluid resuscitation</w:t>
      </w:r>
      <w:r w:rsidR="007141B1" w:rsidRPr="007141B1">
        <w:rPr>
          <w:rFonts w:asciiTheme="minorHAnsi" w:eastAsiaTheme="minorEastAsia" w:hAnsiTheme="minorHAnsi" w:cs="Arial"/>
          <w:lang w:val="en-GB" w:eastAsia="it-IT"/>
        </w:rPr>
        <w:t xml:space="preserve"> (57%)</w:t>
      </w:r>
      <w:r>
        <w:rPr>
          <w:rFonts w:asciiTheme="minorHAnsi" w:eastAsiaTheme="minorEastAsia" w:hAnsiTheme="minorHAnsi" w:cs="Arial"/>
          <w:lang w:val="en-GB" w:eastAsia="it-IT"/>
        </w:rPr>
        <w:t xml:space="preserve">, </w:t>
      </w:r>
      <w:r w:rsidR="007141B1" w:rsidRPr="007141B1">
        <w:rPr>
          <w:rFonts w:asciiTheme="minorHAnsi" w:eastAsiaTheme="minorEastAsia" w:hAnsiTheme="minorHAnsi" w:cs="Arial"/>
          <w:lang w:val="en-GB" w:eastAsia="it-IT"/>
        </w:rPr>
        <w:t>and vasopressors for hypotension (66%)</w:t>
      </w:r>
      <w:r w:rsidR="001C75DA">
        <w:rPr>
          <w:rFonts w:asciiTheme="minorHAnsi" w:eastAsiaTheme="minorEastAsia" w:hAnsiTheme="minorHAnsi" w:cs="Arial"/>
          <w:lang w:val="en-GB" w:eastAsia="it-IT"/>
        </w:rPr>
        <w:t xml:space="preserve"> </w:t>
      </w:r>
      <w:r w:rsidR="001C75DA">
        <w:rPr>
          <w:rFonts w:asciiTheme="minorHAnsi" w:eastAsiaTheme="minorEastAsia" w:hAnsiTheme="minorHAnsi" w:cs="Arial"/>
          <w:lang w:val="en-GB" w:eastAsia="it-IT"/>
        </w:rPr>
        <w:fldChar w:fldCharType="begin"/>
      </w:r>
      <w:r w:rsidR="006E59A1">
        <w:rPr>
          <w:rFonts w:asciiTheme="minorHAnsi" w:eastAsiaTheme="minorEastAsia" w:hAnsiTheme="minorHAnsi" w:cs="Arial"/>
          <w:lang w:val="en-GB" w:eastAsia="it-IT"/>
        </w:rPr>
        <w:instrText xml:space="preserve"> ADDIN ZOTERO_ITEM CSL_CITATION {"citationID":"252g1asjub","properties":{"formattedCitation":"[10]","plainCitation":"[10]"},"citationItems":[{"id":217,"uris":["http://zotero.org/users/local/tmXAZSH1/items/WJ2EN5F8"],"uri":["http://zotero.org/users/local/tmXAZSH1/items/WJ2EN5F8"],"itemData":{"id":217,"type":"article-journal","title":"The Surviving Sepsis Campaign bundles and outcome: results from the International Multicentre Prevalence Study on Sepsis (the IMPreSS study)","container-title":"Intensive Care Medicine","page":"1620-1628","volume":"41","issue":"9","source":"PubMed","abstract":"INTRODUCTION: Despite evidence demonstrating the value of performance initiatives, marked differences remain between hospitals in the delivery of care for patients with sepsis. The aims of this study were to improve our understanding of how compliance with the 3-h and 6-h Surviving Sepsis Campaign (SSC) bundles are used in different geographic areas, and how this relates to outcome.\nMETHODS: This was a global, prospective, observational, quality improvement study of compliance with the SSC bundles in patients with either severe sepsis or septic shock.\nRESULTS: A total of 1794 patients from 62 countries were enrolled in the study with either severe sepsis or septic shock. Overall compliance with all the 3-h bundle metrics was 19%. This was associated with lower hospital mortality than non-compliance (20 vs. 31%, p &lt; 0.001). Overall compliance with all the 6-h bundle metrics was 36%. This was associated with lower hospital mortality than non-compliance (22 vs. 32%, p &lt; 0.001). After adjusting the crude mortality differences for ICU admission, sepsis status (severe sepsis or septic shock), location of diagnosis, APACHE II score and country, compliance remained independently associated with improvements in hospital mortality for both the 3-h bundle (OR = 0.64 (95% CI 0.47-0.87), p = 0.004)) and 6-h bundle (OR = 0.71 (95% CI 0.56-0.90), p = 0.005)).\nDISCUSSION: Compliance with all of the evidence-based bundle metrics was not high. Patients whose care included compliance with all of these metrics had a 40% reduction in the odds of dying in hospital with the 3-h bundle and 36% for the 6-h bundle.","DOI":"10.1007/s00134-015-3906-y","ISSN":"1432-1238","note":"PMID: 26109396","shortTitle":"The Surviving Sepsis Campaign bundles and outcome","journalAbbreviation":"Intensive Care Med","language":"eng","author":[{"family":"Rhodes","given":"Andrew"},{"family":"Phillips","given":"Gary"},{"family":"Beale","given":"Richard"},{"family":"Cecconi","given":"Maurizio"},{"family":"Chiche","given":"Jean Daniel"},{"family":"De Backer","given":"Daniel"},{"family":"Divatia","given":"Jigeeshu"},{"family":"Du","given":"Bin"},{"family":"Evans","given":"Laura"},{"family":"Ferrer","given":"Ricard"},{"family":"Girardis","given":"Massimo"},{"family":"Koulenti","given":"Despoina"},{"family":"Machado","given":"Flavia"},{"family":"Simpson","given":"Steven Q."},{"family":"Tan","given":"Cheng Cheng"},{"family":"Wittebole","given":"Xavier"},{"family":"Levy","given":"Mitchell"}],"issued":{"date-parts":[["2015",9]]},"PMID":"26109396"}}],"schema":"https://github.com/citation-style-language/schema/raw/master/csl-citation.json"} </w:instrText>
      </w:r>
      <w:r w:rsidR="001C75DA">
        <w:rPr>
          <w:rFonts w:asciiTheme="minorHAnsi" w:eastAsiaTheme="minorEastAsia" w:hAnsiTheme="minorHAnsi" w:cs="Arial"/>
          <w:lang w:val="en-GB" w:eastAsia="it-IT"/>
        </w:rPr>
        <w:fldChar w:fldCharType="separate"/>
      </w:r>
      <w:r w:rsidR="006E59A1" w:rsidRPr="009D5B86">
        <w:rPr>
          <w:rFonts w:ascii="Calibri" w:hAnsi="Calibri" w:cs="Calibri"/>
          <w:lang w:val="en-US"/>
        </w:rPr>
        <w:t>[10]</w:t>
      </w:r>
      <w:r w:rsidR="001C75DA">
        <w:rPr>
          <w:rFonts w:asciiTheme="minorHAnsi" w:eastAsiaTheme="minorEastAsia" w:hAnsiTheme="minorHAnsi" w:cs="Arial"/>
          <w:lang w:val="en-GB" w:eastAsia="it-IT"/>
        </w:rPr>
        <w:fldChar w:fldCharType="end"/>
      </w:r>
      <w:r w:rsidR="00D37B15">
        <w:rPr>
          <w:rFonts w:asciiTheme="minorHAnsi" w:eastAsiaTheme="minorEastAsia" w:hAnsiTheme="minorHAnsi" w:cs="Arial"/>
          <w:lang w:val="en-GB" w:eastAsia="it-IT"/>
        </w:rPr>
        <w:t>.</w:t>
      </w:r>
    </w:p>
    <w:p w:rsidR="00310854" w:rsidRDefault="00310854" w:rsidP="00EC018D">
      <w:pPr>
        <w:spacing w:line="360" w:lineRule="auto"/>
        <w:rPr>
          <w:rFonts w:asciiTheme="minorHAnsi" w:eastAsiaTheme="minorEastAsia" w:hAnsiTheme="minorHAnsi" w:cs="Arial"/>
          <w:lang w:val="en-GB" w:eastAsia="it-IT"/>
        </w:rPr>
      </w:pPr>
    </w:p>
    <w:p w:rsidR="007141B1" w:rsidRPr="007141B1" w:rsidRDefault="007141B1" w:rsidP="00EC018D">
      <w:pPr>
        <w:spacing w:line="360" w:lineRule="auto"/>
        <w:rPr>
          <w:rFonts w:asciiTheme="minorHAnsi" w:eastAsiaTheme="minorEastAsia" w:hAnsiTheme="minorHAnsi" w:cs="Arial"/>
          <w:lang w:val="en-GB" w:eastAsia="it-IT"/>
        </w:rPr>
      </w:pPr>
      <w:r w:rsidRPr="007141B1">
        <w:rPr>
          <w:rFonts w:asciiTheme="minorHAnsi" w:eastAsiaTheme="minorEastAsia" w:hAnsiTheme="minorHAnsi" w:cs="Arial"/>
          <w:lang w:val="en-GB" w:eastAsia="it-IT"/>
        </w:rPr>
        <w:t xml:space="preserve">Other factors that decrease compliance with resuscitation guidelines include low awareness among healthcare workers, healthcare workforce </w:t>
      </w:r>
      <w:r w:rsidRPr="007141B1">
        <w:rPr>
          <w:rFonts w:asciiTheme="minorHAnsi" w:eastAsia="Times New Roman" w:hAnsiTheme="minorHAnsi" w:cs="Arial"/>
          <w:lang w:val="en-GB" w:eastAsia="pt-BR"/>
        </w:rPr>
        <w:t>shortages, overcrowding of emergency departments</w:t>
      </w:r>
      <w:r w:rsidR="001C75DA">
        <w:rPr>
          <w:rFonts w:asciiTheme="minorHAnsi" w:eastAsia="Times New Roman" w:hAnsiTheme="minorHAnsi" w:cs="Arial"/>
          <w:lang w:val="en-GB" w:eastAsia="pt-BR"/>
        </w:rPr>
        <w:t xml:space="preserve"> </w:t>
      </w:r>
      <w:r w:rsidR="001C75DA">
        <w:rPr>
          <w:rFonts w:asciiTheme="minorHAnsi" w:eastAsia="Times New Roman" w:hAnsiTheme="minorHAnsi" w:cs="Arial"/>
          <w:lang w:val="en-GB" w:eastAsia="pt-BR"/>
        </w:rPr>
        <w:fldChar w:fldCharType="begin"/>
      </w:r>
      <w:r w:rsidR="006E59A1">
        <w:rPr>
          <w:rFonts w:asciiTheme="minorHAnsi" w:eastAsia="Times New Roman" w:hAnsiTheme="minorHAnsi" w:cs="Arial"/>
          <w:lang w:val="en-GB" w:eastAsia="pt-BR"/>
        </w:rPr>
        <w:instrText xml:space="preserve"> ADDIN ZOTERO_ITEM CSL_CITATION {"citationID":"q1g3e9kb9","properties":{"formattedCitation":"[11]","plainCitation":"[11]"},"citationItems":[{"id":219,"uris":["http://zotero.org/users/local/tmXAZSH1/items/WX35QU4R"],"uri":["http://zotero.org/users/local/tmXAZSH1/items/WX35QU4R"],"itemData":{"id":219,"type":"article-journal","title":"The adverse effect of emergency department crowding on compliance with the resuscitation bundle in the management of severe sepsis and septic shock","container-title":"Critical Care (London, England)","page":"R224","volume":"17","issue":"5","source":"PubMed","abstract":"INTRODUCTION: The aim of this study is to evaluate the effects of emergency department (ED) crowding on the implementation of tasks in the early resuscitation bundle during acute care of patients with severe sepsis and septic shock, as recommended by the Surviving Sepsis Campaign guidelines.\nMETHODS: We analyzed the sepsis registry from August 2008 to March 2012 for patients presenting to an ED of a tertiary urban hospital and meeting the criteria for severe sepsis or septic shock. The ED occupancy rate, which was defined as the total number of patients in the ED divided by the total number of ED beds, was used for measuring the degree of ED crowding. It was categorized into three groups (low; intermediate; high crowding). The primary endpoint was the overall compliance with the entire resuscitation bundle.\nRESULTS: A total of 770 patients were enrolled. Of the eligible patients, 276 patients were assigned to the low crowding group, 250 patients to the intermediate crowding group, and 244 patients to the high crowding group (ED occupancy rate: ≤ 115; 116-149; ≥ 150%). There was significant difference in compliance rates among the three groups (31.9% in the low crowding group, 24.4% in the intermediate crowding group, and 16.4% in the high crowding group, P &lt; 0.001). In a multivariate model, the high crowding group had a significant association with lower compliance (adjusted odds ratio (OR), 0.44; 95% confidence interval (CI), 0.26 to 0.76; P = 0.003). When the ED occupancy rate was included as a continuous variable in the model, it had also a negative correlation with the overall compliance (OR of 10% increase of the ED occupancy rate, 0.90; 95% CI, 0.84 to 0.96, P = 0.002).\nCONCLUSIONS: ED crowding was significantly associated with lower compliance with the entire resuscitation bundle and decreased likelihood of the timely implementation of the bundle elements.","DOI":"10.1186/cc13047","ISSN":"1466-609X","note":"PMID: 24093643\nPMCID: PMC4055965","journalAbbreviation":"Crit Care","language":"eng","author":[{"family":"Shin","given":"Tae Gun"},{"family":"Jo","given":"Ik Joon"},{"family":"Choi","given":"Dae Jong"},{"family":"Kang","given":"Mun Ju"},{"family":"Jeon","given":"Kyeongman"},{"family":"Suh","given":"Gee Young"},{"family":"Sim","given":"Min Seob"},{"family":"Lim","given":"So Yeon"},{"family":"Song","given":"Keun Jeong"},{"family":"Jeong","given":"Yeon Kwon"}],"issued":{"date-parts":[["2013",10,6]]},"PMID":"24093643","PMCID":"PMC4055965"}}],"schema":"https://github.com/citation-style-language/schema/raw/master/csl-citation.json"} </w:instrText>
      </w:r>
      <w:r w:rsidR="001C75DA">
        <w:rPr>
          <w:rFonts w:asciiTheme="minorHAnsi" w:eastAsia="Times New Roman" w:hAnsiTheme="minorHAnsi" w:cs="Arial"/>
          <w:lang w:val="en-GB" w:eastAsia="pt-BR"/>
        </w:rPr>
        <w:fldChar w:fldCharType="separate"/>
      </w:r>
      <w:r w:rsidR="006E59A1" w:rsidRPr="006E59A1">
        <w:rPr>
          <w:rFonts w:ascii="Calibri" w:hAnsi="Calibri" w:cs="Calibri"/>
        </w:rPr>
        <w:t>[11]</w:t>
      </w:r>
      <w:r w:rsidR="001C75DA">
        <w:rPr>
          <w:rFonts w:asciiTheme="minorHAnsi" w:eastAsia="Times New Roman" w:hAnsiTheme="minorHAnsi" w:cs="Arial"/>
          <w:lang w:val="en-GB" w:eastAsia="pt-BR"/>
        </w:rPr>
        <w:fldChar w:fldCharType="end"/>
      </w:r>
      <w:r w:rsidR="00D37B15">
        <w:rPr>
          <w:rFonts w:asciiTheme="minorHAnsi" w:eastAsia="Times New Roman" w:hAnsiTheme="minorHAnsi" w:cs="Arial"/>
          <w:lang w:val="en-GB" w:eastAsia="pt-BR"/>
        </w:rPr>
        <w:t>,</w:t>
      </w:r>
      <w:r w:rsidRPr="007141B1">
        <w:rPr>
          <w:rFonts w:asciiTheme="minorHAnsi" w:eastAsia="Times New Roman" w:hAnsiTheme="minorHAnsi" w:cs="Arial"/>
          <w:lang w:val="en-GB" w:eastAsia="pt-BR"/>
        </w:rPr>
        <w:t xml:space="preserve"> and </w:t>
      </w:r>
      <w:r w:rsidR="00D37B15" w:rsidRPr="007141B1">
        <w:rPr>
          <w:rFonts w:asciiTheme="minorHAnsi" w:eastAsia="Times New Roman" w:hAnsiTheme="minorHAnsi" w:cs="Arial"/>
          <w:lang w:val="en-GB" w:eastAsia="pt-BR"/>
        </w:rPr>
        <w:t>unfavourable</w:t>
      </w:r>
      <w:r w:rsidRPr="007141B1">
        <w:rPr>
          <w:rFonts w:asciiTheme="minorHAnsi" w:eastAsia="Times New Roman" w:hAnsiTheme="minorHAnsi" w:cs="Arial"/>
          <w:lang w:val="en-GB" w:eastAsia="pt-BR"/>
        </w:rPr>
        <w:t xml:space="preserve"> nurse-to-</w:t>
      </w:r>
      <w:r w:rsidR="00735BC7">
        <w:rPr>
          <w:rFonts w:asciiTheme="minorHAnsi" w:eastAsia="Times New Roman" w:hAnsiTheme="minorHAnsi" w:cs="Arial"/>
          <w:lang w:val="en-GB" w:eastAsia="pt-BR"/>
        </w:rPr>
        <w:t>patient</w:t>
      </w:r>
      <w:r w:rsidR="00735BC7" w:rsidRPr="007141B1">
        <w:rPr>
          <w:rFonts w:asciiTheme="minorHAnsi" w:eastAsia="Times New Roman" w:hAnsiTheme="minorHAnsi" w:cs="Arial"/>
          <w:lang w:val="en-GB" w:eastAsia="pt-BR"/>
        </w:rPr>
        <w:t xml:space="preserve"> </w:t>
      </w:r>
      <w:r w:rsidRPr="007141B1">
        <w:rPr>
          <w:rFonts w:asciiTheme="minorHAnsi" w:eastAsia="Times New Roman" w:hAnsiTheme="minorHAnsi" w:cs="Arial"/>
          <w:lang w:val="en-GB" w:eastAsia="pt-BR"/>
        </w:rPr>
        <w:t>ratios</w:t>
      </w:r>
      <w:r w:rsidR="001C75DA">
        <w:rPr>
          <w:rFonts w:asciiTheme="minorHAnsi" w:eastAsia="Times New Roman" w:hAnsiTheme="minorHAnsi" w:cs="Arial"/>
          <w:lang w:val="en-GB" w:eastAsia="pt-BR"/>
        </w:rPr>
        <w:t xml:space="preserve"> </w:t>
      </w:r>
      <w:r w:rsidR="001C75DA" w:rsidRPr="001C75DA">
        <w:rPr>
          <w:rFonts w:asciiTheme="minorHAnsi" w:eastAsia="Times New Roman" w:hAnsiTheme="minorHAnsi" w:cs="Arial"/>
          <w:lang w:val="en-GB" w:eastAsia="pt-BR"/>
        </w:rPr>
        <w:fldChar w:fldCharType="begin"/>
      </w:r>
      <w:r w:rsidR="006E59A1">
        <w:rPr>
          <w:rFonts w:asciiTheme="minorHAnsi" w:eastAsia="Times New Roman" w:hAnsiTheme="minorHAnsi" w:cs="Arial"/>
          <w:lang w:val="en-GB" w:eastAsia="pt-BR"/>
        </w:rPr>
        <w:instrText xml:space="preserve"> ADDIN ZOTERO_ITEM CSL_CITATION {"citationID":"26s7jb8lj3","properties":{"formattedCitation":"[12]","plainCitation":"[12]"},"citationItems":[{"id":221,"uris":["http://zotero.org/users/local/tmXAZSH1/items/D4C6EVI3"],"uri":["http://zotero.org/users/local/tmXAZSH1/items/D4C6EVI3"],"itemData":{"id":221,"type":"article-journal","title":"Differences in compliance with Surviving Sepsis Campaign recommendations according to hospital entrance time: day versus night","container-title":"Critical Care (London, England)","page":"R79","volume":"17","issue":"2","source":"PubMed","abstract":"INTRODUCTION: Higher compliance with Surviving Sepsis Campaign (SSC) recommendations has been associated with lower mortality. The authors evaluate differences in compliance with SSC 6-hour bundle according to hospital entrance time (day versus night) and its impact on hospital mortality.\nMETHODS: Prospective cohort study of all patients with community-acquired severe sepsis admitted to the intensive care unit of a large university tertiary care hospital, over 3.5 years with a follow-up until hospital discharge. Time to compliance with each recommendation of the SSC 6-hour bundle was calculated according to hospital entrance period: day (08:30 to 20:30) versus night (20:30 to 08:30). For the same periods, clinical staff composition and the number of patients attending the emergency department (ED) was also recorded.\nRESULTS: In this period 300 consecutive patients were included. Compliance rate was (night vs. day): serum lactate measurement 57% vs. 49% (P = 0.171), blood cultures drawn 59% vs. 37% (P &lt; 0.001), antibiotics administration in the first 3 hours 33% vs. 18% (P = 0.003), central venous pressure &gt;8 mmHg 45% vs. 29% (P = 0.021), and central venous oxygen saturation (SvcO₂) &gt;70%, 7% vs. 2% (P = 0.082); fluids were administered in all patients with hypotension in both periods and vasopressors were administered in patients with hypotension not responsive to fluids in 100% vs. 99%. Time to get specific actions done was also different (night vs. day): serum lactate measurement (4.5 vs. 7 h, P = 0.018), blood cultures drawn (4 vs. 8 h, P &lt; 0.001), antibiotic administration (5 vs. 8 h, P &lt; 0.001), central venous pressure (8 vs. 11 h, P = 0.01), and SvcO₂ monitoring (2.5 vs. 11 h, P = 0.222). The composition of the nursing team was the same around the clock; the medical team was reduced at night with a higher proportion of less differentiated doctors. The number of patients attending the Emergency Department was lower overnight. Hospital mortality rate was 34% in patients entering in the night period vs. 40% in those entering during the day (P = 0.281).\nCONCLUSION: Compliance with SSC recommendations was higher at night. A possible explanation might be the increased nurse to patient ratio in that period. Adjustment of the clinical team composition to the patients' demand is needed to increase compliance and improve prognosis.","DOI":"10.1186/cc12689","ISSN":"1466-609X","note":"PMID: 23618351\nPMCID: PMC4056434","shortTitle":"Differences in compliance with Surviving Sepsis Campaign recommendations according to hospital entrance time","journalAbbreviation":"Crit Care","language":"eng","author":[{"family":"Almeida","given":"Mónica"},{"family":"Ribeiro","given":"Orquídea"},{"family":"Aragão","given":"Irene"},{"family":"Costa-Pereira","given":"Altamiro"},{"family":"Cardoso","given":"Teresa"}],"issued":{"date-parts":[["2013",4,23]]},"PMID":"23618351","PMCID":"PMC4056434"}}],"schema":"https://github.com/citation-style-language/schema/raw/master/csl-citation.json"} </w:instrText>
      </w:r>
      <w:r w:rsidR="001C75DA" w:rsidRPr="001C75DA">
        <w:rPr>
          <w:rFonts w:asciiTheme="minorHAnsi" w:eastAsia="Times New Roman" w:hAnsiTheme="minorHAnsi" w:cs="Arial"/>
          <w:lang w:val="en-GB" w:eastAsia="pt-BR"/>
        </w:rPr>
        <w:fldChar w:fldCharType="separate"/>
      </w:r>
      <w:r w:rsidR="006E59A1" w:rsidRPr="009D5B86">
        <w:rPr>
          <w:rFonts w:ascii="Calibri" w:hAnsi="Calibri" w:cs="Calibri"/>
          <w:lang w:val="en-US"/>
        </w:rPr>
        <w:t>[12]</w:t>
      </w:r>
      <w:r w:rsidR="001C75DA" w:rsidRPr="001C75DA">
        <w:rPr>
          <w:rFonts w:asciiTheme="minorHAnsi" w:eastAsia="Times New Roman" w:hAnsiTheme="minorHAnsi" w:cs="Arial"/>
          <w:lang w:val="en-GB" w:eastAsia="pt-BR"/>
        </w:rPr>
        <w:fldChar w:fldCharType="end"/>
      </w:r>
      <w:r w:rsidRPr="001C75DA">
        <w:rPr>
          <w:rFonts w:asciiTheme="minorHAnsi" w:eastAsia="Times New Roman" w:hAnsiTheme="minorHAnsi" w:cs="Arial"/>
          <w:lang w:val="en-GB" w:eastAsia="pt-BR"/>
        </w:rPr>
        <w:t>.</w:t>
      </w:r>
      <w:r w:rsidRPr="007141B1">
        <w:rPr>
          <w:rFonts w:asciiTheme="minorHAnsi" w:eastAsia="Times New Roman" w:hAnsiTheme="minorHAnsi" w:cs="Arial"/>
          <w:lang w:val="en-GB" w:eastAsia="pt-BR"/>
        </w:rPr>
        <w:t xml:space="preserve"> Low availability of resources can also limit the application of some interventions. </w:t>
      </w:r>
      <w:r w:rsidR="00735BC7">
        <w:rPr>
          <w:rFonts w:asciiTheme="minorHAnsi" w:eastAsia="Times New Roman" w:hAnsiTheme="minorHAnsi" w:cs="Arial"/>
          <w:lang w:val="en-GB" w:eastAsia="pt-BR"/>
        </w:rPr>
        <w:t>For</w:t>
      </w:r>
      <w:r w:rsidR="00735BC7" w:rsidRPr="007141B1">
        <w:rPr>
          <w:rFonts w:asciiTheme="minorHAnsi" w:eastAsia="Times New Roman" w:hAnsiTheme="minorHAnsi" w:cs="Arial"/>
          <w:lang w:val="en-GB" w:eastAsia="pt-BR"/>
        </w:rPr>
        <w:t xml:space="preserve"> </w:t>
      </w:r>
      <w:r w:rsidRPr="007141B1">
        <w:rPr>
          <w:rFonts w:asciiTheme="minorHAnsi" w:eastAsia="Times New Roman" w:hAnsiTheme="minorHAnsi" w:cs="Arial"/>
          <w:lang w:val="en-GB" w:eastAsia="pt-BR"/>
        </w:rPr>
        <w:t>example</w:t>
      </w:r>
      <w:r w:rsidR="00735BC7">
        <w:rPr>
          <w:rFonts w:asciiTheme="minorHAnsi" w:eastAsia="Times New Roman" w:hAnsiTheme="minorHAnsi" w:cs="Arial"/>
          <w:lang w:val="en-GB" w:eastAsia="pt-BR"/>
        </w:rPr>
        <w:t>, tools to assess</w:t>
      </w:r>
      <w:r w:rsidRPr="007141B1">
        <w:rPr>
          <w:rFonts w:asciiTheme="minorHAnsi" w:eastAsia="Times New Roman" w:hAnsiTheme="minorHAnsi" w:cs="Arial"/>
          <w:lang w:val="en-GB" w:eastAsia="pt-BR"/>
        </w:rPr>
        <w:t xml:space="preserve"> </w:t>
      </w:r>
      <w:r w:rsidRPr="007141B1">
        <w:rPr>
          <w:rFonts w:asciiTheme="minorHAnsi" w:eastAsiaTheme="minorEastAsia" w:hAnsiTheme="minorHAnsi" w:cs="Arial"/>
          <w:lang w:val="en-GB" w:eastAsia="it-IT"/>
        </w:rPr>
        <w:t xml:space="preserve">fluid responsiveness </w:t>
      </w:r>
      <w:r w:rsidR="00735BC7">
        <w:rPr>
          <w:rFonts w:asciiTheme="minorHAnsi" w:eastAsiaTheme="minorEastAsia" w:hAnsiTheme="minorHAnsi" w:cs="Arial"/>
          <w:lang w:val="en-GB" w:eastAsia="it-IT"/>
        </w:rPr>
        <w:t>may</w:t>
      </w:r>
      <w:r w:rsidRPr="007141B1">
        <w:rPr>
          <w:rFonts w:asciiTheme="minorHAnsi" w:eastAsiaTheme="minorEastAsia" w:hAnsiTheme="minorHAnsi" w:cs="Arial"/>
          <w:lang w:val="en-GB" w:eastAsia="it-IT"/>
        </w:rPr>
        <w:t xml:space="preserve"> </w:t>
      </w:r>
      <w:r w:rsidR="00735BC7">
        <w:rPr>
          <w:rFonts w:asciiTheme="minorHAnsi" w:eastAsiaTheme="minorEastAsia" w:hAnsiTheme="minorHAnsi" w:cs="Arial"/>
          <w:lang w:val="en-GB" w:eastAsia="it-IT"/>
        </w:rPr>
        <w:t>be</w:t>
      </w:r>
      <w:r w:rsidRPr="007141B1">
        <w:rPr>
          <w:rFonts w:asciiTheme="minorHAnsi" w:eastAsiaTheme="minorEastAsia" w:hAnsiTheme="minorHAnsi" w:cs="Arial"/>
          <w:lang w:val="en-GB" w:eastAsia="it-IT"/>
        </w:rPr>
        <w:t xml:space="preserve"> </w:t>
      </w:r>
      <w:r w:rsidR="00905590">
        <w:rPr>
          <w:rFonts w:asciiTheme="minorHAnsi" w:eastAsiaTheme="minorEastAsia" w:hAnsiTheme="minorHAnsi" w:cs="Arial"/>
          <w:lang w:val="en-GB" w:eastAsia="it-IT"/>
        </w:rPr>
        <w:t>un</w:t>
      </w:r>
      <w:r w:rsidRPr="007141B1">
        <w:rPr>
          <w:rFonts w:asciiTheme="minorHAnsi" w:eastAsiaTheme="minorEastAsia" w:hAnsiTheme="minorHAnsi" w:cs="Arial"/>
          <w:lang w:val="en-GB" w:eastAsia="it-IT"/>
        </w:rPr>
        <w:t>available in many low and middle-income settings. Available strategies to improve implementation are continuous education programs, the use of multidisciplinary teams, reminders, checklists, and mechanisms of audit and feedback</w:t>
      </w:r>
      <w:r w:rsidR="001C75DA">
        <w:rPr>
          <w:rFonts w:asciiTheme="minorHAnsi" w:eastAsiaTheme="minorEastAsia" w:hAnsiTheme="minorHAnsi" w:cs="Arial"/>
          <w:lang w:val="en-GB" w:eastAsia="it-IT"/>
        </w:rPr>
        <w:t xml:space="preserve"> </w:t>
      </w:r>
      <w:r w:rsidR="001C75DA">
        <w:rPr>
          <w:rFonts w:asciiTheme="minorHAnsi" w:eastAsiaTheme="minorEastAsia" w:hAnsiTheme="minorHAnsi" w:cs="Arial"/>
          <w:lang w:val="en-GB" w:eastAsia="it-IT"/>
        </w:rPr>
        <w:fldChar w:fldCharType="begin"/>
      </w:r>
      <w:r w:rsidR="006E59A1">
        <w:rPr>
          <w:rFonts w:asciiTheme="minorHAnsi" w:eastAsiaTheme="minorEastAsia" w:hAnsiTheme="minorHAnsi" w:cs="Arial"/>
          <w:lang w:val="en-GB" w:eastAsia="it-IT"/>
        </w:rPr>
        <w:instrText xml:space="preserve"> ADDIN ZOTERO_ITEM CSL_CITATION {"citationID":"3r2lkn4va","properties":{"formattedCitation":"[13]","plainCitation":"[13]"},"citationItems":[{"id":223,"uris":["http://zotero.org/users/local/tmXAZSH1/items/PHKC8B2A"],"uri":["http://zotero.org/users/local/tmXAZSH1/items/PHKC8B2A"],"itemData":{"id":223,"type":"article-journal","title":"What are effective strategies for the implementation of care bundles on ICUs: a systematic review","container-title":"Implementation science: IS","page":"119","volume":"10","source":"PubMed","abstract":"BACKGROUND: Care bundles have proven to be effective in improving clinical outcomes. It is not known which strategies are the most effective to implement care bundles. A systematic review was conducted to determine the strategies used to implement care bundles in adult intensive care units and to assess the effects of these strategies when implementing bundles.\nMETHODS: The databases MEDLINE/PubMed, Ovid/Embase, CINAHL and CENTRAL were searched for eligible studies until January 31, 2015. Studies with (non)randomised designs on central line, ventilator or sepsis bundles were included if implementation strategies and bundle compliance were reported. Methodological quality was assessed by using the Downs and Black checklist. Data extraction and quality assessments were independently performed by two reviewers.\nRESULTS: In total, 1533 records were screened and 47 studies were finally included. In 49 %, pre/post designs were used, 38 % prospective cohorts, and the remaining studies used retrospective designs (6 %), interrupted time series (4 %) and longitudinal designs (2 %). The methodological quality was classified as 'fair' in 77 %, and the remaining as 'good' (13 %) and 'poor' (11 %). The most frequently used strategies were education (86 %), reminders (71 %) and audit and feedback (63 %). Our results show that compliance is influenced by multiple factors, i.e. types and numbers of elements varied and different compliance measurements were reported. Furthermore, compliance was calculated within different time frames. Also, detailed information about compliance, such as numerators and denominators, was not reported. Therefore, recalculation of consistent monthly compliance levels was not possible.\nCONCLUSIONS: The three most frequently used strategies were education, reminders and audit and feedback. We conclude that the heterogeneity among the included studies was high due to the variety in study designs, number and types of elements and types of compliance measurements. Due to the heterogeneity of the data and the poor quality of the studies, conclusions about which strategy results in the highest levels of bundle compliance could not be determined. We strongly recommend that studies in quality improvement should be reported in a formalised way in order to be able to compare research findings. It is imperative that authors follow the standards for quality improvement reporting excellence (SQUIRE) guidelines whenever they report quality improvement studies.","DOI":"10.1186/s13012-015-0306-1","ISSN":"1748-5908","note":"PMID: 26276569\nPMCID: PMC4536788","shortTitle":"What are effective strategies for the implementation of care bundles on ICUs","journalAbbreviation":"Implement Sci","language":"eng","author":[{"family":"Borgert","given":"Marjon J."},{"family":"Goossens","given":"Astrid"},{"family":"Dongelmans","given":"Dave A."}],"issued":{"date-parts":[["2015",8,15]]},"PMID":"26276569","PMCID":"PMC4536788"}}],"schema":"https://github.com/citation-style-language/schema/raw/master/csl-citation.json"} </w:instrText>
      </w:r>
      <w:r w:rsidR="001C75DA">
        <w:rPr>
          <w:rFonts w:asciiTheme="minorHAnsi" w:eastAsiaTheme="minorEastAsia" w:hAnsiTheme="minorHAnsi" w:cs="Arial"/>
          <w:lang w:val="en-GB" w:eastAsia="it-IT"/>
        </w:rPr>
        <w:fldChar w:fldCharType="separate"/>
      </w:r>
      <w:r w:rsidR="006E59A1" w:rsidRPr="009D5B86">
        <w:rPr>
          <w:rFonts w:ascii="Calibri" w:hAnsi="Calibri" w:cs="Calibri"/>
          <w:lang w:val="en-US"/>
        </w:rPr>
        <w:t>[13]</w:t>
      </w:r>
      <w:r w:rsidR="001C75DA">
        <w:rPr>
          <w:rFonts w:asciiTheme="minorHAnsi" w:eastAsiaTheme="minorEastAsia" w:hAnsiTheme="minorHAnsi" w:cs="Arial"/>
          <w:lang w:val="en-GB" w:eastAsia="it-IT"/>
        </w:rPr>
        <w:fldChar w:fldCharType="end"/>
      </w:r>
      <w:r w:rsidR="001C75DA">
        <w:rPr>
          <w:rFonts w:asciiTheme="minorHAnsi" w:eastAsiaTheme="minorEastAsia" w:hAnsiTheme="minorHAnsi" w:cs="Arial"/>
          <w:lang w:val="en-GB" w:eastAsia="it-IT"/>
        </w:rPr>
        <w:t>.</w:t>
      </w:r>
      <w:r w:rsidRPr="007141B1">
        <w:rPr>
          <w:rFonts w:asciiTheme="minorHAnsi" w:eastAsiaTheme="minorEastAsia" w:hAnsiTheme="minorHAnsi" w:cs="Arial"/>
          <w:lang w:val="en-GB" w:eastAsia="it-IT"/>
        </w:rPr>
        <w:t xml:space="preserve"> </w:t>
      </w:r>
    </w:p>
    <w:p w:rsidR="0000519D" w:rsidRDefault="007141B1" w:rsidP="00F163A6">
      <w:pPr>
        <w:spacing w:before="100" w:beforeAutospacing="1" w:after="100" w:afterAutospacing="1" w:line="360" w:lineRule="auto"/>
        <w:rPr>
          <w:rFonts w:asciiTheme="minorHAnsi" w:eastAsia="GuardianSansGR-Regular" w:hAnsiTheme="minorHAnsi" w:cs="Arial"/>
          <w:color w:val="1A171C"/>
          <w:lang w:val="en-GB"/>
        </w:rPr>
      </w:pPr>
      <w:r w:rsidRPr="007141B1">
        <w:rPr>
          <w:rFonts w:asciiTheme="minorHAnsi" w:eastAsia="GuardianSansGR-Regular" w:hAnsiTheme="minorHAnsi" w:cs="Arial"/>
          <w:color w:val="1A171C"/>
          <w:lang w:val="en-GB"/>
        </w:rPr>
        <w:t xml:space="preserve">The best standard of care will be achieved by </w:t>
      </w:r>
      <w:r w:rsidR="00E30963">
        <w:rPr>
          <w:rFonts w:asciiTheme="minorHAnsi" w:eastAsia="GuardianSansGR-Regular" w:hAnsiTheme="minorHAnsi" w:cs="Arial"/>
          <w:color w:val="1A171C"/>
          <w:lang w:val="en-GB"/>
        </w:rPr>
        <w:t>a</w:t>
      </w:r>
      <w:r w:rsidRPr="007141B1">
        <w:rPr>
          <w:rFonts w:asciiTheme="minorHAnsi" w:eastAsia="GuardianSansGR-Regular" w:hAnsiTheme="minorHAnsi" w:cs="Arial"/>
          <w:color w:val="1A171C"/>
          <w:lang w:val="en-GB"/>
        </w:rPr>
        <w:t xml:space="preserve"> balance between the best available evidence, identification of the population to which the recommendation may not apply and cause harm, </w:t>
      </w:r>
      <w:r w:rsidRPr="00C75480">
        <w:rPr>
          <w:rFonts w:asciiTheme="minorHAnsi" w:eastAsia="GuardianSansGR-Regular" w:hAnsiTheme="minorHAnsi" w:cs="Arial"/>
          <w:color w:val="1A171C"/>
          <w:lang w:val="en-GB"/>
        </w:rPr>
        <w:t xml:space="preserve">and </w:t>
      </w:r>
      <w:r w:rsidR="00315894" w:rsidRPr="00C75480">
        <w:rPr>
          <w:rFonts w:asciiTheme="minorHAnsi" w:eastAsia="GuardianSansGR-Regular" w:hAnsiTheme="minorHAnsi" w:cs="Arial"/>
          <w:color w:val="1A171C"/>
          <w:lang w:val="en-GB"/>
        </w:rPr>
        <w:lastRenderedPageBreak/>
        <w:t>a capacity for well-trained and experienced physician</w:t>
      </w:r>
      <w:r w:rsidR="00905590" w:rsidRPr="00C75480">
        <w:rPr>
          <w:rFonts w:asciiTheme="minorHAnsi" w:eastAsia="GuardianSansGR-Regular" w:hAnsiTheme="minorHAnsi" w:cs="Arial"/>
          <w:color w:val="1A171C"/>
          <w:lang w:val="en-GB"/>
        </w:rPr>
        <w:t>s</w:t>
      </w:r>
      <w:r w:rsidR="00315894" w:rsidRPr="00C75480">
        <w:rPr>
          <w:rFonts w:asciiTheme="minorHAnsi" w:eastAsia="GuardianSansGR-Regular" w:hAnsiTheme="minorHAnsi" w:cs="Arial"/>
          <w:color w:val="1A171C"/>
          <w:lang w:val="en-GB"/>
        </w:rPr>
        <w:t xml:space="preserve"> to weigh the balance </w:t>
      </w:r>
      <w:r w:rsidR="00905590" w:rsidRPr="00C75480">
        <w:rPr>
          <w:rFonts w:asciiTheme="minorHAnsi" w:eastAsia="GuardianSansGR-Regular" w:hAnsiTheme="minorHAnsi" w:cs="Arial"/>
          <w:color w:val="1A171C"/>
          <w:lang w:val="en-GB"/>
        </w:rPr>
        <w:t>between</w:t>
      </w:r>
      <w:r w:rsidR="00315894" w:rsidRPr="00C75480">
        <w:rPr>
          <w:rFonts w:asciiTheme="minorHAnsi" w:eastAsia="GuardianSansGR-Regular" w:hAnsiTheme="minorHAnsi" w:cs="Arial"/>
          <w:color w:val="1A171C"/>
          <w:lang w:val="en-GB"/>
        </w:rPr>
        <w:t xml:space="preserve"> potential benefits and harms for a specific patient, given individual circumstances and the strength of the evidence</w:t>
      </w:r>
      <w:r w:rsidRPr="00C75480">
        <w:rPr>
          <w:rFonts w:asciiTheme="minorHAnsi" w:eastAsia="GuardianSansGR-Regular" w:hAnsiTheme="minorHAnsi" w:cs="Arial"/>
          <w:color w:val="1A171C"/>
          <w:lang w:val="en-GB"/>
        </w:rPr>
        <w:t>.</w:t>
      </w:r>
    </w:p>
    <w:p w:rsidR="00165E6D" w:rsidRDefault="00165E6D" w:rsidP="00F163A6">
      <w:pPr>
        <w:spacing w:before="100" w:beforeAutospacing="1" w:after="100" w:afterAutospacing="1" w:line="360" w:lineRule="auto"/>
        <w:rPr>
          <w:rFonts w:asciiTheme="minorHAnsi" w:eastAsia="GuardianSansGR-Regular" w:hAnsiTheme="minorHAnsi" w:cs="Arial"/>
          <w:color w:val="1A171C"/>
          <w:lang w:val="en-GB"/>
        </w:rPr>
      </w:pPr>
    </w:p>
    <w:p w:rsidR="00140691" w:rsidRPr="007141B1" w:rsidRDefault="005812A4" w:rsidP="00851E20">
      <w:pPr>
        <w:spacing w:before="100" w:beforeAutospacing="1" w:after="100" w:afterAutospacing="1" w:line="360" w:lineRule="auto"/>
        <w:rPr>
          <w:rFonts w:asciiTheme="minorHAnsi" w:hAnsiTheme="minorHAnsi"/>
          <w:b/>
          <w:color w:val="000000"/>
          <w:sz w:val="28"/>
          <w:lang w:val="en-GB"/>
        </w:rPr>
      </w:pPr>
      <w:r w:rsidRPr="007141B1">
        <w:rPr>
          <w:rFonts w:asciiTheme="minorHAnsi" w:hAnsiTheme="minorHAnsi"/>
          <w:b/>
          <w:color w:val="000000"/>
          <w:sz w:val="28"/>
          <w:lang w:val="en-GB"/>
        </w:rPr>
        <w:t>M</w:t>
      </w:r>
      <w:r w:rsidR="00140691" w:rsidRPr="007141B1">
        <w:rPr>
          <w:rFonts w:asciiTheme="minorHAnsi" w:hAnsiTheme="minorHAnsi"/>
          <w:b/>
          <w:color w:val="000000"/>
          <w:sz w:val="28"/>
          <w:lang w:val="en-GB"/>
        </w:rPr>
        <w:t xml:space="preserve">ajor recent advances in </w:t>
      </w:r>
      <w:r w:rsidR="005761A4" w:rsidRPr="007141B1">
        <w:rPr>
          <w:rFonts w:asciiTheme="minorHAnsi" w:hAnsiTheme="minorHAnsi"/>
          <w:b/>
          <w:color w:val="000000"/>
          <w:sz w:val="28"/>
          <w:lang w:val="en-GB"/>
        </w:rPr>
        <w:t>septic shock</w:t>
      </w:r>
    </w:p>
    <w:p w:rsidR="005812A4" w:rsidRPr="007141B1" w:rsidRDefault="005812A4" w:rsidP="00851E20">
      <w:pPr>
        <w:spacing w:line="360" w:lineRule="auto"/>
        <w:rPr>
          <w:rFonts w:asciiTheme="minorHAnsi" w:hAnsiTheme="minorHAnsi"/>
          <w:b/>
          <w:lang w:val="en-GB"/>
        </w:rPr>
      </w:pPr>
      <w:r w:rsidRPr="007141B1">
        <w:rPr>
          <w:rFonts w:asciiTheme="minorHAnsi" w:hAnsiTheme="minorHAnsi"/>
          <w:b/>
          <w:lang w:val="en-GB"/>
        </w:rPr>
        <w:t>Positive impact of negative trials</w:t>
      </w:r>
    </w:p>
    <w:p w:rsidR="00280C01" w:rsidRDefault="005812A4" w:rsidP="00851E20">
      <w:pPr>
        <w:spacing w:line="360" w:lineRule="auto"/>
        <w:rPr>
          <w:rFonts w:asciiTheme="minorHAnsi" w:hAnsiTheme="minorHAnsi"/>
          <w:noProof/>
          <w:lang w:val="en-GB"/>
        </w:rPr>
      </w:pPr>
      <w:r w:rsidRPr="007141B1">
        <w:rPr>
          <w:rFonts w:asciiTheme="minorHAnsi" w:hAnsiTheme="minorHAnsi"/>
          <w:lang w:val="en-GB"/>
        </w:rPr>
        <w:t xml:space="preserve">A popular critique of contemporary </w:t>
      </w:r>
      <w:r w:rsidR="00EB03C3" w:rsidRPr="007141B1">
        <w:rPr>
          <w:rFonts w:asciiTheme="minorHAnsi" w:hAnsiTheme="minorHAnsi"/>
          <w:lang w:val="en-GB"/>
        </w:rPr>
        <w:t xml:space="preserve">trials in </w:t>
      </w:r>
      <w:r w:rsidRPr="007141B1">
        <w:rPr>
          <w:rFonts w:asciiTheme="minorHAnsi" w:hAnsiTheme="minorHAnsi"/>
          <w:lang w:val="en-GB"/>
        </w:rPr>
        <w:t>critical care has been that the</w:t>
      </w:r>
      <w:r w:rsidR="00EB03C3" w:rsidRPr="007141B1">
        <w:rPr>
          <w:rFonts w:asciiTheme="minorHAnsi" w:hAnsiTheme="minorHAnsi"/>
          <w:lang w:val="en-GB"/>
        </w:rPr>
        <w:t>se trials</w:t>
      </w:r>
      <w:r w:rsidR="00280C01" w:rsidRPr="007141B1">
        <w:rPr>
          <w:rFonts w:asciiTheme="minorHAnsi" w:hAnsiTheme="minorHAnsi"/>
          <w:lang w:val="en-GB"/>
        </w:rPr>
        <w:t xml:space="preserve"> are mostly ‘</w:t>
      </w:r>
      <w:r w:rsidRPr="007141B1">
        <w:rPr>
          <w:rFonts w:asciiTheme="minorHAnsi" w:hAnsiTheme="minorHAnsi"/>
          <w:lang w:val="en-GB"/>
        </w:rPr>
        <w:t>negative</w:t>
      </w:r>
      <w:r w:rsidR="00280C01" w:rsidRPr="007141B1">
        <w:rPr>
          <w:rFonts w:asciiTheme="minorHAnsi" w:hAnsiTheme="minorHAnsi"/>
          <w:lang w:val="en-GB"/>
        </w:rPr>
        <w:t>’</w:t>
      </w:r>
      <w:r w:rsidRPr="007141B1">
        <w:rPr>
          <w:rFonts w:asciiTheme="minorHAnsi" w:hAnsiTheme="minorHAnsi"/>
          <w:lang w:val="en-GB"/>
        </w:rPr>
        <w:t xml:space="preserve">, </w:t>
      </w:r>
      <w:r w:rsidR="00905590">
        <w:rPr>
          <w:rFonts w:asciiTheme="minorHAnsi" w:hAnsiTheme="minorHAnsi"/>
          <w:lang w:val="en-GB"/>
        </w:rPr>
        <w:t>in</w:t>
      </w:r>
      <w:r w:rsidR="00905590" w:rsidRPr="007141B1">
        <w:rPr>
          <w:rFonts w:asciiTheme="minorHAnsi" w:hAnsiTheme="minorHAnsi"/>
          <w:lang w:val="en-GB"/>
        </w:rPr>
        <w:t xml:space="preserve"> </w:t>
      </w:r>
      <w:r w:rsidRPr="007141B1">
        <w:rPr>
          <w:rFonts w:asciiTheme="minorHAnsi" w:hAnsiTheme="minorHAnsi"/>
          <w:lang w:val="en-GB"/>
        </w:rPr>
        <w:t>they have neither brought us new treatments nor shown th</w:t>
      </w:r>
      <w:r w:rsidR="00905590">
        <w:rPr>
          <w:rFonts w:asciiTheme="minorHAnsi" w:hAnsiTheme="minorHAnsi"/>
          <w:lang w:val="en-GB"/>
        </w:rPr>
        <w:t>ose that can</w:t>
      </w:r>
      <w:r w:rsidRPr="007141B1">
        <w:rPr>
          <w:rFonts w:asciiTheme="minorHAnsi" w:hAnsiTheme="minorHAnsi"/>
          <w:lang w:val="en-GB"/>
        </w:rPr>
        <w:t xml:space="preserve"> save lives. </w:t>
      </w:r>
      <w:r w:rsidR="005B5282">
        <w:rPr>
          <w:rFonts w:asciiTheme="minorHAnsi" w:hAnsiTheme="minorHAnsi"/>
          <w:lang w:val="en-GB"/>
        </w:rPr>
        <w:t xml:space="preserve">However, </w:t>
      </w:r>
      <w:r w:rsidR="00720121">
        <w:rPr>
          <w:rFonts w:asciiTheme="minorHAnsi" w:hAnsiTheme="minorHAnsi"/>
          <w:lang w:val="en-GB"/>
        </w:rPr>
        <w:t xml:space="preserve">these </w:t>
      </w:r>
      <w:r w:rsidR="005B5282">
        <w:rPr>
          <w:rFonts w:asciiTheme="minorHAnsi" w:hAnsiTheme="minorHAnsi"/>
          <w:lang w:val="en-GB"/>
        </w:rPr>
        <w:t xml:space="preserve">so-called ‘negative’ trials have nonetheless generated considerable new knowledge leading both to </w:t>
      </w:r>
      <w:r w:rsidRPr="007141B1">
        <w:rPr>
          <w:rFonts w:asciiTheme="minorHAnsi" w:hAnsiTheme="minorHAnsi"/>
          <w:lang w:val="en-GB"/>
        </w:rPr>
        <w:t>scientific advances</w:t>
      </w:r>
      <w:r w:rsidR="005B5282">
        <w:rPr>
          <w:rFonts w:asciiTheme="minorHAnsi" w:hAnsiTheme="minorHAnsi"/>
          <w:lang w:val="en-GB"/>
        </w:rPr>
        <w:t xml:space="preserve"> and important changes in clinical practice</w:t>
      </w:r>
      <w:r w:rsidRPr="007141B1">
        <w:rPr>
          <w:rFonts w:asciiTheme="minorHAnsi" w:hAnsiTheme="minorHAnsi"/>
          <w:lang w:val="en-GB"/>
        </w:rPr>
        <w:t xml:space="preserve"> </w:t>
      </w:r>
      <w:r w:rsidR="00CD4170" w:rsidRPr="007141B1">
        <w:rPr>
          <w:rFonts w:asciiTheme="minorHAnsi" w:hAnsiTheme="minorHAnsi"/>
          <w:lang w:val="en-GB"/>
        </w:rPr>
        <w:fldChar w:fldCharType="begin"/>
      </w:r>
      <w:r w:rsidR="006E59A1">
        <w:rPr>
          <w:rFonts w:asciiTheme="minorHAnsi" w:hAnsiTheme="minorHAnsi"/>
          <w:lang w:val="en-GB"/>
        </w:rPr>
        <w:instrText xml:space="preserve"> ADDIN ZOTERO_ITEM CSL_CITATION {"citationID":"28qvsn0g5f","properties":{"formattedCitation":"[14, 15]","plainCitation":"[14, 15]"},"citationItems":[{"id":8,"uris":["http://zotero.org/users/local/ZaW79YVG/items/WK235Q3U"],"uri":["http://zotero.org/users/local/ZaW79YVG/items/WK235Q3U"],"itemData":{"id":8,"type":"article-journal","title":"The Primary Outcome Is Positive - Is That Good Enough?","container-title":"The New England Journal of Medicine","page":"971-979","volume":"375","issue":"10","source":"PubMed","DOI":"10.1056/NEJMra1601511","ISSN":"1533-4406","note":"PMID: 27602669","journalAbbreviation":"N. Engl. J. Med.","language":"eng","author":[{"family":"Pocock","given":"Stuart J."},{"family":"Stone","given":"Gregg W."}],"issued":{"date-parts":[["2016",9,8]]},"PMID":"27602669"}},{"id":10,"uris":["http://zotero.org/users/local/ZaW79YVG/items/RKBQBWCG"],"uri":["http://zotero.org/users/local/ZaW79YVG/items/RKBQBWCG"],"itemData":{"id":10,"type":"article-journal","title":"The Primary Outcome Fails - What Next?","container-title":"The New England Journal of Medicine","page":"861-870","volume":"375","issue":"9","source":"PubMed","DOI":"10.1056/NEJMra1510064","ISSN":"1533-4406","note":"PMID: 27579636","journalAbbreviation":"N. Engl. J. Med.","language":"eng","author":[{"family":"Pocock","given":"Stuart J."},{"family":"Stone","given":"Gregg W."}],"issued":{"date-parts":[["2016",9,1]]},"PMID":"27579636"}}],"schema":"https://github.com/citation-style-language/schema/raw/master/csl-citation.json"} </w:instrText>
      </w:r>
      <w:r w:rsidR="00CD4170" w:rsidRPr="007141B1">
        <w:rPr>
          <w:rFonts w:asciiTheme="minorHAnsi" w:hAnsiTheme="minorHAnsi"/>
          <w:lang w:val="en-GB"/>
        </w:rPr>
        <w:fldChar w:fldCharType="separate"/>
      </w:r>
      <w:r w:rsidR="006E59A1" w:rsidRPr="009D5B86">
        <w:rPr>
          <w:rFonts w:ascii="Calibri" w:hAnsi="Calibri" w:cs="Calibri"/>
          <w:lang w:val="en-US"/>
        </w:rPr>
        <w:t>[14, 15]</w:t>
      </w:r>
      <w:r w:rsidR="00CD4170" w:rsidRPr="007141B1">
        <w:rPr>
          <w:rFonts w:asciiTheme="minorHAnsi" w:hAnsiTheme="minorHAnsi"/>
          <w:lang w:val="en-GB"/>
        </w:rPr>
        <w:fldChar w:fldCharType="end"/>
      </w:r>
      <w:r w:rsidRPr="007141B1">
        <w:rPr>
          <w:rFonts w:asciiTheme="minorHAnsi" w:hAnsiTheme="minorHAnsi"/>
          <w:noProof/>
          <w:lang w:val="en-GB"/>
        </w:rPr>
        <w:t>.</w:t>
      </w:r>
      <w:r w:rsidRPr="007141B1">
        <w:rPr>
          <w:rFonts w:asciiTheme="minorHAnsi" w:hAnsiTheme="minorHAnsi"/>
          <w:lang w:val="en-GB"/>
        </w:rPr>
        <w:t xml:space="preserve"> </w:t>
      </w:r>
      <w:r w:rsidR="00315894">
        <w:rPr>
          <w:rFonts w:asciiTheme="minorHAnsi" w:hAnsiTheme="minorHAnsi"/>
          <w:lang w:val="en-GB"/>
        </w:rPr>
        <w:t xml:space="preserve">That said, </w:t>
      </w:r>
      <w:r w:rsidR="009D7F95">
        <w:rPr>
          <w:rFonts w:asciiTheme="minorHAnsi" w:hAnsiTheme="minorHAnsi"/>
          <w:lang w:val="en-GB"/>
        </w:rPr>
        <w:t xml:space="preserve">individual </w:t>
      </w:r>
      <w:r w:rsidRPr="007141B1">
        <w:rPr>
          <w:rFonts w:asciiTheme="minorHAnsi" w:hAnsiTheme="minorHAnsi"/>
          <w:lang w:val="en-GB"/>
        </w:rPr>
        <w:t xml:space="preserve">trials continue to be </w:t>
      </w:r>
      <w:r w:rsidR="00C800EE">
        <w:rPr>
          <w:rFonts w:asciiTheme="minorHAnsi" w:hAnsiTheme="minorHAnsi"/>
          <w:lang w:val="en-GB"/>
        </w:rPr>
        <w:t>under-</w:t>
      </w:r>
      <w:r w:rsidRPr="007141B1">
        <w:rPr>
          <w:rFonts w:asciiTheme="minorHAnsi" w:hAnsiTheme="minorHAnsi"/>
          <w:lang w:val="en-GB"/>
        </w:rPr>
        <w:t>powered</w:t>
      </w:r>
      <w:r w:rsidR="00716F98" w:rsidRPr="007141B1">
        <w:rPr>
          <w:rFonts w:asciiTheme="minorHAnsi" w:hAnsiTheme="minorHAnsi"/>
          <w:lang w:val="en-GB"/>
        </w:rPr>
        <w:t xml:space="preserve"> to detect </w:t>
      </w:r>
      <w:r w:rsidR="00C800EE">
        <w:rPr>
          <w:rFonts w:asciiTheme="minorHAnsi" w:hAnsiTheme="minorHAnsi"/>
          <w:lang w:val="en-GB"/>
        </w:rPr>
        <w:t>small but clinically important</w:t>
      </w:r>
      <w:r w:rsidR="00716F98" w:rsidRPr="007141B1">
        <w:rPr>
          <w:rFonts w:asciiTheme="minorHAnsi" w:hAnsiTheme="minorHAnsi"/>
          <w:lang w:val="en-GB"/>
        </w:rPr>
        <w:t xml:space="preserve"> effects </w:t>
      </w:r>
      <w:r w:rsidR="00716F98" w:rsidRPr="007141B1">
        <w:rPr>
          <w:rFonts w:asciiTheme="minorHAnsi" w:hAnsiTheme="minorHAnsi"/>
          <w:lang w:val="en-GB"/>
        </w:rPr>
        <w:fldChar w:fldCharType="begin"/>
      </w:r>
      <w:r w:rsidR="006E59A1">
        <w:rPr>
          <w:rFonts w:asciiTheme="minorHAnsi" w:hAnsiTheme="minorHAnsi"/>
          <w:lang w:val="en-GB"/>
        </w:rPr>
        <w:instrText xml:space="preserve"> ADDIN ZOTERO_ITEM CSL_CITATION {"citationID":"29832k8poc","properties":{"formattedCitation":"[16]","plainCitation":"[16]"},"citationItems":[{"id":12,"uris":["http://zotero.org/users/local/ZaW79YVG/items/U6H9BSMJ"],"uri":["http://zotero.org/users/local/ZaW79YVG/items/U6H9BSMJ"],"itemData":{"id":12,"type":"article-journal","title":"Outcomes and statistical power in adult critical care randomized trials","container-title":"American Journal of Respiratory and Critical Care Medicine","page":"1469-1478","volume":"189","issue":"12","source":"PubMed","abstract":"RATIONALE: Intensive care unit (ICU)-based randomized clinical trials (RCTs) among adult critically ill patients commonly fail to detect treatment benefits.\nOBJECTIVES: Appraise the rates of success, outcomes used, statistical power, and design characteristics of published trials.\nMETHODS: One hundred forty-six ICU-based RCTs of diagnostic, therapeutic, or process/systems interventions published from January 2007 to May 2013 in 16 high-impact general or critical care journals were studied.\nMEASUREMENT AND MAIN RESULTS: Of 146 RCTs, 54 (37%) were positive (i.e., the a priori hypothesis was found to be statistically significant). The most common primary outcomes were mortality (n = 40 trials), infection-related outcomes (n = 33), and ventilation-related outcomes (n = 30), with positive results found in 10, 58, and 43%, respectively. Statistical power was discussed in 135 RCTs (92%); 92 cited a rationale for their power parameters. Twenty trials failed to achieve at least 95% of their reported target sample size, including 11 that were stopped early due to insufficient accrual/logistical issues. Of 34 superiority RCTs comparing mortality between treatment arms, 13 (38%) accrued a sample size large enough to find an absolute mortality reduction of 10% or less. In 22 of these trials the observed control-arm mortality rate differed from the predicted rate by at least 7.5%.\nCONCLUSIONS: ICU-based RCTs are commonly negative and powered to identify what appear to be unrealistic treatment effects, particularly when using mortality as the primary outcome. Additional concerns include a lack of standardized methods for assessing common outcomes, unclear justifications for statistical power calculations, insufficient patient accrual, and incorrect predictions of baseline event rates.","DOI":"10.1164/rccm.201401-0056CP","ISSN":"1535-4970","note":"PMID: 24786714\nPMCID: PMC4226016","journalAbbreviation":"Am. J. Respir. Crit. Care Med.","language":"eng","author":[{"family":"Harhay","given":"Michael O."},{"family":"Wagner","given":"Jason"},{"family":"Ratcliffe","given":"Sarah J."},{"family":"Bronheim","given":"Rachel S."},{"family":"Gopal","given":"Anand"},{"family":"Green","given":"Sydney"},{"family":"Cooney","given":"Elizabeth"},{"family":"Mikkelsen","given":"Mark E."},{"family":"Kerlin","given":"Meeta Prasad"},{"family":"Small","given":"Dylan S."},{"family":"Halpern","given":"Scott D."}],"issued":{"date-parts":[["2014",6,15]]},"PMID":"24786714","PMCID":"PMC4226016"}}],"schema":"https://github.com/citation-style-language/schema/raw/master/csl-citation.json"} </w:instrText>
      </w:r>
      <w:r w:rsidR="00716F98" w:rsidRPr="007141B1">
        <w:rPr>
          <w:rFonts w:asciiTheme="minorHAnsi" w:hAnsiTheme="minorHAnsi"/>
          <w:lang w:val="en-GB"/>
        </w:rPr>
        <w:fldChar w:fldCharType="separate"/>
      </w:r>
      <w:r w:rsidR="006E59A1" w:rsidRPr="009D5B86">
        <w:rPr>
          <w:rFonts w:ascii="Calibri" w:hAnsi="Calibri" w:cs="Calibri"/>
          <w:lang w:val="en-US"/>
        </w:rPr>
        <w:t>[16]</w:t>
      </w:r>
      <w:r w:rsidR="00716F98" w:rsidRPr="007141B1">
        <w:rPr>
          <w:rFonts w:asciiTheme="minorHAnsi" w:hAnsiTheme="minorHAnsi"/>
          <w:lang w:val="en-GB"/>
        </w:rPr>
        <w:fldChar w:fldCharType="end"/>
      </w:r>
      <w:r w:rsidR="00720121">
        <w:rPr>
          <w:rFonts w:asciiTheme="minorHAnsi" w:hAnsiTheme="minorHAnsi"/>
          <w:lang w:val="en-GB"/>
        </w:rPr>
        <w:t>.</w:t>
      </w:r>
      <w:r w:rsidRPr="007141B1">
        <w:rPr>
          <w:rFonts w:asciiTheme="minorHAnsi" w:hAnsiTheme="minorHAnsi"/>
          <w:lang w:val="en-GB"/>
        </w:rPr>
        <w:t xml:space="preserve"> </w:t>
      </w:r>
      <w:r w:rsidR="00720121">
        <w:rPr>
          <w:rFonts w:asciiTheme="minorHAnsi" w:hAnsiTheme="minorHAnsi"/>
          <w:lang w:val="en-GB"/>
        </w:rPr>
        <w:t>I</w:t>
      </w:r>
      <w:r w:rsidRPr="007141B1">
        <w:rPr>
          <w:rFonts w:asciiTheme="minorHAnsi" w:hAnsiTheme="minorHAnsi"/>
          <w:lang w:val="en-GB"/>
        </w:rPr>
        <w:t xml:space="preserve">t is even more crucial to consider </w:t>
      </w:r>
      <w:r w:rsidR="000C74D8">
        <w:rPr>
          <w:rFonts w:asciiTheme="minorHAnsi" w:hAnsiTheme="minorHAnsi"/>
          <w:lang w:val="en-GB"/>
        </w:rPr>
        <w:t>the</w:t>
      </w:r>
      <w:r w:rsidRPr="007141B1">
        <w:rPr>
          <w:rFonts w:asciiTheme="minorHAnsi" w:hAnsiTheme="minorHAnsi"/>
          <w:lang w:val="en-GB"/>
        </w:rPr>
        <w:t xml:space="preserve"> comprehensive body of evidence to answer research questions. </w:t>
      </w:r>
      <w:r w:rsidR="00315894">
        <w:rPr>
          <w:rFonts w:asciiTheme="minorHAnsi" w:hAnsiTheme="minorHAnsi"/>
          <w:lang w:val="en-GB"/>
        </w:rPr>
        <w:t>For example, i</w:t>
      </w:r>
      <w:r w:rsidRPr="007141B1">
        <w:rPr>
          <w:rFonts w:asciiTheme="minorHAnsi" w:hAnsiTheme="minorHAnsi"/>
          <w:lang w:val="en-GB"/>
        </w:rPr>
        <w:t>t was the cumulative contribution of 31 trials</w:t>
      </w:r>
      <w:r w:rsidRPr="007141B1">
        <w:rPr>
          <w:rFonts w:asciiTheme="minorHAnsi" w:hAnsiTheme="minorHAnsi"/>
          <w:bCs/>
          <w:lang w:val="en-GB"/>
        </w:rPr>
        <w:t xml:space="preserve">, </w:t>
      </w:r>
      <w:r w:rsidRPr="007141B1">
        <w:rPr>
          <w:rFonts w:asciiTheme="minorHAnsi" w:hAnsiTheme="minorHAnsi"/>
          <w:lang w:val="en-GB"/>
        </w:rPr>
        <w:t xml:space="preserve">conducted between 1982 and 2012, </w:t>
      </w:r>
      <w:r w:rsidRPr="007141B1">
        <w:rPr>
          <w:rFonts w:asciiTheme="minorHAnsi" w:hAnsiTheme="minorHAnsi"/>
          <w:bCs/>
          <w:lang w:val="en-GB"/>
        </w:rPr>
        <w:t>that established the harm associated with hydroxyethyl starch</w:t>
      </w:r>
      <w:r w:rsidR="000F19FE">
        <w:rPr>
          <w:rFonts w:asciiTheme="minorHAnsi" w:hAnsiTheme="minorHAnsi"/>
          <w:bCs/>
          <w:lang w:val="en-GB"/>
        </w:rPr>
        <w:t xml:space="preserve"> (HES)</w:t>
      </w:r>
      <w:r w:rsidR="00716F98" w:rsidRPr="007141B1">
        <w:rPr>
          <w:rFonts w:asciiTheme="minorHAnsi" w:hAnsiTheme="minorHAnsi"/>
          <w:bCs/>
          <w:lang w:val="en-GB"/>
        </w:rPr>
        <w:t xml:space="preserve"> </w:t>
      </w:r>
      <w:r w:rsidR="00716F98" w:rsidRPr="007141B1">
        <w:rPr>
          <w:rFonts w:asciiTheme="minorHAnsi" w:hAnsiTheme="minorHAnsi"/>
          <w:bCs/>
          <w:lang w:val="en-GB"/>
        </w:rPr>
        <w:fldChar w:fldCharType="begin"/>
      </w:r>
      <w:r w:rsidR="006E59A1">
        <w:rPr>
          <w:rFonts w:asciiTheme="minorHAnsi" w:hAnsiTheme="minorHAnsi"/>
          <w:bCs/>
          <w:lang w:val="en-GB"/>
        </w:rPr>
        <w:instrText xml:space="preserve"> ADDIN ZOTERO_ITEM CSL_CITATION {"citationID":"2glg2nesb3","properties":{"formattedCitation":"[17]","plainCitation":"[17]"},"citationItems":[{"id":14,"uris":["http://zotero.org/users/local/ZaW79YVG/items/AASXZ5T5"],"uri":["http://zotero.org/users/local/ZaW79YVG/items/AASXZ5T5"],"itemData":{"id":14,"type":"article-journal","title":"Association of hydroxyethyl starch administration with mortality and acute kidney injury in critically ill patients requiring volume resuscitation: a systematic review and meta-analysis","container-title":"JAMA","page":"678-688","volume":"309","issue":"7","source":"PubMed","abstract":"IMPORTANCE: Hydroxyethyl starch is commonly used for volume resuscitation yet has been associated with serious adverse events, including acute kidney injury and death. Clinical trials of hydroxyethyl starch are conflicting. Moreover, multiple trials from one investigator have been retracted because of scientific misconduct.\nOBJECTIVES: To evaluate the association of hydroxyethyl starch use with mortality and acute kidney injury.\nDATA SOURCES: Randomized controlled trials from MEDLINE, EMBASE, CENTRAL, Global Health, HealthStar, Scopus, Web of Science, the International Clinical Trials Registry Platform (inception to October 2012), reference lists of relevant articles, and gray literature.\nSTUDY SELECTION: Two reviewers independently identified randomized controlled trials comparing hydroxyethyl starch with other resuscitation fluids in critically ill patients receiving acute volume resuscitation.\nDATA EXTRACTION: Two reviewers independently extracted trial-level data including population characteristics, interventions, outcomes, and funding sources. Risk of bias was assessed using the risk of bias tool; the strength of evidence was adjudicated using the GRADE methodology.\nRESULTS: We included 38 eligible trials comparing hydroxyethyl starch to crystalloids, albumin, or gelatin. The majority of trials were categorized as having an unclear risk or high risk of bias. For the 10,880 patients in studies contributing mortality data, the risk ratio (RR) for death among patients randomized to receive hydroxyethyl starch was 1.07 (95% CI, 1.00 to 1.14; I2, 0%; absolute risk [AR], 1.20%; 95% CI, -0.26% to 2.66%). This summary effect measure included results from 7 trials performed by an investigator whose subsequent research had been retracted because of scientific misconduct. When we excluded these 7 trials that involved 590 patients, hydroxyethyl starch was found to be associated with increased mortality among 10,290 patients (RR, 1.09; 95% CI, 1.02 to 1.17; I2, 0%; AR, 1.51%; 95% CI, 0.02% to 3.00%), increased renal failure among 8725 patients (RR, 1.27; 95% CI, 1.09 to 1.47; I2, 26%; AR, 5.45%; 95% CI, 0.44% to 10.47%), and increased use of renal replacement therapy among 9258 patients (RR, 1.32; 95% CI, 1.15 to 1.50; I2, 0%; AR, 3.12%; 95% CI, 0.47% to 5.78%).\nCONCLUSION AND RELEVANCE: In critically ill patients requiring acute volume resuscitation, use of hydroxyethyl starch compared with other resuscitation solutions was not associated with a decrease in mortality. Moreover, after exclusion of 7 trials performed by an investigator whose research has been retracted because of scientific misconduct, hydroxyethyl starch was associated with a significant increased risk of mortality and acute kidney injury. Clinical use of hydroxyethyl starch for acute volume resuscitation is not warranted due to serious safety concerns.","DOI":"10.1001/jama.2013.430","ISSN":"1538-3598","note":"PMID: 23423413","shortTitle":"Association of hydroxyethyl starch administration with mortality and acute kidney injury in critically ill patients requiring volume resuscitation","journalAbbreviation":"JAMA","language":"eng","author":[{"family":"Zarychanski","given":"Ryan"},{"family":"Abou-Setta","given":"Ahmed M."},{"family":"Turgeon","given":"Alexis F."},{"family":"Houston","given":"Brett L."},{"family":"McIntyre","given":"Lauralyn"},{"family":"Marshall","given":"John C."},{"family":"Fergusson","given":"Dean A."}],"issued":{"date-parts":[["2013",2,20]]},"PMID":"23423413"}}],"schema":"https://github.com/citation-style-language/schema/raw/master/csl-citation.json"} </w:instrText>
      </w:r>
      <w:r w:rsidR="00716F98" w:rsidRPr="007141B1">
        <w:rPr>
          <w:rFonts w:asciiTheme="minorHAnsi" w:hAnsiTheme="minorHAnsi"/>
          <w:bCs/>
          <w:lang w:val="en-GB"/>
        </w:rPr>
        <w:fldChar w:fldCharType="separate"/>
      </w:r>
      <w:r w:rsidR="006E59A1" w:rsidRPr="009D5B86">
        <w:rPr>
          <w:rFonts w:ascii="Calibri" w:hAnsi="Calibri" w:cs="Calibri"/>
          <w:lang w:val="en-US"/>
        </w:rPr>
        <w:t>[17]</w:t>
      </w:r>
      <w:r w:rsidR="00716F98" w:rsidRPr="007141B1">
        <w:rPr>
          <w:rFonts w:asciiTheme="minorHAnsi" w:hAnsiTheme="minorHAnsi"/>
          <w:bCs/>
          <w:lang w:val="en-GB"/>
        </w:rPr>
        <w:fldChar w:fldCharType="end"/>
      </w:r>
      <w:r w:rsidRPr="007141B1">
        <w:rPr>
          <w:rFonts w:asciiTheme="minorHAnsi" w:hAnsiTheme="minorHAnsi"/>
          <w:noProof/>
          <w:lang w:val="en-GB"/>
        </w:rPr>
        <w:t>.</w:t>
      </w:r>
    </w:p>
    <w:p w:rsidR="00310854" w:rsidRDefault="00310854" w:rsidP="00851E20">
      <w:pPr>
        <w:spacing w:line="360" w:lineRule="auto"/>
        <w:rPr>
          <w:rFonts w:asciiTheme="minorHAnsi" w:hAnsiTheme="minorHAnsi"/>
          <w:lang w:val="en-GB"/>
        </w:rPr>
      </w:pPr>
    </w:p>
    <w:p w:rsidR="005812A4" w:rsidRPr="007141B1" w:rsidRDefault="001344F0" w:rsidP="00851E20">
      <w:pPr>
        <w:spacing w:line="360" w:lineRule="auto"/>
        <w:rPr>
          <w:rFonts w:asciiTheme="minorHAnsi" w:hAnsiTheme="minorHAnsi"/>
          <w:lang w:val="en-GB"/>
        </w:rPr>
      </w:pPr>
      <w:r>
        <w:rPr>
          <w:rFonts w:asciiTheme="minorHAnsi" w:hAnsiTheme="minorHAnsi"/>
          <w:lang w:val="en-GB"/>
        </w:rPr>
        <w:t>Analyses of so-called ‘</w:t>
      </w:r>
      <w:r w:rsidR="00280C01" w:rsidRPr="007141B1">
        <w:rPr>
          <w:rFonts w:asciiTheme="minorHAnsi" w:hAnsiTheme="minorHAnsi"/>
          <w:lang w:val="en-GB"/>
        </w:rPr>
        <w:t>negative</w:t>
      </w:r>
      <w:r>
        <w:rPr>
          <w:rFonts w:asciiTheme="minorHAnsi" w:hAnsiTheme="minorHAnsi"/>
          <w:lang w:val="en-GB"/>
        </w:rPr>
        <w:t>’</w:t>
      </w:r>
      <w:r w:rsidR="00280C01" w:rsidRPr="007141B1">
        <w:rPr>
          <w:rFonts w:asciiTheme="minorHAnsi" w:hAnsiTheme="minorHAnsi"/>
          <w:lang w:val="en-GB"/>
        </w:rPr>
        <w:t xml:space="preserve"> studies have informed practice in three ways. </w:t>
      </w:r>
      <w:r w:rsidR="009D7F95" w:rsidRPr="007141B1">
        <w:rPr>
          <w:rFonts w:asciiTheme="minorHAnsi" w:hAnsiTheme="minorHAnsi"/>
          <w:lang w:val="en-GB"/>
        </w:rPr>
        <w:t xml:space="preserve">First, high-quality comparative effectiveness trials that do not report a statistically significant treatment effect in favour of the intervention </w:t>
      </w:r>
      <w:r w:rsidR="00C800EE">
        <w:rPr>
          <w:rFonts w:asciiTheme="minorHAnsi" w:hAnsiTheme="minorHAnsi"/>
          <w:lang w:val="en-GB"/>
        </w:rPr>
        <w:t>can</w:t>
      </w:r>
      <w:r w:rsidR="003E7C1D">
        <w:rPr>
          <w:rFonts w:asciiTheme="minorHAnsi" w:hAnsiTheme="minorHAnsi"/>
          <w:lang w:val="en-GB"/>
        </w:rPr>
        <w:t xml:space="preserve"> </w:t>
      </w:r>
      <w:r w:rsidR="009D7F95" w:rsidRPr="007141B1">
        <w:rPr>
          <w:rFonts w:asciiTheme="minorHAnsi" w:hAnsiTheme="minorHAnsi"/>
          <w:lang w:val="en-GB"/>
        </w:rPr>
        <w:t xml:space="preserve">provide </w:t>
      </w:r>
      <w:r w:rsidR="003E7C1D">
        <w:rPr>
          <w:rFonts w:asciiTheme="minorHAnsi" w:hAnsiTheme="minorHAnsi"/>
          <w:lang w:val="en-GB"/>
        </w:rPr>
        <w:t xml:space="preserve">a </w:t>
      </w:r>
      <w:r w:rsidR="00315894">
        <w:rPr>
          <w:rFonts w:asciiTheme="minorHAnsi" w:hAnsiTheme="minorHAnsi"/>
          <w:lang w:val="en-GB"/>
        </w:rPr>
        <w:t xml:space="preserve">strong rationale to guide </w:t>
      </w:r>
      <w:r w:rsidR="009D7F95" w:rsidRPr="007141B1">
        <w:rPr>
          <w:rFonts w:asciiTheme="minorHAnsi" w:hAnsiTheme="minorHAnsi"/>
          <w:lang w:val="en-GB"/>
        </w:rPr>
        <w:t xml:space="preserve">restriction or withdrawal of ineffective or dangerous interventions </w:t>
      </w:r>
      <w:r w:rsidR="00236B01">
        <w:rPr>
          <w:rFonts w:asciiTheme="minorHAnsi" w:hAnsiTheme="minorHAnsi"/>
          <w:lang w:val="en-GB"/>
        </w:rPr>
        <w:t xml:space="preserve">(Fig. </w:t>
      </w:r>
      <w:r w:rsidR="00D06366">
        <w:rPr>
          <w:rFonts w:asciiTheme="minorHAnsi" w:hAnsiTheme="minorHAnsi"/>
          <w:lang w:val="en-GB"/>
        </w:rPr>
        <w:t>2</w:t>
      </w:r>
      <w:r w:rsidR="00236B01">
        <w:rPr>
          <w:rFonts w:asciiTheme="minorHAnsi" w:hAnsiTheme="minorHAnsi"/>
          <w:lang w:val="en-GB"/>
        </w:rPr>
        <w:t>)</w:t>
      </w:r>
      <w:r w:rsidR="00280C01" w:rsidRPr="007141B1">
        <w:rPr>
          <w:rFonts w:asciiTheme="minorHAnsi" w:hAnsiTheme="minorHAnsi"/>
          <w:lang w:val="en-GB"/>
        </w:rPr>
        <w:t xml:space="preserve">. This is exemplified </w:t>
      </w:r>
      <w:r w:rsidR="003E7C1D">
        <w:rPr>
          <w:rFonts w:asciiTheme="minorHAnsi" w:hAnsiTheme="minorHAnsi"/>
          <w:lang w:val="en-GB"/>
        </w:rPr>
        <w:t>by</w:t>
      </w:r>
      <w:r w:rsidR="003E7C1D" w:rsidRPr="007141B1">
        <w:rPr>
          <w:rFonts w:asciiTheme="minorHAnsi" w:hAnsiTheme="minorHAnsi"/>
          <w:lang w:val="en-GB"/>
        </w:rPr>
        <w:t xml:space="preserve"> </w:t>
      </w:r>
      <w:r w:rsidR="00280C01" w:rsidRPr="007141B1">
        <w:rPr>
          <w:rFonts w:asciiTheme="minorHAnsi" w:hAnsiTheme="minorHAnsi"/>
          <w:lang w:val="en-GB"/>
        </w:rPr>
        <w:t xml:space="preserve">the </w:t>
      </w:r>
      <w:r w:rsidR="009D7F95">
        <w:rPr>
          <w:rFonts w:asciiTheme="minorHAnsi" w:hAnsiTheme="minorHAnsi"/>
          <w:lang w:val="en-GB"/>
        </w:rPr>
        <w:t>HES</w:t>
      </w:r>
      <w:r w:rsidR="00280C01" w:rsidRPr="007141B1">
        <w:rPr>
          <w:rFonts w:asciiTheme="minorHAnsi" w:hAnsiTheme="minorHAnsi"/>
          <w:lang w:val="en-GB"/>
        </w:rPr>
        <w:t xml:space="preserve"> and tight glycaemic control trials</w:t>
      </w:r>
      <w:r w:rsidR="00165E6D" w:rsidRPr="00165E6D">
        <w:rPr>
          <w:rFonts w:asciiTheme="minorHAnsi" w:hAnsiTheme="minorHAnsi"/>
          <w:lang w:val="en-GB"/>
        </w:rPr>
        <w:t xml:space="preserve"> </w:t>
      </w:r>
      <w:r w:rsidR="00165E6D">
        <w:rPr>
          <w:rFonts w:asciiTheme="minorHAnsi" w:hAnsiTheme="minorHAnsi"/>
          <w:lang w:val="en-GB"/>
        </w:rPr>
        <w:t>that showed harm from the interventions</w:t>
      </w:r>
      <w:r w:rsidR="00280C01" w:rsidRPr="007141B1">
        <w:rPr>
          <w:rFonts w:asciiTheme="minorHAnsi" w:hAnsiTheme="minorHAnsi"/>
          <w:lang w:val="en-GB"/>
        </w:rPr>
        <w:t xml:space="preserve">. Second, ‘negative’ trials may identify important subgroup effects that support more individualized care to a heterogeneous patient population </w:t>
      </w:r>
      <w:r w:rsidR="00716F98" w:rsidRPr="007141B1">
        <w:rPr>
          <w:rFonts w:asciiTheme="minorHAnsi" w:hAnsiTheme="minorHAnsi"/>
          <w:lang w:val="en-GB"/>
        </w:rPr>
        <w:fldChar w:fldCharType="begin"/>
      </w:r>
      <w:r w:rsidR="006E59A1">
        <w:rPr>
          <w:rFonts w:asciiTheme="minorHAnsi" w:hAnsiTheme="minorHAnsi"/>
          <w:lang w:val="en-GB"/>
        </w:rPr>
        <w:instrText xml:space="preserve"> ADDIN ZOTERO_ITEM CSL_CITATION {"citationID":"1pek0426j5","properties":{"formattedCitation":"[18]","plainCitation":"[18]"},"citationItems":[{"id":16,"uris":["http://zotero.org/users/local/ZaW79YVG/items/RGCVT8KS"],"uri":["http://zotero.org/users/local/ZaW79YVG/items/RGCVT8KS"],"itemData":{"id":16,"type":"article-journal","title":"Implications of Heterogeneity of Treatment Effect for Reporting and Analysis of Randomized Trials in Critical Care","container-title":"American Journal of Respiratory and Critical Care Medicine","page":"1045-1051","volume":"192","issue":"9","source":"PubMed","abstract":"Randomized clinical trials (RCTs) are conducted to guide clinicians' selection of therapies for individual patients. Currently, RCTs in critical care often report an overall mean effect and selected individual subgroups. Yet work in other fields suggests that such reporting practices can be improved. Specifically, this Critical Care Perspective reviews recent work on so-called \"heterogeneity of treatment effect\" (HTE) by baseline risk and extends that work to examine its applicability to trials of acute respiratory failure and severe sepsis. Because patients in RCTs in critical care medicine-and patients in intensive care units-have wide variability in their risk of death, these patients will have wide variability in the absolute benefit that they can derive from a given therapy. If the side effects of the therapy are not perfectly collinear with the treatment benefits, this will result in HTE, where different patients experience quite different expected benefits of a therapy. We use simulations of RCTs to demonstrate that such HTE could result in apparent paradoxes, including: (1) positive trials of therapies that are beneficial overall but consistently harm or have little benefit to low-risk patients who met enrollment criteria, and (2) overall negative trials of therapies that still consistently benefit high-risk patients. We further show that these results persist even in the presence of causes of death unmodified by the treatment under study. These results have implications for reporting and analyzing RCT data, both to better understand how our therapies work and to improve the bedside applicability of RCTs. We suggest a plan for measurement in future RCTs in the critically ill.","DOI":"10.1164/rccm.201411-2125CP","ISSN":"1535-4970","note":"PMID: 26177009\nPMCID: PMC4642199","journalAbbreviation":"Am. J. Respir. Crit. Care Med.","language":"eng","author":[{"family":"Iwashyna","given":"Theodore J."},{"family":"Burke","given":"James F."},{"family":"Sussman","given":"Jeremy B."},{"family":"Prescott","given":"Hallie C."},{"family":"Hayward","given":"Rodney A."},{"family":"Angus","given":"Derek C."}],"issued":{"date-parts":[["2015",11,1]]},"PMID":"26177009","PMCID":"PMC4642199"}}],"schema":"https://github.com/citation-style-language/schema/raw/master/csl-citation.json"} </w:instrText>
      </w:r>
      <w:r w:rsidR="00716F98" w:rsidRPr="007141B1">
        <w:rPr>
          <w:rFonts w:asciiTheme="minorHAnsi" w:hAnsiTheme="minorHAnsi"/>
          <w:lang w:val="en-GB"/>
        </w:rPr>
        <w:fldChar w:fldCharType="separate"/>
      </w:r>
      <w:r w:rsidR="006E59A1" w:rsidRPr="009D5B86">
        <w:rPr>
          <w:rFonts w:ascii="Calibri" w:hAnsi="Calibri" w:cs="Calibri"/>
          <w:lang w:val="en-US"/>
        </w:rPr>
        <w:t>[18]</w:t>
      </w:r>
      <w:r w:rsidR="00716F98" w:rsidRPr="007141B1">
        <w:rPr>
          <w:rFonts w:asciiTheme="minorHAnsi" w:hAnsiTheme="minorHAnsi"/>
          <w:lang w:val="en-GB"/>
        </w:rPr>
        <w:fldChar w:fldCharType="end"/>
      </w:r>
      <w:r w:rsidR="005812A4" w:rsidRPr="007141B1">
        <w:rPr>
          <w:rFonts w:asciiTheme="minorHAnsi" w:hAnsiTheme="minorHAnsi"/>
          <w:lang w:val="en-GB"/>
        </w:rPr>
        <w:t>.</w:t>
      </w:r>
      <w:r w:rsidR="005812A4" w:rsidRPr="007141B1">
        <w:rPr>
          <w:rFonts w:asciiTheme="minorHAnsi" w:hAnsiTheme="minorHAnsi"/>
          <w:noProof/>
          <w:lang w:val="en-GB"/>
        </w:rPr>
        <w:t xml:space="preserve"> </w:t>
      </w:r>
      <w:r w:rsidR="00280C01" w:rsidRPr="007141B1">
        <w:rPr>
          <w:rFonts w:asciiTheme="minorHAnsi" w:hAnsiTheme="minorHAnsi"/>
          <w:lang w:val="en-GB"/>
        </w:rPr>
        <w:t>Third</w:t>
      </w:r>
      <w:r w:rsidR="005812A4" w:rsidRPr="007141B1">
        <w:rPr>
          <w:rFonts w:asciiTheme="minorHAnsi" w:hAnsiTheme="minorHAnsi"/>
          <w:lang w:val="en-GB"/>
        </w:rPr>
        <w:t xml:space="preserve">, they </w:t>
      </w:r>
      <w:r w:rsidR="00A73BD7" w:rsidRPr="007141B1">
        <w:rPr>
          <w:rFonts w:asciiTheme="minorHAnsi" w:hAnsiTheme="minorHAnsi"/>
          <w:lang w:val="en-GB"/>
        </w:rPr>
        <w:t>may</w:t>
      </w:r>
      <w:r w:rsidR="005812A4" w:rsidRPr="007141B1">
        <w:rPr>
          <w:rFonts w:asciiTheme="minorHAnsi" w:hAnsiTheme="minorHAnsi"/>
          <w:lang w:val="en-GB"/>
        </w:rPr>
        <w:t xml:space="preserve"> reveal which factor</w:t>
      </w:r>
      <w:r w:rsidR="00A73BD7" w:rsidRPr="007141B1">
        <w:rPr>
          <w:rFonts w:asciiTheme="minorHAnsi" w:hAnsiTheme="minorHAnsi"/>
          <w:lang w:val="en-GB"/>
        </w:rPr>
        <w:t>s are</w:t>
      </w:r>
      <w:r w:rsidR="005812A4" w:rsidRPr="007141B1">
        <w:rPr>
          <w:rFonts w:asciiTheme="minorHAnsi" w:hAnsiTheme="minorHAnsi"/>
          <w:lang w:val="en-GB"/>
        </w:rPr>
        <w:t xml:space="preserve"> important in multifaceted interventions. T</w:t>
      </w:r>
      <w:r w:rsidR="00716F98" w:rsidRPr="007141B1">
        <w:rPr>
          <w:rFonts w:asciiTheme="minorHAnsi" w:hAnsiTheme="minorHAnsi"/>
          <w:lang w:val="en-GB"/>
        </w:rPr>
        <w:t xml:space="preserve">he results of the </w:t>
      </w:r>
      <w:r w:rsidR="00FE0188">
        <w:rPr>
          <w:rFonts w:asciiTheme="minorHAnsi" w:hAnsiTheme="minorHAnsi"/>
          <w:lang w:val="en-GB"/>
        </w:rPr>
        <w:t>original</w:t>
      </w:r>
      <w:r w:rsidR="003E7C1D">
        <w:rPr>
          <w:rFonts w:asciiTheme="minorHAnsi" w:hAnsiTheme="minorHAnsi"/>
          <w:lang w:val="en-GB"/>
        </w:rPr>
        <w:t xml:space="preserve"> Early Goal-Directed Therapy</w:t>
      </w:r>
      <w:r w:rsidR="00FE0188">
        <w:rPr>
          <w:rFonts w:asciiTheme="minorHAnsi" w:hAnsiTheme="minorHAnsi"/>
          <w:lang w:val="en-GB"/>
        </w:rPr>
        <w:t xml:space="preserve"> (EGDT)</w:t>
      </w:r>
      <w:r w:rsidR="00716F98" w:rsidRPr="007141B1">
        <w:rPr>
          <w:rFonts w:asciiTheme="minorHAnsi" w:hAnsiTheme="minorHAnsi"/>
          <w:lang w:val="en-GB"/>
        </w:rPr>
        <w:t xml:space="preserve"> </w:t>
      </w:r>
      <w:r w:rsidR="00485CE7">
        <w:rPr>
          <w:rFonts w:asciiTheme="minorHAnsi" w:hAnsiTheme="minorHAnsi"/>
          <w:lang w:val="en-GB"/>
        </w:rPr>
        <w:t>trial</w:t>
      </w:r>
      <w:r w:rsidR="00716F98" w:rsidRPr="007141B1">
        <w:rPr>
          <w:rFonts w:asciiTheme="minorHAnsi" w:hAnsiTheme="minorHAnsi"/>
          <w:lang w:val="en-GB"/>
        </w:rPr>
        <w:t xml:space="preserve"> </w:t>
      </w:r>
      <w:r w:rsidR="00716F98" w:rsidRPr="007141B1">
        <w:rPr>
          <w:rFonts w:asciiTheme="minorHAnsi" w:hAnsiTheme="minorHAnsi"/>
          <w:lang w:val="en-GB"/>
        </w:rPr>
        <w:fldChar w:fldCharType="begin"/>
      </w:r>
      <w:r w:rsidR="006E59A1">
        <w:rPr>
          <w:rFonts w:asciiTheme="minorHAnsi" w:hAnsiTheme="minorHAnsi"/>
          <w:lang w:val="en-GB"/>
        </w:rPr>
        <w:instrText xml:space="preserve"> ADDIN ZOTERO_ITEM CSL_CITATION {"citationID":"1lnhki0col","properties":{"formattedCitation":"[19]","plainCitation":"[19]"},"citationItems":[{"id":22,"uris":["http://zotero.org/users/local/ZaW79YVG/items/WMTETCM7"],"uri":["http://zotero.org/users/local/ZaW79YVG/items/WMTETCM7"],"itemData":{"id":22,"type":"article-journal","title":"Early goal-directed therapy in the treatment of severe sepsis and septic shock","container-title":"The New England Journal of Medicine","page":"1368-1377","volume":"345","issue":"19","source":"PubMed","abstract":"BACKGROUND: Goal-directed therapy has been used for severe sepsis and septic shock in the intensive care unit. This approach involves adjustments of cardiac preload, afterload, and contractility to balance oxygen delivery with oxygen demand. The purpose of this study was to evaluate the efficacy of early goal-directed therapy before admission to the intensive care unit.\nMETHODS: We randomly assigned patients who arrived at an urban emergency department with severe sepsis or septic shock to receive either six hours of early goal-directed therapy or standard therapy (as a control) before admission to the intensive care unit. Clinicians who subsequently assumed the care of the patients were blinded to the treatment assignment. In-hospital mortality (the primary efficacy outcome), end points with respect to resuscitation, and Acute Physiology and Chronic Health Evaluation (APACHE II) scores were obtained serially for 72 hours and compared between the study groups.\nRESULTS: Of the 263 enrolled patients, 130 were randomly assigned to early goal-directed therapy and 133 to standard therapy; there were no significant differences between the groups with respect to base-line characteristics. In-hospital mortality was 30.5 percent in the group assigned to early goal-directed therapy, as compared with 46.5 percent in the group assigned to standard therapy (P = 0.009). During the interval from 7 to 72 hours, the patients assigned to early goal-directed therapy had a significantly higher mean (+/-SD) central venous oxygen saturation (70.4+/-10.7 percent vs. 65.3+/-11.4 percent), a lower lactate concentration (3.0+/-4.4 vs. 3.9+/-4.4 mmol per liter), a lower base deficit (2.0+/-6.6 vs. 5.1+/-6.7 mmol per liter), and a higher pH (7.40+/-0.12 vs. 7.36+/-0.12) than the patients assigned to standard therapy (P &lt; or = 0.02 for all comparisons). During the same period, mean APACHE II scores were significantly lower, indicating less severe organ dysfunction, in the patients assigned to early goal-directed therapy than in those assigned to standard therapy (13.0+/-6.3 vs. 15.9+/-6.4, P &lt; 0.001).\nCONCLUSIONS: Early goal-directed therapy provides significant benefits with respect to outcome in patients with severe sepsis and septic shock.","DOI":"10.1056/NEJMoa010307","ISSN":"0028-4793","note":"PMID: 11794169","journalAbbreviation":"N. Engl. J. Med.","language":"eng","author":[{"family":"Rivers","given":"E."},{"family":"Nguyen","given":"B."},{"family":"Havstad","given":"S."},{"family":"Ressler","given":"J."},{"family":"Muzzin","given":"A."},{"family":"Knoblich","given":"B."},{"family":"Peterson","given":"E."},{"family":"Tomlanovich","given":"M."},{"literal":"Early Goal-Directed Therapy Collaborative Group"}],"issued":{"date-parts":[["2001",11,8]]},"PMID":"11794169"}}],"schema":"https://github.com/citation-style-language/schema/raw/master/csl-citation.json"} </w:instrText>
      </w:r>
      <w:r w:rsidR="00716F98" w:rsidRPr="007141B1">
        <w:rPr>
          <w:rFonts w:asciiTheme="minorHAnsi" w:hAnsiTheme="minorHAnsi"/>
          <w:lang w:val="en-GB"/>
        </w:rPr>
        <w:fldChar w:fldCharType="separate"/>
      </w:r>
      <w:r w:rsidR="006E59A1" w:rsidRPr="006E59A1">
        <w:rPr>
          <w:rFonts w:ascii="Calibri" w:hAnsi="Calibri" w:cs="Calibri"/>
        </w:rPr>
        <w:t>[19]</w:t>
      </w:r>
      <w:r w:rsidR="00716F98" w:rsidRPr="007141B1">
        <w:rPr>
          <w:rFonts w:asciiTheme="minorHAnsi" w:hAnsiTheme="minorHAnsi"/>
          <w:lang w:val="en-GB"/>
        </w:rPr>
        <w:fldChar w:fldCharType="end"/>
      </w:r>
      <w:r w:rsidR="005812A4" w:rsidRPr="007141B1">
        <w:rPr>
          <w:rFonts w:asciiTheme="minorHAnsi" w:hAnsiTheme="minorHAnsi"/>
          <w:lang w:val="en-GB"/>
        </w:rPr>
        <w:t xml:space="preserve"> </w:t>
      </w:r>
      <w:proofErr w:type="spellStart"/>
      <w:r w:rsidR="005812A4" w:rsidRPr="007141B1">
        <w:rPr>
          <w:rFonts w:asciiTheme="minorHAnsi" w:hAnsiTheme="minorHAnsi"/>
          <w:lang w:val="en-GB"/>
        </w:rPr>
        <w:t>were</w:t>
      </w:r>
      <w:proofErr w:type="spellEnd"/>
      <w:r w:rsidR="005812A4" w:rsidRPr="007141B1">
        <w:rPr>
          <w:rFonts w:asciiTheme="minorHAnsi" w:hAnsiTheme="minorHAnsi"/>
          <w:lang w:val="en-GB"/>
        </w:rPr>
        <w:t xml:space="preserve"> not reproduced by three concurrent large clinical trials</w:t>
      </w:r>
      <w:r w:rsidR="00716F98" w:rsidRPr="007141B1">
        <w:rPr>
          <w:rFonts w:asciiTheme="minorHAnsi" w:hAnsiTheme="minorHAnsi"/>
          <w:lang w:val="en-GB"/>
        </w:rPr>
        <w:t xml:space="preserve"> </w:t>
      </w:r>
      <w:r w:rsidR="00716F98" w:rsidRPr="007141B1">
        <w:rPr>
          <w:rFonts w:asciiTheme="minorHAnsi" w:hAnsiTheme="minorHAnsi"/>
          <w:lang w:val="en-GB"/>
        </w:rPr>
        <w:fldChar w:fldCharType="begin"/>
      </w:r>
      <w:r w:rsidR="006E59A1">
        <w:rPr>
          <w:rFonts w:asciiTheme="minorHAnsi" w:hAnsiTheme="minorHAnsi"/>
          <w:lang w:val="en-GB"/>
        </w:rPr>
        <w:instrText xml:space="preserve"> ADDIN ZOTERO_ITEM CSL_CITATION {"citationID":"2aeu0m1og1","properties":{"formattedCitation":"{\\rtf [20\\uc0\\u8211{}22]}","plainCitation":"[20–22]"},"citationItems":[{"id":24,"uris":["http://zotero.org/users/local/ZaW79YVG/items/KZ4IH48B"],"uri":["http://zotero.org/users/local/ZaW79YVG/items/KZ4IH48B"],"itemData":{"id":24,"type":"article-journal","title":"A randomized trial of protocol-based care for early septic shock","container-title":"The New England Journal of Medicine","page":"1683-1693","volume":"370","issue":"18","source":"PubMed","abstract":"BACKGROUND: In a single-center study published more than a decade ago involving patients presenting to the emergency department with severe sepsis and septic shock, mortality was markedly lower among those who were treated according to a 6-hour protocol of early goal-directed therapy (EGDT), in which intravenous fluids, vasopressors, inotropes, and blood transfusions were adjusted to reach central hemodynamic targets, than among those receiving usual care. We conducted a trial to determine whether these findings were generalizable and whether all aspects of the protocol were necessary.\nMETHODS: In 31 emergency departments in the United States, we randomly assigned patients with septic shock to one of three groups for 6 hours of resuscitation: protocol-based EGDT; protocol-based standard therapy that did not require the placement of a central venous catheter, administration of inotropes, or blood transfusions; or usual care. The primary end point was 60-day in-hospital mortality. We tested sequentially whether protocol-based care (EGDT and standard-therapy groups combined) was superior to usual care and whether protocol-based EGDT was superior to protocol-based standard therapy. Secondary outcomes included longer-term mortality and the need for organ support.\nRESULTS: We enrolled 1341 patients, of whom 439 were randomly assigned to protocol-based EGDT, 446 to protocol-based standard therapy, and 456 to usual care. Resuscitation strategies differed significantly with respect to the monitoring of central venous pressure and oxygen and the use of intravenous fluids, vasopressors, inotropes, and blood transfusions. By 60 days, there were 92 deaths in the protocol-based EGDT group (21.0%), 81 in the protocol-based standard-therapy group (18.2%), and 86 in the usual-care group (18.9%) (relative risk with protocol-based therapy vs. usual care, 1.04; 95% confidence interval [CI], 0.82 to 1.31; P=0.83; relative risk with protocol-based EGDT vs. protocol-based standard therapy, 1.15; 95% CI, 0.88 to 1.51; P=0.31). There were no significant differences in 90-day mortality, 1-year mortality, or the need for organ support.\nCONCLUSIONS: In a multicenter trial conducted in the tertiary care setting, protocol-based resuscitation of patients in whom septic shock was diagnosed in the emergency department did not improve outcomes. (Funded by the National Institute of General Medical Sciences; ProCESS ClinicalTrials.gov number, NCT00510835.).","DOI":"10.1056/NEJMoa1401602","ISSN":"1533-4406","note":"PMID: 24635773\nPMCID: PMC4101700","journalAbbreviation":"N. Engl. J. Med.","language":"eng","author":[{"literal":"ProCESS Investigators"},{"family":"Yealy","given":"Donald M."},{"family":"Kellum","given":"John A."},{"family":"Huang","given":"David T."},{"family":"Barnato","given":"Amber E."},{"family":"Weissfeld","given":"Lisa A."},{"family":"Pike","given":"Francis"},{"family":"Terndrup","given":"Thomas"},{"family":"Wang","given":"Henry E."},{"family":"Hou","given":"Peter C."},{"family":"LoVecchio","given":"Frank"},{"family":"Filbin","given":"Michael R."},{"family":"Shapiro","given":"Nathan I."},{"family":"Angus","given":"Derek C."}],"issued":{"date-parts":[["2014",5,1]]},"PMID":"24635773","PMCID":"PMC4101700"}},{"id":26,"uris":["http://zotero.org/users/local/ZaW79YVG/items/PRWH6T79"],"uri":["http://zotero.org/users/local/ZaW79YVG/items/PRWH6T79"],"itemData":{"id":26,"type":"article-journal","title":"Goal-directed resuscitation for patients with early septic shock","container-title":"The New England Journal of Medicine","page":"1496-1506","volume":"371","issue":"16","source":"PubMed","abstract":"BACKGROUND: Early goal-directed therapy (EGDT) has been endorsed in the guidelines of the Surviving Sepsis Campaign as a key strategy to decrease mortality among patients presenting to the emergency department with septic shock. However, its effectiveness is uncertain.\nMETHODS: In this trial conducted at 51 centers (mostly in Australia or New Zealand), we randomly assigned patients presenting to the emergency department with early septic shock to receive either EGDT or usual care. The primary outcome was all-cause mortality within 90 days after randomization.\nRESULTS: Of the 1600 enrolled patients, 796 were assigned to the EGDT group and 804 to the usual-care group. Primary outcome data were available for more than 99% of the patients. Patients in the EGDT group received a larger mean (±SD) volume of intravenous fluids in the first 6 hours after randomization than did those in the usual-care group (1964±1415 ml vs. 1713±1401 ml) and were more likely to receive vasopressor infusions (66.6% vs. 57.8%), red-cell transfusions (13.6% vs. 7.0%), and dobutamine (15.4% vs. 2.6%) (P&lt;0.001 for all comparisons). At 90 days after randomization, 147 deaths had occurred in the EGDT group and 150 had occurred in the usual-care group, for rates of death of 18.6% and 18.8%, respectively (absolute risk difference with EGDT vs. usual care, -0.3 percentage points; 95% confidence interval, -4.1 to 3.6; P=0.90). There was no significant difference in survival time, in-hospital mortality, duration of organ support, or length of hospital stay.\nCONCLUSIONS: In critically ill patients presenting to the emergency department with early septic shock, EGDT did not reduce all-cause mortality at 90 days. (Funded by the National Health and Medical Research Council of Australia and the Alfred Foundation; ARISE ClinicalTrials.gov number, NCT00975793.).","DOI":"10.1056/NEJMoa1404380","ISSN":"1533-4406","note":"PMID: 25272316","journalAbbreviation":"N. Engl. J. Med.","language":"eng","author":[{"literal":"ARISE Investigators"},{"literal":"ANZICS Clinical Trials Group"},{"family":"Peake","given":"Sandra L."},{"family":"Delaney","given":"Anthony"},{"family":"Bailey","given":"Michael"},{"family":"Bellomo","given":"Rinaldo"},{"family":"Cameron","given":"Peter A."},{"family":"Cooper","given":"D. James"},{"family":"Higgins","given":"Alisa M."},{"family":"Holdgate","given":"Anna"},{"family":"Howe","given":"Belinda D."},{"family":"Webb","given":"Steven A. R."},{"family":"Williams","given":"Patricia"}],"issued":{"date-parts":[["2014",10,16]]},"PMID":"25272316"}},{"id":28,"uris":["http://zotero.org/users/local/ZaW79YVG/items/WUWW9UZT"],"uri":["http://zotero.org/users/local/ZaW79YVG/items/WUWW9UZT"],"itemData":{"id":28,"type":"article-journal","title":"Trial of early, goal-directed resuscitation for septic shock","container-title":"The New England Journal of Medicine","page":"1301-1311","volume":"372","issue":"14","source":"PubMed","abstract":"BACKGROUND: Early, goal-directed therapy (EGDT) is recommended in international guidelines for the resuscitation of patients presenting with early septic shock. However, adoption has been limited, and uncertainty about its effectiveness remains.\nMETHODS: We conducted a pragmatic randomized trial with an integrated cost-effectiveness analysis in 56 hospitals in England. Patients were randomly assigned to receive either EGDT (a 6-hour resuscitation protocol) or usual care. The primary clinical outcome was all-cause mortality at 90 days.\nRESULTS: We enrolled 1260 patients, with 630 assigned to EGDT and 630 to usual care. By 90 days, 184 of 623 patients (29.5%) in the EGDT group and 181 of 620 patients (29.2%) in the usual-care group had died (relative risk in the EGDT group, 1.01; 95% confidence interval [CI], 0.85 to 1.20; P=0.90), for an absolute risk reduction in the EGDT group of -0.3 percentage points (95% CI, -5.4 to 4.7). Increased treatment intensity in the EGDT group was indicated by increased use of intravenous fluids, vasoactive drugs, and red-cell transfusions and reflected by significantly worse organ-failure scores, more days receiving advanced cardiovascular support, and longer stays in the intensive care unit. There were no significant differences in any other secondary outcomes, including health-related quality of life, or in rates of serious adverse events. On average, EGDT increased costs, and the probability that it was cost-effective was below 20%.\nCONCLUSIONS: In patients with septic shock who were identified early and received intravenous antibiotics and adequate fluid resuscitation, hemodynamic management according to a strict EGDT protocol did not lead to an improvement in outcome. (Funded by the United Kingdom National Institute for Health Research Health Technology Assessment Programme; ProMISe Current Controlled Trials number, ISRCTN36307479.).","DOI":"10.1056/NEJMoa1500896","ISSN":"1533-4406","note":"PMID: 25776532","journalAbbreviation":"N. Engl. J. Med.","language":"eng","author":[{"family":"Mouncey","given":"Paul R."},{"family":"Osborn","given":"Tiffany M."},{"family":"Power","given":"G. Sarah"},{"family":"Harrison","given":"David A."},{"family":"Sadique","given":"M. Zia"},{"family":"Grieve","given":"Richard D."},{"family":"Jahan","given":"Rahi"},{"family":"Harvey","given":"Sheila E."},{"family":"Bell","given":"Derek"},{"family":"Bion","given":"Julian F."},{"family":"Coats","given":"Timothy J."},{"family":"Singer","given":"Mervyn"},{"family":"Young","given":"J. Duncan"},{"family":"Rowan","given":"Kathryn M."},{"literal":"ProMISe Trial Investigators"}],"issued":{"date-parts":[["2015",4,2]]},"PMID":"25776532"}}],"schema":"https://github.com/citation-style-language/schema/raw/master/csl-citation.json"} </w:instrText>
      </w:r>
      <w:r w:rsidR="00716F98" w:rsidRPr="007141B1">
        <w:rPr>
          <w:rFonts w:asciiTheme="minorHAnsi" w:hAnsiTheme="minorHAnsi"/>
          <w:lang w:val="en-GB"/>
        </w:rPr>
        <w:fldChar w:fldCharType="separate"/>
      </w:r>
      <w:r w:rsidR="006E59A1" w:rsidRPr="009D5B86">
        <w:rPr>
          <w:rFonts w:ascii="Calibri" w:hAnsi="Calibri" w:cs="Calibri"/>
          <w:lang w:val="en-US"/>
        </w:rPr>
        <w:t>[20–22]</w:t>
      </w:r>
      <w:r w:rsidR="00716F98" w:rsidRPr="007141B1">
        <w:rPr>
          <w:rFonts w:asciiTheme="minorHAnsi" w:hAnsiTheme="minorHAnsi"/>
          <w:lang w:val="en-GB"/>
        </w:rPr>
        <w:fldChar w:fldCharType="end"/>
      </w:r>
      <w:r w:rsidR="00E30AE4" w:rsidRPr="007141B1">
        <w:rPr>
          <w:rFonts w:asciiTheme="minorHAnsi" w:hAnsiTheme="minorHAnsi"/>
          <w:lang w:val="en-GB"/>
        </w:rPr>
        <w:t>.</w:t>
      </w:r>
      <w:r w:rsidR="005812A4" w:rsidRPr="007141B1">
        <w:rPr>
          <w:rFonts w:asciiTheme="minorHAnsi" w:hAnsiTheme="minorHAnsi"/>
          <w:lang w:val="en-GB"/>
        </w:rPr>
        <w:t xml:space="preserve"> The pre-randomization resuscitation delivered to patients in these recent trials points to an evolution in usual care and suggests that clinician awareness and processes of care (i.e. prompt recognition and reaction to acute threats)</w:t>
      </w:r>
      <w:r w:rsidR="003E7C1D">
        <w:rPr>
          <w:rFonts w:asciiTheme="minorHAnsi" w:hAnsiTheme="minorHAnsi"/>
          <w:lang w:val="en-GB"/>
        </w:rPr>
        <w:t>,</w:t>
      </w:r>
      <w:r w:rsidR="005812A4" w:rsidRPr="007141B1">
        <w:rPr>
          <w:rFonts w:asciiTheme="minorHAnsi" w:hAnsiTheme="minorHAnsi"/>
          <w:lang w:val="en-GB"/>
        </w:rPr>
        <w:t xml:space="preserve"> rather than the specific aspects of resuscitation protocols</w:t>
      </w:r>
      <w:r w:rsidR="003E7C1D">
        <w:rPr>
          <w:rFonts w:asciiTheme="minorHAnsi" w:hAnsiTheme="minorHAnsi"/>
          <w:lang w:val="en-GB"/>
        </w:rPr>
        <w:t>,</w:t>
      </w:r>
      <w:r w:rsidR="005812A4" w:rsidRPr="007141B1">
        <w:rPr>
          <w:rFonts w:asciiTheme="minorHAnsi" w:hAnsiTheme="minorHAnsi"/>
          <w:lang w:val="en-GB"/>
        </w:rPr>
        <w:t xml:space="preserve"> improve outcomes. </w:t>
      </w:r>
    </w:p>
    <w:p w:rsidR="005812A4" w:rsidRPr="007141B1" w:rsidRDefault="005812A4" w:rsidP="00851E20">
      <w:pPr>
        <w:spacing w:line="360" w:lineRule="auto"/>
        <w:rPr>
          <w:rFonts w:asciiTheme="minorHAnsi" w:hAnsiTheme="minorHAnsi"/>
          <w:lang w:val="en-GB"/>
        </w:rPr>
      </w:pPr>
    </w:p>
    <w:p w:rsidR="005812A4" w:rsidRPr="007141B1" w:rsidRDefault="005812A4" w:rsidP="00851E20">
      <w:pPr>
        <w:spacing w:line="360" w:lineRule="auto"/>
        <w:rPr>
          <w:rFonts w:asciiTheme="minorHAnsi" w:hAnsiTheme="minorHAnsi"/>
          <w:b/>
          <w:lang w:val="en-GB"/>
        </w:rPr>
      </w:pPr>
      <w:r w:rsidRPr="007141B1">
        <w:rPr>
          <w:rFonts w:asciiTheme="minorHAnsi" w:hAnsiTheme="minorHAnsi"/>
          <w:b/>
          <w:lang w:val="en-GB"/>
        </w:rPr>
        <w:lastRenderedPageBreak/>
        <w:t>Large international collaborations</w:t>
      </w:r>
    </w:p>
    <w:p w:rsidR="005812A4" w:rsidRPr="007141B1" w:rsidRDefault="00A73BD7" w:rsidP="00851E20">
      <w:pPr>
        <w:spacing w:line="360" w:lineRule="auto"/>
        <w:rPr>
          <w:rFonts w:asciiTheme="minorHAnsi" w:hAnsiTheme="minorHAnsi"/>
          <w:bCs/>
          <w:iCs/>
          <w:lang w:val="en-GB"/>
        </w:rPr>
      </w:pPr>
      <w:r w:rsidRPr="007141B1">
        <w:rPr>
          <w:rFonts w:asciiTheme="minorHAnsi" w:hAnsiTheme="minorHAnsi"/>
          <w:lang w:val="en-GB"/>
        </w:rPr>
        <w:t xml:space="preserve">The need for adequate statistical power to demonstrate </w:t>
      </w:r>
      <w:r w:rsidR="00C800EE">
        <w:rPr>
          <w:rFonts w:asciiTheme="minorHAnsi" w:hAnsiTheme="minorHAnsi"/>
          <w:lang w:val="en-GB"/>
        </w:rPr>
        <w:t xml:space="preserve">clinically relevant </w:t>
      </w:r>
      <w:r w:rsidRPr="007141B1">
        <w:rPr>
          <w:rFonts w:asciiTheme="minorHAnsi" w:hAnsiTheme="minorHAnsi"/>
          <w:lang w:val="en-GB"/>
        </w:rPr>
        <w:t>reductions in effect sizes</w:t>
      </w:r>
      <w:r w:rsidR="00BF79D4">
        <w:rPr>
          <w:rFonts w:asciiTheme="minorHAnsi" w:hAnsiTheme="minorHAnsi"/>
          <w:lang w:val="en-GB"/>
        </w:rPr>
        <w:t>,</w:t>
      </w:r>
      <w:r w:rsidRPr="007141B1">
        <w:rPr>
          <w:rFonts w:asciiTheme="minorHAnsi" w:hAnsiTheme="minorHAnsi"/>
          <w:lang w:val="en-GB"/>
        </w:rPr>
        <w:t xml:space="preserve"> and the challenges imposed by heterogeneous patient populations</w:t>
      </w:r>
      <w:r w:rsidR="00BF79D4">
        <w:rPr>
          <w:rFonts w:asciiTheme="minorHAnsi" w:hAnsiTheme="minorHAnsi"/>
          <w:lang w:val="en-GB"/>
        </w:rPr>
        <w:t>,</w:t>
      </w:r>
      <w:r w:rsidRPr="007141B1">
        <w:rPr>
          <w:rFonts w:asciiTheme="minorHAnsi" w:hAnsiTheme="minorHAnsi"/>
          <w:lang w:val="en-GB"/>
        </w:rPr>
        <w:t xml:space="preserve"> increase the already substantive direct and indirect costs of research</w:t>
      </w:r>
      <w:r w:rsidR="005812A4" w:rsidRPr="007141B1">
        <w:rPr>
          <w:rFonts w:asciiTheme="minorHAnsi" w:hAnsiTheme="minorHAnsi"/>
          <w:lang w:val="en-GB"/>
        </w:rPr>
        <w:t xml:space="preserve">. </w:t>
      </w:r>
      <w:r w:rsidRPr="007141B1">
        <w:rPr>
          <w:rFonts w:asciiTheme="minorHAnsi" w:hAnsiTheme="minorHAnsi"/>
          <w:lang w:val="en-GB"/>
        </w:rPr>
        <w:t>The establishment of succ</w:t>
      </w:r>
      <w:r w:rsidR="009D7F95">
        <w:rPr>
          <w:rFonts w:asciiTheme="minorHAnsi" w:hAnsiTheme="minorHAnsi"/>
          <w:lang w:val="en-GB"/>
        </w:rPr>
        <w:t xml:space="preserve">essful research collaborations </w:t>
      </w:r>
      <w:r w:rsidRPr="007141B1">
        <w:rPr>
          <w:rFonts w:asciiTheme="minorHAnsi" w:hAnsiTheme="minorHAnsi"/>
          <w:lang w:val="en-GB"/>
        </w:rPr>
        <w:t>ha</w:t>
      </w:r>
      <w:r w:rsidR="00C800EE">
        <w:rPr>
          <w:rFonts w:asciiTheme="minorHAnsi" w:hAnsiTheme="minorHAnsi"/>
          <w:lang w:val="en-GB"/>
        </w:rPr>
        <w:t>s</w:t>
      </w:r>
      <w:r w:rsidRPr="007141B1">
        <w:rPr>
          <w:rFonts w:asciiTheme="minorHAnsi" w:hAnsiTheme="minorHAnsi"/>
          <w:lang w:val="en-GB"/>
        </w:rPr>
        <w:t xml:space="preserve"> provided exemplary high-quality trials</w:t>
      </w:r>
      <w:r w:rsidR="00387D9E">
        <w:rPr>
          <w:rFonts w:asciiTheme="minorHAnsi" w:hAnsiTheme="minorHAnsi"/>
          <w:lang w:val="en-GB"/>
        </w:rPr>
        <w:t>.</w:t>
      </w:r>
      <w:r w:rsidRPr="007141B1">
        <w:rPr>
          <w:rFonts w:asciiTheme="minorHAnsi" w:hAnsiTheme="minorHAnsi"/>
          <w:lang w:val="en-GB"/>
        </w:rPr>
        <w:t xml:space="preserve"> </w:t>
      </w:r>
      <w:r w:rsidR="00387D9E">
        <w:rPr>
          <w:rFonts w:asciiTheme="minorHAnsi" w:hAnsiTheme="minorHAnsi"/>
          <w:lang w:val="en-GB"/>
        </w:rPr>
        <w:t>T</w:t>
      </w:r>
      <w:r w:rsidRPr="007141B1">
        <w:rPr>
          <w:rFonts w:asciiTheme="minorHAnsi" w:hAnsiTheme="minorHAnsi"/>
          <w:lang w:val="en-GB"/>
        </w:rPr>
        <w:t>he emerging trend of other international research collaborations, particularly in middle-income countries, is</w:t>
      </w:r>
      <w:r w:rsidR="00387D9E">
        <w:rPr>
          <w:rFonts w:asciiTheme="minorHAnsi" w:hAnsiTheme="minorHAnsi"/>
          <w:lang w:val="en-GB"/>
        </w:rPr>
        <w:t xml:space="preserve"> also</w:t>
      </w:r>
      <w:r w:rsidRPr="007141B1">
        <w:rPr>
          <w:rFonts w:asciiTheme="minorHAnsi" w:hAnsiTheme="minorHAnsi"/>
          <w:lang w:val="en-GB"/>
        </w:rPr>
        <w:t xml:space="preserve"> encouraging</w:t>
      </w:r>
      <w:r w:rsidR="005812A4" w:rsidRPr="007141B1">
        <w:rPr>
          <w:rFonts w:asciiTheme="minorHAnsi" w:hAnsiTheme="minorHAnsi"/>
          <w:lang w:val="en-GB"/>
        </w:rPr>
        <w:t xml:space="preserve">. </w:t>
      </w:r>
      <w:r w:rsidRPr="007141B1">
        <w:rPr>
          <w:rFonts w:asciiTheme="minorHAnsi" w:hAnsiTheme="minorHAnsi"/>
          <w:lang w:val="en-GB"/>
        </w:rPr>
        <w:t>From the perspective of research</w:t>
      </w:r>
      <w:r w:rsidR="00387D9E">
        <w:rPr>
          <w:rFonts w:asciiTheme="minorHAnsi" w:hAnsiTheme="minorHAnsi"/>
          <w:lang w:val="en-GB"/>
        </w:rPr>
        <w:t>-</w:t>
      </w:r>
      <w:r w:rsidRPr="007141B1">
        <w:rPr>
          <w:rFonts w:asciiTheme="minorHAnsi" w:hAnsiTheme="minorHAnsi"/>
          <w:lang w:val="en-GB"/>
        </w:rPr>
        <w:t>funding agencies, these</w:t>
      </w:r>
      <w:r w:rsidR="005812A4" w:rsidRPr="007141B1">
        <w:rPr>
          <w:rFonts w:asciiTheme="minorHAnsi" w:hAnsiTheme="minorHAnsi"/>
          <w:lang w:val="en-GB"/>
        </w:rPr>
        <w:t xml:space="preserve"> collaborations provide</w:t>
      </w:r>
      <w:r w:rsidR="00387D9E">
        <w:rPr>
          <w:rFonts w:asciiTheme="minorHAnsi" w:hAnsiTheme="minorHAnsi"/>
          <w:lang w:val="en-GB"/>
        </w:rPr>
        <w:t xml:space="preserve"> an</w:t>
      </w:r>
      <w:r w:rsidR="005812A4" w:rsidRPr="007141B1">
        <w:rPr>
          <w:rFonts w:asciiTheme="minorHAnsi" w:hAnsiTheme="minorHAnsi"/>
          <w:lang w:val="en-GB"/>
        </w:rPr>
        <w:t xml:space="preserve"> efficient </w:t>
      </w:r>
      <w:r w:rsidR="005812A4" w:rsidRPr="007141B1">
        <w:rPr>
          <w:rFonts w:asciiTheme="minorHAnsi" w:hAnsiTheme="minorHAnsi"/>
          <w:bCs/>
          <w:iCs/>
          <w:lang w:val="en-GB"/>
        </w:rPr>
        <w:t xml:space="preserve">means of answering important clinical questions at a fraction of the usual cost. Trials of </w:t>
      </w:r>
      <w:r w:rsidR="00FE0188">
        <w:rPr>
          <w:rFonts w:asciiTheme="minorHAnsi" w:hAnsiTheme="minorHAnsi"/>
          <w:bCs/>
          <w:iCs/>
          <w:lang w:val="en-GB"/>
        </w:rPr>
        <w:t>EGDT-</w:t>
      </w:r>
      <w:r w:rsidR="005812A4" w:rsidRPr="007141B1">
        <w:rPr>
          <w:rFonts w:asciiTheme="minorHAnsi" w:hAnsiTheme="minorHAnsi"/>
          <w:bCs/>
          <w:iCs/>
          <w:lang w:val="en-GB"/>
        </w:rPr>
        <w:t>directed resuscitation were designed to facilitate their harmonization in an individual patient data meta-analysis</w:t>
      </w:r>
      <w:r w:rsidR="00273152" w:rsidRPr="007141B1">
        <w:rPr>
          <w:rFonts w:asciiTheme="minorHAnsi" w:hAnsiTheme="minorHAnsi"/>
          <w:bCs/>
          <w:iCs/>
          <w:lang w:val="en-GB"/>
        </w:rPr>
        <w:t xml:space="preserve"> </w:t>
      </w:r>
      <w:r w:rsidR="00273152" w:rsidRPr="007141B1">
        <w:rPr>
          <w:rFonts w:asciiTheme="minorHAnsi" w:hAnsiTheme="minorHAnsi"/>
          <w:bCs/>
          <w:iCs/>
          <w:lang w:val="en-GB"/>
        </w:rPr>
        <w:fldChar w:fldCharType="begin"/>
      </w:r>
      <w:r w:rsidR="006E59A1">
        <w:rPr>
          <w:rFonts w:asciiTheme="minorHAnsi" w:hAnsiTheme="minorHAnsi"/>
          <w:bCs/>
          <w:iCs/>
          <w:lang w:val="en-GB"/>
        </w:rPr>
        <w:instrText xml:space="preserve"> ADDIN ZOTERO_ITEM CSL_CITATION {"citationID":"OBFiR8VS","properties":{"formattedCitation":"[23, 24]","plainCitation":"[23, 24]"},"citationItems":[{"id":30,"uris":["http://zotero.org/users/local/ZaW79YVG/items/GM95FA66"],"uri":["http://zotero.org/users/local/ZaW79YVG/items/GM95FA66"],"itemData":{"id":30,"type":"article-journal","title":"Harmonizing international trials of early goal-directed resuscitation for severe sepsis and septic shock: methodology of ProCESS, ARISE, and ProMISe","container-title":"Intensive Care Medicine","page":"1760-1775","volume":"39","issue":"10","source":"PubMed","abstract":"PURPOSE: To describe and compare the design of three independent but collaborating multicenter trials of early goal-directed resuscitation for severe sepsis and septic shock.\nMETHODS: We reviewed the three current trials, one each in the USA (ProCESS: protocolized care for early septic shock), Australasia (ARISE: Australasian resuscitation in sepsis evaluation), and the UK (ProMISe: protocolised management in sepsis). We used the 2010 CONSORT (consolidated standards of reporting trials) statement and the 2008 CONSORT extension for trials assessing non-pharmacologic treatments to describe and compare the underlying rationale, commonalities, and differences.\nRESULTS: All three trials conform to CONSORT guidelines, address the same fundamental questions, and share key design elements. Each trial is a patient-level, equal-randomized, parallel-group superiority trial that seeks to enroll emergency department patients with inclusion criteria that are consistent with the original early goal-directed therapy (EGDT) trial (suspected or confirmed infection, two or more systemic inflammatory response syndrome criteria, and refractory hypotension or elevated lactate), is powered to detect a 6–8 % absolute mortality reduction (hospital or 90-day), and uses trained teams to deliver EGDT. Design differences appear to primarily be driven by between-country variation in health care context. The main difference between the trials is the inclusion of a third, alternative resuscitation strategy arm in ProCESS.\nCONCLUSIONS: Harmonization of study design and methods between severe sepsis trials is feasible and may facilitate pooling of data on completion of the trials.","DOI":"10.1007/s00134-013-3024-7","ISSN":"1432-1238","note":"PMID: 23958738\nPMCID: PMC3864363","shortTitle":"Harmonizing international trials of early goal-directed resuscitation for severe sepsis and septic shock","journalAbbreviation":"Intensive Care Med","language":"eng","author":[{"literal":"ProCESS/ARISE/ProMISe Methodology Writing Committee"},{"family":"Huang","given":"David T."},{"family":"Angus","given":"Derek C."},{"family":"Barnato","given":"Amber"},{"family":"Gunn","given":"Scott R."},{"family":"Kellum","given":"John A."},{"family":"Stapleton","given":"Diana K."},{"family":"Weissfeld","given":"Lisa A."},{"family":"Yealy","given":"Donald M."},{"family":"Peake","given":"Sandra L."},{"family":"Delaney","given":"Anthony"},{"family":"Bellomo","given":"Rinaldo"},{"family":"Cameron","given":"Peter"},{"family":"Higgins","given":"Alisa"},{"family":"Holdgate","given":"Anna"},{"family":"Howe","given":"Belinda"},{"family":"Webb","given":"Steven A."},{"family":"Williams","given":"Patricia"},{"family":"Osborn","given":"Tiffany M."},{"family":"Mouncey","given":"Paul R."},{"family":"Harrison","given":"David A."},{"family":"Harvey","given":"Sheila E."},{"family":"Rowan","given":"Kathryn M."}],"issued":{"date-parts":[["2013",10]]},"PMID":"23958738","PMCID":"PMC3864363"}},{"id":177,"uris":["http://zotero.org/users/local/ZaW79YVG/items/M6FP2D2G"],"uri":["http://zotero.org/users/local/ZaW79YVG/items/M6FP2D2G"],"itemData":{"id":177,"type":"article-journal","title":"Early, Goal-Directed Therapy for Septic Shock - A Patient-Level Meta-Analysis","container-title":"The New England Journal of Medicine","source":"PubMed","abstract":"Background After a single-center trial and observational studies suggesting that early, goal-directed therapy (EGDT) reduced mortality from septic shock, three multicenter trials (ProCESS, ARISE, and ProMISe) showed no benefit. This meta-analysis of individual patient data from the three recent trials was designed prospectively to improve statistical power and explore heterogeneity of treatment effect of EGDT. Methods We harmonized entry criteria, intervention protocols, outcomes, resource-use measures, and data collection across the trials and specified all analyses before unblinding. After completion of the trials, we pooled data, excluding the protocol-based standard-therapy group from the ProCESS trial, and resolved residual differences. The primary outcome was 90-day mortality. Secondary outcomes included 1-year survival, organ support, and hospitalization costs. We tested for treatment-by-subgroup interactions for 16 patient characteristics and 6 care-delivery characteristics. Results We studied 3723 patients at 138 hospitals in seven countries. Mortality at 90 days was similar for EGDT (462 of 1852 patients [24.9%]) and usual care (475 of 1871 patients [25.4%]); the adjusted odds ratio was 0.97 (95% confidence interval, 0.82 to 1.14; P=0.68). EGDT was associated with greater mean (±SD) use of intensive care (5.3±7.1 vs. 4.9±7.0 days, P=0.04) and cardiovascular support (1.9±3.7 vs. 1.6±2.9 days, P=0.01) than was usual care; other outcomes did not differ significantly, although average costs were higher with EGDT. Subgroup analyses showed no benefit from EGDT for patients with worse shock (higher serum lactate level, combined hypotension and hyperlactatemia, or higher predicted risk of death) or for hospitals with a lower propensity to use vasopressors or fluids during usual resuscitation. Conclusions In this meta-analysis of individual patient data, EGDT did not result in better outcomes than usual care and was associated with higher hospitalization costs across a broad range of patient and hospital characteristics. (Funded by the National Institute of General Medical Sciences and others; PRISM ClinicalTrials.gov number, NCT02030158 .).","DOI":"10.1056/NEJMoa1701380","ISSN":"1533-4406","note":"PMID: 28320242","journalAbbreviation":"N. Engl. J. Med.","language":"eng","author":[{"literal":"PRISM Investigators"}],"issued":{"date-parts":[["2017",3,21]]},"PMID":"28320242"}}],"schema":"https://github.com/citation-style-language/schema/raw/master/csl-citation.json"} </w:instrText>
      </w:r>
      <w:r w:rsidR="00273152" w:rsidRPr="007141B1">
        <w:rPr>
          <w:rFonts w:asciiTheme="minorHAnsi" w:hAnsiTheme="minorHAnsi"/>
          <w:bCs/>
          <w:iCs/>
          <w:lang w:val="en-GB"/>
        </w:rPr>
        <w:fldChar w:fldCharType="separate"/>
      </w:r>
      <w:r w:rsidR="006E59A1" w:rsidRPr="009D5B86">
        <w:rPr>
          <w:rFonts w:ascii="Calibri" w:hAnsi="Calibri" w:cs="Calibri"/>
          <w:lang w:val="en-US"/>
        </w:rPr>
        <w:t>[23, 24]</w:t>
      </w:r>
      <w:r w:rsidR="00273152" w:rsidRPr="007141B1">
        <w:rPr>
          <w:rFonts w:asciiTheme="minorHAnsi" w:hAnsiTheme="minorHAnsi"/>
          <w:bCs/>
          <w:iCs/>
          <w:lang w:val="en-GB"/>
        </w:rPr>
        <w:fldChar w:fldCharType="end"/>
      </w:r>
      <w:r w:rsidR="00485CE7">
        <w:rPr>
          <w:rFonts w:asciiTheme="minorHAnsi" w:hAnsiTheme="minorHAnsi"/>
          <w:bCs/>
          <w:iCs/>
          <w:lang w:val="en-GB"/>
        </w:rPr>
        <w:t xml:space="preserve">. </w:t>
      </w:r>
      <w:r w:rsidR="00387D9E">
        <w:rPr>
          <w:rFonts w:asciiTheme="minorHAnsi" w:hAnsiTheme="minorHAnsi"/>
          <w:bCs/>
          <w:iCs/>
          <w:lang w:val="en-GB"/>
        </w:rPr>
        <w:t xml:space="preserve">This has </w:t>
      </w:r>
      <w:r w:rsidR="00F36D75">
        <w:rPr>
          <w:rFonts w:asciiTheme="minorHAnsi" w:hAnsiTheme="minorHAnsi"/>
          <w:bCs/>
          <w:iCs/>
          <w:lang w:val="en-GB"/>
        </w:rPr>
        <w:t>further inform</w:t>
      </w:r>
      <w:r w:rsidR="00315894">
        <w:rPr>
          <w:rFonts w:asciiTheme="minorHAnsi" w:hAnsiTheme="minorHAnsi"/>
          <w:bCs/>
          <w:iCs/>
          <w:lang w:val="en-GB"/>
        </w:rPr>
        <w:t>ed</w:t>
      </w:r>
      <w:r w:rsidR="00F36D75">
        <w:rPr>
          <w:rFonts w:asciiTheme="minorHAnsi" w:hAnsiTheme="minorHAnsi"/>
          <w:bCs/>
          <w:iCs/>
          <w:lang w:val="en-GB"/>
        </w:rPr>
        <w:t xml:space="preserve"> best practice</w:t>
      </w:r>
      <w:r w:rsidR="00336DB6">
        <w:rPr>
          <w:rFonts w:asciiTheme="minorHAnsi" w:hAnsiTheme="minorHAnsi"/>
          <w:bCs/>
          <w:iCs/>
          <w:lang w:val="en-GB"/>
        </w:rPr>
        <w:t>s</w:t>
      </w:r>
      <w:r w:rsidR="00F36D75">
        <w:rPr>
          <w:rFonts w:asciiTheme="minorHAnsi" w:hAnsiTheme="minorHAnsi"/>
          <w:bCs/>
          <w:iCs/>
          <w:lang w:val="en-GB"/>
        </w:rPr>
        <w:t xml:space="preserve"> and provide</w:t>
      </w:r>
      <w:r w:rsidR="00315894">
        <w:rPr>
          <w:rFonts w:asciiTheme="minorHAnsi" w:hAnsiTheme="minorHAnsi"/>
          <w:bCs/>
          <w:iCs/>
          <w:lang w:val="en-GB"/>
        </w:rPr>
        <w:t>d</w:t>
      </w:r>
      <w:r w:rsidR="00F36D75">
        <w:rPr>
          <w:rFonts w:asciiTheme="minorHAnsi" w:hAnsiTheme="minorHAnsi"/>
          <w:bCs/>
          <w:iCs/>
          <w:lang w:val="en-GB"/>
        </w:rPr>
        <w:t xml:space="preserve"> the power to explore important subgroup analyses</w:t>
      </w:r>
      <w:r w:rsidR="00AB7C6A">
        <w:rPr>
          <w:rFonts w:asciiTheme="minorHAnsi" w:hAnsiTheme="minorHAnsi"/>
          <w:bCs/>
          <w:iCs/>
          <w:lang w:val="en-GB"/>
        </w:rPr>
        <w:t>.</w:t>
      </w:r>
      <w:r w:rsidR="005812A4" w:rsidRPr="007141B1">
        <w:rPr>
          <w:rFonts w:asciiTheme="minorHAnsi" w:hAnsiTheme="minorHAnsi"/>
          <w:bCs/>
          <w:iCs/>
          <w:lang w:val="en-GB"/>
        </w:rPr>
        <w:t xml:space="preserve"> </w:t>
      </w:r>
      <w:r w:rsidR="00E32EE0">
        <w:rPr>
          <w:rFonts w:asciiTheme="minorHAnsi" w:hAnsiTheme="minorHAnsi"/>
          <w:bCs/>
          <w:iCs/>
          <w:lang w:val="en-GB"/>
        </w:rPr>
        <w:t>A</w:t>
      </w:r>
      <w:r w:rsidR="005812A4" w:rsidRPr="007141B1">
        <w:rPr>
          <w:rFonts w:asciiTheme="minorHAnsi" w:hAnsiTheme="minorHAnsi"/>
          <w:bCs/>
          <w:iCs/>
          <w:lang w:val="en-GB"/>
        </w:rPr>
        <w:t>nswering the important questions in critical care research will hinge on such joint international efforts.</w:t>
      </w:r>
    </w:p>
    <w:p w:rsidR="005812A4" w:rsidRPr="007141B1" w:rsidRDefault="005812A4" w:rsidP="00851E20">
      <w:pPr>
        <w:spacing w:line="360" w:lineRule="auto"/>
        <w:rPr>
          <w:rFonts w:asciiTheme="minorHAnsi" w:hAnsiTheme="minorHAnsi"/>
          <w:bCs/>
          <w:iCs/>
          <w:lang w:val="en-GB"/>
        </w:rPr>
      </w:pPr>
    </w:p>
    <w:p w:rsidR="005812A4" w:rsidRPr="007141B1" w:rsidRDefault="005812A4" w:rsidP="00851E20">
      <w:pPr>
        <w:spacing w:line="360" w:lineRule="auto"/>
        <w:rPr>
          <w:rFonts w:asciiTheme="minorHAnsi" w:hAnsiTheme="minorHAnsi"/>
          <w:b/>
          <w:bCs/>
          <w:iCs/>
          <w:lang w:val="en-GB"/>
        </w:rPr>
      </w:pPr>
      <w:r w:rsidRPr="007141B1">
        <w:rPr>
          <w:rFonts w:asciiTheme="minorHAnsi" w:hAnsiTheme="minorHAnsi"/>
          <w:b/>
          <w:bCs/>
          <w:iCs/>
          <w:lang w:val="en-GB"/>
        </w:rPr>
        <w:t>Less is more</w:t>
      </w:r>
    </w:p>
    <w:p w:rsidR="005812A4" w:rsidRPr="007141B1" w:rsidRDefault="005812A4" w:rsidP="00851E20">
      <w:pPr>
        <w:spacing w:line="360" w:lineRule="auto"/>
        <w:rPr>
          <w:rFonts w:asciiTheme="minorHAnsi" w:hAnsiTheme="minorHAnsi"/>
          <w:lang w:val="en-GB"/>
        </w:rPr>
      </w:pPr>
      <w:r w:rsidRPr="007141B1">
        <w:rPr>
          <w:rFonts w:asciiTheme="minorHAnsi" w:hAnsiTheme="minorHAnsi"/>
          <w:lang w:val="en-GB"/>
        </w:rPr>
        <w:t xml:space="preserve">A constant theme from </w:t>
      </w:r>
      <w:r w:rsidR="00165E6D">
        <w:rPr>
          <w:rFonts w:asciiTheme="minorHAnsi" w:hAnsiTheme="minorHAnsi"/>
          <w:lang w:val="en-GB"/>
        </w:rPr>
        <w:t xml:space="preserve">research reported in recent </w:t>
      </w:r>
      <w:r w:rsidRPr="007141B1">
        <w:rPr>
          <w:rFonts w:asciiTheme="minorHAnsi" w:hAnsiTheme="minorHAnsi"/>
          <w:lang w:val="en-GB"/>
        </w:rPr>
        <w:t xml:space="preserve">years has been that less is </w:t>
      </w:r>
      <w:r w:rsidR="00387D9E" w:rsidRPr="007141B1">
        <w:rPr>
          <w:rFonts w:asciiTheme="minorHAnsi" w:hAnsiTheme="minorHAnsi"/>
          <w:lang w:val="en-GB"/>
        </w:rPr>
        <w:t xml:space="preserve">often </w:t>
      </w:r>
      <w:r w:rsidRPr="007141B1">
        <w:rPr>
          <w:rFonts w:asciiTheme="minorHAnsi" w:hAnsiTheme="minorHAnsi"/>
          <w:lang w:val="en-GB"/>
        </w:rPr>
        <w:t>more</w:t>
      </w:r>
      <w:r w:rsidR="00387D9E">
        <w:rPr>
          <w:rFonts w:asciiTheme="minorHAnsi" w:hAnsiTheme="minorHAnsi"/>
          <w:lang w:val="en-GB"/>
        </w:rPr>
        <w:t>. It</w:t>
      </w:r>
      <w:r w:rsidR="00387D9E" w:rsidRPr="007141B1">
        <w:rPr>
          <w:rFonts w:asciiTheme="minorHAnsi" w:hAnsiTheme="minorHAnsi"/>
          <w:lang w:val="en-GB"/>
        </w:rPr>
        <w:t xml:space="preserve"> </w:t>
      </w:r>
      <w:r w:rsidRPr="007141B1">
        <w:rPr>
          <w:rFonts w:asciiTheme="minorHAnsi" w:hAnsiTheme="minorHAnsi"/>
          <w:lang w:val="en-GB"/>
        </w:rPr>
        <w:t xml:space="preserve">is justified to challenge our prior beliefs about the risk-benefit </w:t>
      </w:r>
      <w:r w:rsidR="00387D9E">
        <w:rPr>
          <w:rFonts w:asciiTheme="minorHAnsi" w:hAnsiTheme="minorHAnsi"/>
          <w:lang w:val="en-GB"/>
        </w:rPr>
        <w:t>balance</w:t>
      </w:r>
      <w:r w:rsidR="00387D9E" w:rsidRPr="007141B1">
        <w:rPr>
          <w:rFonts w:asciiTheme="minorHAnsi" w:hAnsiTheme="minorHAnsi"/>
          <w:lang w:val="en-GB"/>
        </w:rPr>
        <w:t xml:space="preserve"> </w:t>
      </w:r>
      <w:r w:rsidRPr="007141B1">
        <w:rPr>
          <w:rFonts w:asciiTheme="minorHAnsi" w:hAnsiTheme="minorHAnsi"/>
          <w:lang w:val="en-GB"/>
        </w:rPr>
        <w:t xml:space="preserve">of even the most standard critical care interventions. While potentially not applicable to septic shock in resource-rich environments, the </w:t>
      </w:r>
      <w:r w:rsidR="00E30AE4" w:rsidRPr="007141B1">
        <w:rPr>
          <w:rFonts w:asciiTheme="minorHAnsi" w:hAnsiTheme="minorHAnsi"/>
          <w:lang w:val="en-GB"/>
        </w:rPr>
        <w:t>increased mortality observed with fluid boluses in</w:t>
      </w:r>
      <w:r w:rsidRPr="007141B1">
        <w:rPr>
          <w:rFonts w:asciiTheme="minorHAnsi" w:hAnsiTheme="minorHAnsi"/>
          <w:lang w:val="en-GB"/>
        </w:rPr>
        <w:t xml:space="preserve"> </w:t>
      </w:r>
      <w:r w:rsidR="00E30AE4" w:rsidRPr="007141B1">
        <w:rPr>
          <w:rFonts w:asciiTheme="minorHAnsi" w:hAnsiTheme="minorHAnsi"/>
          <w:lang w:val="en-GB"/>
        </w:rPr>
        <w:t>Afric</w:t>
      </w:r>
      <w:r w:rsidR="00273152" w:rsidRPr="007141B1">
        <w:rPr>
          <w:rFonts w:asciiTheme="minorHAnsi" w:hAnsiTheme="minorHAnsi"/>
          <w:lang w:val="en-GB"/>
        </w:rPr>
        <w:t xml:space="preserve">an children with </w:t>
      </w:r>
      <w:r w:rsidR="00387D9E">
        <w:rPr>
          <w:rFonts w:asciiTheme="minorHAnsi" w:hAnsiTheme="minorHAnsi"/>
          <w:lang w:val="en-GB"/>
        </w:rPr>
        <w:t>severe febrile illnesses</w:t>
      </w:r>
      <w:r w:rsidR="00387D9E" w:rsidRPr="007141B1">
        <w:rPr>
          <w:rFonts w:asciiTheme="minorHAnsi" w:hAnsiTheme="minorHAnsi"/>
          <w:lang w:val="en-GB"/>
        </w:rPr>
        <w:t xml:space="preserve"> </w:t>
      </w:r>
      <w:r w:rsidR="00273152" w:rsidRPr="007141B1">
        <w:rPr>
          <w:rFonts w:asciiTheme="minorHAnsi" w:hAnsiTheme="minorHAnsi"/>
          <w:lang w:val="en-GB"/>
        </w:rPr>
        <w:fldChar w:fldCharType="begin"/>
      </w:r>
      <w:r w:rsidR="006E59A1">
        <w:rPr>
          <w:rFonts w:asciiTheme="minorHAnsi" w:hAnsiTheme="minorHAnsi"/>
          <w:lang w:val="en-GB"/>
        </w:rPr>
        <w:instrText xml:space="preserve"> ADDIN ZOTERO_ITEM CSL_CITATION {"citationID":"27rb0gu85d","properties":{"formattedCitation":"[25]","plainCitation":"[25]"},"citationItems":[{"id":32,"uris":["http://zotero.org/users/local/ZaW79YVG/items/HZJD7356"],"uri":["http://zotero.org/users/local/ZaW79YVG/items/HZJD7356"],"itemData":{"id":32,"type":"article-journal","title":"Mortality after fluid bolus in African children with severe infection","container-title":"The New England Journal of Medicine","page":"2483-2495","volume":"364","issue":"26","source":"PubMed","abstract":"BACKGROUND: The role of fluid resuscitation in the treatment of children with shock and life-threatening infections who live in resource-limited settings is not established.\nMETHODS: We randomly assigned children with severe febrile illness and impaired perfusion to receive boluses of 20 to 40 ml of 5% albumin solution (albumin-bolus group) or 0.9% saline solution (saline-bolus group) per kilogram of body weight or no bolus (control group) at the time of admission to a hospital in Uganda, Kenya, or Tanzania (stratum A); children with severe hypotension were randomly assigned to one of the bolus groups only (stratum B). All children received appropriate antimicrobial treatment, intravenous maintenance fluids, and supportive care, according to guidelines. Children with malnutrition or gastroenteritis were excluded. The primary end point was 48-hour mortality; secondary end points included pulmonary edema, increased intracranial pressure, and mortality or neurologic sequelae at 4 weeks.\nRESULTS: The data and safety monitoring committee recommended halting recruitment after 3141 of the projected 3600 children in stratum A were enrolled. Malaria status (57% overall) and clinical severity were similar across groups. The 48-hour mortality was 10.6% (111 of 1050 children), 10.5% (110 of 1047 children), and 7.3% (76 of 1044 children) in the albumin-bolus, saline-bolus, and control groups, respectively (relative risk for saline bolus vs. control, 1.44; 95% confidence interval [CI], 1.09 to 1.90; P=0.01; relative risk for albumin bolus vs. saline bolus, 1.01; 95% CI, 0.78 to 1.29; P=0.96; and relative risk for any bolus vs. control, 1.45; 95% CI, 1.13 to 1.86; P=0.003). The 4-week mortality was 12.2%, 12.0%, and 8.7% in the three groups, respectively (P=0.004 for the comparison of bolus with control). Neurologic sequelae occurred in 2.2%, 1.9%, and 2.0% of the children in the respective groups (P=0.92), and pulmonary edema or increased intracranial pressure occurred in 2.6%, 2.2%, and 1.7% (P=0.17), respectively. In stratum B, 69% of the children (9 of 13) in the albumin-bolus group and 56% (9 of 16) in the saline-bolus group died (P=0.45). The results were consistent across centers and across subgroups according to the severity of shock and status with respect to malaria, coma, sepsis, acidosis, and severe anemia.\nCONCLUSIONS: Fluid boluses significantly increased 48-hour mortality in critically ill children with impaired perfusion in these resource-limited settings in Africa. (Funded by the Medical Research Council, United Kingdom; FEAST Current Controlled Trials number, ISRCTN69856593.).","DOI":"10.1056/NEJMoa1101549","ISSN":"1533-4406","note":"PMID: 21615299","journalAbbreviation":"N. Engl. J. Med.","language":"eng","author":[{"family":"Maitland","given":"Kathryn"},{"family":"Kiguli","given":"Sarah"},{"family":"Opoka","given":"Robert O."},{"family":"Engoru","given":"Charles"},{"family":"Olupot-Olupot","given":"Peter"},{"family":"Akech","given":"Samuel O."},{"family":"Nyeko","given":"Richard"},{"family":"Mtove","given":"George"},{"family":"Reyburn","given":"Hugh"},{"family":"Lang","given":"Trudie"},{"family":"Brent","given":"Bernadette"},{"family":"Evans","given":"Jennifer A."},{"family":"Tibenderana","given":"James K."},{"family":"Crawley","given":"Jane"},{"family":"Russell","given":"Elizabeth C."},{"family":"Levin","given":"Michael"},{"family":"Babiker","given":"Abdel G."},{"family":"Gibb","given":"Diana M."},{"literal":"FEAST Trial Group"}],"issued":{"date-parts":[["2011",6,30]]},"PMID":"21615299"}}],"schema":"https://github.com/citation-style-language/schema/raw/master/csl-citation.json"} </w:instrText>
      </w:r>
      <w:r w:rsidR="00273152" w:rsidRPr="007141B1">
        <w:rPr>
          <w:rFonts w:asciiTheme="minorHAnsi" w:hAnsiTheme="minorHAnsi"/>
          <w:lang w:val="en-GB"/>
        </w:rPr>
        <w:fldChar w:fldCharType="separate"/>
      </w:r>
      <w:r w:rsidR="006E59A1" w:rsidRPr="009D5B86">
        <w:rPr>
          <w:rFonts w:ascii="Calibri" w:hAnsi="Calibri" w:cs="Calibri"/>
          <w:lang w:val="en-US"/>
        </w:rPr>
        <w:t>[25]</w:t>
      </w:r>
      <w:r w:rsidR="00273152" w:rsidRPr="007141B1">
        <w:rPr>
          <w:rFonts w:asciiTheme="minorHAnsi" w:hAnsiTheme="minorHAnsi"/>
          <w:lang w:val="en-GB"/>
        </w:rPr>
        <w:fldChar w:fldCharType="end"/>
      </w:r>
      <w:r w:rsidR="00280C01" w:rsidRPr="007141B1">
        <w:rPr>
          <w:rFonts w:asciiTheme="minorHAnsi" w:hAnsiTheme="minorHAnsi"/>
          <w:lang w:val="en-GB"/>
        </w:rPr>
        <w:t xml:space="preserve"> i</w:t>
      </w:r>
      <w:r w:rsidRPr="007141B1">
        <w:rPr>
          <w:rFonts w:asciiTheme="minorHAnsi" w:hAnsiTheme="minorHAnsi"/>
          <w:lang w:val="en-GB"/>
        </w:rPr>
        <w:t xml:space="preserve">s </w:t>
      </w:r>
      <w:r w:rsidR="00AB7C6A">
        <w:rPr>
          <w:rFonts w:asciiTheme="minorHAnsi" w:hAnsiTheme="minorHAnsi"/>
          <w:lang w:val="en-GB"/>
        </w:rPr>
        <w:t xml:space="preserve">triggering a </w:t>
      </w:r>
      <w:r w:rsidR="00AB7C6A" w:rsidRPr="007141B1">
        <w:rPr>
          <w:rFonts w:asciiTheme="minorHAnsi" w:hAnsiTheme="minorHAnsi"/>
          <w:lang w:val="en-GB"/>
        </w:rPr>
        <w:t>reassess</w:t>
      </w:r>
      <w:r w:rsidR="00AB7C6A">
        <w:rPr>
          <w:rFonts w:asciiTheme="minorHAnsi" w:hAnsiTheme="minorHAnsi"/>
          <w:lang w:val="en-GB"/>
        </w:rPr>
        <w:t>ment of</w:t>
      </w:r>
      <w:r w:rsidR="00AB7C6A" w:rsidRPr="007141B1">
        <w:rPr>
          <w:rFonts w:asciiTheme="minorHAnsi" w:hAnsiTheme="minorHAnsi"/>
          <w:lang w:val="en-GB"/>
        </w:rPr>
        <w:t xml:space="preserve"> </w:t>
      </w:r>
      <w:r w:rsidRPr="007141B1">
        <w:rPr>
          <w:rFonts w:asciiTheme="minorHAnsi" w:hAnsiTheme="minorHAnsi"/>
          <w:lang w:val="en-GB"/>
        </w:rPr>
        <w:t>the safety and overall effectiveness of aggressive fluid resuscitation</w:t>
      </w:r>
      <w:r w:rsidR="00387D9E">
        <w:rPr>
          <w:rFonts w:asciiTheme="minorHAnsi" w:hAnsiTheme="minorHAnsi"/>
          <w:lang w:val="en-GB"/>
        </w:rPr>
        <w:t xml:space="preserve"> </w:t>
      </w:r>
      <w:r w:rsidRPr="007141B1">
        <w:rPr>
          <w:rFonts w:asciiTheme="minorHAnsi" w:hAnsiTheme="minorHAnsi"/>
          <w:lang w:val="en-GB"/>
        </w:rPr>
        <w:t xml:space="preserve">beyond surrogate outcomes </w:t>
      </w:r>
      <w:r w:rsidR="00387D9E">
        <w:rPr>
          <w:rFonts w:asciiTheme="minorHAnsi" w:hAnsiTheme="minorHAnsi"/>
          <w:lang w:val="en-GB"/>
        </w:rPr>
        <w:t>such as</w:t>
      </w:r>
      <w:r w:rsidR="00387D9E" w:rsidRPr="007141B1">
        <w:rPr>
          <w:rFonts w:asciiTheme="minorHAnsi" w:hAnsiTheme="minorHAnsi"/>
          <w:lang w:val="en-GB"/>
        </w:rPr>
        <w:t xml:space="preserve"> </w:t>
      </w:r>
      <w:r w:rsidRPr="007141B1">
        <w:rPr>
          <w:rFonts w:asciiTheme="minorHAnsi" w:hAnsiTheme="minorHAnsi"/>
          <w:lang w:val="en-GB"/>
        </w:rPr>
        <w:t>urine output and blood pressure</w:t>
      </w:r>
      <w:r w:rsidR="00387D9E">
        <w:rPr>
          <w:rFonts w:asciiTheme="minorHAnsi" w:hAnsiTheme="minorHAnsi"/>
          <w:lang w:val="en-GB"/>
        </w:rPr>
        <w:t>.</w:t>
      </w:r>
      <w:r w:rsidR="00E30963">
        <w:rPr>
          <w:rFonts w:asciiTheme="minorHAnsi" w:hAnsiTheme="minorHAnsi"/>
          <w:lang w:val="en-GB"/>
        </w:rPr>
        <w:t xml:space="preserve"> </w:t>
      </w:r>
      <w:r w:rsidR="00387D9E">
        <w:rPr>
          <w:rFonts w:asciiTheme="minorHAnsi" w:hAnsiTheme="minorHAnsi"/>
          <w:lang w:val="en-GB"/>
        </w:rPr>
        <w:t>N</w:t>
      </w:r>
      <w:r w:rsidR="005B156D" w:rsidRPr="007141B1">
        <w:rPr>
          <w:rFonts w:asciiTheme="minorHAnsi" w:hAnsiTheme="minorHAnsi"/>
          <w:lang w:val="en-GB"/>
        </w:rPr>
        <w:t xml:space="preserve">ew </w:t>
      </w:r>
      <w:r w:rsidR="00387D9E">
        <w:rPr>
          <w:rFonts w:asciiTheme="minorHAnsi" w:hAnsiTheme="minorHAnsi"/>
          <w:lang w:val="en-GB"/>
        </w:rPr>
        <w:t xml:space="preserve">data from </w:t>
      </w:r>
      <w:r w:rsidR="005B156D" w:rsidRPr="007141B1">
        <w:rPr>
          <w:rFonts w:asciiTheme="minorHAnsi" w:hAnsiTheme="minorHAnsi"/>
          <w:lang w:val="en-GB"/>
        </w:rPr>
        <w:t>Scandinavia in adults with septic shock support these observations</w:t>
      </w:r>
      <w:r w:rsidR="007D7541" w:rsidRPr="007141B1">
        <w:rPr>
          <w:rFonts w:asciiTheme="minorHAnsi" w:hAnsiTheme="minorHAnsi"/>
          <w:lang w:val="en-GB"/>
        </w:rPr>
        <w:t xml:space="preserve"> </w:t>
      </w:r>
      <w:r w:rsidR="007D7541" w:rsidRPr="007141B1">
        <w:rPr>
          <w:rFonts w:asciiTheme="minorHAnsi" w:hAnsiTheme="minorHAnsi"/>
          <w:lang w:val="en-GB"/>
        </w:rPr>
        <w:fldChar w:fldCharType="begin"/>
      </w:r>
      <w:r w:rsidR="006E59A1">
        <w:rPr>
          <w:rFonts w:asciiTheme="minorHAnsi" w:hAnsiTheme="minorHAnsi"/>
          <w:lang w:val="en-GB"/>
        </w:rPr>
        <w:instrText xml:space="preserve"> ADDIN ZOTERO_ITEM CSL_CITATION {"citationID":"1did42m1uc","properties":{"formattedCitation":"[26]","plainCitation":"[26]"},"citationItems":[{"id":112,"uris":["http://zotero.org/users/local/ZaW79YVG/items/5AIXPPE3"],"uri":["http://zotero.org/users/local/ZaW79YVG/items/5AIXPPE3"],"itemData":{"id":112,"type":"article-journal","title":"Restricting volumes of resuscitation fluid in adults with septic shock after initial management: the CLASSIC randomised, parallel-group, multicentre feasibility trial","container-title":"Intensive Care Medicine","page":"1695-1705","volume":"42","issue":"11","source":"PubMed","abstract":"PURPOSE: We assessed the effects of a protocol restricting resuscitation fluid vs. a standard care protocol after initial resuscitation in intensive care unit (ICU) patients with septic shock.\nMETHODS: We randomised 151 adult patients with septic shock who had received initial fluid resuscitation in nine Scandinavian ICUs. In the fluid restriction group fluid boluses were permitted only if signs of severe hypoperfusion occurred, while in the standard care group fluid boluses were permitted as long as circulation continued to improve.\nRESULTS: The co-primary outcome measures, resuscitation fluid volumes at day 5 and during ICU stay, were lower in the fluid restriction group than in the standard care group [mean differences -1.2 L (95 % confidence interval -2.0 to -0.4); p &lt; 0.001 and -1.4 L (-2.4 to -0.4) respectively; p &lt; 0.001]. Neither total fluid inputs and balances nor serious adverse reactions differed statistically significantly between the groups. Major protocol violations occurred in 27/75 patients in the fluid restriction group. Ischaemic events occurred in 3/75 in the fluid restriction group vs. 9/76 in the standard care group (odds ratio 0.32; 0.08-1.27; p = 0.11), worsening of acute kidney injury in 27/73 vs. 39/72 (0.46; 0.23-0.92; p = 0.03), and death by 90 days in 25/75 vs. 31/76 (0.71; 0.36-1.40; p = 0.32).\nCONCLUSIONS: A protocol restricting resuscitation fluid successfully reduced volumes of resuscitation fluid compared with a standard care protocol in adult ICU patients with septic shock. The patient-centred outcomes all pointed towards benefit with fluid restriction, but our trial was not powered to show differences in these exploratory outcomes.\nTRIAL REGISTRATION: NCT02079402.","DOI":"10.1007/s00134-016-4500-7","ISSN":"1432-1238","note":"PMID: 27686349","shortTitle":"Restricting volumes of resuscitation fluid in adults with septic shock after initial management","journalAbbreviation":"Intensive Care Med","language":"eng","author":[{"family":"Hjortrup","given":"Peter B."},{"family":"Haase","given":"Nicolai"},{"family":"Bundgaard","given":"Helle"},{"family":"Thomsen","given":"Simon L."},{"family":"Winding","given":"Robert"},{"family":"Pettilä","given":"Ville"},{"family":"Aaen","given":"Anne"},{"family":"Lodahl","given":"David"},{"family":"Berthelsen","given":"Rasmus E."},{"family":"Christensen","given":"Henrik"},{"family":"Madsen","given":"Martin B."},{"family":"Winkel","given":"Per"},{"family":"Wetterslev","given":"Jørn"},{"family":"Perner","given":"Anders"},{"literal":"CLASSIC Trial Group"},{"literal":"Scandinavian Critical Care Trials Group"}],"issued":{"date-parts":[["2016",11]]},"PMID":"27686349"}}],"schema":"https://github.com/citation-style-language/schema/raw/master/csl-citation.json"} </w:instrText>
      </w:r>
      <w:r w:rsidR="007D7541" w:rsidRPr="007141B1">
        <w:rPr>
          <w:rFonts w:asciiTheme="minorHAnsi" w:hAnsiTheme="minorHAnsi"/>
          <w:lang w:val="en-GB"/>
        </w:rPr>
        <w:fldChar w:fldCharType="separate"/>
      </w:r>
      <w:r w:rsidR="006E59A1" w:rsidRPr="00DB561A">
        <w:rPr>
          <w:rFonts w:ascii="Calibri" w:hAnsi="Calibri" w:cs="Calibri"/>
          <w:lang w:val="en-US"/>
        </w:rPr>
        <w:t>[26]</w:t>
      </w:r>
      <w:r w:rsidR="007D7541" w:rsidRPr="007141B1">
        <w:rPr>
          <w:rFonts w:asciiTheme="minorHAnsi" w:hAnsiTheme="minorHAnsi"/>
          <w:lang w:val="en-GB"/>
        </w:rPr>
        <w:fldChar w:fldCharType="end"/>
      </w:r>
      <w:r w:rsidR="005B156D" w:rsidRPr="007141B1">
        <w:rPr>
          <w:rFonts w:asciiTheme="minorHAnsi" w:hAnsiTheme="minorHAnsi"/>
          <w:lang w:val="en-GB"/>
        </w:rPr>
        <w:t>.</w:t>
      </w:r>
      <w:r w:rsidR="0037160E" w:rsidRPr="007141B1">
        <w:rPr>
          <w:rFonts w:asciiTheme="minorHAnsi" w:hAnsiTheme="minorHAnsi"/>
          <w:lang w:val="en-GB"/>
        </w:rPr>
        <w:t xml:space="preserve"> </w:t>
      </w:r>
      <w:r w:rsidR="00387D9E">
        <w:rPr>
          <w:rFonts w:asciiTheme="minorHAnsi" w:hAnsiTheme="minorHAnsi"/>
          <w:lang w:val="en-GB"/>
        </w:rPr>
        <w:t>M</w:t>
      </w:r>
      <w:r w:rsidRPr="007141B1">
        <w:rPr>
          <w:rFonts w:asciiTheme="minorHAnsi" w:hAnsiTheme="minorHAnsi"/>
          <w:lang w:val="en-GB"/>
        </w:rPr>
        <w:t xml:space="preserve">ore aggressive oxygen therapy </w:t>
      </w:r>
      <w:r w:rsidR="00387D9E">
        <w:rPr>
          <w:rFonts w:asciiTheme="minorHAnsi" w:hAnsiTheme="minorHAnsi"/>
          <w:lang w:val="en-GB"/>
        </w:rPr>
        <w:t>may also be</w:t>
      </w:r>
      <w:r w:rsidR="00387D9E" w:rsidRPr="007141B1">
        <w:rPr>
          <w:rFonts w:asciiTheme="minorHAnsi" w:hAnsiTheme="minorHAnsi"/>
          <w:lang w:val="en-GB"/>
        </w:rPr>
        <w:t xml:space="preserve"> </w:t>
      </w:r>
      <w:r w:rsidRPr="007141B1">
        <w:rPr>
          <w:rFonts w:asciiTheme="minorHAnsi" w:hAnsiTheme="minorHAnsi"/>
          <w:lang w:val="en-GB"/>
        </w:rPr>
        <w:t>associated with increased mortality</w:t>
      </w:r>
      <w:r w:rsidR="005B156D" w:rsidRPr="007141B1">
        <w:rPr>
          <w:rFonts w:asciiTheme="minorHAnsi" w:hAnsiTheme="minorHAnsi"/>
          <w:b/>
          <w:lang w:val="en-GB"/>
        </w:rPr>
        <w:t xml:space="preserve"> </w:t>
      </w:r>
      <w:r w:rsidR="00273152" w:rsidRPr="007141B1">
        <w:rPr>
          <w:rFonts w:asciiTheme="minorHAnsi" w:hAnsiTheme="minorHAnsi"/>
          <w:b/>
          <w:lang w:val="en-GB"/>
        </w:rPr>
        <w:fldChar w:fldCharType="begin"/>
      </w:r>
      <w:r w:rsidR="006E59A1">
        <w:rPr>
          <w:rFonts w:asciiTheme="minorHAnsi" w:hAnsiTheme="minorHAnsi"/>
          <w:b/>
          <w:lang w:val="en-GB"/>
        </w:rPr>
        <w:instrText xml:space="preserve"> ADDIN ZOTERO_ITEM CSL_CITATION {"citationID":"1j75sb92cp","properties":{"formattedCitation":"[27]","plainCitation":"[27]"},"citationItems":[{"id":34,"uris":["http://zotero.org/users/local/ZaW79YVG/items/3C63M8AZ"],"uri":["http://zotero.org/users/local/ZaW79YVG/items/3C63M8AZ"],"itemData":{"id":34,"type":"article-journal","title":"Effect of Conservative vs Conventional Oxygen Therapy on Mortality Among Patients in an Intensive Care Unit: The Oxygen-ICU Randomized Clinical Trial","container-title":"JAMA","page":"1583-1589","volume":"316","issue":"15","source":"PubMed","abstract":"Importance: Despite suggestions of potential harm from unnecessary oxygen therapy, critically ill patients spend substantial periods in a hyperoxemic state. A strategy of controlled arterial oxygenation is thus rational but has not been validated in clinical practice.\nObjective: To assess whether a conservative protocol for oxygen supplementation could improve outcomes in patients admitted to intensive care units (ICUs).\nDesign, Setting, and Patients: Oxygen-ICU was a single-center, open-label, randomized clinical trial conducted from March 2010 to October 2012 that included all adults admitted with an expected length of stay of 72 hours or longer to the medical-surgical ICU of Modena University Hospital, Italy. The originally planned sample size was 660 patients, but the study was stopped early due to difficulties in enrollment after inclusion of 480 patients.\nInterventions: Patients were randomly assigned to receive oxygen therapy to maintain Pao2 between 70 and 100 mm Hg or arterial oxyhemoglobin saturation (Spo2) between 94% and 98% (conservative group) or, according to standard ICU practice, to allow Pao2 values up to 150 mm Hg or Spo2 values between 97% and 100% (conventional control group).\nMain Outcomes and Measures: The primary outcome was ICU mortality. Secondary outcomes included occurrence of new organ failure and infection 48 hours or more after ICU admission.\nResults: A total of 434 patients (median age, 64 years; 188 [43.3%] women) received conventional (n = 218) or conservative (n = 216) oxygen therapy and were included in the modified intent-to-treat analysis. Daily time-weighted Pao2 averages during the ICU stay were significantly higher (P &lt; .001) in the conventional group (median Pao2, 102 mm Hg [interquartile range, 88-116]) vs the conservative group (median Pao2, 87 mm Hg [interquartile range, 79-97]). Twenty-five patients in the conservative oxygen therapy group (11.6%) and 44 in the conventional oxygen therapy group (20.2%) died during their ICU stay (absolute risk reduction [ARR], 0.086 [95% CI, 0.017-0.150]; relative risk [RR], 0.57 [95% CI, 0.37-0.90]; P = .01). Occurrences were lower in the conservative oxygen therapy group for new shock episode (ARR, 0.068 [95% CI, 0.020-0.120]; RR, 0.35 [95% CI, 0.16-0.75]; P = .006) or liver failure (ARR, 0.046 [95% CI, 0.008-0.088]; RR, 0.29 [95% CI, 0.10-0.82]; P = .02) and new bloodstream infection (ARR, 0.05 [95% CI, 0.00-0.09]; RR, 0.50 [95% CI, 0.25-0.998; P = .049).\nConclusions and Relevance: Among critically ill patients with an ICU length of stay of 72 hours or longer, a conservative protocol for oxygen therapy vs conventional therapy resulted in lower ICU mortality. These preliminary findings were based on unplanned early termination of the trial, and a larger multicenter trial is needed to evaluate the potential benefit of this approach.\nTrial Registration: clinicaltrials.gov Identifier: NCT01319643.","DOI":"10.1001/jama.2016.11993","ISSN":"1538-3598","note":"PMID: 27706466","shortTitle":"Effect of Conservative vs Conventional Oxygen Therapy on Mortality Among Patients in an Intensive Care Unit","journalAbbreviation":"JAMA","language":"eng","author":[{"family":"Girardis","given":"Massimo"},{"family":"Busani","given":"Stefano"},{"family":"Damiani","given":"Elisa"},{"family":"Donati","given":"Abele"},{"family":"Rinaldi","given":"Laura"},{"family":"Marudi","given":"Andrea"},{"family":"Morelli","given":"Andrea"},{"family":"Antonelli","given":"Massimo"},{"family":"Singer","given":"Mervyn"}],"issued":{"date-parts":[["2016",10,18]]},"PMID":"27706466"}}],"schema":"https://github.com/citation-style-language/schema/raw/master/csl-citation.json"} </w:instrText>
      </w:r>
      <w:r w:rsidR="00273152" w:rsidRPr="007141B1">
        <w:rPr>
          <w:rFonts w:asciiTheme="minorHAnsi" w:hAnsiTheme="minorHAnsi"/>
          <w:b/>
          <w:lang w:val="en-GB"/>
        </w:rPr>
        <w:fldChar w:fldCharType="separate"/>
      </w:r>
      <w:r w:rsidR="006E59A1" w:rsidRPr="00DB561A">
        <w:rPr>
          <w:rFonts w:ascii="Calibri" w:hAnsi="Calibri" w:cs="Calibri"/>
          <w:lang w:val="en-US"/>
        </w:rPr>
        <w:t>[27]</w:t>
      </w:r>
      <w:r w:rsidR="00273152" w:rsidRPr="007141B1">
        <w:rPr>
          <w:rFonts w:asciiTheme="minorHAnsi" w:hAnsiTheme="minorHAnsi"/>
          <w:b/>
          <w:lang w:val="en-GB"/>
        </w:rPr>
        <w:fldChar w:fldCharType="end"/>
      </w:r>
      <w:r w:rsidRPr="007141B1">
        <w:rPr>
          <w:rFonts w:asciiTheme="minorHAnsi" w:hAnsiTheme="minorHAnsi"/>
          <w:lang w:val="en-GB"/>
        </w:rPr>
        <w:t xml:space="preserve">. </w:t>
      </w:r>
      <w:r w:rsidR="00280C01" w:rsidRPr="007141B1">
        <w:rPr>
          <w:rFonts w:asciiTheme="minorHAnsi" w:hAnsiTheme="minorHAnsi"/>
          <w:lang w:val="en-GB"/>
        </w:rPr>
        <w:t>These findings require confirmation, but are consistent with the experiences and subsequent trials in blood transfusion, glycaemic control, mechanical ventilation and sedation practices. Our patients are highly vulnerable to iatrogenic complications</w:t>
      </w:r>
      <w:r w:rsidR="00387D9E">
        <w:rPr>
          <w:rFonts w:asciiTheme="minorHAnsi" w:hAnsiTheme="minorHAnsi"/>
          <w:lang w:val="en-GB"/>
        </w:rPr>
        <w:t xml:space="preserve">; </w:t>
      </w:r>
      <w:r w:rsidR="00280C01" w:rsidRPr="007141B1">
        <w:rPr>
          <w:rFonts w:asciiTheme="minorHAnsi" w:hAnsiTheme="minorHAnsi"/>
          <w:lang w:val="en-GB"/>
        </w:rPr>
        <w:t>there is an equal imperative that we systematically seek the lowest effective dose for any intervention.</w:t>
      </w:r>
    </w:p>
    <w:p w:rsidR="005812A4" w:rsidRPr="007141B1" w:rsidRDefault="005812A4" w:rsidP="00851E20">
      <w:pPr>
        <w:spacing w:line="360" w:lineRule="auto"/>
        <w:rPr>
          <w:rFonts w:asciiTheme="minorHAnsi" w:hAnsiTheme="minorHAnsi"/>
          <w:lang w:val="en-GB"/>
        </w:rPr>
      </w:pPr>
    </w:p>
    <w:p w:rsidR="005812A4" w:rsidRPr="007141B1" w:rsidRDefault="005812A4" w:rsidP="00851E20">
      <w:pPr>
        <w:spacing w:line="360" w:lineRule="auto"/>
        <w:rPr>
          <w:rFonts w:asciiTheme="minorHAnsi" w:hAnsiTheme="minorHAnsi"/>
          <w:b/>
          <w:lang w:val="en-GB"/>
        </w:rPr>
      </w:pPr>
      <w:r w:rsidRPr="007141B1">
        <w:rPr>
          <w:rFonts w:asciiTheme="minorHAnsi" w:hAnsiTheme="minorHAnsi"/>
          <w:b/>
          <w:lang w:val="en-GB"/>
        </w:rPr>
        <w:t>Patient/family Involvement</w:t>
      </w:r>
    </w:p>
    <w:p w:rsidR="005812A4" w:rsidRDefault="0037160E" w:rsidP="00851E20">
      <w:pPr>
        <w:spacing w:before="100" w:beforeAutospacing="1" w:after="100" w:afterAutospacing="1" w:line="360" w:lineRule="auto"/>
        <w:rPr>
          <w:rFonts w:asciiTheme="minorHAnsi" w:hAnsiTheme="minorHAnsi"/>
          <w:lang w:val="en-GB"/>
        </w:rPr>
      </w:pPr>
      <w:r w:rsidRPr="007141B1">
        <w:rPr>
          <w:rFonts w:asciiTheme="minorHAnsi" w:hAnsiTheme="minorHAnsi"/>
          <w:lang w:val="en-GB"/>
        </w:rPr>
        <w:t>As ICU populations are becoming older and frailer</w:t>
      </w:r>
      <w:r w:rsidR="001C75DA">
        <w:rPr>
          <w:rFonts w:asciiTheme="minorHAnsi" w:hAnsiTheme="minorHAnsi"/>
          <w:lang w:val="en-GB"/>
        </w:rPr>
        <w:t xml:space="preserve"> </w:t>
      </w:r>
      <w:r w:rsidR="001C75DA">
        <w:rPr>
          <w:rFonts w:asciiTheme="minorHAnsi" w:hAnsiTheme="minorHAnsi"/>
          <w:lang w:val="en-GB"/>
        </w:rPr>
        <w:fldChar w:fldCharType="begin"/>
      </w:r>
      <w:r w:rsidR="006E59A1">
        <w:rPr>
          <w:rFonts w:asciiTheme="minorHAnsi" w:hAnsiTheme="minorHAnsi"/>
          <w:lang w:val="en-GB"/>
        </w:rPr>
        <w:instrText xml:space="preserve"> ADDIN ZOTERO_ITEM CSL_CITATION {"citationID":"1hqgt6ipf2","properties":{"formattedCitation":"[28]","plainCitation":"[28]"},"citationItems":[{"id":225,"uris":["http://zotero.org/users/local/tmXAZSH1/items/T62KNGRB"],"uri":["http://zotero.org/users/local/tmXAZSH1/items/T62KNGRB"],"itemData":{"id":225,"type":"article-journal","title":"Epidemiology of severe sepsis in the United States: analysis of incidence, outcome, and associated costs of care","container-title":"Critical Care Medicine","page":"1303-1310","volume":"29","issue":"7","source":"PubMed","abstract":"OBJECTIVE: To determine the incidence, cost, and outcome of severe sepsis in the United States.\nDESIGN: Observational cohort study.\nSETTING: All nonfederal hospitals (n = 847) in seven U.S. states.\nPATIENTS: All patients (n = 192,980) meeting criteria for severe sepsis based on the International Classification of Diseases, Ninth Revision, Clinical Modification.\nINTERVENTIONS: None.\nMEASUREMENTS AND MAIN RESULTS: We linked all 1995 state hospital discharge records (n = 6,621,559) from seven large states with population and hospital data from the U.S. Census, the Centers for Disease Control, the Health Care Financing Administration, and the American Hospital Association. We defined severe sepsis as documented infection and acute organ dysfunction using criteria based on the International Classification of Diseases, Ninth Revision, Clinical Modification. We validated these criteria against prospective clinical and physiologic criteria in a subset of five hospitals. We generated national age- and gender-adjusted estimates of incidence, cost, and outcome. We identified 192,980 cases, yielding national estimates of 751,000 cases (3.0 cases per 1,000 population and 2.26 cases per 100 hospital discharges), of whom 383,000 (51.1%) received intensive care and an additional 130,000 (17.3%) were ventilated in an intermediate care unit or cared for in a coronary care unit. Incidence increased &gt;100-fold with age (0.2/1,000 in children to 26.2/1,000 in those &gt;85 yrs old). Mortality was 28.6%, or 215,000 deaths nationally, and also increased with age, from 10% in children to 38.4% in those &gt;85 yrs old. Women had lower age-specific incidence and mortality, but the difference in mortality was explained by differences in underlying disease and the site of infection. The average costs per case were $22,100, with annual total costs of $16.7 billion nationally. Costs were higher in infants, nonsurvivors, intensive care unit patients, surgical patients, and patients with more organ failure. The incidence was projected to increase by 1.5% per annum.\nCONCLUSIONS: Severe sepsis is a common, expensive, and frequently fatal condition, with as many deaths annually as those from acute myocardial infarction. It is especially common in the elderly and is likely to increase substantially as the U.S. population ages.","ISSN":"0090-3493","note":"PMID: 11445675","shortTitle":"Epidemiology of severe sepsis in the United States","journalAbbreviation":"Crit. Care Med.","language":"eng","author":[{"family":"Angus","given":"D. C."},{"family":"Linde-Zwirble","given":"W. T."},{"family":"Lidicker","given":"J."},{"family":"Clermont","given":"G."},{"family":"Carcillo","given":"J."},{"family":"Pinsky","given":"M. R."}],"issued":{"date-parts":[["2001",7]]},"PMID":"11445675"}}],"schema":"https://github.com/citation-style-language/schema/raw/master/csl-citation.json"} </w:instrText>
      </w:r>
      <w:r w:rsidR="001C75DA">
        <w:rPr>
          <w:rFonts w:asciiTheme="minorHAnsi" w:hAnsiTheme="minorHAnsi"/>
          <w:lang w:val="en-GB"/>
        </w:rPr>
        <w:fldChar w:fldCharType="separate"/>
      </w:r>
      <w:r w:rsidR="006E59A1" w:rsidRPr="009D5B86">
        <w:rPr>
          <w:rFonts w:ascii="Calibri" w:hAnsi="Calibri" w:cs="Calibri"/>
          <w:lang w:val="en-US"/>
        </w:rPr>
        <w:t>[28]</w:t>
      </w:r>
      <w:r w:rsidR="001C75DA">
        <w:rPr>
          <w:rFonts w:asciiTheme="minorHAnsi" w:hAnsiTheme="minorHAnsi"/>
          <w:lang w:val="en-GB"/>
        </w:rPr>
        <w:fldChar w:fldCharType="end"/>
      </w:r>
      <w:r w:rsidRPr="007141B1">
        <w:rPr>
          <w:rFonts w:asciiTheme="minorHAnsi" w:hAnsiTheme="minorHAnsi"/>
          <w:lang w:val="en-GB"/>
        </w:rPr>
        <w:t xml:space="preserve"> reducing short-term mortality may not </w:t>
      </w:r>
      <w:bookmarkStart w:id="0" w:name="_GoBack"/>
      <w:bookmarkEnd w:id="0"/>
      <w:r w:rsidRPr="007141B1">
        <w:rPr>
          <w:rFonts w:asciiTheme="minorHAnsi" w:hAnsiTheme="minorHAnsi"/>
          <w:lang w:val="en-GB"/>
        </w:rPr>
        <w:t xml:space="preserve">translate into significant gains in quality-adjusted life years. </w:t>
      </w:r>
      <w:r w:rsidR="001D5A53">
        <w:rPr>
          <w:rFonts w:asciiTheme="minorHAnsi" w:hAnsiTheme="minorHAnsi"/>
          <w:lang w:val="en-GB"/>
        </w:rPr>
        <w:t xml:space="preserve">About 35% of patients are readmitted </w:t>
      </w:r>
      <w:r w:rsidR="001D5A53" w:rsidRPr="001D5A53">
        <w:rPr>
          <w:rFonts w:asciiTheme="minorHAnsi" w:hAnsiTheme="minorHAnsi"/>
          <w:lang w:val="en-GB"/>
        </w:rPr>
        <w:lastRenderedPageBreak/>
        <w:t>to hospital within 6 months raising to 60% within the first year after ICU admission for sepsis</w:t>
      </w:r>
      <w:r w:rsidR="00D93B3B">
        <w:rPr>
          <w:rFonts w:asciiTheme="minorHAnsi" w:hAnsiTheme="minorHAnsi"/>
          <w:lang w:val="en-GB"/>
        </w:rPr>
        <w:t xml:space="preserve"> </w:t>
      </w:r>
      <w:r w:rsidR="00D93B3B">
        <w:rPr>
          <w:rFonts w:asciiTheme="minorHAnsi" w:hAnsiTheme="minorHAnsi"/>
          <w:lang w:val="en-GB"/>
        </w:rPr>
        <w:fldChar w:fldCharType="begin"/>
      </w:r>
      <w:r w:rsidR="00D93B3B">
        <w:rPr>
          <w:rFonts w:asciiTheme="minorHAnsi" w:hAnsiTheme="minorHAnsi"/>
          <w:lang w:val="en-GB"/>
        </w:rPr>
        <w:instrText xml:space="preserve"> ADDIN ZOTERO_ITEM CSL_CITATION {"citationID":"18k2cfu16p","properties":{"formattedCitation":"[29, 30]","plainCitation":"[29, 30]"},"citationItems":[{"id":179,"uris":["http://zotero.org/users/local/ZaW79YVG/items/JNVKW2J5"],"uri":["http://zotero.org/users/local/ZaW79YVG/items/JNVKW2J5"],"itemData":{"id":179,"type":"article-journal","title":"Long-term outcomes in patients with severe sepsis randomised to resuscitation with hydroxyethyl starch 130/0.42 or Ringer's acetate","container-title":"Intensive Care Medicine","page":"927-934","volume":"40","issue":"7","source":"PubMed","abstract":"PURPOSE: We assessed long-term mortality and hospitalisation in patients with severe sepsis resuscitated with hydroxyethyl starch (HES) or Ringer's acetate.\nMETHODS: This was an investigator-initiated, parallel-grouped, blinded randomised trial using computer-generated allocation sequence and centralised allocation data that included 804 patients with severe sepsis needing fluid resuscitation in 26 general intensive care units (ICUs) in Scandinavia. Patients were allocated to fluid resuscitation using either 6% HES 130/0.42 or Ringer's acetate during ICU admission. We assessed mortality rates at 6 months, 1 year and at the time of longest follow-up and days alive and out of hospital at 1 year.\nRESULTS: The vital status of all patients was obtained at a median of 22 (range 13-36) months after randomisation. Mortality rates in the HES versus Ringer's groups at 6 months were 53.3 (212/398 patients) versus 47.5% (190/400) [relative risk 1.12; 95% confidence interval (CI) 0.98-1.29; P = 0.10], respectively; at 1 year, 56.0 (223/398) versus 51.5% (206/400) (1.09; 95% CI 0.96-1.24; P = 0.20), respectively; at the time of longest follow-up, 59.8 (238/398) versus 56.3% (225/400) (1.06; 95% CI 0.94-1.20; P = 0.31), respectively. Percentage of days alive and out of hospital at 1 year in the HES versus Ringer's groups was 24 (0-87 days) versus 63% (0-90) (P = 0.07).\nCONCLUSIONS: The long-term mortality rates did not differ in patients with severe sepsis assigned to HES 130/0.42 versus Ringer's acetate, but we could not reject a 24% relative increased or a 4% relative decreased mortality at 1 year with HES at the 95% confidence level.","DOI":"10.1007/s00134-014-3311-y","ISSN":"1432-1238","note":"PMID: 24807084","journalAbbreviation":"Intensive Care Med","language":"eng","author":[{"family":"Perner","given":"Anders"},{"family":"Haase","given":"Nicolai"},{"family":"Winkel","given":"Per"},{"family":"Guttormsen","given":"Anne B."},{"family":"Tenhunen","given":"Jyrki"},{"family":"Klemenzson","given":"Gudmundur"},{"family":"Müller","given":"Rasmus G."},{"family":"Aneman","given":"Anders"},{"family":"Wetterslev","given":"Jørn"}],"issued":{"date-parts":[["2014",7]]},"PMID":"24807084"}},{"id":181,"uris":["http://zotero.org/users/local/ZaW79YVG/items/QD3G6JUI"],"uri":["http://zotero.org/users/local/ZaW79YVG/items/QD3G6JUI"],"itemData":{"id":181,"type":"article-journal","title":"Proportion and Cost of Unplanned 30-Day Readmissions After Sepsis Compared With Other Medical Conditions","container-title":"JAMA","page":"530-531","volume":"317","issue":"5","source":"PubMed","DOI":"10.1001/jama.2016.20468","ISSN":"1538-3598","note":"PMID: 28114505","journalAbbreviation":"JAMA","language":"eng","author":[{"family":"Mayr","given":"Florian B."},{"family":"Talisa","given":"Victor B."},{"family":"Balakumar","given":"Vikram"},{"family":"Chang","given":"Chung-Chou H."},{"family":"Fine","given":"Michael"},{"family":"Yende","given":"Sachin"}],"issued":{"date-parts":[["2017"]],"season":"07"},"PMID":"28114505"}}],"schema":"https://github.com/citation-style-language/schema/raw/master/csl-citation.json"} </w:instrText>
      </w:r>
      <w:r w:rsidR="00D93B3B">
        <w:rPr>
          <w:rFonts w:asciiTheme="minorHAnsi" w:hAnsiTheme="minorHAnsi"/>
          <w:lang w:val="en-GB"/>
        </w:rPr>
        <w:fldChar w:fldCharType="separate"/>
      </w:r>
      <w:r w:rsidR="00D93B3B" w:rsidRPr="009D5B86">
        <w:rPr>
          <w:rFonts w:ascii="Calibri" w:hAnsi="Calibri" w:cs="Calibri"/>
          <w:lang w:val="en-US"/>
        </w:rPr>
        <w:t>[29, 30]</w:t>
      </w:r>
      <w:r w:rsidR="00D93B3B">
        <w:rPr>
          <w:rFonts w:asciiTheme="minorHAnsi" w:hAnsiTheme="minorHAnsi"/>
          <w:lang w:val="en-GB"/>
        </w:rPr>
        <w:fldChar w:fldCharType="end"/>
      </w:r>
      <w:r w:rsidR="001D5A53" w:rsidRPr="001D5A53">
        <w:rPr>
          <w:rFonts w:asciiTheme="minorHAnsi" w:hAnsiTheme="minorHAnsi"/>
          <w:color w:val="000000"/>
          <w:lang w:val="en-GB"/>
        </w:rPr>
        <w:t xml:space="preserve">. </w:t>
      </w:r>
      <w:r w:rsidRPr="001D5A53">
        <w:rPr>
          <w:rFonts w:asciiTheme="minorHAnsi" w:hAnsiTheme="minorHAnsi"/>
          <w:lang w:val="en-GB"/>
        </w:rPr>
        <w:t>Cohort studies have confirmed that specific</w:t>
      </w:r>
      <w:r w:rsidRPr="007141B1">
        <w:rPr>
          <w:rFonts w:asciiTheme="minorHAnsi" w:hAnsiTheme="minorHAnsi"/>
          <w:lang w:val="en-GB"/>
        </w:rPr>
        <w:t xml:space="preserve"> patient populations, particularly older patients who receive prolonged ICU care, </w:t>
      </w:r>
      <w:r w:rsidR="00E30963">
        <w:rPr>
          <w:rFonts w:asciiTheme="minorHAnsi" w:hAnsiTheme="minorHAnsi"/>
          <w:lang w:val="en-GB"/>
        </w:rPr>
        <w:t>experience</w:t>
      </w:r>
      <w:r w:rsidRPr="007141B1">
        <w:rPr>
          <w:rFonts w:asciiTheme="minorHAnsi" w:hAnsiTheme="minorHAnsi"/>
          <w:lang w:val="en-GB"/>
        </w:rPr>
        <w:t xml:space="preserve"> an increased burden of chronic physical </w:t>
      </w:r>
      <w:r w:rsidR="00273152" w:rsidRPr="007141B1">
        <w:rPr>
          <w:rFonts w:asciiTheme="minorHAnsi" w:hAnsiTheme="minorHAnsi"/>
          <w:lang w:val="en-GB"/>
        </w:rPr>
        <w:t xml:space="preserve">and psychological disabilities </w:t>
      </w:r>
      <w:r w:rsidR="00273152" w:rsidRPr="007141B1">
        <w:rPr>
          <w:rFonts w:asciiTheme="minorHAnsi" w:hAnsiTheme="minorHAnsi"/>
          <w:lang w:val="en-GB"/>
        </w:rPr>
        <w:fldChar w:fldCharType="begin"/>
      </w:r>
      <w:r w:rsidR="00D93B3B">
        <w:rPr>
          <w:rFonts w:asciiTheme="minorHAnsi" w:hAnsiTheme="minorHAnsi"/>
          <w:lang w:val="en-GB"/>
        </w:rPr>
        <w:instrText xml:space="preserve"> ADDIN ZOTERO_ITEM CSL_CITATION {"citationID":"1ubt3ajdv","properties":{"formattedCitation":"[31]","plainCitation":"[31]"},"citationItems":[{"id":36,"uris":["http://zotero.org/users/local/ZaW79YVG/items/KRW954PE"],"uri":["http://zotero.org/users/local/ZaW79YVG/items/KRW954PE"],"itemData":{"id":36,"type":"article-journal","title":"The RECOVER Program: Disability Risk Groups and 1-Year Outcome after 7 or More Days of Mechanical Ventilation","container-title":"American Journal of Respiratory and Critical Care Medicine","page":"831-844","volume":"194","issue":"7","source":"PubMed","abstract":"RATIONALE: Disability risk groups and 1-year outcome after greater than or equal to 7 days of mechanical ventilation (MV) in medical/surgical intensive care unit (ICU) patients are unknown and may inform education, prognostication, rehabilitation, and study design.\nOBJECTIVES: To stratify patients for post-ICU disability and recovery to 1 year after critical illness.\nMETHODS: We evaluated a multicenter cohort of 391 medical/surgical ICU patients who received greater than or equal to 1 week of MV at 7 days and 3, 6, and 12 months after ICU discharge. Disability risk groups were identified using recursive partitioning modeling.\nMEASUREMENTS AND MAIN RESULTS: The 7-day post-ICU Functional Independence Measure (FIM) determined the recovery trajectory to 1-year after ICU discharge and was an independent risk factor for 1-year mortality. The 7-day post-ICU FIM was predicted by age and ICU length of stay. By 2 weeks of MV, ICU patients could be stratified into four disability groups characterized by increasing risk for post ICU disability, ICU and post-ICU healthcare use, and disposition. Patients less than 42 years with ICU length of stay less than 2 weeks had the best function and fewest deaths at 1 year compared with patients greater than 66 years with ICU length of stay greater than 2 weeks who sustained the worst disability and 40% 1-year mortality. Depressive symptoms (17%) and post-traumatic stress disorder (18%) persisted at 1 year.\nCONCLUSIONS: ICU survivors of greater than or equal to 1 week of MV may be stratified into four disability groups based on age and ICU length of stay. These groups determine 1-year recovery and healthcare use and are independent of admitting diagnosis and illness severity. Clinical trial registered with www.clinicaltrials.gov (NCT 00896220).","DOI":"10.1164/rccm.201512-2343OC","ISSN":"1535-4970","note":"PMID: 26974173","shortTitle":"The RECOVER Program","journalAbbreviation":"Am. J. Respir. Crit. Care Med.","language":"eng","author":[{"family":"Herridge","given":"Margaret S."},{"family":"Chu","given":"Leslie M."},{"family":"Matte","given":"Andrea"},{"family":"Tomlinson","given":"George"},{"family":"Chan","given":"Linda"},{"family":"Thomas","given":"Claire"},{"family":"Friedrich","given":"Jan O."},{"family":"Mehta","given":"Sangeeta"},{"family":"Lamontagne","given":"Francois"},{"family":"Levasseur","given":"Melanie"},{"family":"Ferguson","given":"Niall D."},{"family":"Adhikari","given":"Neill K. J."},{"family":"Rudkowski","given":"Jill C."},{"family":"Meggison","given":"Hilary"},{"family":"Skrobik","given":"Yoanna"},{"family":"Flannery","given":"John"},{"family":"Bayley","given":"Mark"},{"family":"Batt","given":"Jane"},{"family":"Santos","given":"Claudia Dos"},{"family":"Abbey","given":"Susan E."},{"family":"Tan","given":"Adrienne"},{"family":"Lo","given":"Vincent"},{"family":"Mathur","given":"Sunita"},{"family":"Parotto","given":"Matteo"},{"family":"Morris","given":"Denise"},{"family":"Flockhart","given":"Linda"},{"family":"Fan","given":"Eddy"},{"family":"Lee","given":"Christie M."},{"family":"Wilcox","given":"M. Elizabeth"},{"family":"Ayas","given":"Najib"},{"family":"Choong","given":"Karen"},{"family":"Fowler","given":"Robert"},{"family":"Scales","given":"Damon C."},{"family":"Sinuff","given":"Tasnim"},{"family":"Cuthbertson","given":"Brian H."},{"family":"Rose","given":"Louise"},{"family":"Robles","given":"Priscila"},{"family":"Burns","given":"Stacey"},{"family":"Cypel","given":"Marcelo"},{"family":"Singer","given":"Lianne"},{"family":"Chaparro","given":"Cecelia"},{"family":"Chow","given":"Chung-Wai"},{"family":"Keshavjee","given":"Shaf"},{"family":"Brochard","given":"Laurent"},{"family":"Hebert","given":"Paul"},{"family":"Slutsky","given":"Arthur S."},{"family":"Marshall","given":"John C."},{"family":"Cook","given":"Deborah"},{"family":"Cameron","given":"Jill I."},{"literal":"RECOVER Program Investigators (Phase 1: towards RECOVER)"},{"literal":"Canadian Critical Care Trials Group"}],"issued":{"date-parts":[["2016",10,1]]},"PMID":"26974173"}}],"schema":"https://github.com/citation-style-language/schema/raw/master/csl-citation.json"} </w:instrText>
      </w:r>
      <w:r w:rsidR="00273152" w:rsidRPr="007141B1">
        <w:rPr>
          <w:rFonts w:asciiTheme="minorHAnsi" w:hAnsiTheme="minorHAnsi"/>
          <w:lang w:val="en-GB"/>
        </w:rPr>
        <w:fldChar w:fldCharType="separate"/>
      </w:r>
      <w:r w:rsidR="00D93B3B" w:rsidRPr="009D5B86">
        <w:rPr>
          <w:rFonts w:ascii="Calibri" w:hAnsi="Calibri" w:cs="Calibri"/>
          <w:lang w:val="en-US"/>
        </w:rPr>
        <w:t>[31]</w:t>
      </w:r>
      <w:r w:rsidR="00273152" w:rsidRPr="007141B1">
        <w:rPr>
          <w:rFonts w:asciiTheme="minorHAnsi" w:hAnsiTheme="minorHAnsi"/>
          <w:lang w:val="en-GB"/>
        </w:rPr>
        <w:fldChar w:fldCharType="end"/>
      </w:r>
      <w:r w:rsidRPr="007141B1">
        <w:rPr>
          <w:rFonts w:asciiTheme="minorHAnsi" w:hAnsiTheme="minorHAnsi"/>
          <w:lang w:val="en-GB"/>
        </w:rPr>
        <w:t xml:space="preserve">. </w:t>
      </w:r>
      <w:r w:rsidR="005812A4" w:rsidRPr="007141B1">
        <w:rPr>
          <w:rFonts w:asciiTheme="minorHAnsi" w:hAnsiTheme="minorHAnsi"/>
          <w:lang w:val="en-GB"/>
        </w:rPr>
        <w:t>The toll of long-term ICU care sequelae on relatives is also increasingly recognized</w:t>
      </w:r>
      <w:r w:rsidR="00273152" w:rsidRPr="007141B1">
        <w:rPr>
          <w:rFonts w:asciiTheme="minorHAnsi" w:hAnsiTheme="minorHAnsi"/>
          <w:lang w:val="en-GB"/>
        </w:rPr>
        <w:t xml:space="preserve"> </w:t>
      </w:r>
      <w:r w:rsidR="00273152" w:rsidRPr="007141B1">
        <w:rPr>
          <w:rFonts w:asciiTheme="minorHAnsi" w:hAnsiTheme="minorHAnsi"/>
          <w:lang w:val="en-GB"/>
        </w:rPr>
        <w:fldChar w:fldCharType="begin"/>
      </w:r>
      <w:r w:rsidR="00D93B3B">
        <w:rPr>
          <w:rFonts w:asciiTheme="minorHAnsi" w:hAnsiTheme="minorHAnsi"/>
          <w:lang w:val="en-GB"/>
        </w:rPr>
        <w:instrText xml:space="preserve"> ADDIN ZOTERO_ITEM CSL_CITATION {"citationID":"2ub2o859d","properties":{"formattedCitation":"[32]","plainCitation":"[32]"},"citationItems":[{"id":38,"uris":["http://zotero.org/users/local/ZaW79YVG/items/HMJDXECS"],"uri":["http://zotero.org/users/local/ZaW79YVG/items/HMJDXECS"],"itemData":{"id":38,"type":"article-journal","title":"Caregivers and Families of Critically Ill Patients","container-title":"The New England Journal of Medicine","page":"1000-1002","volume":"375","issue":"10","source":"PubMed","DOI":"10.1056/NEJMc1608225","ISSN":"1533-4406","note":"PMID: 27602678","journalAbbreviation":"N. Engl. J. Med.","language":"eng","author":[{"family":"Cameron","given":"Jill I."},{"family":"Wittenberg","given":"Eve"},{"family":"Prosser","given":"Lisa A."}],"issued":{"date-parts":[["2016",9,8]]},"PMID":"27602678"}}],"schema":"https://github.com/citation-style-language/schema/raw/master/csl-citation.json"} </w:instrText>
      </w:r>
      <w:r w:rsidR="00273152" w:rsidRPr="007141B1">
        <w:rPr>
          <w:rFonts w:asciiTheme="minorHAnsi" w:hAnsiTheme="minorHAnsi"/>
          <w:lang w:val="en-GB"/>
        </w:rPr>
        <w:fldChar w:fldCharType="separate"/>
      </w:r>
      <w:r w:rsidR="00D93B3B" w:rsidRPr="009D5B86">
        <w:rPr>
          <w:rFonts w:ascii="Calibri" w:hAnsi="Calibri" w:cs="Calibri"/>
          <w:lang w:val="en-US"/>
        </w:rPr>
        <w:t>[32]</w:t>
      </w:r>
      <w:r w:rsidR="00273152" w:rsidRPr="007141B1">
        <w:rPr>
          <w:rFonts w:asciiTheme="minorHAnsi" w:hAnsiTheme="minorHAnsi"/>
          <w:lang w:val="en-GB"/>
        </w:rPr>
        <w:fldChar w:fldCharType="end"/>
      </w:r>
      <w:r w:rsidR="005B156D" w:rsidRPr="007141B1">
        <w:rPr>
          <w:rFonts w:asciiTheme="minorHAnsi" w:hAnsiTheme="minorHAnsi"/>
          <w:lang w:val="en-GB"/>
        </w:rPr>
        <w:t>.</w:t>
      </w:r>
      <w:r w:rsidR="005812A4" w:rsidRPr="007141B1">
        <w:rPr>
          <w:rFonts w:asciiTheme="minorHAnsi" w:hAnsiTheme="minorHAnsi"/>
          <w:lang w:val="en-GB"/>
        </w:rPr>
        <w:t xml:space="preserve"> Despite expert recommendations to consider non-mortal outcomes in certain patient populations, most septic shock research continues to focus on short-term survival. Determined patient stakeholders have requested a more active role in critical care research</w:t>
      </w:r>
      <w:r w:rsidR="00273152" w:rsidRPr="007141B1">
        <w:rPr>
          <w:rFonts w:asciiTheme="minorHAnsi" w:hAnsiTheme="minorHAnsi"/>
          <w:lang w:val="en-GB"/>
        </w:rPr>
        <w:t xml:space="preserve"> </w:t>
      </w:r>
      <w:r w:rsidR="00273152" w:rsidRPr="007141B1">
        <w:rPr>
          <w:rFonts w:asciiTheme="minorHAnsi" w:hAnsiTheme="minorHAnsi"/>
          <w:lang w:val="en-GB"/>
        </w:rPr>
        <w:fldChar w:fldCharType="begin"/>
      </w:r>
      <w:r w:rsidR="00D93B3B">
        <w:rPr>
          <w:rFonts w:asciiTheme="minorHAnsi" w:hAnsiTheme="minorHAnsi"/>
          <w:lang w:val="en-GB"/>
        </w:rPr>
        <w:instrText xml:space="preserve"> ADDIN ZOTERO_ITEM CSL_CITATION {"citationID":"ist5hlogv","properties":{"formattedCitation":"[33]","plainCitation":"[33]"},"citationItems":[{"id":40,"uris":["http://zotero.org/users/local/ZaW79YVG/items/5Z9VPE8T"],"uri":["http://zotero.org/users/local/ZaW79YVG/items/5Z9VPE8T"],"itemData":{"id":40,"type":"article-journal","title":"Understanding patient-centredness: contrasting expert versus patient perspectives on vasopressor therapy for shock","container-title":"Intensive Care Medicine","source":"PubMed","DOI":"10.1007/s00134-016-4518-x","ISSN":"1432-1238","note":"PMID: 27624068","shortTitle":"Understanding patient-centredness","journalAbbreviation":"Intensive Care Med","language":"eng","author":[{"family":"Lamontagne","given":"Francois"},{"family":"Cohen","given":"Dian"},{"family":"Herridge","given":"Margaret"}],"issued":{"date-parts":[["2016",9,13]]},"PMID":"27624068"}}],"schema":"https://github.com/citation-style-language/schema/raw/master/csl-citation.json"} </w:instrText>
      </w:r>
      <w:r w:rsidR="00273152" w:rsidRPr="007141B1">
        <w:rPr>
          <w:rFonts w:asciiTheme="minorHAnsi" w:hAnsiTheme="minorHAnsi"/>
          <w:lang w:val="en-GB"/>
        </w:rPr>
        <w:fldChar w:fldCharType="separate"/>
      </w:r>
      <w:r w:rsidR="00D93B3B" w:rsidRPr="009D5B86">
        <w:rPr>
          <w:rFonts w:ascii="Calibri" w:hAnsi="Calibri" w:cs="Calibri"/>
          <w:lang w:val="en-US"/>
        </w:rPr>
        <w:t>[33]</w:t>
      </w:r>
      <w:r w:rsidR="00273152" w:rsidRPr="007141B1">
        <w:rPr>
          <w:rFonts w:asciiTheme="minorHAnsi" w:hAnsiTheme="minorHAnsi"/>
          <w:lang w:val="en-GB"/>
        </w:rPr>
        <w:fldChar w:fldCharType="end"/>
      </w:r>
      <w:r w:rsidR="005B156D" w:rsidRPr="007141B1">
        <w:rPr>
          <w:rFonts w:asciiTheme="minorHAnsi" w:hAnsiTheme="minorHAnsi"/>
          <w:noProof/>
          <w:lang w:val="en-GB"/>
        </w:rPr>
        <w:t>,</w:t>
      </w:r>
      <w:r w:rsidR="005812A4" w:rsidRPr="007141B1">
        <w:rPr>
          <w:rFonts w:asciiTheme="minorHAnsi" w:hAnsiTheme="minorHAnsi"/>
          <w:lang w:val="en-GB"/>
        </w:rPr>
        <w:t xml:space="preserve"> and system-level changes are taking place as a result of their engagement</w:t>
      </w:r>
      <w:r w:rsidR="00675F6E">
        <w:rPr>
          <w:rFonts w:asciiTheme="minorHAnsi" w:hAnsiTheme="minorHAnsi"/>
          <w:lang w:val="en-GB"/>
        </w:rPr>
        <w:t xml:space="preserve"> </w:t>
      </w:r>
      <w:r w:rsidR="00675F6E" w:rsidRPr="007141B1">
        <w:rPr>
          <w:rFonts w:asciiTheme="minorHAnsi" w:hAnsiTheme="minorHAnsi"/>
          <w:lang w:val="en-GB"/>
        </w:rPr>
        <w:fldChar w:fldCharType="begin"/>
      </w:r>
      <w:r w:rsidR="00D93B3B">
        <w:rPr>
          <w:rFonts w:asciiTheme="minorHAnsi" w:hAnsiTheme="minorHAnsi"/>
          <w:lang w:val="en-GB"/>
        </w:rPr>
        <w:instrText xml:space="preserve"> ADDIN ZOTERO_ITEM CSL_CITATION {"citationID":"lha8qsgaf","properties":{"formattedCitation":"[34]","plainCitation":"[34]"},"citationItems":[{"id":42,"uris":["http://zotero.org/users/local/ZaW79YVG/items/3FCQ2DQK"],"uri":["http://zotero.org/users/local/ZaW79YVG/items/3FCQ2DQK"],"itemData":{"id":42,"type":"article-journal","title":"Stakeholder-Driven Comparative Effectiveness Research: An Update From PCORI","container-title":"JAMA","page":"2235-2236","volume":"314","issue":"21","source":"PubMed","DOI":"10.1001/jama.2015.15139","ISSN":"1538-3598","note":"PMID: 26595059","shortTitle":"Stakeholder-Driven Comparative Effectiveness Research","journalAbbreviation":"JAMA","language":"eng","author":[{"family":"Selby","given":"Joseph V."},{"family":"Forsythe","given":"Laura"},{"family":"Sox","given":"Harold C."}],"issued":{"date-parts":[["2015",12,1]]},"PMID":"26595059"}}],"schema":"https://github.com/citation-style-language/schema/raw/master/csl-citation.json"} </w:instrText>
      </w:r>
      <w:r w:rsidR="00675F6E" w:rsidRPr="007141B1">
        <w:rPr>
          <w:rFonts w:asciiTheme="minorHAnsi" w:hAnsiTheme="minorHAnsi"/>
          <w:lang w:val="en-GB"/>
        </w:rPr>
        <w:fldChar w:fldCharType="separate"/>
      </w:r>
      <w:r w:rsidR="00D93B3B" w:rsidRPr="009D5B86">
        <w:rPr>
          <w:rFonts w:ascii="Calibri" w:hAnsi="Calibri" w:cs="Calibri"/>
          <w:lang w:val="en-US"/>
        </w:rPr>
        <w:t>[34]</w:t>
      </w:r>
      <w:r w:rsidR="00675F6E" w:rsidRPr="007141B1">
        <w:rPr>
          <w:rFonts w:asciiTheme="minorHAnsi" w:hAnsiTheme="minorHAnsi"/>
          <w:lang w:val="en-GB"/>
        </w:rPr>
        <w:fldChar w:fldCharType="end"/>
      </w:r>
      <w:r w:rsidR="005812A4" w:rsidRPr="007141B1">
        <w:rPr>
          <w:rFonts w:asciiTheme="minorHAnsi" w:hAnsiTheme="minorHAnsi"/>
          <w:lang w:val="en-GB"/>
        </w:rPr>
        <w:t xml:space="preserve">. </w:t>
      </w:r>
      <w:r w:rsidR="00675F6E">
        <w:rPr>
          <w:rFonts w:asciiTheme="minorHAnsi" w:hAnsiTheme="minorHAnsi"/>
          <w:lang w:val="en-GB"/>
        </w:rPr>
        <w:t>If</w:t>
      </w:r>
      <w:r w:rsidR="005812A4" w:rsidRPr="007141B1">
        <w:rPr>
          <w:rFonts w:asciiTheme="minorHAnsi" w:hAnsiTheme="minorHAnsi"/>
          <w:lang w:val="en-GB"/>
        </w:rPr>
        <w:t xml:space="preserve"> septic shock research </w:t>
      </w:r>
      <w:r w:rsidR="00675F6E">
        <w:rPr>
          <w:rFonts w:asciiTheme="minorHAnsi" w:hAnsiTheme="minorHAnsi"/>
          <w:lang w:val="en-GB"/>
        </w:rPr>
        <w:t>embraces these initiatives</w:t>
      </w:r>
      <w:r w:rsidR="005812A4" w:rsidRPr="007141B1">
        <w:rPr>
          <w:rFonts w:asciiTheme="minorHAnsi" w:hAnsiTheme="minorHAnsi"/>
          <w:lang w:val="en-GB"/>
        </w:rPr>
        <w:t xml:space="preserve">, increasing emphasis on patient-centred research may prove to be </w:t>
      </w:r>
      <w:r w:rsidR="00387D9E">
        <w:rPr>
          <w:rFonts w:asciiTheme="minorHAnsi" w:hAnsiTheme="minorHAnsi"/>
          <w:lang w:val="en-GB"/>
        </w:rPr>
        <w:t>a</w:t>
      </w:r>
      <w:r w:rsidR="005812A4" w:rsidRPr="007141B1">
        <w:rPr>
          <w:rFonts w:asciiTheme="minorHAnsi" w:hAnsiTheme="minorHAnsi"/>
          <w:lang w:val="en-GB"/>
        </w:rPr>
        <w:t xml:space="preserve"> significant advance in the field.</w:t>
      </w:r>
    </w:p>
    <w:p w:rsidR="00F163A6" w:rsidRDefault="00F163A6" w:rsidP="00851E20">
      <w:pPr>
        <w:spacing w:before="100" w:beforeAutospacing="1" w:after="100" w:afterAutospacing="1" w:line="360" w:lineRule="auto"/>
        <w:rPr>
          <w:rFonts w:asciiTheme="minorHAnsi" w:hAnsiTheme="minorHAnsi"/>
          <w:lang w:val="en-GB"/>
        </w:rPr>
      </w:pPr>
    </w:p>
    <w:p w:rsidR="00140691" w:rsidRPr="007141B1" w:rsidRDefault="00140691" w:rsidP="00851E20">
      <w:pPr>
        <w:spacing w:before="100" w:beforeAutospacing="1" w:after="100" w:afterAutospacing="1" w:line="360" w:lineRule="auto"/>
        <w:rPr>
          <w:rFonts w:asciiTheme="minorHAnsi" w:hAnsiTheme="minorHAnsi"/>
          <w:b/>
          <w:color w:val="000000"/>
          <w:sz w:val="28"/>
          <w:szCs w:val="28"/>
          <w:lang w:val="en-GB"/>
        </w:rPr>
      </w:pPr>
      <w:r w:rsidRPr="007141B1">
        <w:rPr>
          <w:rFonts w:asciiTheme="minorHAnsi" w:hAnsiTheme="minorHAnsi"/>
          <w:b/>
          <w:color w:val="000000"/>
          <w:sz w:val="28"/>
          <w:szCs w:val="28"/>
          <w:lang w:val="en-GB"/>
        </w:rPr>
        <w:t>What are the common</w:t>
      </w:r>
      <w:r w:rsidR="00E32EE0">
        <w:rPr>
          <w:rFonts w:asciiTheme="minorHAnsi" w:hAnsiTheme="minorHAnsi"/>
          <w:b/>
          <w:color w:val="000000"/>
          <w:sz w:val="28"/>
          <w:szCs w:val="28"/>
          <w:lang w:val="en-GB"/>
        </w:rPr>
        <w:t>ly held</w:t>
      </w:r>
      <w:r w:rsidRPr="007141B1">
        <w:rPr>
          <w:rFonts w:asciiTheme="minorHAnsi" w:hAnsiTheme="minorHAnsi"/>
          <w:b/>
          <w:color w:val="000000"/>
          <w:sz w:val="28"/>
          <w:szCs w:val="28"/>
          <w:lang w:val="en-GB"/>
        </w:rPr>
        <w:t xml:space="preserve"> beliefs that have been contradicted by recent trials</w:t>
      </w:r>
      <w:r w:rsidR="00A35BC1" w:rsidRPr="007141B1">
        <w:rPr>
          <w:rFonts w:asciiTheme="minorHAnsi" w:hAnsiTheme="minorHAnsi"/>
          <w:b/>
          <w:color w:val="000000"/>
          <w:sz w:val="28"/>
          <w:szCs w:val="28"/>
          <w:lang w:val="en-GB"/>
        </w:rPr>
        <w:t xml:space="preserve"> in septic shock</w:t>
      </w:r>
      <w:r w:rsidRPr="007141B1">
        <w:rPr>
          <w:rFonts w:asciiTheme="minorHAnsi" w:hAnsiTheme="minorHAnsi"/>
          <w:b/>
          <w:color w:val="000000"/>
          <w:sz w:val="28"/>
          <w:szCs w:val="28"/>
          <w:lang w:val="en-GB"/>
        </w:rPr>
        <w:t>?</w:t>
      </w:r>
    </w:p>
    <w:p w:rsidR="00BF2A74" w:rsidRPr="007141B1" w:rsidRDefault="005761A4" w:rsidP="00851E20">
      <w:pPr>
        <w:spacing w:line="360" w:lineRule="auto"/>
        <w:rPr>
          <w:rFonts w:asciiTheme="minorHAnsi" w:hAnsiTheme="minorHAnsi" w:cs="Arial"/>
          <w:lang w:val="en-GB"/>
        </w:rPr>
      </w:pPr>
      <w:r w:rsidRPr="007141B1">
        <w:rPr>
          <w:rFonts w:asciiTheme="minorHAnsi" w:hAnsiTheme="minorHAnsi" w:cs="Arial"/>
          <w:lang w:val="en-GB"/>
        </w:rPr>
        <w:t>For</w:t>
      </w:r>
      <w:r w:rsidR="00DD1B18" w:rsidRPr="007141B1">
        <w:rPr>
          <w:rFonts w:asciiTheme="minorHAnsi" w:hAnsiTheme="minorHAnsi" w:cs="Arial"/>
          <w:lang w:val="en-GB"/>
        </w:rPr>
        <w:t xml:space="preserve"> </w:t>
      </w:r>
      <w:r w:rsidR="0037160E" w:rsidRPr="007141B1">
        <w:rPr>
          <w:rFonts w:asciiTheme="minorHAnsi" w:hAnsiTheme="minorHAnsi" w:cs="Arial"/>
          <w:lang w:val="en-GB"/>
        </w:rPr>
        <w:t xml:space="preserve">the management of </w:t>
      </w:r>
      <w:r w:rsidRPr="007141B1">
        <w:rPr>
          <w:rFonts w:asciiTheme="minorHAnsi" w:hAnsiTheme="minorHAnsi" w:cs="Arial"/>
          <w:lang w:val="en-GB"/>
        </w:rPr>
        <w:t>septic shock,</w:t>
      </w:r>
      <w:r w:rsidR="00DD1B18" w:rsidRPr="007141B1">
        <w:rPr>
          <w:rFonts w:asciiTheme="minorHAnsi" w:hAnsiTheme="minorHAnsi" w:cs="Arial"/>
          <w:lang w:val="en-GB"/>
        </w:rPr>
        <w:t xml:space="preserve"> s</w:t>
      </w:r>
      <w:r w:rsidR="000C4992" w:rsidRPr="007141B1">
        <w:rPr>
          <w:rFonts w:asciiTheme="minorHAnsi" w:hAnsiTheme="minorHAnsi" w:cs="Arial"/>
          <w:lang w:val="en-GB"/>
        </w:rPr>
        <w:t xml:space="preserve">everal </w:t>
      </w:r>
      <w:r w:rsidR="00DD1B18" w:rsidRPr="007141B1">
        <w:rPr>
          <w:rFonts w:asciiTheme="minorHAnsi" w:hAnsiTheme="minorHAnsi" w:cs="Arial"/>
          <w:lang w:val="en-GB"/>
        </w:rPr>
        <w:t xml:space="preserve">beliefs have been contradicted and </w:t>
      </w:r>
      <w:r w:rsidR="00387D9E">
        <w:rPr>
          <w:rFonts w:asciiTheme="minorHAnsi" w:hAnsiTheme="minorHAnsi" w:cs="Arial"/>
          <w:lang w:val="en-GB"/>
        </w:rPr>
        <w:t>guideline</w:t>
      </w:r>
      <w:r w:rsidR="00387D9E" w:rsidRPr="007141B1">
        <w:rPr>
          <w:rFonts w:asciiTheme="minorHAnsi" w:hAnsiTheme="minorHAnsi" w:cs="Arial"/>
          <w:lang w:val="en-GB"/>
        </w:rPr>
        <w:t xml:space="preserve"> </w:t>
      </w:r>
      <w:r w:rsidR="000C4992" w:rsidRPr="007141B1">
        <w:rPr>
          <w:rFonts w:asciiTheme="minorHAnsi" w:hAnsiTheme="minorHAnsi" w:cs="Arial"/>
          <w:lang w:val="en-GB"/>
        </w:rPr>
        <w:t>recommendations</w:t>
      </w:r>
      <w:r w:rsidR="001E244A" w:rsidRPr="007141B1">
        <w:rPr>
          <w:rFonts w:asciiTheme="minorHAnsi" w:hAnsiTheme="minorHAnsi" w:cs="Arial"/>
          <w:lang w:val="en-GB"/>
        </w:rPr>
        <w:t xml:space="preserve"> </w:t>
      </w:r>
      <w:r w:rsidR="00DD1B18" w:rsidRPr="007141B1">
        <w:rPr>
          <w:rFonts w:asciiTheme="minorHAnsi" w:hAnsiTheme="minorHAnsi" w:cs="Arial"/>
          <w:lang w:val="en-GB"/>
        </w:rPr>
        <w:t xml:space="preserve">changed or challenged </w:t>
      </w:r>
      <w:r w:rsidR="000C4992" w:rsidRPr="007141B1">
        <w:rPr>
          <w:rFonts w:asciiTheme="minorHAnsi" w:hAnsiTheme="minorHAnsi" w:cs="Arial"/>
          <w:lang w:val="en-GB"/>
        </w:rPr>
        <w:t xml:space="preserve">following the publication of RCTs and systematic reviews </w:t>
      </w:r>
      <w:r w:rsidR="001E244A" w:rsidRPr="007141B1">
        <w:rPr>
          <w:rFonts w:asciiTheme="minorHAnsi" w:hAnsiTheme="minorHAnsi" w:cs="Arial"/>
          <w:lang w:val="en-GB"/>
        </w:rPr>
        <w:t xml:space="preserve">with </w:t>
      </w:r>
      <w:r w:rsidR="00387D9E">
        <w:rPr>
          <w:rFonts w:asciiTheme="minorHAnsi" w:hAnsiTheme="minorHAnsi" w:cs="Arial"/>
          <w:lang w:val="en-GB"/>
        </w:rPr>
        <w:t xml:space="preserve">a </w:t>
      </w:r>
      <w:r w:rsidR="00AA7DD5">
        <w:rPr>
          <w:rFonts w:asciiTheme="minorHAnsi" w:hAnsiTheme="minorHAnsi" w:cs="Arial"/>
          <w:lang w:val="en-GB"/>
        </w:rPr>
        <w:t>lower risk of bias</w:t>
      </w:r>
      <w:r w:rsidR="000C4992" w:rsidRPr="007141B1">
        <w:rPr>
          <w:rFonts w:asciiTheme="minorHAnsi" w:hAnsiTheme="minorHAnsi" w:cs="Arial"/>
          <w:lang w:val="en-GB"/>
        </w:rPr>
        <w:t xml:space="preserve">. </w:t>
      </w:r>
      <w:r w:rsidR="009B47CD" w:rsidRPr="007141B1">
        <w:rPr>
          <w:rFonts w:asciiTheme="minorHAnsi" w:hAnsiTheme="minorHAnsi" w:cs="Arial"/>
          <w:lang w:val="en-GB"/>
        </w:rPr>
        <w:t>These changes represent progress within the field that should prompt caution among clinicians, guideline committee members and policy-makers</w:t>
      </w:r>
      <w:r w:rsidR="001B601F">
        <w:rPr>
          <w:rFonts w:asciiTheme="minorHAnsi" w:hAnsiTheme="minorHAnsi" w:cs="Arial"/>
          <w:lang w:val="en-GB"/>
        </w:rPr>
        <w:t>,</w:t>
      </w:r>
      <w:r w:rsidR="009B47CD" w:rsidRPr="007141B1">
        <w:rPr>
          <w:rFonts w:asciiTheme="minorHAnsi" w:hAnsiTheme="minorHAnsi" w:cs="Arial"/>
          <w:lang w:val="en-GB"/>
        </w:rPr>
        <w:t xml:space="preserve"> </w:t>
      </w:r>
      <w:r w:rsidR="00387D9E">
        <w:rPr>
          <w:rFonts w:asciiTheme="minorHAnsi" w:hAnsiTheme="minorHAnsi" w:cs="Arial"/>
          <w:lang w:val="en-GB"/>
        </w:rPr>
        <w:t xml:space="preserve">especially </w:t>
      </w:r>
      <w:r w:rsidR="009B47CD" w:rsidRPr="007141B1">
        <w:rPr>
          <w:rFonts w:asciiTheme="minorHAnsi" w:hAnsiTheme="minorHAnsi" w:cs="Arial"/>
          <w:lang w:val="en-GB"/>
        </w:rPr>
        <w:t xml:space="preserve">when assessing results of </w:t>
      </w:r>
      <w:r w:rsidR="00387D9E" w:rsidRPr="007141B1">
        <w:rPr>
          <w:rFonts w:asciiTheme="minorHAnsi" w:hAnsiTheme="minorHAnsi" w:cs="Arial"/>
          <w:lang w:val="en-GB"/>
        </w:rPr>
        <w:t xml:space="preserve">trials </w:t>
      </w:r>
      <w:r w:rsidR="00387D9E">
        <w:rPr>
          <w:rFonts w:asciiTheme="minorHAnsi" w:hAnsiTheme="minorHAnsi" w:cs="Arial"/>
          <w:lang w:val="en-GB"/>
        </w:rPr>
        <w:t xml:space="preserve">with </w:t>
      </w:r>
      <w:r w:rsidR="00675F6E">
        <w:rPr>
          <w:rFonts w:asciiTheme="minorHAnsi" w:hAnsiTheme="minorHAnsi" w:cs="Arial"/>
          <w:lang w:val="en-GB"/>
        </w:rPr>
        <w:t>high-risk of bias</w:t>
      </w:r>
      <w:r w:rsidR="009B47CD" w:rsidRPr="007141B1">
        <w:rPr>
          <w:rFonts w:asciiTheme="minorHAnsi" w:hAnsiTheme="minorHAnsi" w:cs="Arial"/>
          <w:lang w:val="en-GB"/>
        </w:rPr>
        <w:t xml:space="preserve"> </w:t>
      </w:r>
      <w:r w:rsidR="00387D9E">
        <w:rPr>
          <w:rFonts w:asciiTheme="minorHAnsi" w:hAnsiTheme="minorHAnsi" w:cs="Arial"/>
          <w:lang w:val="en-GB"/>
        </w:rPr>
        <w:t>and</w:t>
      </w:r>
      <w:r w:rsidR="009B47CD" w:rsidRPr="007141B1">
        <w:rPr>
          <w:rFonts w:asciiTheme="minorHAnsi" w:hAnsiTheme="minorHAnsi" w:cs="Arial"/>
          <w:lang w:val="en-GB"/>
        </w:rPr>
        <w:t xml:space="preserve"> low levels of </w:t>
      </w:r>
      <w:r w:rsidR="00C0593A">
        <w:rPr>
          <w:rFonts w:asciiTheme="minorHAnsi" w:hAnsiTheme="minorHAnsi" w:cs="Arial"/>
          <w:lang w:val="en-GB"/>
        </w:rPr>
        <w:t>ex</w:t>
      </w:r>
      <w:r w:rsidR="009B47CD" w:rsidRPr="007141B1">
        <w:rPr>
          <w:rFonts w:asciiTheme="minorHAnsi" w:hAnsiTheme="minorHAnsi" w:cs="Arial"/>
          <w:lang w:val="en-GB"/>
        </w:rPr>
        <w:t>ternal validity.</w:t>
      </w:r>
    </w:p>
    <w:p w:rsidR="009B47CD" w:rsidRPr="007141B1" w:rsidRDefault="009B47CD" w:rsidP="00851E20">
      <w:pPr>
        <w:spacing w:line="360" w:lineRule="auto"/>
        <w:rPr>
          <w:rFonts w:asciiTheme="minorHAnsi" w:hAnsiTheme="minorHAnsi" w:cs="Arial"/>
          <w:lang w:val="en-GB"/>
        </w:rPr>
      </w:pPr>
    </w:p>
    <w:p w:rsidR="00BF2A74" w:rsidRPr="007141B1" w:rsidRDefault="00BF2A74" w:rsidP="00851E20">
      <w:pPr>
        <w:spacing w:line="360" w:lineRule="auto"/>
        <w:rPr>
          <w:rFonts w:asciiTheme="minorHAnsi" w:hAnsiTheme="minorHAnsi" w:cs="Arial"/>
          <w:b/>
          <w:lang w:val="en-GB"/>
        </w:rPr>
      </w:pPr>
      <w:r w:rsidRPr="007141B1">
        <w:rPr>
          <w:rFonts w:asciiTheme="minorHAnsi" w:hAnsiTheme="minorHAnsi" w:cs="Arial"/>
          <w:b/>
          <w:lang w:val="en-GB"/>
        </w:rPr>
        <w:t>Early goal-directed therapy (EGDT) for patients with septic shock</w:t>
      </w:r>
    </w:p>
    <w:p w:rsidR="00BF2A74" w:rsidRPr="007141B1" w:rsidRDefault="009B47CD" w:rsidP="00851E20">
      <w:pPr>
        <w:spacing w:line="360" w:lineRule="auto"/>
        <w:rPr>
          <w:rFonts w:asciiTheme="minorHAnsi" w:hAnsiTheme="minorHAnsi" w:cs="Arial"/>
          <w:lang w:val="en-GB"/>
        </w:rPr>
      </w:pPr>
      <w:r w:rsidRPr="007141B1">
        <w:rPr>
          <w:rFonts w:asciiTheme="minorHAnsi" w:hAnsiTheme="minorHAnsi" w:cs="Arial"/>
          <w:lang w:val="en-GB"/>
        </w:rPr>
        <w:t xml:space="preserve">The resuscitation bundles by the SSC guidelines were based on the concept of EGDT produced by the results of a </w:t>
      </w:r>
      <w:r w:rsidR="00C225D2">
        <w:rPr>
          <w:rFonts w:asciiTheme="minorHAnsi" w:hAnsiTheme="minorHAnsi" w:cs="Arial"/>
          <w:lang w:val="en-GB"/>
        </w:rPr>
        <w:t xml:space="preserve">small, </w:t>
      </w:r>
      <w:r w:rsidR="00E20693">
        <w:rPr>
          <w:rFonts w:asciiTheme="minorHAnsi" w:hAnsiTheme="minorHAnsi" w:cs="Arial"/>
          <w:lang w:val="en-GB"/>
        </w:rPr>
        <w:t xml:space="preserve">single-centred, unblinded trial </w:t>
      </w:r>
      <w:r w:rsidR="00273152" w:rsidRPr="007141B1">
        <w:rPr>
          <w:rFonts w:asciiTheme="minorHAnsi" w:hAnsiTheme="minorHAnsi" w:cs="Arial"/>
          <w:lang w:val="en-GB"/>
        </w:rPr>
        <w:fldChar w:fldCharType="begin"/>
      </w:r>
      <w:r w:rsidR="006E59A1">
        <w:rPr>
          <w:rFonts w:asciiTheme="minorHAnsi" w:hAnsiTheme="minorHAnsi" w:cs="Arial"/>
          <w:lang w:val="en-GB"/>
        </w:rPr>
        <w:instrText xml:space="preserve"> ADDIN ZOTERO_ITEM CSL_CITATION {"citationID":"26fd6p86s7","properties":{"formattedCitation":"[19]","plainCitation":"[19]"},"citationItems":[{"id":22,"uris":["http://zotero.org/users/local/ZaW79YVG/items/WMTETCM7"],"uri":["http://zotero.org/users/local/ZaW79YVG/items/WMTETCM7"],"itemData":{"id":22,"type":"article-journal","title":"Early goal-directed therapy in the treatment of severe sepsis and septic shock","container-title":"The New England Journal of Medicine","page":"1368-1377","volume":"345","issue":"19","source":"PubMed","abstract":"BACKGROUND: Goal-directed therapy has been used for severe sepsis and septic shock in the intensive care unit. This approach involves adjustments of cardiac preload, afterload, and contractility to balance oxygen delivery with oxygen demand. The purpose of this study was to evaluate the efficacy of early goal-directed therapy before admission to the intensive care unit.\nMETHODS: We randomly assigned patients who arrived at an urban emergency department with severe sepsis or septic shock to receive either six hours of early goal-directed therapy or standard therapy (as a control) before admission to the intensive care unit. Clinicians who subsequently assumed the care of the patients were blinded to the treatment assignment. In-hospital mortality (the primary efficacy outcome), end points with respect to resuscitation, and Acute Physiology and Chronic Health Evaluation (APACHE II) scores were obtained serially for 72 hours and compared between the study groups.\nRESULTS: Of the 263 enrolled patients, 130 were randomly assigned to early goal-directed therapy and 133 to standard therapy; there were no significant differences between the groups with respect to base-line characteristics. In-hospital mortality was 30.5 percent in the group assigned to early goal-directed therapy, as compared with 46.5 percent in the group assigned to standard therapy (P = 0.009). During the interval from 7 to 72 hours, the patients assigned to early goal-directed therapy had a significantly higher mean (+/-SD) central venous oxygen saturation (70.4+/-10.7 percent vs. 65.3+/-11.4 percent), a lower lactate concentration (3.0+/-4.4 vs. 3.9+/-4.4 mmol per liter), a lower base deficit (2.0+/-6.6 vs. 5.1+/-6.7 mmol per liter), and a higher pH (7.40+/-0.12 vs. 7.36+/-0.12) than the patients assigned to standard therapy (P &lt; or = 0.02 for all comparisons). During the same period, mean APACHE II scores were significantly lower, indicating less severe organ dysfunction, in the patients assigned to early goal-directed therapy than in those assigned to standard therapy (13.0+/-6.3 vs. 15.9+/-6.4, P &lt; 0.001).\nCONCLUSIONS: Early goal-directed therapy provides significant benefits with respect to outcome in patients with severe sepsis and septic shock.","DOI":"10.1056/NEJMoa010307","ISSN":"0028-4793","note":"PMID: 11794169","journalAbbreviation":"N. Engl. J. Med.","language":"eng","author":[{"family":"Rivers","given":"E."},{"family":"Nguyen","given":"B."},{"family":"Havstad","given":"S."},{"family":"Ressler","given":"J."},{"family":"Muzzin","given":"A."},{"family":"Knoblich","given":"B."},{"family":"Peterson","given":"E."},{"family":"Tomlanovich","given":"M."},{"literal":"Early Goal-Directed Therapy Collaborative Group"}],"issued":{"date-parts":[["2001",11,8]]},"PMID":"11794169"}}],"schema":"https://github.com/citation-style-language/schema/raw/master/csl-citation.json"} </w:instrText>
      </w:r>
      <w:r w:rsidR="00273152" w:rsidRPr="007141B1">
        <w:rPr>
          <w:rFonts w:asciiTheme="minorHAnsi" w:hAnsiTheme="minorHAnsi" w:cs="Arial"/>
          <w:lang w:val="en-GB"/>
        </w:rPr>
        <w:fldChar w:fldCharType="separate"/>
      </w:r>
      <w:r w:rsidR="006E59A1" w:rsidRPr="006E59A1">
        <w:rPr>
          <w:rFonts w:ascii="Calibri" w:hAnsi="Calibri" w:cs="Calibri"/>
        </w:rPr>
        <w:t>[19]</w:t>
      </w:r>
      <w:r w:rsidR="00273152" w:rsidRPr="007141B1">
        <w:rPr>
          <w:rFonts w:asciiTheme="minorHAnsi" w:hAnsiTheme="minorHAnsi" w:cs="Arial"/>
          <w:lang w:val="en-GB"/>
        </w:rPr>
        <w:fldChar w:fldCharType="end"/>
      </w:r>
      <w:r w:rsidR="00BF2A74" w:rsidRPr="007141B1">
        <w:rPr>
          <w:rFonts w:asciiTheme="minorHAnsi" w:hAnsiTheme="minorHAnsi" w:cs="Arial"/>
          <w:lang w:val="en-GB"/>
        </w:rPr>
        <w:t xml:space="preserve">. </w:t>
      </w:r>
      <w:r w:rsidR="00B4258F" w:rsidRPr="007141B1">
        <w:rPr>
          <w:rFonts w:asciiTheme="minorHAnsi" w:hAnsiTheme="minorHAnsi" w:cs="Arial"/>
          <w:lang w:val="en-GB"/>
        </w:rPr>
        <w:t>T</w:t>
      </w:r>
      <w:r w:rsidR="00BF2A74" w:rsidRPr="007141B1">
        <w:rPr>
          <w:rFonts w:asciiTheme="minorHAnsi" w:hAnsiTheme="minorHAnsi" w:cs="Arial"/>
          <w:lang w:val="en-GB"/>
        </w:rPr>
        <w:t>he</w:t>
      </w:r>
      <w:r w:rsidR="00675F6E">
        <w:rPr>
          <w:rFonts w:asciiTheme="minorHAnsi" w:hAnsiTheme="minorHAnsi" w:cs="Arial"/>
          <w:lang w:val="en-GB"/>
        </w:rPr>
        <w:t>se</w:t>
      </w:r>
      <w:r w:rsidR="00BF2A74" w:rsidRPr="007141B1">
        <w:rPr>
          <w:rFonts w:asciiTheme="minorHAnsi" w:hAnsiTheme="minorHAnsi" w:cs="Arial"/>
          <w:lang w:val="en-GB"/>
        </w:rPr>
        <w:t xml:space="preserve"> characteristics may</w:t>
      </w:r>
      <w:r w:rsidR="00B4258F" w:rsidRPr="007141B1">
        <w:rPr>
          <w:rFonts w:asciiTheme="minorHAnsi" w:hAnsiTheme="minorHAnsi" w:cs="Arial"/>
          <w:lang w:val="en-GB"/>
        </w:rPr>
        <w:t xml:space="preserve"> have</w:t>
      </w:r>
      <w:r w:rsidR="00BF2A74" w:rsidRPr="007141B1">
        <w:rPr>
          <w:rFonts w:asciiTheme="minorHAnsi" w:hAnsiTheme="minorHAnsi" w:cs="Arial"/>
          <w:lang w:val="en-GB"/>
        </w:rPr>
        <w:t xml:space="preserve"> overestimat</w:t>
      </w:r>
      <w:r w:rsidR="00B4258F" w:rsidRPr="007141B1">
        <w:rPr>
          <w:rFonts w:asciiTheme="minorHAnsi" w:hAnsiTheme="minorHAnsi" w:cs="Arial"/>
          <w:lang w:val="en-GB"/>
        </w:rPr>
        <w:t>ed</w:t>
      </w:r>
      <w:r w:rsidR="00BF2A74" w:rsidRPr="007141B1">
        <w:rPr>
          <w:rFonts w:asciiTheme="minorHAnsi" w:hAnsiTheme="minorHAnsi" w:cs="Arial"/>
          <w:lang w:val="en-GB"/>
        </w:rPr>
        <w:t xml:space="preserve"> the effect</w:t>
      </w:r>
      <w:r w:rsidR="00B4258F" w:rsidRPr="007141B1">
        <w:rPr>
          <w:rFonts w:asciiTheme="minorHAnsi" w:hAnsiTheme="minorHAnsi" w:cs="Arial"/>
          <w:lang w:val="en-GB"/>
        </w:rPr>
        <w:t xml:space="preserve"> of EGDT</w:t>
      </w:r>
      <w:r w:rsidR="00BF2A74" w:rsidRPr="007141B1">
        <w:rPr>
          <w:rFonts w:asciiTheme="minorHAnsi" w:hAnsiTheme="minorHAnsi" w:cs="Arial"/>
          <w:lang w:val="en-GB"/>
        </w:rPr>
        <w:t xml:space="preserve"> </w:t>
      </w:r>
      <w:r w:rsidR="006B160C" w:rsidRPr="007141B1">
        <w:rPr>
          <w:rFonts w:asciiTheme="minorHAnsi" w:hAnsiTheme="minorHAnsi" w:cs="Arial"/>
          <w:lang w:val="en-GB"/>
        </w:rPr>
        <w:fldChar w:fldCharType="begin"/>
      </w:r>
      <w:r w:rsidR="00D93B3B">
        <w:rPr>
          <w:rFonts w:asciiTheme="minorHAnsi" w:hAnsiTheme="minorHAnsi" w:cs="Arial"/>
          <w:lang w:val="en-GB"/>
        </w:rPr>
        <w:instrText xml:space="preserve"> ADDIN ZOTERO_ITEM CSL_CITATION {"citationID":"88nvqn83r","properties":{"formattedCitation":"{\\rtf [35\\uc0\\u8211{}37]}","plainCitation":"[35–37]"},"citationItems":[{"id":44,"uris":["http://zotero.org/users/local/ZaW79YVG/items/UCRIEHJF"],"uri":["http://zotero.org/users/local/ZaW79YVG/items/UCRIEHJF"],"itemData":{"id":44,"type":"article-journal","title":"Impact of single centre status on estimates of intervention effects in trials with continuous outcomes: meta-epidemiological study","container-title":"BMJ (Clinical research ed.)","page":"e813","volume":"344","source":"PubMed","abstract":"OBJECTIVE: To compare estimates of intervention effects between single centre and multicentre randomised controlled trials with continuous outcomes.\nDESIGN: Meta-epidemiological study.\nDATA SOURCES: 26 meta-analyses totalling 292 randomised controlled trials (177 single centre, 115 multicentre) with continuous outcomes published between January 2007 and January 2010 in the Cochrane database of systematic reviews.\nDATA EXTRACTION: Data were extracted on characteristics of trials, single or multicentre status, risk of bias using the risk of bias tool of the Cochrane Collaboration, and results.\nDATA SYNTHESIS: The intervention effects were estimated with standardised mean differences. For each meta-analysis, random effects meta-regression was used to estimate the difference in standardised mean differences between single centre and multicentre trials. Differences in standardised mean differences were then pooled across meta-analyses by a random-effects meta-analysis model. A combined difference in standardised mean differences of less than 0 indicated that single centre trials showed larger treatment effects, on average, than did multicentre trials. Because single centre trials may be more prone to publication bias and may have lower methodological quality than multicentre trials, sensitivity analyses were done with adjustment for sample size and domains of the risk of bias tool.\nRESULTS: Single centre trials showed larger intervention effects than did multicentre trials (combined difference in standardised mean differences -0.09, 95% confidence interval -0.17 to -0.01, P=0.04), with low heterogeneity across individual meta-analyses (I(2)=0%, between meta-analyses variance τ(2)=0.00). Adjustment for sample size slightly attenuated the difference (-0.08, -0.17 to 0.01). Adjustment for risk of bias yielded similar estimates with wider confidence intervals, some of them crossing 0 (-0.09, -0.17 to 0.00 for overall risk of bias).\nCONCLUSIONS: On average, single centre clinical trials with continuous outcomes showed slightly larger intervention effects than did multicentre trials. Further research is needed to investigate potential causes of these differences.","ISSN":"1756-1833","note":"PMID: 22334559\nPMCID: PMC3279328","shortTitle":"Impact of single centre status on estimates of intervention effects in trials with continuous outcomes","journalAbbreviation":"BMJ","language":"eng","author":[{"family":"Bafeta","given":"Aïda"},{"family":"Dechartres","given":"Agnes"},{"family":"Trinquart","given":"Ludovic"},{"family":"Yavchitz","given":"Amélie"},{"family":"Boutron","given":"Isabelle"},{"family":"Ravaud","given":"Philippe"}],"issued":{"date-parts":[["2012",2,14]]},"PMID":"22334559","PMCID":"PMC3279328"}},{"id":46,"uris":["http://zotero.org/users/local/ZaW79YVG/items/MDXE33FU"],"uri":["http://zotero.org/users/local/ZaW79YVG/items/MDXE33FU"],"itemData":{"id":46,"type":"article-journal","title":"Is the literature inconclusive about the harm from HES? No","container-title":"Intensive Care Medicine","source":"PubMed","DOI":"10.1007/s00134-016-4275-x","ISSN":"1432-1238","note":"PMID: 27007101","shortTitle":"Is the literature inconclusive about the harm from HES?","journalAbbreviation":"Intensive Care Med","language":"eng","author":[{"family":"Wiedermann","given":"Christian J."},{"family":"Bellomo","given":"Rinaldo"},{"family":"Perner","given":"Anders"}],"issued":{"date-parts":[["2016",3,23]]},"PMID":"27007101"}},{"id":48,"uris":["http://zotero.org/users/local/ZaW79YVG/items/WJQQQHZ9"],"uri":["http://zotero.org/users/local/ZaW79YVG/items/WJQQQHZ9"],"itemData":{"id":48,"type":"article-journal","title":"Mortality in Multicenter Critical Care Trials: An Analysis of Interventions With a Significant Effect","container-title":"Critical Care Medicine","page":"1559-1568","volume":"43","issue":"8","source":"PubMed","abstract":"OBJECTIVES: We aimed to identify all treatments that affect mortality in adult critically ill patients in multicenter randomized controlled trials. We also evaluated the methodological aspects of these studies, and we surveyed clinicians' opinion and usual practice for the selected interventions.\nDATA SOURCES: MEDLINE/PubMed, Scopus, and Embase were searched. Further articles were suggested for inclusion from experts and cross-check of references.\nSTUDY SELECTION: We selected the articles that fulfilled the following criteria: publication in a peer-reviewed journal; multicenter randomized controlled trial design; dealing with nonsurgical interventions in adult critically ill patients; and statistically significant effect in unadjusted landmark mortality. A consensus conference assessed all interventions and excluded those with lack of reproducibility, lack of generalizability, high probability of type I error, major baseline imbalances between intervention and control groups, major design flaws, contradiction by subsequent larger higher quality trials, modified intention to treat analysis, effect found only after adjustments, and lack of biological plausibility.\nDATA EXTRACTION: For all selected studies, we recorded the intervention and its comparator, the setting, the sample size, whether enrollment was completed or interrupted, the presence of blinding, the effect size, and the duration of follow-up.\nDATA SYNTHESIS: We found 15 interventions that affected mortality in 24 multicenter randomized controlled trials. Median sample size was small (199 patients) as was median centers number (10). Blinded trials enrolled significantly more patients and involved more centers. Multicenter randomized controlled trials showing harm also involved significantly more centers and more patients (p = 0.016 and p = 0.04, respectively). Five hundred fifty-five clinicians from 61 countries showed variable agreement on perceived validity of such interventions.\nCONCLUSIONS: We identified 15 treatments that decreased/increased mortality in critically ill patients in 24 multicenter randomized controlled trials. However, design affected trial size and larger trials were more likely to show harm. Finally, clinicians view of such trials and their translation into practice varied.","DOI":"10.1097/CCM.0000000000000974","ISSN":"1530-0293","note":"PMID: 25821918","shortTitle":"Mortality in Multicenter Critical Care Trials","journalAbbreviation":"Crit. Care Med.","language":"eng","author":[{"family":"Landoni","given":"Giovanni"},{"family":"Comis","given":"Marco"},{"family":"Conte","given":"Massimiliano"},{"family":"Finco","given":"Gabriele"},{"family":"Mucchetti","given":"Marta"},{"family":"Paternoster","given":"Gianluca"},{"family":"Pisano","given":"Antonio"},{"family":"Ruggeri","given":"Laura"},{"family":"Alvaro","given":"Gabriele"},{"family":"Angelone","given":"Manuela"},{"family":"Bergonzi","given":"Pier C."},{"family":"Bocchino","given":"Speranza"},{"family":"Borghi","given":"Giovanni"},{"family":"Bove","given":"Tiziana"},{"family":"Buscaglia","given":"Giuseppe"},{"family":"Cabrini","given":"Luca"},{"family":"Callegher","given":"Lino"},{"family":"Caramelli","given":"Fabio"},{"family":"Colombo","given":"Sergio"},{"family":"Corno","given":"Laura"},{"family":"Del Sarto","given":"Paolo"},{"family":"Feltracco","given":"Paolo"},{"family":"Forti","given":"Alessandro"},{"family":"Ganzaroli","given":"Marco"},{"family":"Greco","given":"Massimiliano"},{"family":"Guarracino","given":"Fabio"},{"family":"Lembo","given":"Rosalba"},{"family":"Lobreglio","given":"Rosetta"},{"family":"Meroni","given":"Roberta"},{"family":"Monaco","given":"Fabrizio"},{"family":"Musu","given":"Mario"},{"family":"Pala","given":"Giovanni"},{"family":"Pasin","given":"Laura"},{"family":"Pieri","given":"Marina"},{"family":"Pisarra","given":"Stefania"},{"family":"Ponticelli","given":"Giuseppe"},{"family":"Roasio","given":"Agostino"},{"family":"Santini","given":"Francesco"},{"family":"Silvetti","given":"Simona"},{"family":"Székely","given":"Andrea"},{"family":"Zambon","given":"Massimo"},{"family":"Zucchetti","given":"Maria Chiara"},{"family":"Zangrillo","given":"Alberto"},{"family":"Bellomo","given":"Rinaldo"}],"issued":{"date-parts":[["2015",8]]},"PMID":"25821918"}}],"schema":"https://github.com/citation-style-language/schema/raw/master/csl-citation.json"} </w:instrText>
      </w:r>
      <w:r w:rsidR="006B160C" w:rsidRPr="007141B1">
        <w:rPr>
          <w:rFonts w:asciiTheme="minorHAnsi" w:hAnsiTheme="minorHAnsi" w:cs="Arial"/>
          <w:lang w:val="en-GB"/>
        </w:rPr>
        <w:fldChar w:fldCharType="separate"/>
      </w:r>
      <w:r w:rsidR="00D93B3B" w:rsidRPr="009D5B86">
        <w:rPr>
          <w:rFonts w:ascii="Calibri" w:hAnsi="Calibri" w:cs="Calibri"/>
          <w:lang w:val="en-US"/>
        </w:rPr>
        <w:t>[35–37]</w:t>
      </w:r>
      <w:r w:rsidR="006B160C" w:rsidRPr="007141B1">
        <w:rPr>
          <w:rFonts w:asciiTheme="minorHAnsi" w:hAnsiTheme="minorHAnsi" w:cs="Arial"/>
          <w:lang w:val="en-GB"/>
        </w:rPr>
        <w:fldChar w:fldCharType="end"/>
      </w:r>
      <w:r w:rsidR="00BF2A74" w:rsidRPr="007141B1">
        <w:rPr>
          <w:rFonts w:asciiTheme="minorHAnsi" w:hAnsiTheme="minorHAnsi" w:cs="Arial"/>
          <w:lang w:val="en-GB"/>
        </w:rPr>
        <w:t xml:space="preserve">. </w:t>
      </w:r>
      <w:r w:rsidR="00D70121" w:rsidRPr="007141B1">
        <w:rPr>
          <w:rFonts w:asciiTheme="minorHAnsi" w:hAnsiTheme="minorHAnsi" w:cs="Arial"/>
          <w:lang w:val="en-GB"/>
        </w:rPr>
        <w:t>Th</w:t>
      </w:r>
      <w:r w:rsidR="00E20693">
        <w:rPr>
          <w:rFonts w:asciiTheme="minorHAnsi" w:hAnsiTheme="minorHAnsi" w:cs="Arial"/>
          <w:lang w:val="en-GB"/>
        </w:rPr>
        <w:t>is</w:t>
      </w:r>
      <w:r w:rsidR="00BF2A74" w:rsidRPr="007141B1">
        <w:rPr>
          <w:rFonts w:asciiTheme="minorHAnsi" w:hAnsiTheme="minorHAnsi" w:cs="Arial"/>
          <w:lang w:val="en-GB"/>
        </w:rPr>
        <w:t xml:space="preserve"> prompted the conduct of three RCTs</w:t>
      </w:r>
      <w:r w:rsidR="00D70121" w:rsidRPr="007141B1">
        <w:rPr>
          <w:rFonts w:asciiTheme="minorHAnsi" w:hAnsiTheme="minorHAnsi" w:cs="Arial"/>
          <w:lang w:val="en-GB"/>
        </w:rPr>
        <w:t xml:space="preserve"> and a systematic review</w:t>
      </w:r>
      <w:r w:rsidR="00FE212D">
        <w:rPr>
          <w:rFonts w:asciiTheme="minorHAnsi" w:hAnsiTheme="minorHAnsi" w:cs="Arial"/>
          <w:lang w:val="en-GB"/>
        </w:rPr>
        <w:t>,</w:t>
      </w:r>
      <w:r w:rsidR="00D70121" w:rsidRPr="007141B1">
        <w:rPr>
          <w:rFonts w:asciiTheme="minorHAnsi" w:hAnsiTheme="minorHAnsi" w:cs="Arial"/>
          <w:lang w:val="en-GB"/>
        </w:rPr>
        <w:t xml:space="preserve"> </w:t>
      </w:r>
      <w:r w:rsidR="00B4258F" w:rsidRPr="007141B1">
        <w:rPr>
          <w:rFonts w:asciiTheme="minorHAnsi" w:hAnsiTheme="minorHAnsi" w:cs="Arial"/>
          <w:lang w:val="en-GB"/>
        </w:rPr>
        <w:t xml:space="preserve">all having </w:t>
      </w:r>
      <w:r w:rsidR="00E20693">
        <w:rPr>
          <w:rFonts w:asciiTheme="minorHAnsi" w:hAnsiTheme="minorHAnsi" w:cs="Arial"/>
          <w:lang w:val="en-GB"/>
        </w:rPr>
        <w:t xml:space="preserve">a </w:t>
      </w:r>
      <w:r w:rsidR="00D70121" w:rsidRPr="007141B1">
        <w:rPr>
          <w:rFonts w:asciiTheme="minorHAnsi" w:hAnsiTheme="minorHAnsi" w:cs="Arial"/>
          <w:lang w:val="en-GB"/>
        </w:rPr>
        <w:t>lower risk of bias</w:t>
      </w:r>
      <w:r w:rsidR="00AB7C6A" w:rsidRPr="00AB7C6A">
        <w:rPr>
          <w:rFonts w:asciiTheme="minorHAnsi" w:hAnsiTheme="minorHAnsi" w:cs="Arial"/>
          <w:lang w:val="en-GB"/>
        </w:rPr>
        <w:t xml:space="preserve"> </w:t>
      </w:r>
      <w:r w:rsidR="00AB7C6A">
        <w:rPr>
          <w:rFonts w:asciiTheme="minorHAnsi" w:hAnsiTheme="minorHAnsi" w:cs="Arial"/>
          <w:lang w:val="en-GB"/>
        </w:rPr>
        <w:t>and greater real-world generalizability</w:t>
      </w:r>
      <w:r w:rsidR="00D70121" w:rsidRPr="007141B1">
        <w:rPr>
          <w:rFonts w:asciiTheme="minorHAnsi" w:hAnsiTheme="minorHAnsi" w:cs="Arial"/>
          <w:lang w:val="en-GB"/>
        </w:rPr>
        <w:t xml:space="preserve"> </w:t>
      </w:r>
      <w:r w:rsidR="006B160C" w:rsidRPr="007141B1">
        <w:rPr>
          <w:rFonts w:asciiTheme="minorHAnsi" w:hAnsiTheme="minorHAnsi" w:cs="Arial"/>
          <w:lang w:val="en-GB"/>
        </w:rPr>
        <w:fldChar w:fldCharType="begin"/>
      </w:r>
      <w:r w:rsidR="00D93B3B">
        <w:rPr>
          <w:rFonts w:asciiTheme="minorHAnsi" w:hAnsiTheme="minorHAnsi" w:cs="Arial"/>
          <w:lang w:val="en-GB"/>
        </w:rPr>
        <w:instrText xml:space="preserve"> ADDIN ZOTERO_ITEM CSL_CITATION {"citationID":"M7lC5CZ1","properties":{"formattedCitation":"{\\rtf [20\\uc0\\u8211{}22, 24, 38]}","plainCitation":"[20–22, 24, 38]"},"citationItems":[{"id":24,"uris":["http://zotero.org/users/local/ZaW79YVG/items/KZ4IH48B"],"uri":["http://zotero.org/users/local/ZaW79YVG/items/KZ4IH48B"],"itemData":{"id":24,"type":"article-journal","title":"A randomized trial of protocol-based care for early septic shock","container-title":"The New England Journal of Medicine","page":"1683-1693","volume":"370","issue":"18","source":"PubMed","abstract":"BACKGROUND: In a single-center study published more than a decade ago involving patients presenting to the emergency department with severe sepsis and septic shock, mortality was markedly lower among those who were treated according to a 6-hour protocol of early goal-directed therapy (EGDT), in which intravenous fluids, vasopressors, inotropes, and blood transfusions were adjusted to reach central hemodynamic targets, than among those receiving usual care. We conducted a trial to determine whether these findings were generalizable and whether all aspects of the protocol were necessary.\nMETHODS: In 31 emergency departments in the United States, we randomly assigned patients with septic shock to one of three groups for 6 hours of resuscitation: protocol-based EGDT; protocol-based standard therapy that did not require the placement of a central venous catheter, administration of inotropes, or blood transfusions; or usual care. The primary end point was 60-day in-hospital mortality. We tested sequentially whether protocol-based care (EGDT and standard-therapy groups combined) was superior to usual care and whether protocol-based EGDT was superior to protocol-based standard therapy. Secondary outcomes included longer-term mortality and the need for organ support.\nRESULTS: We enrolled 1341 patients, of whom 439 were randomly assigned to protocol-based EGDT, 446 to protocol-based standard therapy, and 456 to usual care. Resuscitation strategies differed significantly with respect to the monitoring of central venous pressure and oxygen and the use of intravenous fluids, vasopressors, inotropes, and blood transfusions. By 60 days, there were 92 deaths in the protocol-based EGDT group (21.0%), 81 in the protocol-based standard-therapy group (18.2%), and 86 in the usual-care group (18.9%) (relative risk with protocol-based therapy vs. usual care, 1.04; 95% confidence interval [CI], 0.82 to 1.31; P=0.83; relative risk with protocol-based EGDT vs. protocol-based standard therapy, 1.15; 95% CI, 0.88 to 1.51; P=0.31). There were no significant differences in 90-day mortality, 1-year mortality, or the need for organ support.\nCONCLUSIONS: In a multicenter trial conducted in the tertiary care setting, protocol-based resuscitation of patients in whom septic shock was diagnosed in the emergency department did not improve outcomes. (Funded by the National Institute of General Medical Sciences; ProCESS ClinicalTrials.gov number, NCT00510835.).","DOI":"10.1056/NEJMoa1401602","ISSN":"1533-4406","note":"PMID: 24635773\nPMCID: PMC4101700","journalAbbreviation":"N. Engl. J. Med.","language":"eng","author":[{"literal":"ProCESS Investigators"},{"family":"Yealy","given":"Donald M."},{"family":"Kellum","given":"John A."},{"family":"Huang","given":"David T."},{"family":"Barnato","given":"Amber E."},{"family":"Weissfeld","given":"Lisa A."},{"family":"Pike","given":"Francis"},{"family":"Terndrup","given":"Thomas"},{"family":"Wang","given":"Henry E."},{"family":"Hou","given":"Peter C."},{"family":"LoVecchio","given":"Frank"},{"family":"Filbin","given":"Michael R."},{"family":"Shapiro","given":"Nathan I."},{"family":"Angus","given":"Derek C."}],"issued":{"date-parts":[["2014",5,1]]},"PMID":"24635773","PMCID":"PMC4101700"}},{"id":26,"uris":["http://zotero.org/users/local/ZaW79YVG/items/PRWH6T79"],"uri":["http://zotero.org/users/local/ZaW79YVG/items/PRWH6T79"],"itemData":{"id":26,"type":"article-journal","title":"Goal-directed resuscitation for patients with early septic shock","container-title":"The New England Journal of Medicine","page":"1496-1506","volume":"371","issue":"16","source":"PubMed","abstract":"BACKGROUND: Early goal-directed therapy (EGDT) has been endorsed in the guidelines of the Surviving Sepsis Campaign as a key strategy to decrease mortality among patients presenting to the emergency department with septic shock. However, its effectiveness is uncertain.\nMETHODS: In this trial conducted at 51 centers (mostly in Australia or New Zealand), we randomly assigned patients presenting to the emergency department with early septic shock to receive either EGDT or usual care. The primary outcome was all-cause mortality within 90 days after randomization.\nRESULTS: Of the 1600 enrolled patients, 796 were assigned to the EGDT group and 804 to the usual-care group. Primary outcome data were available for more than 99% of the patients. Patients in the EGDT group received a larger mean (±SD) volume of intravenous fluids in the first 6 hours after randomization than did those in the usual-care group (1964±1415 ml vs. 1713±1401 ml) and were more likely to receive vasopressor infusions (66.6% vs. 57.8%), red-cell transfusions (13.6% vs. 7.0%), and dobutamine (15.4% vs. 2.6%) (P&lt;0.001 for all comparisons). At 90 days after randomization, 147 deaths had occurred in the EGDT group and 150 had occurred in the usual-care group, for rates of death of 18.6% and 18.8%, respectively (absolute risk difference with EGDT vs. usual care, -0.3 percentage points; 95% confidence interval, -4.1 to 3.6; P=0.90). There was no significant difference in survival time, in-hospital mortality, duration of organ support, or length of hospital stay.\nCONCLUSIONS: In critically ill patients presenting to the emergency department with early septic shock, EGDT did not reduce all-cause mortality at 90 days. (Funded by the National Health and Medical Research Council of Australia and the Alfred Foundation; ARISE ClinicalTrials.gov number, NCT00975793.).","DOI":"10.1056/NEJMoa1404380","ISSN":"1533-4406","note":"PMID: 25272316","journalAbbreviation":"N. Engl. J. Med.","language":"eng","author":[{"literal":"ARISE Investigators"},{"literal":"ANZICS Clinical Trials Group"},{"family":"Peake","given":"Sandra L."},{"family":"Delaney","given":"Anthony"},{"family":"Bailey","given":"Michael"},{"family":"Bellomo","given":"Rinaldo"},{"family":"Cameron","given":"Peter A."},{"family":"Cooper","given":"D. James"},{"family":"Higgins","given":"Alisa M."},{"family":"Holdgate","given":"Anna"},{"family":"Howe","given":"Belinda D."},{"family":"Webb","given":"Steven A. R."},{"family":"Williams","given":"Patricia"}],"issued":{"date-parts":[["2014",10,16]]},"PMID":"25272316"}},{"id":28,"uris":["http://zotero.org/users/local/ZaW79YVG/items/WUWW9UZT"],"uri":["http://zotero.org/users/local/ZaW79YVG/items/WUWW9UZT"],"itemData":{"id":28,"type":"article-journal","title":"Trial of early, goal-directed resuscitation for septic shock","container-title":"The New England Journal of Medicine","page":"1301-1311","volume":"372","issue":"14","source":"PubMed","abstract":"BACKGROUND: Early, goal-directed therapy (EGDT) is recommended in international guidelines for the resuscitation of patients presenting with early septic shock. However, adoption has been limited, and uncertainty about its effectiveness remains.\nMETHODS: We conducted a pragmatic randomized trial with an integrated cost-effectiveness analysis in 56 hospitals in England. Patients were randomly assigned to receive either EGDT (a 6-hour resuscitation protocol) or usual care. The primary clinical outcome was all-cause mortality at 90 days.\nRESULTS: We enrolled 1260 patients, with 630 assigned to EGDT and 630 to usual care. By 90 days, 184 of 623 patients (29.5%) in the EGDT group and 181 of 620 patients (29.2%) in the usual-care group had died (relative risk in the EGDT group, 1.01; 95% confidence interval [CI], 0.85 to 1.20; P=0.90), for an absolute risk reduction in the EGDT group of -0.3 percentage points (95% CI, -5.4 to 4.7). Increased treatment intensity in the EGDT group was indicated by increased use of intravenous fluids, vasoactive drugs, and red-cell transfusions and reflected by significantly worse organ-failure scores, more days receiving advanced cardiovascular support, and longer stays in the intensive care unit. There were no significant differences in any other secondary outcomes, including health-related quality of life, or in rates of serious adverse events. On average, EGDT increased costs, and the probability that it was cost-effective was below 20%.\nCONCLUSIONS: In patients with septic shock who were identified early and received intravenous antibiotics and adequate fluid resuscitation, hemodynamic management according to a strict EGDT protocol did not lead to an improvement in outcome. (Funded by the United Kingdom National Institute for Health Research Health Technology Assessment Programme; ProMISe Current Controlled Trials number, ISRCTN36307479.).","DOI":"10.1056/NEJMoa1500896","ISSN":"1533-4406","note":"PMID: 25776532","journalAbbreviation":"N. Engl. J. Med.","language":"eng","author":[{"family":"Mouncey","given":"Paul R."},{"family":"Osborn","given":"Tiffany M."},{"family":"Power","given":"G. Sarah"},{"family":"Harrison","given":"David A."},{"family":"Sadique","given":"M. Zia"},{"family":"Grieve","given":"Richard D."},{"family":"Jahan","given":"Rahi"},{"family":"Harvey","given":"Sheila E."},{"family":"Bell","given":"Derek"},{"family":"Bion","given":"Julian F."},{"family":"Coats","given":"Timothy J."},{"family":"Singer","given":"Mervyn"},{"family":"Young","given":"J. Duncan"},{"family":"Rowan","given":"Kathryn M."},{"literal":"ProMISe Trial Investigators"}],"issued":{"date-parts":[["2015",4,2]]},"PMID":"25776532"}},{"id":50,"uris":["http://zotero.org/users/local/ZaW79YVG/items/2CDVHSI5"],"uri":["http://zotero.org/users/local/ZaW79YVG/items/2CDVHSI5"],"itemData":{"id":50,"type":"article-journal","title":"A systematic review and meta-analysis of early goal-directed therapy for septic shock: the ARISE, ProCESS and ProMISe Investigators","container-title":"Intensive Care Medicine","page":"1549-1560","volume":"41","issue":"9","source":"PubMed","abstract":"PURPOSE: To determine whether early goal-directed therapy (EGDT) reduces mortality compared with other resuscitation strategies for patients presenting to the emergency department (ED) with septic shock.\nMETHODS: Using a search strategy of PubMed, EmBase and CENTRAL, we selected all relevant randomised clinical trials published from January 2000 to January 2015. We translated non-English papers and contacted authors as necessary. Our primary analysis generated a pooled odds ratio (OR) from a fixed-effect model. Sensitivity analyses explored the effect of including non-ED studies, adjusting for study quality, and conducting a random-effects model. Secondary outcomes included organ support and hospital and ICU length of stay.\nRESULTS: From 2395 initially eligible abstracts, five randomised clinical trials (n = 4735 patients) met all criteria and generally scored high for quality except for lack of blinding. There was no effect on the primary mortality outcome (EGDT: 23.2% [495/2134] versus control: 22.4% [582/2601]; pooled OR 1.01 [95% CI 0.88-1.16], P = 0.9, with heterogeneity [I(2) = 57%; P = 0.055]). The pooled estimate of 90-day mortality from the three recent multicentre studies (n = 4063) also showed no difference [pooled OR 0.99 (95% CI 0.86-1.15), P = 0.93] with no heterogeneity (I(2) = 0.0%; P = 0.97). EGDT increased vasopressor use (OR 1.25 [95% CI 1.10-1.41]; P &lt; 0.001) and ICU admission [OR 2.19 (95% CI 1.82-2.65); P &lt; 0.001]. Including six non-ED randomised trials increased heterogeneity (I(2) = 71%; P &lt; 0.001) but did not change overall results [pooled OR 0.94 (95% CI 0.82 to 1.07); P = 0.33].\nCONCLUSION: EGDT is not superior to usual care for ED patients with septic shock but is associated with increased utilisation of ICU resources.","DOI":"10.1007/s00134-015-3822-1","ISSN":"1432-1238","note":"PMID: 25952825","shortTitle":"A systematic review and meta-analysis of early goal-directed therapy for septic shock","journalAbbreviation":"Intensive Care Med","language":"eng","author":[{"family":"Angus","given":"D. C."},{"family":"Barnato","given":"A. E."},{"family":"Bell","given":"D."},{"family":"Bellomo","given":"R."},{"family":"Chong","given":"C.-R."},{"family":"Coats","given":"T. J."},{"family":"Davies","given":"A."},{"family":"Delaney","given":"A."},{"family":"Harrison","given":"D. A."},{"family":"Holdgate","given":"A."},{"family":"Howe","given":"B."},{"family":"Huang","given":"D. T."},{"family":"Iwashyna","given":"T."},{"family":"Kellum","given":"J. A."},{"family":"Peake","given":"S. L."},{"family":"Pike","given":"F."},{"family":"Reade","given":"M. C."},{"family":"Rowan","given":"K. M."},{"family":"Singer","given":"M."},{"family":"Webb","given":"S. a. R."},{"family":"Weissfeld","given":"L. A."},{"family":"Yealy","given":"D. M."},{"family":"Young","given":"J. D."}],"issued":{"date-parts":[["2015",9]]},"PMID":"25952825"}},{"id":177,"uris":["http://zotero.org/users/local/ZaW79YVG/items/M6FP2D2G"],"uri":["http://zotero.org/users/local/ZaW79YVG/items/M6FP2D2G"],"itemData":{"id":177,"type":"article-journal","title":"Early, Goal-Directed Therapy for Septic Shock - A Patient-Level Meta-Analysis","container-title":"The New England Journal of Medicine","source":"PubMed","abstract":"Background After a single-center trial and observational studies suggesting that early, goal-directed therapy (EGDT) reduced mortality from septic shock, three multicenter trials (ProCESS, ARISE, and ProMISe) showed no benefit. This meta-analysis of individual patient data from the three recent trials was designed prospectively to improve statistical power and explore heterogeneity of treatment effect of EGDT. Methods We harmonized entry criteria, intervention protocols, outcomes, resource-use measures, and data collection across the trials and specified all analyses before unblinding. After completion of the trials, we pooled data, excluding the protocol-based standard-therapy group from the ProCESS trial, and resolved residual differences. The primary outcome was 90-day mortality. Secondary outcomes included 1-year survival, organ support, and hospitalization costs. We tested for treatment-by-subgroup interactions for 16 patient characteristics and 6 care-delivery characteristics. Results We studied 3723 patients at 138 hospitals in seven countries. Mortality at 90 days was similar for EGDT (462 of 1852 patients [24.9%]) and usual care (475 of 1871 patients [25.4%]); the adjusted odds ratio was 0.97 (95% confidence interval, 0.82 to 1.14; P=0.68). EGDT was associated with greater mean (±SD) use of intensive care (5.3±7.1 vs. 4.9±7.0 days, P=0.04) and cardiovascular support (1.9±3.7 vs. 1.6±2.9 days, P=0.01) than was usual care; other outcomes did not differ significantly, although average costs were higher with EGDT. Subgroup analyses showed no benefit from EGDT for patients with worse shock (higher serum lactate level, combined hypotension and hyperlactatemia, or higher predicted risk of death) or for hospitals with a lower propensity to use vasopressors or fluids during usual resuscitation. Conclusions In this meta-analysis of individual patient data, EGDT did not result in better outcomes than usual care and was associated with higher hospitalization costs across a broad range of patient and hospital characteristics. (Funded by the National Institute of General Medical Sciences and others; PRISM ClinicalTrials.gov number, NCT02030158 .).","DOI":"10.1056/NEJMoa1701380","ISSN":"1533-4406","note":"PMID: 28320242","journalAbbreviation":"N. Engl. J. Med.","language":"eng","author":[{"literal":"PRISM Investigators"}],"issued":{"date-parts":[["2017",3,21]]},"PMID":"28320242"}}],"schema":"https://github.com/citation-style-language/schema/raw/master/csl-citation.json"} </w:instrText>
      </w:r>
      <w:r w:rsidR="006B160C" w:rsidRPr="007141B1">
        <w:rPr>
          <w:rFonts w:asciiTheme="minorHAnsi" w:hAnsiTheme="minorHAnsi" w:cs="Arial"/>
          <w:lang w:val="en-GB"/>
        </w:rPr>
        <w:fldChar w:fldCharType="separate"/>
      </w:r>
      <w:r w:rsidR="00D93B3B" w:rsidRPr="009D5B86">
        <w:rPr>
          <w:rFonts w:ascii="Calibri" w:hAnsi="Calibri" w:cs="Calibri"/>
          <w:lang w:val="en-US"/>
        </w:rPr>
        <w:t>[20–22, 24, 38]</w:t>
      </w:r>
      <w:r w:rsidR="006B160C" w:rsidRPr="007141B1">
        <w:rPr>
          <w:rFonts w:asciiTheme="minorHAnsi" w:hAnsiTheme="minorHAnsi" w:cs="Arial"/>
          <w:lang w:val="en-GB"/>
        </w:rPr>
        <w:fldChar w:fldCharType="end"/>
      </w:r>
      <w:r w:rsidR="00E20693">
        <w:rPr>
          <w:rFonts w:asciiTheme="minorHAnsi" w:hAnsiTheme="minorHAnsi"/>
          <w:bCs/>
          <w:iCs/>
          <w:lang w:val="en-GB"/>
        </w:rPr>
        <w:t xml:space="preserve">. </w:t>
      </w:r>
      <w:r w:rsidR="00BF2A74" w:rsidRPr="007141B1">
        <w:rPr>
          <w:rFonts w:asciiTheme="minorHAnsi" w:hAnsiTheme="minorHAnsi" w:cs="Arial"/>
          <w:lang w:val="en-GB"/>
        </w:rPr>
        <w:t xml:space="preserve"> </w:t>
      </w:r>
      <w:r w:rsidR="00B4258F" w:rsidRPr="007141B1">
        <w:rPr>
          <w:rFonts w:asciiTheme="minorHAnsi" w:hAnsiTheme="minorHAnsi" w:cs="Arial"/>
          <w:lang w:val="en-GB"/>
        </w:rPr>
        <w:t>Together</w:t>
      </w:r>
      <w:r w:rsidR="00FE212D">
        <w:rPr>
          <w:rFonts w:asciiTheme="minorHAnsi" w:hAnsiTheme="minorHAnsi" w:cs="Arial"/>
          <w:lang w:val="en-GB"/>
        </w:rPr>
        <w:t>,</w:t>
      </w:r>
      <w:r w:rsidR="00B4258F" w:rsidRPr="007141B1">
        <w:rPr>
          <w:rFonts w:asciiTheme="minorHAnsi" w:hAnsiTheme="minorHAnsi" w:cs="Arial"/>
          <w:lang w:val="en-GB"/>
        </w:rPr>
        <w:t xml:space="preserve"> these </w:t>
      </w:r>
      <w:r w:rsidRPr="007141B1">
        <w:rPr>
          <w:rFonts w:asciiTheme="minorHAnsi" w:hAnsiTheme="minorHAnsi" w:cs="Arial"/>
          <w:lang w:val="en-GB"/>
        </w:rPr>
        <w:t>trials</w:t>
      </w:r>
      <w:r w:rsidR="00FE212D">
        <w:rPr>
          <w:rFonts w:asciiTheme="minorHAnsi" w:hAnsiTheme="minorHAnsi" w:cs="Arial"/>
          <w:lang w:val="en-GB"/>
        </w:rPr>
        <w:t>, alone and in combination,</w:t>
      </w:r>
      <w:r w:rsidR="00D70121" w:rsidRPr="007141B1">
        <w:rPr>
          <w:rFonts w:asciiTheme="minorHAnsi" w:hAnsiTheme="minorHAnsi" w:cs="Arial"/>
          <w:lang w:val="en-GB"/>
        </w:rPr>
        <w:t xml:space="preserve"> </w:t>
      </w:r>
      <w:r w:rsidR="00BF2A74" w:rsidRPr="007141B1">
        <w:rPr>
          <w:rFonts w:asciiTheme="minorHAnsi" w:hAnsiTheme="minorHAnsi" w:cs="Arial"/>
          <w:lang w:val="en-GB"/>
        </w:rPr>
        <w:t>demonstrat</w:t>
      </w:r>
      <w:r w:rsidR="00D70121" w:rsidRPr="007141B1">
        <w:rPr>
          <w:rFonts w:asciiTheme="minorHAnsi" w:hAnsiTheme="minorHAnsi" w:cs="Arial"/>
          <w:lang w:val="en-GB"/>
        </w:rPr>
        <w:t>ed</w:t>
      </w:r>
      <w:r w:rsidR="00BF2A74" w:rsidRPr="007141B1">
        <w:rPr>
          <w:rFonts w:asciiTheme="minorHAnsi" w:hAnsiTheme="minorHAnsi" w:cs="Arial"/>
          <w:lang w:val="en-GB"/>
        </w:rPr>
        <w:t xml:space="preserve"> no effect on mortality</w:t>
      </w:r>
      <w:r w:rsidR="006B160C" w:rsidRPr="007141B1">
        <w:rPr>
          <w:rFonts w:asciiTheme="minorHAnsi" w:hAnsiTheme="minorHAnsi" w:cs="Arial"/>
          <w:lang w:val="en-GB"/>
        </w:rPr>
        <w:t xml:space="preserve"> </w:t>
      </w:r>
      <w:r w:rsidR="006B160C" w:rsidRPr="007141B1">
        <w:rPr>
          <w:rFonts w:asciiTheme="minorHAnsi" w:hAnsiTheme="minorHAnsi" w:cs="Arial"/>
          <w:lang w:val="en-GB"/>
        </w:rPr>
        <w:fldChar w:fldCharType="begin"/>
      </w:r>
      <w:r w:rsidR="00D93B3B">
        <w:rPr>
          <w:rFonts w:asciiTheme="minorHAnsi" w:hAnsiTheme="minorHAnsi" w:cs="Arial"/>
          <w:lang w:val="en-GB"/>
        </w:rPr>
        <w:instrText xml:space="preserve"> ADDIN ZOTERO_ITEM CSL_CITATION {"citationID":"NLgqYb7a","properties":{"formattedCitation":"[24, 38]","plainCitation":"[24, 38]"},"citationItems":[{"id":50,"uris":["http://zotero.org/users/local/ZaW79YVG/items/2CDVHSI5"],"uri":["http://zotero.org/users/local/ZaW79YVG/items/2CDVHSI5"],"itemData":{"id":50,"type":"article-journal","title":"A systematic review and meta-analysis of early goal-directed therapy for septic shock: the ARISE, ProCESS and ProMISe Investigators","container-title":"Intensive Care Medicine","page":"1549-1560","volume":"41","issue":"9","source":"PubMed","abstract":"PURPOSE: To determine whether early goal-directed therapy (EGDT) reduces mortality compared with other resuscitation strategies for patients presenting to the emergency department (ED) with septic shock.\nMETHODS: Using a search strategy of PubMed, EmBase and CENTRAL, we selected all relevant randomised clinical trials published from January 2000 to January 2015. We translated non-English papers and contacted authors as necessary. Our primary analysis generated a pooled odds ratio (OR) from a fixed-effect model. Sensitivity analyses explored the effect of including non-ED studies, adjusting for study quality, and conducting a random-effects model. Secondary outcomes included organ support and hospital and ICU length of stay.\nRESULTS: From 2395 initially eligible abstracts, five randomised clinical trials (n = 4735 patients) met all criteria and generally scored high for quality except for lack of blinding. There was no effect on the primary mortality outcome (EGDT: 23.2% [495/2134] versus control: 22.4% [582/2601]; pooled OR 1.01 [95% CI 0.88-1.16], P = 0.9, with heterogeneity [I(2) = 57%; P = 0.055]). The pooled estimate of 90-day mortality from the three recent multicentre studies (n = 4063) also showed no difference [pooled OR 0.99 (95% CI 0.86-1.15), P = 0.93] with no heterogeneity (I(2) = 0.0%; P = 0.97). EGDT increased vasopressor use (OR 1.25 [95% CI 1.10-1.41]; P &lt; 0.001) and ICU admission [OR 2.19 (95% CI 1.82-2.65); P &lt; 0.001]. Including six non-ED randomised trials increased heterogeneity (I(2) = 71%; P &lt; 0.001) but did not change overall results [pooled OR 0.94 (95% CI 0.82 to 1.07); P = 0.33].\nCONCLUSION: EGDT is not superior to usual care for ED patients with septic shock but is associated with increased utilisation of ICU resources.","DOI":"10.1007/s00134-015-3822-1","ISSN":"1432-1238","note":"PMID: 25952825","shortTitle":"A systematic review and meta-analysis of early goal-directed therapy for septic shock","journalAbbreviation":"Intensive Care Med","language":"eng","author":[{"family":"Angus","given":"D. C."},{"family":"Barnato","given":"A. E."},{"family":"Bell","given":"D."},{"family":"Bellomo","given":"R."},{"family":"Chong","given":"C.-R."},{"family":"Coats","given":"T. J."},{"family":"Davies","given":"A."},{"family":"Delaney","given":"A."},{"family":"Harrison","given":"D. A."},{"family":"Holdgate","given":"A."},{"family":"Howe","given":"B."},{"family":"Huang","given":"D. T."},{"family":"Iwashyna","given":"T."},{"family":"Kellum","given":"J. A."},{"family":"Peake","given":"S. L."},{"family":"Pike","given":"F."},{"family":"Reade","given":"M. C."},{"family":"Rowan","given":"K. M."},{"family":"Singer","given":"M."},{"family":"Webb","given":"S. a. R."},{"family":"Weissfeld","given":"L. A."},{"family":"Yealy","given":"D. M."},{"family":"Young","given":"J. D."}],"issued":{"date-parts":[["2015",9]]},"PMID":"25952825"}},{"id":177,"uris":["http://zotero.org/users/local/ZaW79YVG/items/M6FP2D2G"],"uri":["http://zotero.org/users/local/ZaW79YVG/items/M6FP2D2G"],"itemData":{"id":177,"type":"article-journal","title":"Early, Goal-Directed Therapy for Septic Shock - A Patient-Level Meta-Analysis","container-title":"The New England Journal of Medicine","source":"PubMed","abstract":"Background After a single-center trial and observational studies suggesting that early, goal-directed therapy (EGDT) reduced mortality from septic shock, three multicenter trials (ProCESS, ARISE, and ProMISe) showed no benefit. This meta-analysis of individual patient data from the three recent trials was designed prospectively to improve statistical power and explore heterogeneity of treatment effect of EGDT. Methods We harmonized entry criteria, intervention protocols, outcomes, resource-use measures, and data collection across the trials and specified all analyses before unblinding. After completion of the trials, we pooled data, excluding the protocol-based standard-therapy group from the ProCESS trial, and resolved residual differences. The primary outcome was 90-day mortality. Secondary outcomes included 1-year survival, organ support, and hospitalization costs. We tested for treatment-by-subgroup interactions for 16 patient characteristics and 6 care-delivery characteristics. Results We studied 3723 patients at 138 hospitals in seven countries. Mortality at 90 days was similar for EGDT (462 of 1852 patients [24.9%]) and usual care (475 of 1871 patients [25.4%]); the adjusted odds ratio was 0.97 (95% confidence interval, 0.82 to 1.14; P=0.68). EGDT was associated with greater mean (±SD) use of intensive care (5.3±7.1 vs. 4.9±7.0 days, P=0.04) and cardiovascular support (1.9±3.7 vs. 1.6±2.9 days, P=0.01) than was usual care; other outcomes did not differ significantly, although average costs were higher with EGDT. Subgroup analyses showed no benefit from EGDT for patients with worse shock (higher serum lactate level, combined hypotension and hyperlactatemia, or higher predicted risk of death) or for hospitals with a lower propensity to use vasopressors or fluids during usual resuscitation. Conclusions In this meta-analysis of individual patient data, EGDT did not result in better outcomes than usual care and was associated with higher hospitalization costs across a broad range of patient and hospital characteristics. (Funded by the National Institute of General Medical Sciences and others; PRISM ClinicalTrials.gov number, NCT02030158 .).","DOI":"10.1056/NEJMoa1701380","ISSN":"1533-4406","note":"PMID: 28320242","journalAbbreviation":"N. Engl. J. Med.","language":"eng","author":[{"literal":"PRISM Investigators"}],"issued":{"date-parts":[["2017",3,21]]},"PMID":"28320242"}}],"schema":"https://github.com/citation-style-language/schema/raw/master/csl-citation.json"} </w:instrText>
      </w:r>
      <w:r w:rsidR="006B160C" w:rsidRPr="007141B1">
        <w:rPr>
          <w:rFonts w:asciiTheme="minorHAnsi" w:hAnsiTheme="minorHAnsi" w:cs="Arial"/>
          <w:lang w:val="en-GB"/>
        </w:rPr>
        <w:fldChar w:fldCharType="separate"/>
      </w:r>
      <w:r w:rsidR="00D93B3B" w:rsidRPr="009D5B86">
        <w:rPr>
          <w:rFonts w:ascii="Calibri" w:hAnsi="Calibri" w:cs="Calibri"/>
          <w:lang w:val="en-US"/>
        </w:rPr>
        <w:t>[24, 38]</w:t>
      </w:r>
      <w:r w:rsidR="006B160C" w:rsidRPr="007141B1">
        <w:rPr>
          <w:rFonts w:asciiTheme="minorHAnsi" w:hAnsiTheme="minorHAnsi" w:cs="Arial"/>
          <w:lang w:val="en-GB"/>
        </w:rPr>
        <w:fldChar w:fldCharType="end"/>
      </w:r>
      <w:r w:rsidR="006B160C" w:rsidRPr="007141B1">
        <w:rPr>
          <w:rFonts w:asciiTheme="minorHAnsi" w:hAnsiTheme="minorHAnsi" w:cs="Arial"/>
          <w:lang w:val="en-GB"/>
        </w:rPr>
        <w:t>.</w:t>
      </w:r>
    </w:p>
    <w:p w:rsidR="00BF2A74" w:rsidRPr="007141B1" w:rsidRDefault="00BF2A74" w:rsidP="00851E20">
      <w:pPr>
        <w:spacing w:line="360" w:lineRule="auto"/>
        <w:rPr>
          <w:rFonts w:asciiTheme="minorHAnsi" w:hAnsiTheme="minorHAnsi" w:cs="Arial"/>
          <w:lang w:val="en-GB"/>
        </w:rPr>
      </w:pPr>
    </w:p>
    <w:p w:rsidR="00B4258F" w:rsidRPr="007141B1" w:rsidRDefault="00B4258F" w:rsidP="00851E20">
      <w:pPr>
        <w:spacing w:line="360" w:lineRule="auto"/>
        <w:rPr>
          <w:rFonts w:asciiTheme="minorHAnsi" w:hAnsiTheme="minorHAnsi" w:cs="Arial"/>
          <w:b/>
          <w:lang w:val="en-GB"/>
        </w:rPr>
      </w:pPr>
      <w:r w:rsidRPr="007141B1">
        <w:rPr>
          <w:rFonts w:asciiTheme="minorHAnsi" w:hAnsiTheme="minorHAnsi" w:cs="Arial"/>
          <w:b/>
          <w:lang w:val="en-GB"/>
        </w:rPr>
        <w:t>Activated protein C for patients with septic shock and high risk of death</w:t>
      </w:r>
    </w:p>
    <w:p w:rsidR="00B4258F" w:rsidRPr="007141B1" w:rsidRDefault="009B51A1" w:rsidP="00851E20">
      <w:pPr>
        <w:spacing w:line="360" w:lineRule="auto"/>
        <w:rPr>
          <w:rFonts w:asciiTheme="minorHAnsi" w:hAnsiTheme="minorHAnsi" w:cs="Arial"/>
          <w:lang w:val="en-GB"/>
        </w:rPr>
      </w:pPr>
      <w:r w:rsidRPr="007141B1">
        <w:rPr>
          <w:rFonts w:asciiTheme="minorHAnsi" w:hAnsiTheme="minorHAnsi" w:cs="Arial"/>
          <w:lang w:val="en-GB"/>
        </w:rPr>
        <w:lastRenderedPageBreak/>
        <w:t xml:space="preserve">The use of APC was recommended in the first iteration of the SSC guidelines following the publication of an RCT </w:t>
      </w:r>
      <w:r w:rsidR="00E32EE0">
        <w:rPr>
          <w:rFonts w:asciiTheme="minorHAnsi" w:hAnsiTheme="minorHAnsi" w:cs="Arial"/>
          <w:lang w:val="en-GB"/>
        </w:rPr>
        <w:t>(PROWESS)</w:t>
      </w:r>
      <w:r w:rsidR="00E32EE0" w:rsidRPr="007141B1">
        <w:rPr>
          <w:rFonts w:asciiTheme="minorHAnsi" w:hAnsiTheme="minorHAnsi" w:cs="Arial"/>
          <w:lang w:val="en-GB"/>
        </w:rPr>
        <w:t xml:space="preserve"> </w:t>
      </w:r>
      <w:r w:rsidRPr="007141B1">
        <w:rPr>
          <w:rFonts w:asciiTheme="minorHAnsi" w:hAnsiTheme="minorHAnsi" w:cs="Arial"/>
          <w:lang w:val="en-GB"/>
        </w:rPr>
        <w:t>reporting reduced mortality in patients with sepsis with the use of APC</w:t>
      </w:r>
      <w:r w:rsidR="001C27F7">
        <w:rPr>
          <w:rFonts w:asciiTheme="minorHAnsi" w:hAnsiTheme="minorHAnsi" w:cs="Arial"/>
          <w:lang w:val="en-GB"/>
        </w:rPr>
        <w:t xml:space="preserve"> </w:t>
      </w:r>
      <w:r w:rsidR="001C27F7" w:rsidRPr="007141B1">
        <w:rPr>
          <w:rFonts w:asciiTheme="minorHAnsi" w:hAnsiTheme="minorHAnsi"/>
          <w:color w:val="000000"/>
          <w:lang w:val="en-GB"/>
        </w:rPr>
        <w:fldChar w:fldCharType="begin"/>
      </w:r>
      <w:r w:rsidR="007E7E7B">
        <w:rPr>
          <w:rFonts w:asciiTheme="minorHAnsi" w:hAnsiTheme="minorHAnsi"/>
          <w:color w:val="000000"/>
          <w:lang w:val="en-GB"/>
        </w:rPr>
        <w:instrText xml:space="preserve"> ADDIN ZOTERO_ITEM CSL_CITATION {"citationID":"SyF25CGn","properties":{"formattedCitation":"[1]","plainCitation":"[1]"},"citationItems":[{"id":2,"uris":["http://zotero.org/users/local/ZaW79YVG/items/BDD4D2J2"],"uri":["http://zotero.org/users/local/ZaW79YVG/items/BDD4D2J2"],"itemData":{"id":2,"type":"article-journal","title":"Efficacy and safety of recombinant human activated protein C for severe sepsis","container-title":"The New England Journal of Medicine","page":"699-709","volume":"344","issue":"10","source":"PubMed","abstract":"BACKGROUND: Drotrecogin alfa (activated), or recombinant human activated protein C, has antithrombotic, antiinflammatory, and profibrinolytic properties. In a previous study, drotrecogin alfa activated produced dose-dependent reductions in the levels of markers of coagulation and inflammation in patients with severe sepsis. In this phase 3 trial, we assessed whether treatment with drotrecogin alfa activated reduced the rate of death from any cause among patients with severe sepsis.\nMETHODS: We conducted a randomized, double-blind, placebo-controlled, multicenter trial. Patients with systemic inflammation and organ failure due to acute infection were enrolled and assigned to receive an intravenous infusion of either placebo or drotrecogin alfa activated (24 microg per kilogram of body weight per hour) for a total duration of 96 hours. The prospectively defined primary end point was death from any cause and was assessed 28 days after the start of the infusion. Patients were monitored for adverse events; changes in vital signs, laboratory variables, and the results of microbiologic cultures; and the development of neutralizing antibodies against activated protein C.\nRESULTS: A total of 1690 randomized patients were treated (840 in the placebo group and 850 in the drotrecogin alfa activated group). The mortality rate was 30.8 percent in the placebo group and 24.7 percent in the drotrecogin alfa activated group. On the basis of the prospectively defined primary analysis, treatment with drotrecogin alfa activated was associated with a reduction in the relative risk of death of 19.4 percent (95 percent confidence interval, 6.6 to 30.5) and an absolute reduction in the risk of death of 6.1 percent (P=0.005). The incidence of serious bleeding was higher in the drotrecogin alfa activated group than in the placebo group (3.5 percent vs. 2.0 percent, P=0.06).\nCONCLUSIONS: Treatment with drotrecogin alfa activated significantly reduces mortality in patients with severe sepsis and may be associated with an increased risk of bleeding.","DOI":"10.1056/NEJM200103083441001","ISSN":"0028-4793","note":"PMID: 11236773","journalAbbreviation":"N. Engl. J. Med.","language":"eng","author":[{"family":"Bernard","given":"G. R."},{"family":"Vincent","given":"J. L."},{"family":"Laterre","given":"P. F."},{"family":"LaRosa","given":"S. P."},{"family":"Dhainaut","given":"J. F."},{"family":"Lopez-Rodriguez","given":"A."},{"family":"Steingrub","given":"J. S."},{"family":"Garber","given":"G. E."},{"family":"Helterbrand","given":"J. D."},{"family":"Ely","given":"E. W."},{"family":"Fisher","given":"C. J."},{"literal":"Recombinant human protein C Worldwide Evaluation in Severe Sepsis (PROWESS) study group"}],"issued":{"date-parts":[["2001",3,8]]},"PMID":"11236773"}}],"schema":"https://github.com/citation-style-language/schema/raw/master/csl-citation.json"} </w:instrText>
      </w:r>
      <w:r w:rsidR="001C27F7" w:rsidRPr="007141B1">
        <w:rPr>
          <w:rFonts w:asciiTheme="minorHAnsi" w:hAnsiTheme="minorHAnsi"/>
          <w:color w:val="000000"/>
          <w:lang w:val="en-GB"/>
        </w:rPr>
        <w:fldChar w:fldCharType="separate"/>
      </w:r>
      <w:r w:rsidR="001C27F7" w:rsidRPr="007141B1">
        <w:rPr>
          <w:rFonts w:ascii="Calibri" w:hAnsi="Calibri" w:cs="Calibri"/>
          <w:lang w:val="en-GB"/>
        </w:rPr>
        <w:t>[1]</w:t>
      </w:r>
      <w:r w:rsidR="001C27F7" w:rsidRPr="007141B1">
        <w:rPr>
          <w:rFonts w:asciiTheme="minorHAnsi" w:hAnsiTheme="minorHAnsi"/>
          <w:color w:val="000000"/>
          <w:lang w:val="en-GB"/>
        </w:rPr>
        <w:fldChar w:fldCharType="end"/>
      </w:r>
      <w:r w:rsidRPr="007141B1">
        <w:rPr>
          <w:rFonts w:asciiTheme="minorHAnsi" w:hAnsiTheme="minorHAnsi" w:cs="Arial"/>
          <w:lang w:val="en-GB"/>
        </w:rPr>
        <w:t>. A subsequent confirmatory RCT</w:t>
      </w:r>
      <w:r w:rsidR="00E32EE0" w:rsidRPr="00E32EE0">
        <w:rPr>
          <w:rFonts w:asciiTheme="minorHAnsi" w:hAnsiTheme="minorHAnsi" w:cs="Arial"/>
          <w:lang w:val="en-GB"/>
        </w:rPr>
        <w:t xml:space="preserve"> </w:t>
      </w:r>
      <w:r w:rsidR="00E32EE0">
        <w:rPr>
          <w:rFonts w:asciiTheme="minorHAnsi" w:hAnsiTheme="minorHAnsi" w:cs="Arial"/>
          <w:lang w:val="en-GB"/>
        </w:rPr>
        <w:t>(PROWESS Shock)</w:t>
      </w:r>
      <w:r w:rsidR="00E32EE0" w:rsidRPr="007141B1">
        <w:rPr>
          <w:rFonts w:asciiTheme="minorHAnsi" w:hAnsiTheme="minorHAnsi" w:cs="Arial"/>
          <w:lang w:val="en-GB"/>
        </w:rPr>
        <w:t xml:space="preserve"> that was requested by</w:t>
      </w:r>
      <w:r w:rsidR="00DB561A">
        <w:rPr>
          <w:rFonts w:asciiTheme="minorHAnsi" w:hAnsiTheme="minorHAnsi" w:cs="Arial"/>
          <w:lang w:val="en-GB"/>
        </w:rPr>
        <w:t xml:space="preserve"> Medical Regulatory Authorities</w:t>
      </w:r>
      <w:r w:rsidRPr="007141B1">
        <w:rPr>
          <w:rFonts w:asciiTheme="minorHAnsi" w:hAnsiTheme="minorHAnsi" w:cs="Arial"/>
          <w:lang w:val="en-GB"/>
        </w:rPr>
        <w:t xml:space="preserve"> </w:t>
      </w:r>
      <w:r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eanr79oof","properties":{"formattedCitation":"[39]","plainCitation":"[39]"},"citationItems":[{"id":54,"uris":["http://zotero.org/users/local/ZaW79YVG/items/EMQ6CFF4"],"uri":["http://zotero.org/users/local/ZaW79YVG/items/EMQ6CFF4"],"itemData":{"id":54,"type":"article-journal","title":"Unblinding plan of PROWESS-SHOCK trial","container-title":"Intensive Care Medicine","page":"1384-1385","volume":"37","issue":"8","source":"PubMed","DOI":"10.1007/s00134-011-2272-7","ISSN":"1432-1238","note":"PMID: 21691888","journalAbbreviation":"Intensive Care Med","language":"eng","author":[{"family":"Ranieri","given":"V. Marco"},{"family":"Thompson","given":"B. Taylor"},{"family":"Finfer","given":"Simon"},{"family":"Barie","given":"Philip S."},{"family":"Dhainaut","given":"Jean-François"},{"family":"Douglas","given":"Ivor S."},{"family":"Gårdlund","given":"Bengt"},{"family":"Marshall","given":"John C."},{"family":"Rhodes","given":"Andrew"},{"literal":"PROWESS-SHOCK Academic Steering Committee"}],"issued":{"date-parts":[["2011",8]]},"PMID":"21691888"}}],"schema":"https://github.com/citation-style-language/schema/raw/master/csl-citation.json"} </w:instrText>
      </w:r>
      <w:r w:rsidRPr="007141B1">
        <w:rPr>
          <w:rFonts w:asciiTheme="minorHAnsi" w:hAnsiTheme="minorHAnsi" w:cs="Arial"/>
          <w:lang w:val="en-GB"/>
        </w:rPr>
        <w:fldChar w:fldCharType="separate"/>
      </w:r>
      <w:r w:rsidR="007E7E7B" w:rsidRPr="00DE4685">
        <w:rPr>
          <w:rFonts w:ascii="Calibri" w:hAnsi="Calibri" w:cs="Calibri"/>
          <w:lang w:val="en-US"/>
        </w:rPr>
        <w:t>[39]</w:t>
      </w:r>
      <w:r w:rsidRPr="007141B1">
        <w:rPr>
          <w:rFonts w:asciiTheme="minorHAnsi" w:hAnsiTheme="minorHAnsi" w:cs="Arial"/>
          <w:lang w:val="en-GB"/>
        </w:rPr>
        <w:fldChar w:fldCharType="end"/>
      </w:r>
      <w:r w:rsidRPr="007141B1">
        <w:rPr>
          <w:rFonts w:asciiTheme="minorHAnsi" w:hAnsiTheme="minorHAnsi" w:cs="Arial"/>
          <w:lang w:val="en-GB"/>
        </w:rPr>
        <w:t>, reported no reduction in mortality in patients with septic shock</w:t>
      </w:r>
      <w:r>
        <w:rPr>
          <w:rFonts w:asciiTheme="minorHAnsi" w:hAnsiTheme="minorHAnsi" w:cs="Arial"/>
          <w:lang w:val="en-GB"/>
        </w:rPr>
        <w:t xml:space="preserve"> </w:t>
      </w:r>
      <w:r>
        <w:rPr>
          <w:rFonts w:asciiTheme="minorHAnsi" w:hAnsiTheme="minorHAnsi" w:cs="Arial"/>
          <w:lang w:val="en-GB"/>
        </w:rPr>
        <w:fldChar w:fldCharType="begin"/>
      </w:r>
      <w:r>
        <w:rPr>
          <w:rFonts w:asciiTheme="minorHAnsi" w:hAnsiTheme="minorHAnsi" w:cs="Arial"/>
          <w:lang w:val="en-GB"/>
        </w:rPr>
        <w:instrText xml:space="preserve"> ADDIN ZOTERO_ITEM CSL_CITATION {"citationID":"18g3553mia","properties":{"formattedCitation":"[2]","plainCitation":"[2]"},"citationItems":[{"id":203,"uris":["http://zotero.org/users/local/tmXAZSH1/items/3SD5JFGF"],"uri":["http://zotero.org/users/local/tmXAZSH1/items/3SD5JFGF"],"itemData":{"id":203,"type":"article-journal","title":"Drotrecogin alfa (activated) in adults with septic shock","container-title":"The New England Journal of Medicine","page":"2055-2064","volume":"366","issue":"22","source":"PubMed","abstract":"BACKGROUND: There have been conflicting reports on the efficacy of recombinant human activated protein C, or drotrecogin alfa (activated) (DrotAA), for the treatment of patients with septic shock.\nMETHODS: In this randomized, double-blind, placebo-controlled, multicenter trial, we assigned 1697 patients with infection, systemic inflammation, and shock who were receiving fluids and vasopressors above a threshold dose for 4 hours to receive either DrotAA (at a dose of 24 μg per kilogram of body weight per hour) or placebo for 96 hours. The primary outcome was death from any cause 28 days after randomization.\nRESULTS: At 28 days, 223 of 846 patients (26.4%) in the DrotAA group and 202 of 834 (24.2%) in the placebo group had died (relative risk in the DrotAA group, 1.09; 95% confidence interval [CI], 0.92 to 1.28; P=0.31). At 90 days, 287 of 842 patients (34.1%) in the DrotAA group and 269 of 822 (32.7%) in the placebo group had died (relative risk, 1.04; 95% CI, 0.90 to 1.19; P=0.56). Among patients with severe protein C deficiency at baseline, 98 of 342 (28.7%) in the DrotAA group had died at 28 days, as compared with 102 of 331 (30.8%) in the placebo group (risk ratio, 0.93; 95% CI, 0.74 to 1.17; P=0.54). Similarly, rates of death at 28 and 90 days were not significantly different in other predefined subgroups, including patients at increased risk for death. Serious bleeding during the treatment period occurred in 10 patients in the DrotAA group and 8 in the placebo group (P=0.81).\nCONCLUSIONS: DrotAA did not significantly reduce mortality at 28 or 90 days, as compared with placebo, in patients with septic shock. (Funded by Eli Lilly; PROWESS-SHOCK ClinicalTrials.gov number, NCT00604214.).","DOI":"10.1056/NEJMoa1202290","ISSN":"1533-4406","note":"PMID: 22616830","journalAbbreviation":"N. Engl. J. Med.","language":"eng","author":[{"family":"Ranieri","given":"V. Marco"},{"family":"Thompson","given":"B. Taylor"},{"family":"Barie","given":"Philip S."},{"family":"Dhainaut","given":"Jean-François"},{"family":"Douglas","given":"Ivor S."},{"family":"Finfer","given":"Simon"},{"family":"Gårdlund","given":"Bengt"},{"family":"Marshall","given":"John C."},{"family":"Rhodes","given":"Andrew"},{"family":"Artigas","given":"Antonio"},{"family":"Payen","given":"Didier"},{"family":"Tenhunen","given":"Jyrki"},{"family":"Al-Khalidi","given":"Hussein R."},{"family":"Thompson","given":"Vivian"},{"family":"Janes","given":"Jonathan"},{"family":"Macias","given":"William L."},{"family":"Vangerow","given":"Burkhard"},{"family":"Williams","given":"Mark D."},{"literal":"PROWESS-SHOCK Study Group"}],"issued":{"date-parts":[["2012",5,31]]},"PMID":"22616830"}}],"schema":"https://github.com/citation-style-language/schema/raw/master/csl-citation.json"} </w:instrText>
      </w:r>
      <w:r>
        <w:rPr>
          <w:rFonts w:asciiTheme="minorHAnsi" w:hAnsiTheme="minorHAnsi" w:cs="Arial"/>
          <w:lang w:val="en-GB"/>
        </w:rPr>
        <w:fldChar w:fldCharType="separate"/>
      </w:r>
      <w:r w:rsidRPr="00C2575C">
        <w:rPr>
          <w:rFonts w:ascii="Calibri" w:hAnsi="Calibri"/>
          <w:lang w:val="en-US"/>
        </w:rPr>
        <w:t>[2]</w:t>
      </w:r>
      <w:r>
        <w:rPr>
          <w:rFonts w:asciiTheme="minorHAnsi" w:hAnsiTheme="minorHAnsi" w:cs="Arial"/>
          <w:lang w:val="en-GB"/>
        </w:rPr>
        <w:fldChar w:fldCharType="end"/>
      </w:r>
      <w:r w:rsidRPr="007141B1">
        <w:rPr>
          <w:rFonts w:asciiTheme="minorHAnsi" w:hAnsiTheme="minorHAnsi" w:cs="Arial"/>
          <w:lang w:val="en-GB"/>
        </w:rPr>
        <w:t>, resulting in the wit</w:t>
      </w:r>
      <w:r w:rsidR="00E32EE0">
        <w:rPr>
          <w:rFonts w:asciiTheme="minorHAnsi" w:hAnsiTheme="minorHAnsi" w:cs="Arial"/>
          <w:lang w:val="en-GB"/>
        </w:rPr>
        <w:t>hdrawal of APC from the market.</w:t>
      </w:r>
    </w:p>
    <w:p w:rsidR="005E005F" w:rsidRPr="007141B1" w:rsidRDefault="005E005F" w:rsidP="00851E20">
      <w:pPr>
        <w:spacing w:line="360" w:lineRule="auto"/>
        <w:rPr>
          <w:rFonts w:asciiTheme="minorHAnsi" w:hAnsiTheme="minorHAnsi" w:cs="Arial"/>
          <w:lang w:val="en-GB"/>
        </w:rPr>
      </w:pPr>
    </w:p>
    <w:p w:rsidR="003415A0" w:rsidRPr="007141B1" w:rsidRDefault="003415A0" w:rsidP="00851E20">
      <w:pPr>
        <w:spacing w:line="360" w:lineRule="auto"/>
        <w:rPr>
          <w:rFonts w:asciiTheme="minorHAnsi" w:hAnsiTheme="minorHAnsi" w:cs="Arial"/>
          <w:b/>
          <w:lang w:val="en-GB"/>
        </w:rPr>
      </w:pPr>
      <w:r w:rsidRPr="007141B1">
        <w:rPr>
          <w:rFonts w:asciiTheme="minorHAnsi" w:hAnsiTheme="minorHAnsi" w:cs="Arial"/>
          <w:b/>
          <w:lang w:val="en-GB"/>
        </w:rPr>
        <w:t xml:space="preserve">Hydroxyethyl starches </w:t>
      </w:r>
      <w:r w:rsidR="005761A4" w:rsidRPr="007141B1">
        <w:rPr>
          <w:rFonts w:asciiTheme="minorHAnsi" w:hAnsiTheme="minorHAnsi" w:cs="Arial"/>
          <w:b/>
          <w:lang w:val="en-GB"/>
        </w:rPr>
        <w:t>in patients with septic shock</w:t>
      </w:r>
    </w:p>
    <w:p w:rsidR="003415A0" w:rsidRPr="007141B1" w:rsidRDefault="003415A0" w:rsidP="00851E20">
      <w:pPr>
        <w:spacing w:line="360" w:lineRule="auto"/>
        <w:rPr>
          <w:rFonts w:asciiTheme="minorHAnsi" w:hAnsiTheme="minorHAnsi" w:cs="Arial"/>
          <w:lang w:val="en-GB"/>
        </w:rPr>
      </w:pPr>
      <w:r w:rsidRPr="007141B1">
        <w:rPr>
          <w:rFonts w:asciiTheme="minorHAnsi" w:hAnsiTheme="minorHAnsi" w:cs="Arial"/>
          <w:lang w:val="en-GB"/>
        </w:rPr>
        <w:t>For decades</w:t>
      </w:r>
      <w:r w:rsidR="001B601F">
        <w:rPr>
          <w:rFonts w:asciiTheme="minorHAnsi" w:hAnsiTheme="minorHAnsi" w:cs="Arial"/>
          <w:lang w:val="en-GB"/>
        </w:rPr>
        <w:t>,</w:t>
      </w:r>
      <w:r w:rsidRPr="007141B1">
        <w:rPr>
          <w:rFonts w:asciiTheme="minorHAnsi" w:hAnsiTheme="minorHAnsi" w:cs="Arial"/>
          <w:lang w:val="en-GB"/>
        </w:rPr>
        <w:t xml:space="preserve"> HES solutions were used in the fluid management of patients with sepsis</w:t>
      </w:r>
      <w:r w:rsidR="00E32EE0" w:rsidRPr="00E32EE0">
        <w:rPr>
          <w:rFonts w:asciiTheme="minorHAnsi" w:hAnsiTheme="minorHAnsi" w:cs="Arial"/>
          <w:lang w:val="en-GB"/>
        </w:rPr>
        <w:t xml:space="preserve"> </w:t>
      </w:r>
      <w:r w:rsidR="00E32EE0">
        <w:rPr>
          <w:rFonts w:asciiTheme="minorHAnsi" w:hAnsiTheme="minorHAnsi" w:cs="Arial"/>
          <w:lang w:val="en-GB"/>
        </w:rPr>
        <w:t xml:space="preserve">based on numerous industry-driven studies </w:t>
      </w:r>
      <w:r w:rsidR="00AB7C6A">
        <w:rPr>
          <w:rFonts w:asciiTheme="minorHAnsi" w:hAnsiTheme="minorHAnsi" w:cs="Arial"/>
          <w:lang w:val="en-GB"/>
        </w:rPr>
        <w:t>including some that was subsequently found to be fraudulent</w:t>
      </w:r>
      <w:r w:rsidRPr="007141B1">
        <w:rPr>
          <w:rFonts w:asciiTheme="minorHAnsi" w:hAnsiTheme="minorHAnsi" w:cs="Arial"/>
          <w:lang w:val="en-GB"/>
        </w:rPr>
        <w:t>. When investigator-initiated RCTs with low risk of bias were conducted marked side-effects and in</w:t>
      </w:r>
      <w:r w:rsidR="005761A4" w:rsidRPr="007141B1">
        <w:rPr>
          <w:rFonts w:asciiTheme="minorHAnsi" w:hAnsiTheme="minorHAnsi" w:cs="Arial"/>
          <w:lang w:val="en-GB"/>
        </w:rPr>
        <w:t>creased mortality w</w:t>
      </w:r>
      <w:r w:rsidR="001B601F">
        <w:rPr>
          <w:rFonts w:asciiTheme="minorHAnsi" w:hAnsiTheme="minorHAnsi" w:cs="Arial"/>
          <w:lang w:val="en-GB"/>
        </w:rPr>
        <w:t>ere</w:t>
      </w:r>
      <w:r w:rsidR="005761A4" w:rsidRPr="007141B1">
        <w:rPr>
          <w:rFonts w:asciiTheme="minorHAnsi" w:hAnsiTheme="minorHAnsi" w:cs="Arial"/>
          <w:lang w:val="en-GB"/>
        </w:rPr>
        <w:t xml:space="preserve"> observed</w:t>
      </w:r>
      <w:r w:rsidR="00453389" w:rsidRPr="007141B1">
        <w:rPr>
          <w:rFonts w:asciiTheme="minorHAnsi" w:hAnsiTheme="minorHAnsi" w:cs="Arial"/>
          <w:lang w:val="en-GB"/>
        </w:rPr>
        <w:t xml:space="preserve"> </w:t>
      </w:r>
      <w:r w:rsidR="00453389"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{"citationID":"1q1i27j40l","properties":{"formattedCitation":"{\\rtf [40\\uc0\\u8211{}42]}","plainCitation":"[40–42]"},"citationItems":[{"id":66,"uris":["http://zotero.org/users/local/ZaW79YVG/items/XBUEWFJK"],"uri":["http://zotero.org/users/local/ZaW79YVG/items/XBUEWFJK"],"itemData":{"id":66,"type":"article-journal","title":"Hydroxyethyl starch 130/0.42 versus Ringer's acetate in severe sepsis","container-title":"The New England Journal of Medicine","page":"124-134","volume":"367","issue":"2","source":"PubMed","abstract":"BACKGROUND: Hydroxyethyl starch (HES) [corrected] is widely used for fluid resuscitation in intensive care units (ICUs), but its safety and efficacy have not been established in patients with severe sepsis.\nMETHODS: In this multicenter, parallel-group, blinded trial, we randomly assigned patients with severe sepsis to fluid resuscitation in the ICU with either 6% HES 130/0.42 (Tetraspan) or Ringer's acetate at a dose of up to 33 ml per kilogram of ideal body weight per day. The primary outcome measure was either death or end-stage kidney failure (dependence on dialysis) at 90 days after randomization.\nRESULTS: Of the 804 patients who underwent randomization, 798 were included in the modified intention-to-treat population. The two intervention groups had similar baseline characteristics. At 90 days after randomization, 201 of 398 patients (51%) assigned to HES 130/0.42 had died, as compared with 172 of 400 patients (43%) assigned to Ringer's acetate (relative risk, 1.17; 95% confidence interval [CI], 1.01 to 1.36; P=0.03); 1 patient in each group had end-stage kidney failure. In the 90-day period, 87 patients (22%) assigned to HES 130/0.42 were treated with renal-replacement therapy versus 65 patients (16%) assigned to Ringer's acetate (relative risk, 1.35; 95% CI, 1.01 to 1.80; P=0.04), and 38 patients (10%) and 25 patients (6%), respectively, had severe bleeding (relative risk, 1.52; 95% CI, 0.94 to 2.48; P=0.09). The results were supported by multivariate analyses, with adjustment for known risk factors for death or acute kidney injury at baseline.\nCONCLUSIONS: Patients with severe sepsis assigned to fluid resuscitation with HES 130/0.42 had an increased risk of death at day 90 and were more likely to require renal-replacement therapy, as compared with those receiving Ringer's acetate. (Funded by the Danish Research Council and others; 6S ClinicalTrials.gov number, NCT00962156.).","DOI":"10.1056/NEJMoa1204242","ISSN":"1533-4406","note":"PMID: 22738085","journalAbbreviation":"N. Engl. J. Med.","language":"eng","author":[{"family":"Perner","given":"Anders"},{"family":"Haase","given":"Nicolai"},{"family":"Guttormsen","given":"Anne B."},{"family":"Tenhunen","given":"Jyrki"},{"family":"Klemenzson","given":"Gudmundur"},{"family":"Åneman","given":"Anders"},{"family":"Madsen","given":"Kristian R."},{"family":"Møller","given":"Morten H."},{"family":"Elkjær","given":"Jeanie M."},{"family":"Poulsen","given":"Lone M."},{"family":"Bendtsen","given":"Asger"},{"family":"Winding","given":"Robert"},{"family":"Steensen","given":"Morten"},{"family":"Berezowicz","given":"Pawel"},{"family":"Søe-Jensen","given":"Peter"},{"family":"Bestle","given":"Morten"},{"family":"Strand","given":"Kristian"},{"family":"Wiis","given":"Jørgen"},{"family":"White","given":"Jonathan O."},{"family":"Thornberg","given":"Klaus J."},{"family":"Quist","given":"Lars"},{"family":"Nielsen","given":"Jonas"},{"family":"Andersen","given":"Lasse H."},{"family":"Holst","given":"Lars B."},{"family":"Thormar","given":"Katrin"},{"family":"Kjældgaard","given":"Anne-Lene"},{"family":"Fabritius","given":"Maria L."},{"family":"Mondrup","given":"Frederik"},{"family":"Pott","given":"Frank C."},{"family":"Møller","given":"Thea P."},{"family":"Winkel","given":"Per"},{"family":"Wetterslev","given":"Jørn"},{"literal":"6S Trial Group"},{"literal":"Scandinavian Critical Care Trials Group"}],"issued":{"date-parts":[["2012",7,12]]},"PMID":"22738085"},"locator":"130"},{"id":68,"uris":["http://zotero.org/users/local/ZaW79YVG/items/8VJGWIGI"],"uri":["http://zotero.org/users/local/ZaW79YVG/items/8VJGWIGI"],"itemData":{"id":68,"type":"article-journal","title":"Hydroxyethyl starch or saline for fluid resuscitation in intensive care","container-title":"The New England Journal of Medicine","page":"1901-1911","volume":"367","issue":"20","source":"PubMed","abstract":"BACKGROUND: The safety and efficacy of hydroxyethyl starch (HES) for fluid resuscitation have not been fully evaluated, and adverse effects of HES on survival and renal function have been reported.\nMETHODS: We randomly assigned 7000 patients who had been admitted to an intensive care unit (ICU) in a 1:1 ratio to receive either 6% HES with a molecular weight of 130 kD and a molar substitution ratio of 0.4 (130/0.4, Voluven) in 0.9% sodium chloride or 0.9% sodium chloride (saline) for all fluid resuscitation until ICU discharge, death, or 90 days after randomization. The primary outcome was death within 90 days. Secondary outcomes included acute kidney injury and failure and treatment with renal-replacement therapy.\nRESULTS: A total of 597 of 3315 patients (18.0%) in the HES group and 566 of 3336 (17.0%) in the saline group died (relative risk in the HES group, 1.06; 95% confidence interval [CI], 0.96 to 1.18; P=0.26). There was no significant difference in mortality in six predefined subgroups. Renal-replacement therapy was used in 235 of 3352 patients (7.0%) in the HES group and 196 of 3375 (5.8%) in the saline group (relative risk, 1.21; 95% CI, 1.00 to 1.45; P=0.04). In the HES and saline groups, renal injury occurred in 34.6% and 38.0% of patients, respectively (P=0.005), and renal failure occurred in 10.4% and 9.2% of patients, respectively (P=0.12). HES was associated with significantly more adverse events (5.3% vs. 2.8%, P&lt;0.001).\nCONCLUSIONS: In patients in the ICU, there was no significant difference in 90-day mortality between patients resuscitated with 6% HES (130/0.4) or saline. However, more patients who received resuscitation with HES were treated with renal-replacement therapy. (Funded by the National Health and Medical Research Council of Australia and others; CHEST ClinicalTrials.gov number, NCT00935168.).","DOI":"10.1056/NEJMoa1209759","ISSN":"1533-4406","note":"PMID: 23075127","journalAbbreviation":"N. Engl. J. Med.","language":"eng","author":[{"family":"Myburgh","given":"John A."},{"family":"Finfer","given":"Simon"},{"family":"Bellomo","given":"Rinaldo"},{"family":"Billot","given":"Laurent"},{"family":"Cass","given":"Alan"},{"family":"Gattas","given":"David"},{"family":"Glass","given":"Parisa"},{"family":"Lipman","given":"Jeffrey"},{"family":"Liu","given":"Bette"},{"family":"McArthur","given":"Colin"},{"family":"McGuinness","given":"Shay"},{"family":"Rajbhandari","given":"Dorrilyn"},{"family":"Taylor","given":"Colman B."},{"family":"Webb","given":"Steven A. R."},{"literal":"CHEST Investigators"},{"literal":"Australian and New Zealand Intensive Care Society Clinical Trials Group"}],"issued":{"date-parts":[["2012",11,15]]},"PMID":"23075127"}},{"id":64,"uris":["http://zotero.org/users/local/ZaW79YVG/items/C6BIP7D6"],"uri":["http://zotero.org/users/local/ZaW79YVG/items/C6BIP7D6"],"itemData":{"id":64,"type":"article-journal","title":"Bleeding and risk of death with hydroxyethyl starch in severe sepsis: post hoc analyses of a randomized clinical trial","container-title":"Intensive Care Medicine","page":"2126-2134","volume":"39","issue":"12","source":"PubMed","abstract":"PURPOSE: We aimed to characterize the degree and clinical importance of bleeding in patients treated with hydroxyethyl starch (HES).\nMETHODS: In post hoc analyses, we examined the associations between fluid assignment, hemostatic variables, bleeding events, transfusions, and death among 798 patients with severe sepsis randomized to fluid resuscitation with HES 130/0.42 versus Ringer's acetate. We used Cox regression analysis adjusted for fluid assignment and baseline characteristics.\nRESULTS: Overall, 93 (23 %) patients assigned to HES versus 60 (15 %) patients assigned to Ringer's acetate bled in the ICU (relative risk (RR) 1.55; 95 % CI 1.16-2.08; P = 0.003). Of these, 38 and 25 (RR 1.52; 95 % CI 0.94-2.48; P = 0.09), respectively, had severe bleeding (intracranial or concomitant transfusion with three units of red blood cells). Most patients bled in the first days after randomization when most trial fluid was given. The hazards ratios for occurrence of any bleeding and severe bleeding in patients treated with HES versus Ringer's acetate were 1.70 (95 % CI 1.23-2.36; P = 0.001) and 1.55 (95 % CI 0.93-2.56; P = 0.09), respectively. The adjusted hazard ratios for death among patients with any bleeding and severe bleeding compared to those without bleeding were 1.36 (95 % CI 1.04-1.79; P = 0.03) and 1.74 (95 % CI 1.20-2.53; P = 0.004), respectively.\nCONCLUSIONS: In post hoc analyses of patient with severe sepsis, treatment with HES increased the risk of bleeding which was associated with increased risk of death. HES-induced bleeding complications may negatively affect outcome in patients with severe sepsis.","DOI":"10.1007/s00134-013-3111-9","ISSN":"1432-1238","note":"PMID: 24081433","shortTitle":"Bleeding and risk of death with hydroxyethyl starch in severe sepsis","journalAbbreviation":"Intensive Care Med","language":"eng","author":[{"family":"Haase","given":"Nicolai"},{"family":"Wetterslev","given":"Jørn"},{"family":"Winkel","given":"Per"},{"family":"Perner","given":"Anders"}],"issued":{"date-parts":[["2013",12]]},"PMID":"24081433"}}],"schema":"https://github.com/citation-style-language/schema/raw/master/csl-citation.json"} </w:instrText>
      </w:r>
      <w:r w:rsidR="00453389" w:rsidRPr="007141B1">
        <w:rPr>
          <w:rFonts w:asciiTheme="minorHAnsi" w:hAnsiTheme="minorHAnsi" w:cs="Arial"/>
          <w:lang w:val="en-GB"/>
        </w:rPr>
        <w:fldChar w:fldCharType="separate"/>
      </w:r>
      <w:r w:rsidR="007E7E7B" w:rsidRPr="00DE4685">
        <w:rPr>
          <w:rFonts w:ascii="Calibri" w:hAnsi="Calibri" w:cs="Calibri"/>
          <w:lang w:val="en-US"/>
        </w:rPr>
        <w:t>[40–42]</w:t>
      </w:r>
      <w:r w:rsidR="00453389" w:rsidRPr="007141B1">
        <w:rPr>
          <w:rFonts w:asciiTheme="minorHAnsi" w:hAnsiTheme="minorHAnsi" w:cs="Arial"/>
          <w:lang w:val="en-GB"/>
        </w:rPr>
        <w:fldChar w:fldCharType="end"/>
      </w:r>
      <w:r w:rsidRPr="007141B1">
        <w:rPr>
          <w:rFonts w:asciiTheme="minorHAnsi" w:hAnsiTheme="minorHAnsi" w:cs="Arial"/>
          <w:lang w:val="en-GB"/>
        </w:rPr>
        <w:t>. These studies have resulted in substantive changes to medical regulatory authorisations and guidelines that either prohibit or restrict the use of HES</w:t>
      </w:r>
      <w:r w:rsidR="00A804A1">
        <w:rPr>
          <w:rFonts w:asciiTheme="minorHAnsi" w:hAnsiTheme="minorHAnsi" w:cs="Arial"/>
          <w:lang w:val="en-GB"/>
        </w:rPr>
        <w:t xml:space="preserve"> </w:t>
      </w:r>
      <w:r w:rsidR="00A804A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{"citationID":"18j13ekb1c","properties":{"formattedCitation":"[5, 43]","plainCitation":"[5, 43]"},"citationItems":[{"id":36,"uris":["http://zotero.org/users/local/tmXAZSH1/items/475BNTXK"],"uri":["http://zotero.org/users/local/tmXAZSH1/items/475BNTXK"],"itemData":{"id":36,"type":"article-journal","title":"Surviving Sepsis Campaign: International Guidelines for Management of Sepsis and Septic Shock: 2016","container-title":"Intensive Care Medicine","source":"PubMed","abstract":"OBJECTIVE: To provide an update to \"Surviving Sepsis Campaign Guidelines for Management of Sepsis and Septic Shock: 2012\".\nDESIGN: A consensus committee of 55 international experts representing 25 international organizations was convened. Nominal groups were assembled at key international meetings (for those committee members attending the conference). A formal conflict-of-interest (COI) policy was developed at the onset of the process and enforced throughout. A stand-alone meeting was held for all panel members in December 2015. Teleconferences and electronic-based discussion among subgroups and among the entire committee served as an integral part of the development.\nMETHODS: The panel consisted of five sections: hemodynamics, infection, adjunctive therapies, metabolic, and ventilation. Population, intervention, comparison, and outcomes (PICO) questions were reviewed and updated as needed, and evidence profiles were generated. Each subgroup generated a list of questions, searched for best available evidence, and then followed the principles of the Grading of Recommendations Assessment, Development, and Evaluation (GRADE) system to assess the quality of evidence from high to very low, and to formulate recommendations as strong or weak, or best practice statement when applicable.\nRESULTS: The Surviving Sepsis Guideline panel provided 93 statements on early management and resuscitation of patients with sepsis or septic shock. Overall, 32 were strong recommendations, 39 were weak recommendations, and 18 were best-practice statements. No recommendation was provided for four questions.\nCONCLUSIONS: Substantial agreement exists among a large cohort of international experts regarding many strong recommendations for the best care of patients with sepsis. Although a significant number of aspects of care have relatively weak support, evidence-based recommendations regarding the acute management of sepsis and septic shock are the foundation of improved outcomes for these critically ill patients with high mortality.","DOI":"10.1007/s00134-017-4683-6","ISSN":"1432-1238","note":"PMID: 28101605","shortTitle":"Surviving Sepsis Campaign","journalAbbreviation":"Intensive Care Med","language":"eng","author":[{"family":"Rhodes","given":"Andrew"},{"family":"Evans","given":"Laura E."},{"family":"Alhazzani","given":"Waleed"},{"family":"Levy","given":"Mitchell M."},{"family":"Antonelli","given":"Massimo"},{"family":"Ferrer","given":"Ricard"},{"family":"Kumar","given":"Anand"},{"family":"Sevransky","given":"Jonathan E."},{"family":"Sprung","given":"Charles L."},{"family":"Nunnally","given":"Mark E."},{"family":"Rochwerg","given":"Bram"},{"family":"Rubenfeld","given":"Gordon D."},{"family":"Angus","given":"Derek C."},{"family":"Annane","given":"Djillali"},{"family":"Beale","given":"Richard J."},{"family":"Bellinghan","given":"Geoffrey J."},{"family":"Bernard","given":"Gordon R."},{"family":"Chiche","given":"Jean-Daniel"},{"family":"Coopersmith","given":"Craig"},{"family":"De Backer","given":"Daniel P."},{"family":"French","given":"Craig J."},{"family":"Fujishima","given":"Seitaro"},{"family":"Gerlach","given":"Herwig"},{"family":"Hidalgo","given":"Jorge Luis"},{"family":"Hollenberg","given":"Steven M."},{"family":"Jones","given":"Alan E."},{"family":"Karnad","given":"Dilip R."},{"family":"Kleinpell","given":"Ruth M."},{"family":"Koh","given":"Younsuk"},{"family":"Lisboa","given":"Thiago Costa"},{"family":"Machado","given":"Flavia R."},{"family":"Marini","given":"John J."},{"family":"Marshall","given":"John C."},{"family":"Mazuski","given":"John E."},{"family":"McIntyre","given":"Lauralyn A."},{"family":"McLean","given":"Anthony S."},{"family":"Mehta","given":"Sangeeta"},{"family":"Moreno","given":"Rui P."},{"family":"Myburgh","given":"John"},{"family":"Navalesi","given":"Paolo"},{"family":"Nishida","given":"Osamu"},{"family":"Osborn","given":"Tiffany M."},{"family":"Perner","given":"Anders"},{"family":"Plunkett","given":"Colleen M."},{"family":"Ranieri","given":"Marco"},{"family":"Schorr","given":"Christa A."},{"family":"Seckel","given":"Maureen A."},{"family":"Seymour","given":"Christopher W."},{"family":"Shieh","given":"Lisa"},{"family":"Shukri","given":"Khalid A."},{"family":"Simpson","given":"Steven Q."},{"family":"Singer","given":"Mervyn"},{"family":"Thompson","given":"B. Taylor"},{"family":"Townsend","given":"Sean R."},{"family":"Van der Poll","given":"Thomas"},{"family":"Vincent","given":"Jean-Louis"},{"family":"Wiersinga","given":"W. Joost"},{"family":"Zimmerman","given":"Janice L."},{"family":"Dellinger","given":"R. Phillip"}],"issued":{"date-parts":[["2017",1,18]]},"PMID":"28101605"}},{"id":146,"uris":["http://zotero.org/users/local/tmXAZSH1/items/VDHFDI75"],"uri":["http://zotero.org/users/local/tmXAZSH1/items/VDHFDI75"],"itemData":{"id":146,"type":"article-journal","title":"Hydroxyethyl starch: putting patient safety first","container-title":"Intensive Care Medicine","page":"256-259","volume":"40","issue":"2","source":"PubMed","DOI":"10.1007/s00134-013-3167-6","ISSN":"1432-1238","note":"PMID: 24352482","shortTitle":"Hydroxyethyl starch","journalAbbreviation":"Intensive Care Med","language":"eng","author":[{"family":"Bion","given":"Julian"},{"family":"Bellomo","given":"Rinaldo"},{"family":"Myburgh","given":"John"},{"family":"Perner","given":"Anders"},{"family":"Reinhart","given":"Konrad"},{"family":"Finfer","given":"Simon"}],"issued":{"date-parts":[["2014",2]]},"PMID":"24352482"}}],"schema":"https://github.com/citation-style-language/schema/raw/master/csl-citation.json"} </w:instrText>
      </w:r>
      <w:r w:rsidR="00A804A1">
        <w:rPr>
          <w:rFonts w:asciiTheme="minorHAnsi" w:hAnsiTheme="minorHAnsi" w:cs="Arial"/>
          <w:lang w:val="en-GB"/>
        </w:rPr>
        <w:fldChar w:fldCharType="separate"/>
      </w:r>
      <w:r w:rsidR="007E7E7B" w:rsidRPr="00DE4685">
        <w:rPr>
          <w:rFonts w:ascii="Calibri" w:hAnsi="Calibri" w:cs="Calibri"/>
          <w:lang w:val="en-US"/>
        </w:rPr>
        <w:t>[5, 43]</w:t>
      </w:r>
      <w:r w:rsidR="00A804A1">
        <w:rPr>
          <w:rFonts w:asciiTheme="minorHAnsi" w:hAnsiTheme="minorHAnsi" w:cs="Arial"/>
          <w:lang w:val="en-GB"/>
        </w:rPr>
        <w:fldChar w:fldCharType="end"/>
      </w:r>
      <w:r w:rsidR="001B601F" w:rsidRPr="00E20693">
        <w:rPr>
          <w:rFonts w:asciiTheme="minorHAnsi" w:hAnsiTheme="minorHAnsi" w:cs="Arial"/>
          <w:lang w:val="en-GB"/>
        </w:rPr>
        <w:t>.</w:t>
      </w:r>
    </w:p>
    <w:p w:rsidR="003415A0" w:rsidRPr="007141B1" w:rsidRDefault="003415A0" w:rsidP="00851E20">
      <w:pPr>
        <w:spacing w:line="360" w:lineRule="auto"/>
        <w:rPr>
          <w:rFonts w:asciiTheme="minorHAnsi" w:hAnsiTheme="minorHAnsi" w:cs="Arial"/>
          <w:lang w:val="en-GB"/>
        </w:rPr>
      </w:pPr>
    </w:p>
    <w:p w:rsidR="003415A0" w:rsidRPr="007141B1" w:rsidRDefault="00022D66" w:rsidP="00851E20">
      <w:pPr>
        <w:spacing w:line="360" w:lineRule="auto"/>
        <w:rPr>
          <w:rFonts w:asciiTheme="minorHAnsi" w:hAnsiTheme="minorHAnsi" w:cs="Arial"/>
          <w:b/>
          <w:lang w:val="en-GB"/>
        </w:rPr>
      </w:pPr>
      <w:r w:rsidRPr="007141B1">
        <w:rPr>
          <w:rFonts w:asciiTheme="minorHAnsi" w:hAnsiTheme="minorHAnsi" w:cs="Arial"/>
          <w:b/>
          <w:lang w:val="en-GB"/>
        </w:rPr>
        <w:t>B</w:t>
      </w:r>
      <w:r w:rsidR="003415A0" w:rsidRPr="007141B1">
        <w:rPr>
          <w:rFonts w:asciiTheme="minorHAnsi" w:hAnsiTheme="minorHAnsi" w:cs="Arial"/>
          <w:b/>
          <w:lang w:val="en-GB"/>
        </w:rPr>
        <w:t xml:space="preserve">lood transfusion </w:t>
      </w:r>
      <w:r w:rsidRPr="007141B1">
        <w:rPr>
          <w:rFonts w:asciiTheme="minorHAnsi" w:hAnsiTheme="minorHAnsi" w:cs="Arial"/>
          <w:b/>
          <w:lang w:val="en-GB"/>
        </w:rPr>
        <w:t xml:space="preserve">in patients with </w:t>
      </w:r>
      <w:r w:rsidR="003415A0" w:rsidRPr="007141B1">
        <w:rPr>
          <w:rFonts w:asciiTheme="minorHAnsi" w:hAnsiTheme="minorHAnsi" w:cs="Arial"/>
          <w:b/>
          <w:lang w:val="en-GB"/>
        </w:rPr>
        <w:t>septic shock</w:t>
      </w:r>
    </w:p>
    <w:p w:rsidR="003415A0" w:rsidRPr="007141B1" w:rsidRDefault="003415A0" w:rsidP="00851E20">
      <w:pPr>
        <w:spacing w:line="360" w:lineRule="auto"/>
        <w:rPr>
          <w:rFonts w:asciiTheme="minorHAnsi" w:hAnsiTheme="minorHAnsi" w:cs="Arial"/>
          <w:lang w:val="en-GB"/>
        </w:rPr>
      </w:pPr>
      <w:r w:rsidRPr="007141B1">
        <w:rPr>
          <w:rFonts w:asciiTheme="minorHAnsi" w:hAnsiTheme="minorHAnsi" w:cs="Arial"/>
          <w:lang w:val="en-GB"/>
        </w:rPr>
        <w:t xml:space="preserve">The SSC guidelines </w:t>
      </w:r>
      <w:r w:rsidR="00022D66" w:rsidRPr="007141B1">
        <w:rPr>
          <w:rFonts w:asciiTheme="minorHAnsi" w:hAnsiTheme="minorHAnsi" w:cs="Arial"/>
          <w:lang w:val="en-GB"/>
        </w:rPr>
        <w:t xml:space="preserve">have </w:t>
      </w:r>
      <w:r w:rsidRPr="007141B1">
        <w:rPr>
          <w:rFonts w:asciiTheme="minorHAnsi" w:hAnsiTheme="minorHAnsi" w:cs="Arial"/>
          <w:lang w:val="en-GB"/>
        </w:rPr>
        <w:t>recommend</w:t>
      </w:r>
      <w:r w:rsidR="00022D66" w:rsidRPr="007141B1">
        <w:rPr>
          <w:rFonts w:asciiTheme="minorHAnsi" w:hAnsiTheme="minorHAnsi" w:cs="Arial"/>
          <w:lang w:val="en-GB"/>
        </w:rPr>
        <w:t>ed</w:t>
      </w:r>
      <w:r w:rsidRPr="007141B1">
        <w:rPr>
          <w:rFonts w:asciiTheme="minorHAnsi" w:hAnsiTheme="minorHAnsi" w:cs="Arial"/>
          <w:lang w:val="en-GB"/>
        </w:rPr>
        <w:t xml:space="preserve"> a </w:t>
      </w:r>
      <w:r w:rsidR="00022D66" w:rsidRPr="007141B1">
        <w:rPr>
          <w:rFonts w:asciiTheme="minorHAnsi" w:hAnsiTheme="minorHAnsi" w:cs="Arial"/>
          <w:lang w:val="en-GB"/>
        </w:rPr>
        <w:t xml:space="preserve">time- and biomarker-dependent </w:t>
      </w:r>
      <w:r w:rsidRPr="007141B1">
        <w:rPr>
          <w:rFonts w:asciiTheme="minorHAnsi" w:hAnsiTheme="minorHAnsi" w:cs="Arial"/>
          <w:lang w:val="en-GB"/>
        </w:rPr>
        <w:t>protocol for blood transfusion based on the results of the initial EGDT trial</w:t>
      </w:r>
      <w:r w:rsidR="00453389" w:rsidRPr="007141B1">
        <w:rPr>
          <w:rFonts w:asciiTheme="minorHAnsi" w:hAnsiTheme="minorHAnsi" w:cs="Arial"/>
          <w:lang w:val="en-GB"/>
        </w:rPr>
        <w:t xml:space="preserve"> </w:t>
      </w:r>
      <w:r w:rsidR="00453389" w:rsidRPr="007141B1">
        <w:rPr>
          <w:rFonts w:asciiTheme="minorHAnsi" w:hAnsiTheme="minorHAnsi" w:cs="Arial"/>
          <w:lang w:val="en-GB"/>
        </w:rPr>
        <w:fldChar w:fldCharType="begin"/>
      </w:r>
      <w:r w:rsidR="006E59A1">
        <w:rPr>
          <w:rFonts w:asciiTheme="minorHAnsi" w:hAnsiTheme="minorHAnsi" w:cs="Arial"/>
          <w:lang w:val="en-GB"/>
        </w:rPr>
        <w:instrText xml:space="preserve"> ADDIN ZOTERO_ITEM CSL_CITATION {"citationID":"62m6q5sbd","properties":{"formattedCitation":"[19]","plainCitation":"[19]"},"citationItems":[{"id":22,"uris":["http://zotero.org/users/local/ZaW79YVG/items/WMTETCM7"],"uri":["http://zotero.org/users/local/ZaW79YVG/items/WMTETCM7"],"itemData":{"id":22,"type":"article-journal","title":"Early goal-directed therapy in the treatment of severe sepsis and septic shock","container-title":"The New England Journal of Medicine","page":"1368-1377","volume":"345","issue":"19","source":"PubMed","abstract":"BACKGROUND: Goal-directed therapy has been used for severe sepsis and septic shock in the intensive care unit. This approach involves adjustments of cardiac preload, afterload, and contractility to balance oxygen delivery with oxygen demand. The purpose of this study was to evaluate the efficacy of early goal-directed therapy before admission to the intensive care unit.\nMETHODS: We randomly assigned patients who arrived at an urban emergency department with severe sepsis or septic shock to receive either six hours of early goal-directed therapy or standard therapy (as a control) before admission to the intensive care unit. Clinicians who subsequently assumed the care of the patients were blinded to the treatment assignment. In-hospital mortality (the primary efficacy outcome), end points with respect to resuscitation, and Acute Physiology and Chronic Health Evaluation (APACHE II) scores were obtained serially for 72 hours and compared between the study groups.\nRESULTS: Of the 263 enrolled patients, 130 were randomly assigned to early goal-directed therapy and 133 to standard therapy; there were no significant differences between the groups with respect to base-line characteristics. In-hospital mortality was 30.5 percent in the group assigned to early goal-directed therapy, as compared with 46.5 percent in the group assigned to standard therapy (P = 0.009). During the interval from 7 to 72 hours, the patients assigned to early goal-directed therapy had a significantly higher mean (+/-SD) central venous oxygen saturation (70.4+/-10.7 percent vs. 65.3+/-11.4 percent), a lower lactate concentration (3.0+/-4.4 vs. 3.9+/-4.4 mmol per liter), a lower base deficit (2.0+/-6.6 vs. 5.1+/-6.7 mmol per liter), and a higher pH (7.40+/-0.12 vs. 7.36+/-0.12) than the patients assigned to standard therapy (P &lt; or = 0.02 for all comparisons). During the same period, mean APACHE II scores were significantly lower, indicating less severe organ dysfunction, in the patients assigned to early goal-directed therapy than in those assigned to standard therapy (13.0+/-6.3 vs. 15.9+/-6.4, P &lt; 0.001).\nCONCLUSIONS: Early goal-directed therapy provides significant benefits with respect to outcome in patients with severe sepsis and septic shock.","DOI":"10.1056/NEJMoa010307","ISSN":"0028-4793","note":"PMID: 11794169","journalAbbreviation":"N. Engl. J. Med.","language":"eng","author":[{"family":"Rivers","given":"E."},{"family":"Nguyen","given":"B."},{"family":"Havstad","given":"S."},{"family":"Ressler","given":"J."},{"family":"Muzzin","given":"A."},{"family":"Knoblich","given":"B."},{"family":"Peterson","given":"E."},{"family":"Tomlanovich","given":"M."},{"literal":"Early Goal-Directed Therapy Collaborative Group"}],"issued":{"date-parts":[["2001",11,8]]},"PMID":"11794169"}}],"schema":"https://github.com/citation-style-language/schema/raw/master/csl-citation.json"} </w:instrText>
      </w:r>
      <w:r w:rsidR="00453389" w:rsidRPr="007141B1">
        <w:rPr>
          <w:rFonts w:asciiTheme="minorHAnsi" w:hAnsiTheme="minorHAnsi" w:cs="Arial"/>
          <w:lang w:val="en-GB"/>
        </w:rPr>
        <w:fldChar w:fldCharType="separate"/>
      </w:r>
      <w:r w:rsidR="006E59A1" w:rsidRPr="009D5B86">
        <w:rPr>
          <w:rFonts w:ascii="Calibri" w:hAnsi="Calibri" w:cs="Calibri"/>
          <w:lang w:val="en-US"/>
        </w:rPr>
        <w:t>[19]</w:t>
      </w:r>
      <w:r w:rsidR="00453389" w:rsidRPr="007141B1">
        <w:rPr>
          <w:rFonts w:asciiTheme="minorHAnsi" w:hAnsiTheme="minorHAnsi" w:cs="Arial"/>
          <w:lang w:val="en-GB"/>
        </w:rPr>
        <w:fldChar w:fldCharType="end"/>
      </w:r>
      <w:r w:rsidR="00022D66" w:rsidRPr="007141B1">
        <w:rPr>
          <w:rFonts w:asciiTheme="minorHAnsi" w:hAnsiTheme="minorHAnsi" w:cs="Arial"/>
          <w:lang w:val="en-GB"/>
        </w:rPr>
        <w:t xml:space="preserve"> </w:t>
      </w:r>
      <w:r w:rsidRPr="007141B1">
        <w:rPr>
          <w:rFonts w:asciiTheme="minorHAnsi" w:hAnsiTheme="minorHAnsi" w:cs="Arial"/>
          <w:lang w:val="en-GB"/>
        </w:rPr>
        <w:t xml:space="preserve">and </w:t>
      </w:r>
      <w:r w:rsidR="00022D66" w:rsidRPr="007141B1">
        <w:rPr>
          <w:rFonts w:asciiTheme="minorHAnsi" w:hAnsiTheme="minorHAnsi" w:cs="Arial"/>
          <w:lang w:val="en-GB"/>
        </w:rPr>
        <w:t xml:space="preserve">indirect evidence from </w:t>
      </w:r>
      <w:r w:rsidRPr="007141B1">
        <w:rPr>
          <w:rFonts w:asciiTheme="minorHAnsi" w:hAnsiTheme="minorHAnsi" w:cs="Arial"/>
          <w:lang w:val="en-GB"/>
        </w:rPr>
        <w:t>a multicentre RCT (TRICC) in ICU patients</w:t>
      </w:r>
      <w:r w:rsidR="007235D4" w:rsidRPr="007141B1">
        <w:rPr>
          <w:rFonts w:asciiTheme="minorHAnsi" w:hAnsiTheme="minorHAnsi" w:cs="Arial"/>
          <w:lang w:val="en-GB"/>
        </w:rPr>
        <w:t xml:space="preserve"> </w:t>
      </w:r>
      <w:r w:rsidR="007235D4"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2e8ss3l7u4","properties":{"formattedCitation":"[44]","plainCitation":"[44]"},"citationItems":[{"id":74,"uris":["http://zotero.org/users/local/ZaW79YVG/items/JQKFWBA5"],"uri":["http://zotero.org/users/local/ZaW79YVG/items/JQKFWBA5"],"itemData":{"id":74,"type":"article-journal","title":"A multicenter, randomized, controlled clinical trial of transfusion requirements in critical care. Transfusion Requirements in Critical Care Investigators, Canadian Critical Care Trials Group","container-title":"The New England Journal of Medicine","page":"409-417","volume":"340","issue":"6","source":"PubMed","abstract":"BACKGROUND: To determine whether a restrictive strategy of red-cell transfusion and a liberal strategy produced equivalent results in critically ill patients, we compared the rates of death from all causes at 30 days and the severity of organ dysfunction.\nMETHODS: We enrolled 838 critically ill patients with euvolemia after initial treatment who had hemoglobin concentrations of less than 9.0 g per deciliter within 72 hours after admission to the intensive care unit and randomly assigned 418 patients to a restrictive strategy of transfusion, in which red cells were transfused if the hemoglobin concentration dropped below 7.0 g per deciliter and hemoglobin concentrations were maintained at 7.0 to 9.0 g per deciliter, and 420 patients to a liberal strategy, in which transfusions were given when the hemoglobin concentration fell below 10.0 g per deciliter and hemoglobin concentrations were maintained at 10.0 to 12.0 g per deciliter.\nRESULTS: Overall, 30-day mortality was similar in the two groups (18.7 percent vs. 23.3 percent, P= 0.11). However, the rates were significantly lower with the restrictive transfusion strategy among patients who were less acutely ill -- those with an Acute Physiology and Chronic Health Evaluation II score of &lt; or =20 (8.7 percent in the restrictive-strategy group and 16.1 percent in the liberal-strategy group; P=0.03) -- and among patients who were less than 55 years of age (5.7 percent and 13.0 percent, respectively; P=0.02), but not among patients with clinically significant cardiac disease (20.5 percent and 22.9 percent, respectively; P=0.69). The mortality rate during hospitalization was significantly lower in the restrictive-strategy group (22.3 percent vs. 28.1 percent, P=0.05).\nCONCLUSIONS: A restrictive strategy of red-cell transfusion is at least as effective as and possibly superior to a liberal transfusion strategy in critically ill patients, with the possible exception of patients with acute myocardial infarction and unstable angina.","DOI":"10.1056/NEJM199902113400601","ISSN":"0028-4793","note":"PMID: 9971864","journalAbbreviation":"N. Engl. J. Med.","language":"eng","author":[{"family":"Hébert","given":"P. C."},{"family":"Wells","given":"G."},{"family":"Blajchman","given":"M. A."},{"family":"Marshall","given":"J."},{"family":"Martin","given":"C."},{"family":"Pagliarello","given":"G."},{"family":"Tweeddale","given":"M."},{"family":"Schweitzer","given":"I."},{"family":"Yetisir","given":"E."}],"issued":{"date-parts":[["1999",2,11]]},"PMID":"9971864"}}],"schema":"https://github.com/citation-style-language/schema/raw/master/csl-citation.json"} </w:instrText>
      </w:r>
      <w:r w:rsidR="007235D4" w:rsidRPr="007141B1">
        <w:rPr>
          <w:rFonts w:asciiTheme="minorHAnsi" w:hAnsiTheme="minorHAnsi" w:cs="Arial"/>
          <w:lang w:val="en-GB"/>
        </w:rPr>
        <w:fldChar w:fldCharType="separate"/>
      </w:r>
      <w:r w:rsidR="007E7E7B" w:rsidRPr="00DE4685">
        <w:rPr>
          <w:rFonts w:ascii="Calibri" w:hAnsi="Calibri" w:cs="Calibri"/>
          <w:lang w:val="en-US"/>
        </w:rPr>
        <w:t>[44]</w:t>
      </w:r>
      <w:r w:rsidR="007235D4" w:rsidRPr="007141B1">
        <w:rPr>
          <w:rFonts w:asciiTheme="minorHAnsi" w:hAnsiTheme="minorHAnsi" w:cs="Arial"/>
          <w:lang w:val="en-GB"/>
        </w:rPr>
        <w:fldChar w:fldCharType="end"/>
      </w:r>
      <w:r w:rsidRPr="007141B1">
        <w:rPr>
          <w:rFonts w:asciiTheme="minorHAnsi" w:hAnsiTheme="minorHAnsi" w:cs="Arial"/>
          <w:lang w:val="en-GB"/>
        </w:rPr>
        <w:t>. A large high-quality confirmatory RCT showed no differences by time- and biomarker-independent blood transfusion at haemoglobin values of 7 vs. 9 g/dl on patient-centred outcomes in patients with septic shock</w:t>
      </w:r>
      <w:r w:rsidR="007235D4" w:rsidRPr="007141B1">
        <w:rPr>
          <w:rFonts w:asciiTheme="minorHAnsi" w:hAnsiTheme="minorHAnsi" w:cs="Arial"/>
          <w:lang w:val="en-GB"/>
        </w:rPr>
        <w:t xml:space="preserve"> </w:t>
      </w:r>
      <w:r w:rsidR="007235D4"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{"citationID":"1sqtbsgj3d","properties":{"formattedCitation":"[45, 46]","plainCitation":"[45, 46]"},"citationItems":[{"id":78,"uris":["http://zotero.org/users/local/ZaW79YVG/items/WIJB4HKC"],"uri":["http://zotero.org/users/local/ZaW79YVG/items/WIJB4HKC"],"itemData":{"id":78,"type":"article-journal","title":"Lower versus higher hemoglobin threshold for transfusion in septic shock","container-title":"The New England Journal of Medicine","page":"1381-1391","volume":"371","issue":"15","source":"PubMed","abstract":"BACKGROUND: Blood transfusions are frequently given to patients with septic shock. However, the benefits and harms of different hemoglobin thresholds for transfusion have not been established.\nMETHODS: In this multicenter, parallel-group trial, we randomly assigned patients in the intensive care unit (ICU) who had septic shock and a hemoglobin concentration of 9 g per deciliter or less to receive 1 unit of leukoreduced red cells when the hemoglobin level was 7 g per deciliter or less (lower threshold) or when the level was 9 g per deciliter or less (higher threshold) during the ICU stay. The primary outcome measure was death by 90 days after randomization.\nRESULTS: We analyzed data from 998 of 1005 patients (99.3%) who underwent randomization. The two intervention groups had similar baseline characteristics. In the ICU, the lower-threshold group received a median of 1 unit of blood (interquartile range, 0 to 3) and the higher-threshold group received a median of 4 units (interquartile range, 2 to 7). At 90 days after randomization, 216 of 502 patients (43.0%) assigned to the lower-threshold group, as compared with 223 of 496 (45.0%) assigned to the higher-threshold group, had died (relative risk, 0.94; 95% confidence interval, 0.78 to 1.09; P=0.44). The results were similar in analyses adjusted for risk factors at baseline and in analyses of the per-protocol populations. The numbers of patients who had ischemic events, who had severe adverse reactions, and who required life support were similar in the two intervention groups.\nCONCLUSIONS: Among patients with septic shock, mortality at 90 days and rates of ischemic events and use of life support were similar among those assigned to blood transfusion at a higher hemoglobin threshold and those assigned to blood transfusion at a lower threshold; the latter group received fewer transfusions. (Funded by the Danish Strategic Research Council and others; TRISS ClinicalTrials.gov number, NCT01485315.).","DOI":"10.1056/NEJMoa1406617","ISSN":"1533-4406","note":"PMID: 25270275","journalAbbreviation":"N. Engl. J. Med.","language":"eng","author":[{"family":"Holst","given":"Lars B."},{"family":"Haase","given":"Nicolai"},{"family":"Wetterslev","given":"Jørn"},{"family":"Wernerman","given":"Jan"},{"family":"Guttormsen","given":"Anne B."},{"family":"Karlsson","given":"Sari"},{"family":"Johansson","given":"Pär I."},{"family":"Aneman","given":"Anders"},{"family":"Vang","given":"Marianne L."},{"family":"Winding","given":"Robert"},{"family":"Nebrich","given":"Lars"},{"family":"Nibro","given":"Helle L."},{"family":"Rasmussen","given":"Bodil S."},{"family":"Lauridsen","given":"Johnny R. M."},{"family":"Nielsen","given":"Jane S."},{"family":"Oldner","given":"Anders"},{"family":"Pettilä","given":"Ville"},{"family":"Cronhjort","given":"Maria B."},{"family":"Andersen","given":"Lasse H."},{"family":"Pedersen","given":"Ulf G."},{"family":"Reiter","given":"Nanna"},{"family":"Wiis","given":"Jørgen"},{"family":"White","given":"Jonathan O."},{"family":"Russell","given":"Lene"},{"family":"Thornberg","given":"Klaus J."},{"family":"Hjortrup","given":"Peter B."},{"family":"Müller","given":"Rasmus G."},{"family":"Møller","given":"Morten H."},{"family":"Steensen","given":"Morten"},{"family":"Tjäder","given":"Inga"},{"family":"Kilsand","given":"Kristina"},{"family":"Odeberg-Wernerman","given":"Suzanne"},{"family":"Sjøbø","given":"Brit"},{"family":"Bundgaard","given":"Helle"},{"family":"Thyø","given":"Maria A."},{"family":"Lodahl","given":"David"},{"family":"Mærkedahl","given":"Rikke"},{"family":"Albeck","given":"Carsten"},{"family":"Illum","given":"Dorte"},{"family":"Kruse","given":"Mary"},{"family":"Winkel","given":"Per"},{"family":"Perner","given":"Anders"},{"literal":"TRISS Trial Group"},{"literal":"Scandinavian Critical Care Trials Group"}],"issued":{"date-parts":[["2014",10,9]]},"PMID":"25270275"}},{"id":76,"uris":["http://zotero.org/users/local/ZaW79YVG/items/U3XVRSBQ"],"uri":["http://zotero.org/users/local/ZaW79YVG/items/U3XVRSBQ"],"itemData":{"id":76,"type":"article-journal","title":"Long-term outcomes in patients with septic shock transfused at a lower versus a higher haemoglobin threshold: the TRISS randomised, multicentre clinical trial","container-title":"Intensive Care Medicine","page":"1685-1694","volume":"42","issue":"11","source":"PubMed","abstract":"PURPOSE: We assessed the predefined long-term outcomes in patients randomised in the Transfusion Requirements in Septic Shock (TRISS) trial.\nMETHODS: In 32 Scandinavian ICUs, we randomised 1005 patients with septic shock and haemoglobin of 9 g/dl or less to receive single units of leuko-reduced red cells when haemoglobin level was 7 g/dl or less (lower threshold) or 9 g/dl or less (higher threshold) during ICU stay. We assessed mortality rates 1 year after randomisation and again in all patients at time of longest follow-up in the intention-to-treat population (n = 998) and health-related quality of life (HRQoL) 1 year after randomisation in the Danish patients only (n = 777).\nRESULTS: Mortality rates in the lower- versus higher-threshold group at 1 year were 53.5 % (268/501 patients) versus 54.6 % (271/496) [relative risk 0.97; 95 % confidence interval (CI) 0.85-1.09; P = 0.62]; at longest follow-up (median 21 months), they were 56.7 % (284/501) versus 61.0 % (302/495) (hazard ratio 0.88; 95 % CI 0.75-1.03; P = 0.12). We obtained HRQoL data at 1 year in 629 of the 777 (81 %) Danish patients, and mean differences between the lower- and higher-threshold group in scores of physical HRQoL were 0.4 (95 % CI -2.4 to 3.1; P = 0.79) and in mental HRQoL 0.5 (95 % CI -3.1 to 4.0; P = 0.79).\nCONCLUSIONS: Long-term mortality rates and HRQoL did not differ in patients with septic shock and anaemia who were transfused at a haemoglobin threshold of 7 g/dl versus a threshold of 9 g/dl. We may reject a more than 3 % increased hazard of death in the lower- versus higher-threshold group at the time of longest follow-up.","DOI":"10.1007/s00134-016-4437-x","ISSN":"1432-1238","note":"PMID: 27686345","shortTitle":"Long-term outcomes in patients with septic shock transfused at a lower versus a higher haemoglobin threshold","journalAbbreviation":"Intensive Care Med","language":"eng","author":[{"family":"Rygård","given":"Sofie L."},{"family":"Holst","given":"Lars B."},{"family":"Wetterslev","given":"Jørn"},{"family":"Winkel","given":"Per"},{"family":"Johansson","given":"Pär I."},{"family":"Wernerman","given":"Jan"},{"family":"Guttormsen","given":"Anne B."},{"family":"Karlsson","given":"Sari"},{"family":"Perner","given":"Anders"},{"literal":"TRISS Trial Group"},{"literal":"Scandinavian Critical Care Trials Group"}],"issued":{"date-parts":[["2016",11]]},"PMID":"27686345"}}],"schema":"https://github.com/citation-style-language/schema/raw/master/csl-citation.json"} </w:instrText>
      </w:r>
      <w:r w:rsidR="007235D4" w:rsidRPr="007141B1">
        <w:rPr>
          <w:rFonts w:asciiTheme="minorHAnsi" w:hAnsiTheme="minorHAnsi" w:cs="Arial"/>
          <w:lang w:val="en-GB"/>
        </w:rPr>
        <w:fldChar w:fldCharType="separate"/>
      </w:r>
      <w:r w:rsidR="007E7E7B" w:rsidRPr="00DE4685">
        <w:rPr>
          <w:rFonts w:ascii="Calibri" w:hAnsi="Calibri" w:cs="Calibri"/>
          <w:lang w:val="en-US"/>
        </w:rPr>
        <w:t>[45, 46]</w:t>
      </w:r>
      <w:r w:rsidR="007235D4" w:rsidRPr="007141B1">
        <w:rPr>
          <w:rFonts w:asciiTheme="minorHAnsi" w:hAnsiTheme="minorHAnsi" w:cs="Arial"/>
          <w:lang w:val="en-GB"/>
        </w:rPr>
        <w:fldChar w:fldCharType="end"/>
      </w:r>
      <w:r w:rsidRPr="007141B1">
        <w:rPr>
          <w:rFonts w:asciiTheme="minorHAnsi" w:hAnsiTheme="minorHAnsi" w:cs="Arial"/>
          <w:lang w:val="en-GB"/>
        </w:rPr>
        <w:t>.</w:t>
      </w:r>
    </w:p>
    <w:p w:rsidR="00310854" w:rsidRDefault="00310854" w:rsidP="00851E20">
      <w:pPr>
        <w:spacing w:line="360" w:lineRule="auto"/>
        <w:rPr>
          <w:rFonts w:asciiTheme="minorHAnsi" w:hAnsiTheme="minorHAnsi" w:cs="Arial"/>
          <w:lang w:val="en-GB"/>
        </w:rPr>
      </w:pPr>
    </w:p>
    <w:p w:rsidR="00DD1B18" w:rsidRPr="007141B1" w:rsidRDefault="00DD1B18" w:rsidP="00851E20">
      <w:pPr>
        <w:spacing w:line="360" w:lineRule="auto"/>
        <w:rPr>
          <w:rFonts w:asciiTheme="minorHAnsi" w:hAnsiTheme="minorHAnsi" w:cs="Arial"/>
          <w:lang w:val="en-GB"/>
        </w:rPr>
      </w:pPr>
      <w:r w:rsidRPr="007141B1">
        <w:rPr>
          <w:rFonts w:asciiTheme="minorHAnsi" w:hAnsiTheme="minorHAnsi" w:cs="Arial"/>
          <w:lang w:val="en-GB"/>
        </w:rPr>
        <w:t xml:space="preserve">These examples support the meta-epidemiological data indicating that results from RCTs with higher </w:t>
      </w:r>
      <w:r w:rsidR="007F707F" w:rsidRPr="007141B1">
        <w:rPr>
          <w:rFonts w:asciiTheme="minorHAnsi" w:hAnsiTheme="minorHAnsi" w:cs="Arial"/>
          <w:lang w:val="en-GB"/>
        </w:rPr>
        <w:t xml:space="preserve">vs. lower </w:t>
      </w:r>
      <w:r w:rsidRPr="007141B1">
        <w:rPr>
          <w:rFonts w:asciiTheme="minorHAnsi" w:hAnsiTheme="minorHAnsi" w:cs="Arial"/>
          <w:lang w:val="en-GB"/>
        </w:rPr>
        <w:t>risk of bias overestimate intervention effect</w:t>
      </w:r>
      <w:r w:rsidR="007F707F" w:rsidRPr="007141B1">
        <w:rPr>
          <w:rFonts w:asciiTheme="minorHAnsi" w:hAnsiTheme="minorHAnsi" w:cs="Arial"/>
          <w:lang w:val="en-GB"/>
        </w:rPr>
        <w:t>s</w:t>
      </w:r>
      <w:r w:rsidR="007235D4" w:rsidRPr="007141B1">
        <w:rPr>
          <w:rFonts w:asciiTheme="minorHAnsi" w:hAnsiTheme="minorHAnsi" w:cs="Arial"/>
          <w:lang w:val="en-GB"/>
        </w:rPr>
        <w:t xml:space="preserve"> </w:t>
      </w:r>
      <w:r w:rsidR="007235D4"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{"citationID":"efhl9mm47","properties":{"formattedCitation":"{\\rtf [35\\uc0\\u8211{}37, 47, 48]}","plainCitation":"[35–37, 47, 48]"},"citationItems":[{"id":44,"uris":["http://zotero.org/users/local/ZaW79YVG/items/UCRIEHJF"],"uri":["http://zotero.org/users/local/ZaW79YVG/items/UCRIEHJF"],"itemData":{"id":44,"type":"article-journal","title":"Impact of single centre status on estimates of intervention effects in trials with continuous outcomes: meta-epidemiological study","container-title":"BMJ (Clinical research ed.)","page":"e813","volume":"344","source":"PubMed","abstract":"OBJECTIVE: To compare estimates of intervention effects between single centre and multicentre randomised controlled trials with continuous outcomes.\nDESIGN: Meta-epidemiological study.\nDATA SOURCES: 26 meta-analyses totalling 292 randomised controlled trials (177 single centre, 115 multicentre) with continuous outcomes published between January 2007 and January 2010 in the Cochrane database of systematic reviews.\nDATA EXTRACTION: Data were extracted on characteristics of trials, single or multicentre status, risk of bias using the risk of bias tool of the Cochrane Collaboration, and results.\nDATA SYNTHESIS: The intervention effects were estimated with standardised mean differences. For each meta-analysis, random effects meta-regression was used to estimate the difference in standardised mean differences between single centre and multicentre trials. Differences in standardised mean differences were then pooled across meta-analyses by a random-effects meta-analysis model. A combined difference in standardised mean differences of less than 0 indicated that single centre trials showed larger treatment effects, on average, than did multicentre trials. Because single centre trials may be more prone to publication bias and may have lower methodological quality than multicentre trials, sensitivity analyses were done with adjustment for sample size and domains of the risk of bias tool.\nRESULTS: Single centre trials showed larger intervention effects than did multicentre trials (combined difference in standardised mean differences -0.09, 95% confidence interval -0.17 to -0.01, P=0.04), with low heterogeneity across individual meta-analyses (I(2)=0%, between meta-analyses variance τ(2)=0.00). Adjustment for sample size slightly attenuated the difference (-0.08, -0.17 to 0.01). Adjustment for risk of bias yielded similar estimates with wider confidence intervals, some of them crossing 0 (-0.09, -0.17 to 0.00 for overall risk of bias).\nCONCLUSIONS: On average, single centre clinical trials with continuous outcomes showed slightly larger intervention effects than did multicentre trials. Further research is needed to investigate potential causes of these differences.","ISSN":"1756-1833","note":"PMID: 22334559\nPMCID: PMC3279328","shortTitle":"Impact of single centre status on estimates of intervention effects in trials with continuous outcomes","journalAbbreviation":"BMJ","language":"eng","author":[{"family":"Bafeta","given":"Aïda"},{"family":"Dechartres","given":"Agnes"},{"family":"Trinquart","given":"Ludovic"},{"family":"Yavchitz","given":"Amélie"},{"family":"Boutron","given":"Isabelle"},{"family":"Ravaud","given":"Philippe"}],"issued":{"date-parts":[["2012",2,14]]},"PMID":"22334559","PMCID":"PMC3279328"}},{"id":46,"uris":["http://zotero.org/users/local/ZaW79YVG/items/MDXE33FU"],"uri":["http://zotero.org/users/local/ZaW79YVG/items/MDXE33FU"],"itemData":{"id":46,"type":"article-journal","title":"Is the literature inconclusive about the harm from HES? No","container-title":"Intensive Care Medicine","source":"PubMed","DOI":"10.1007/s00134-016-4275-x","ISSN":"1432-1238","note":"PMID: 27007101","shortTitle":"Is the literature inconclusive about the harm from HES?","journalAbbreviation":"Intensive Care Med","language":"eng","author":[{"family":"Wiedermann","given":"Christian J."},{"family":"Bellomo","given":"Rinaldo"},{"family":"Perner","given":"Anders"}],"issued":{"date-parts":[["2016",3,23]]},"PMID":"27007101"}},{"id":48,"uris":["http://zotero.org/users/local/ZaW79YVG/items/WJQQQHZ9"],"uri":["http://zotero.org/users/local/ZaW79YVG/items/WJQQQHZ9"],"itemData":{"id":48,"type":"article-journal","title":"Mortality in Multicenter Critical Care Trials: An Analysis of Interventions With a Significant Effect","container-title":"Critical Care Medicine","page":"1559-1568","volume":"43","issue":"8","source":"PubMed","abstract":"OBJECTIVES: We aimed to identify all treatments that affect mortality in adult critically ill patients in multicenter randomized controlled trials. We also evaluated the methodological aspects of these studies, and we surveyed clinicians' opinion and usual practice for the selected interventions.\nDATA SOURCES: MEDLINE/PubMed, Scopus, and Embase were searched. Further articles were suggested for inclusion from experts and cross-check of references.\nSTUDY SELECTION: We selected the articles that fulfilled the following criteria: publication in a peer-reviewed journal; multicenter randomized controlled trial design; dealing with nonsurgical interventions in adult critically ill patients; and statistically significant effect in unadjusted landmark mortality. A consensus conference assessed all interventions and excluded those with lack of reproducibility, lack of generalizability, high probability of type I error, major baseline imbalances between intervention and control groups, major design flaws, contradiction by subsequent larger higher quality trials, modified intention to treat analysis, effect found only after adjustments, and lack of biological plausibility.\nDATA EXTRACTION: For all selected studies, we recorded the intervention and its comparator, the setting, the sample size, whether enrollment was completed or interrupted, the presence of blinding, the effect size, and the duration of follow-up.\nDATA SYNTHESIS: We found 15 interventions that affected mortality in 24 multicenter randomized controlled trials. Median sample size was small (199 patients) as was median centers number (10). Blinded trials enrolled significantly more patients and involved more centers. Multicenter randomized controlled trials showing harm also involved significantly more centers and more patients (p = 0.016 and p = 0.04, respectively). Five hundred fifty-five clinicians from 61 countries showed variable agreement on perceived validity of such interventions.\nCONCLUSIONS: We identified 15 treatments that decreased/increased mortality in critically ill patients in 24 multicenter randomized controlled trials. However, design affected trial size and larger trials were more likely to show harm. Finally, clinicians view of such trials and their translation into practice varied.","DOI":"10.1097/CCM.0000000000000974","ISSN":"1530-0293","note":"PMID: 25821918","shortTitle":"Mortality in Multicenter Critical Care Trials","journalAbbreviation":"Crit. Care Med.","language":"eng","author":[{"family":"Landoni","given":"Giovanni"},{"family":"Comis","given":"Marco"},{"family":"Conte","given":"Massimiliano"},{"family":"Finco","given":"Gabriele"},{"family":"Mucchetti","given":"Marta"},{"family":"Paternoster","given":"Gianluca"},{"family":"Pisano","given":"Antonio"},{"family":"Ruggeri","given":"Laura"},{"family":"Alvaro","given":"Gabriele"},{"family":"Angelone","given":"Manuela"},{"family":"Bergonzi","given":"Pier C."},{"family":"Bocchino","given":"Speranza"},{"family":"Borghi","given":"Giovanni"},{"family":"Bove","given":"Tiziana"},{"family":"Buscaglia","given":"Giuseppe"},{"family":"Cabrini","given":"Luca"},{"family":"Callegher","given":"Lino"},{"family":"Caramelli","given":"Fabio"},{"family":"Colombo","given":"Sergio"},{"family":"Corno","given":"Laura"},{"family":"Del Sarto","given":"Paolo"},{"family":"Feltracco","given":"Paolo"},{"family":"Forti","given":"Alessandro"},{"family":"Ganzaroli","given":"Marco"},{"family":"Greco","given":"Massimiliano"},{"family":"Guarracino","given":"Fabio"},{"family":"Lembo","given":"Rosalba"},{"family":"Lobreglio","given":"Rosetta"},{"family":"Meroni","given":"Roberta"},{"family":"Monaco","given":"Fabrizio"},{"family":"Musu","given":"Mario"},{"family":"Pala","given":"Giovanni"},{"family":"Pasin","given":"Laura"},{"family":"Pieri","given":"Marina"},{"family":"Pisarra","given":"Stefania"},{"family":"Ponticelli","given":"Giuseppe"},{"family":"Roasio","given":"Agostino"},{"family":"Santini","given":"Francesco"},{"family":"Silvetti","given":"Simona"},{"family":"Székely","given":"Andrea"},{"family":"Zambon","given":"Massimo"},{"family":"Zucchetti","given":"Maria Chiara"},{"family":"Zangrillo","given":"Alberto"},{"family":"Bellomo","given":"Rinaldo"}],"issued":{"date-parts":[["2015",8]]},"PMID":"25821918"}},{"id":80,"uris":["http://zotero.org/users/local/ZaW79YVG/items/HR3RMPMT"],"uri":["http://zotero.org/users/local/ZaW79YVG/items/HR3RMPMT"],"itemData":{"id":80,"type":"article-journal","title":"Industry sponsorship and research outcome","container-title":"The Cochrane Database of Systematic Reviews","page":"MR000033","volume":"12","source":"PubMed","abstract":"BACKGROUND: Clinical research affecting how doctors practice medicine is increasingly sponsored by companies that make drugs and medical devices. Previous systematic reviews have found that pharmaceutical industry sponsored studies are more often favorable to the sponsor's product compared with studies with other sources of sponsorship. This review is an update using more stringent methodology and also investigating sponsorship of device studies.\nOBJECTIVES: To investigate whether industry sponsored drug and device studies have more favorable outcomes and differ in risk of bias, compared with studies having other sources of sponsorship.\nSEARCH METHODS: We searched MEDLINE (1948 to September 2010), EMBASE (1980 to September 2010), the Cochrane Methodology Register (Issue 4, 2010) and Web of Science (August 2011). In addition, we searched reference lists of included papers, previous systematic reviews and author files.\nSELECTION CRITERIA: Cross-sectional studies, cohort studies, systematic reviews and meta-analyses that quantitatively compared primary research studies of drugs or medical devices sponsored by industry with studies with other sources of sponsorship. We had no language restrictions.\nDATA COLLECTION AND ANALYSIS: Two assessors identified potentially relevant papers, and a decision about final inclusion was made by all authors. Two assessors extracted data, and we contacted authors of included papers for additional unpublished data. Outcomes included favorable results, favorable conclusions, effect size, risk of bias and whether the conclusions agreed with the study results. Two assessors assessed risk of bias of included papers. We calculated pooled risk ratios (RR) for dichotomous data (with 95% confidence intervals).\nMAIN RESULTS: Forty-eight papers were included. Industry sponsored studies more often had favorable efficacy results, risk ratio (RR): 1.24 (95% confidence interval (CI): 1.14 to 1.35), harms results RR: 1.87 (95% CI: 1.54 to 2.27) and conclusions RR: 1.31 (95% CI: 1.20 to 1.44) compared with non-industry sponsored studies. Ten papers reported on sponsorship and effect size, but could not be pooled due to differences in their reporting of data. The results were heterogeneous; five papers found larger effect sizes in industry sponsored studies compared with non-industry sponsored studies and five papers did not find a difference in effect size. Only two papers (including 120 device studies) reported separate data for devices and we did not find a difference between drug and device studies on the association between sponsorship and conclusions (test for interaction, P = 0.23). Comparing industry and non-industry sponsored studies, we did not find a difference in risk of bias from sequence generation, allocation concealment and follow-up. However, industry sponsored studies more often had low risk of bias from blinding, RR: 1.32 (95% CI: 1.05 to 1.65), compared with non-industry sponsored studies. In industry sponsored studies, there was less agreement between the results and the conclusions than in non-industry sponsored studies, RR: 0.84 (95% CI: 0.70 to 1.01).\nAUTHORS' CONCLUSIONS: Sponsorship of drug and device studies by the manufacturing company leads to more favorable results and conclusions than sponsorship by other sources. Our analyses suggest the existence of an industry bias that cannot be explained by standard 'Risk of bias' assessments.","DOI":"10.1002/14651858.MR000033.pub2","ISSN":"1469-493X","note":"PMID: 23235689","journalAbbreviation":"Cochrane Database Syst Rev","language":"eng","author":[{"family":"Lundh","given":"Andreas"},{"family":"Sismondo","given":"Sergio"},{"family":"Lexchin","given":"Joel"},{"family":"Busuioc","given":"Octavian A."},{"family":"Bero","given":"Lisa"}],"issued":{"date-parts":[["2012",12,12]]},"PMID":"23235689"}},{"id":82,"uris":["http://zotero.org/users/local/ZaW79YVG/items/7DRGFZSK"],"uri":["http://zotero.org/users/local/ZaW79YVG/items/7DRGFZSK"],"itemData":{"id":82,"type":"article-journal","title":"Influence of reported study design characteristics on intervention effect estimates from randomized, controlled trials","container-title":"Annals of Internal Medicine","page":"429-438","volume":"157","issue":"6","source":"PubMed","abstract":"Published evidence suggests that aspects of trial design lead to biased intervention effect estimates, but findings from different studies are inconsistent. This study combined data from 7 meta-epidemiologic studies and removed overlaps to derive a final data set of 234 unique meta-analyses containing 1973 trials. Outcome measures were classified as \"mortality,\" \"other objective,\" \"or subjective,\" and Bayesian hierarchical models were used to estimate associations of trial characteristics with average bias and between-trial heterogeneity. Intervention effect estimates seemed to be exaggerated in trials with inadequate or unclear (vs. adequate) random-sequence generation (ratio of odds ratios, 0.89 [95% credible interval {CrI}, 0.82 to 0.96]) and with inadequate or unclear (vs. adequate) allocation concealment (ratio of odds ratios, 0.93 [CrI, 0.87 to 0.99]). Lack of or unclear double-blinding (vs. double-blinding) was associated with an average of 13% exaggeration of intervention effects (ratio of odds ratios, 0.87 [CrI, 0.79 to 0.96]), and between-trial heterogeneity was increased for such studies (SD increase in heterogeneity, 0.14 [CrI, 0.02 to 0.30]). For each characteristic, average bias and increases in between-trial heterogeneity were driven primarily by trials with subjective outcomes, with little evidence of bias in trials with objective and mortality outcomes. This study is limited by incomplete trial reporting, and findings may be confounded by other study design characteristics. Bias associated with study design characteristics may lead to exaggeration of intervention effect estimates and increases in between-trial heterogeneity in trials reporting subjectively assessed outcomes.","DOI":"10.7326/0003-4819-157-6-201209180-00537","ISSN":"1539-3704","note":"PMID: 22945832","journalAbbreviation":"Ann. Intern. Med.","language":"eng","author":[{"family":"Savović","given":"Jelena"},{"family":"Jones","given":"Hayley E."},{"family":"Altman","given":"Douglas G."},{"family":"Harris","given":"Ross J."},{"family":"Jüni","given":"Peter"},{"family":"Pildal","given":"Julie"},{"family":"Als-Nielsen","given":"Bodil"},{"family":"Balk","given":"Ethan M."},{"family":"Gluud","given":"Christian"},{"family":"Gluud","given":"Lise Lotte"},{"family":"Ioannidis","given":"John P. A."},{"family":"Schulz","given":"Kenneth F."},{"family":"Beynon","given":"Rebecca"},{"family":"Welton","given":"Nicky J."},{"family":"Wood","given":"Lesley"},{"family":"Moher","given":"David"},{"family":"Deeks","given":"Jonathan J."},{"family":"Sterne","given":"Jonathan A. C."}],"issued":{"date-parts":[["2012",9,18]]},"PMID":"22945832"}}],"schema":"https://github.com/citation-style-language/schema/raw/master/csl-citation.json"} </w:instrText>
      </w:r>
      <w:r w:rsidR="007235D4" w:rsidRPr="007141B1">
        <w:rPr>
          <w:rFonts w:asciiTheme="minorHAnsi" w:hAnsiTheme="minorHAnsi" w:cs="Arial"/>
          <w:lang w:val="en-GB"/>
        </w:rPr>
        <w:fldChar w:fldCharType="separate"/>
      </w:r>
      <w:r w:rsidR="007E7E7B" w:rsidRPr="00DE4685">
        <w:rPr>
          <w:rFonts w:ascii="Calibri" w:hAnsi="Calibri" w:cs="Calibri"/>
          <w:lang w:val="en-US"/>
        </w:rPr>
        <w:t>[35–37, 47, 48]</w:t>
      </w:r>
      <w:r w:rsidR="007235D4" w:rsidRPr="007141B1">
        <w:rPr>
          <w:rFonts w:asciiTheme="minorHAnsi" w:hAnsiTheme="minorHAnsi" w:cs="Arial"/>
          <w:lang w:val="en-GB"/>
        </w:rPr>
        <w:fldChar w:fldCharType="end"/>
      </w:r>
      <w:r w:rsidRPr="007141B1">
        <w:rPr>
          <w:rFonts w:asciiTheme="minorHAnsi" w:hAnsiTheme="minorHAnsi" w:cs="Arial"/>
          <w:lang w:val="en-GB"/>
        </w:rPr>
        <w:t>. Similarly</w:t>
      </w:r>
      <w:r w:rsidR="007F707F" w:rsidRPr="007141B1">
        <w:rPr>
          <w:rFonts w:asciiTheme="minorHAnsi" w:hAnsiTheme="minorHAnsi" w:cs="Arial"/>
          <w:lang w:val="en-GB"/>
        </w:rPr>
        <w:t>,</w:t>
      </w:r>
      <w:r w:rsidRPr="007141B1">
        <w:rPr>
          <w:rFonts w:asciiTheme="minorHAnsi" w:hAnsiTheme="minorHAnsi" w:cs="Arial"/>
          <w:lang w:val="en-GB"/>
        </w:rPr>
        <w:t xml:space="preserve"> observational studies </w:t>
      </w:r>
      <w:r w:rsidR="007F707F" w:rsidRPr="007141B1">
        <w:rPr>
          <w:rFonts w:asciiTheme="minorHAnsi" w:hAnsiTheme="minorHAnsi" w:cs="Arial"/>
          <w:lang w:val="en-GB"/>
        </w:rPr>
        <w:t>are likely to overestimate intervention effects independe</w:t>
      </w:r>
      <w:r w:rsidR="00724253" w:rsidRPr="007141B1">
        <w:rPr>
          <w:rFonts w:asciiTheme="minorHAnsi" w:hAnsiTheme="minorHAnsi" w:cs="Arial"/>
          <w:lang w:val="en-GB"/>
        </w:rPr>
        <w:t xml:space="preserve">nt of the method of adjustment </w:t>
      </w:r>
      <w:r w:rsidR="00724253"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c2c6rgof1","properties":{"formattedCitation":"[49]","plainCitation":"[49]"},"citationItems":[{"id":84,"uris":["http://zotero.org/users/local/ZaW79YVG/items/P8GCDI8F"],"uri":["http://zotero.org/users/local/ZaW79YVG/items/P8GCDI8F"],"itemData":{"id":84,"type":"article-journal","title":"Safety and efficacy of digoxin: systematic review and meta-analysis of observational and controlled trial data","container-title":"BMJ (Clinical research ed.)","page":"h4451","volume":"351","source":"PubMed","abstract":"OBJECTIVE: To clarify the impact of digoxin on death and clinical outcomes across all observational and randomised controlled trials, accounting for study designs and methods.\nDATA SOURCES AND STUDY SELECTION: Comprehensive literature search of Medline, Embase, the Cochrane Library, reference lists, and ongoing studies according to a prospectively registered design (\nPROSPERO: CRD42014010783), including all studies published from 1960 to July 2014 that examined treatment with digoxin compared with control (placebo or no treatment).\nDATA EXTRACTION AND SYNTHESIS: Unadjusted and adjusted data pooled according to study design, analysis method, and risk of bias.\nMAIN OUTCOME MEASURES: Primary outcome (all cause mortality) and secondary outcomes (including admission to hospital) were meta-analysed with random effects modelling.\nRESULTS: 52 studies were systematically reviewed, comprising 621,845 patients. Digoxin users were 2.4 years older than control (weighted difference 95% confidence interval 1.3 to 3.6), with lower ejection fraction (33% v 42%), more diabetes, and greater use of diuretics and anti-arrhythmic drugs. Meta-analysis included 75 study analyses, with a combined total of 4,006,210 patient years of follow-up. Compared with control, the pooled risk ratio for death with digoxin was 1.76 in unadjusted analyses (1.57 to 1.97), 1.61 in adjusted analyses (1.31 to 1.97), 1.18 in propensity matched studies (1.09 to 1.26), and 0.99 in randomised controlled trials (0.93 to 1.05). Meta-regression confirmed that baseline differences between treatment groups had a significant impact on mortality associated with digoxin, including markers of heart failure severity such as use of diuretics (P=0.004). Studies with better methods and lower risk of bias were more likely to report a neutral association of digoxin with mortality (P&lt;0.001). Across all study types, digoxin led to a small but significant reduction in all cause hospital admission (risk ratio 0.92, 0.89 to 0.95; P&lt;0.001; n=29,525).\nCONCLUSIONS: Digoxin is associated with a neutral effect on mortality in randomised trials and a lower rate of admissions to hospital across all study types. Regardless of statistical analysis, prescription biases limit the value of observational data.","ISSN":"1756-1833","note":"PMID: 26321114\nPMCID: PMC4553205","shortTitle":"Safety and efficacy of digoxin","journalAbbreviation":"BMJ","language":"eng","author":[{"family":"Ziff","given":"Oliver J."},{"family":"Lane","given":"Deirdre A."},{"family":"Samra","given":"Monica"},{"family":"Griffith","given":"Michael"},{"family":"Kirchhof","given":"Paulus"},{"family":"Lip","given":"Gregory Y. H."},{"family":"Steeds","given":"Richard P."},{"family":"Townend","given":"Jonathan"},{"family":"Kotecha","given":"Dipak"}],"issued":{"date-parts":[["2015",8,30]]},"PMID":"26321114","PMCID":"PMC4553205"}}],"schema":"https://github.com/citation-style-language/schema/raw/master/csl-citation.json"} </w:instrText>
      </w:r>
      <w:r w:rsidR="00724253" w:rsidRPr="007141B1">
        <w:rPr>
          <w:rFonts w:asciiTheme="minorHAnsi" w:hAnsiTheme="minorHAnsi" w:cs="Arial"/>
          <w:lang w:val="en-GB"/>
        </w:rPr>
        <w:fldChar w:fldCharType="separate"/>
      </w:r>
      <w:r w:rsidR="007E7E7B" w:rsidRPr="00DE4685">
        <w:rPr>
          <w:rFonts w:ascii="Calibri" w:hAnsi="Calibri" w:cs="Calibri"/>
          <w:lang w:val="en-US"/>
        </w:rPr>
        <w:t>[49]</w:t>
      </w:r>
      <w:r w:rsidR="00724253" w:rsidRPr="007141B1">
        <w:rPr>
          <w:rFonts w:asciiTheme="minorHAnsi" w:hAnsiTheme="minorHAnsi" w:cs="Arial"/>
          <w:lang w:val="en-GB"/>
        </w:rPr>
        <w:fldChar w:fldCharType="end"/>
      </w:r>
      <w:r w:rsidR="003E2AF7">
        <w:rPr>
          <w:rFonts w:asciiTheme="minorHAnsi" w:hAnsiTheme="minorHAnsi" w:cs="Arial"/>
          <w:lang w:val="en-GB"/>
        </w:rPr>
        <w:t>. These</w:t>
      </w:r>
      <w:r w:rsidR="007F707F" w:rsidRPr="007141B1">
        <w:rPr>
          <w:rFonts w:asciiTheme="minorHAnsi" w:hAnsiTheme="minorHAnsi" w:cs="Arial"/>
          <w:lang w:val="en-GB"/>
        </w:rPr>
        <w:t xml:space="preserve"> effects may be</w:t>
      </w:r>
      <w:r w:rsidRPr="007141B1">
        <w:rPr>
          <w:rFonts w:asciiTheme="minorHAnsi" w:hAnsiTheme="minorHAnsi" w:cs="Arial"/>
          <w:lang w:val="en-GB"/>
        </w:rPr>
        <w:t xml:space="preserve"> </w:t>
      </w:r>
      <w:r w:rsidR="007F707F" w:rsidRPr="007141B1">
        <w:rPr>
          <w:rFonts w:asciiTheme="minorHAnsi" w:hAnsiTheme="minorHAnsi" w:cs="Arial"/>
          <w:lang w:val="en-GB"/>
        </w:rPr>
        <w:t xml:space="preserve">amplified in </w:t>
      </w:r>
      <w:r w:rsidR="00877B94" w:rsidRPr="007141B1">
        <w:rPr>
          <w:rFonts w:asciiTheme="minorHAnsi" w:hAnsiTheme="minorHAnsi" w:cs="Arial"/>
          <w:lang w:val="en-GB"/>
        </w:rPr>
        <w:t>septic shock</w:t>
      </w:r>
      <w:r w:rsidR="003E2AF7">
        <w:rPr>
          <w:rFonts w:asciiTheme="minorHAnsi" w:hAnsiTheme="minorHAnsi" w:cs="Arial"/>
          <w:lang w:val="en-GB"/>
        </w:rPr>
        <w:t xml:space="preserve"> trials</w:t>
      </w:r>
      <w:r w:rsidRPr="007141B1">
        <w:rPr>
          <w:rFonts w:asciiTheme="minorHAnsi" w:hAnsiTheme="minorHAnsi" w:cs="Arial"/>
          <w:lang w:val="en-GB"/>
        </w:rPr>
        <w:t xml:space="preserve"> where multiple, time-dependent exposures, competing risks and co-interventions </w:t>
      </w:r>
      <w:r w:rsidR="00200147">
        <w:rPr>
          <w:rFonts w:asciiTheme="minorHAnsi" w:hAnsiTheme="minorHAnsi" w:cs="Arial"/>
          <w:lang w:val="en-GB"/>
        </w:rPr>
        <w:t xml:space="preserve">are difficult to adjust for and thus </w:t>
      </w:r>
      <w:r w:rsidR="007F707F" w:rsidRPr="007141B1">
        <w:rPr>
          <w:rFonts w:asciiTheme="minorHAnsi" w:hAnsiTheme="minorHAnsi" w:cs="Arial"/>
          <w:lang w:val="en-GB"/>
        </w:rPr>
        <w:t xml:space="preserve">will </w:t>
      </w:r>
      <w:r w:rsidR="003E2AF7" w:rsidRPr="007141B1">
        <w:rPr>
          <w:rFonts w:asciiTheme="minorHAnsi" w:hAnsiTheme="minorHAnsi" w:cs="Arial"/>
          <w:lang w:val="en-GB"/>
        </w:rPr>
        <w:t xml:space="preserve">further </w:t>
      </w:r>
      <w:r w:rsidRPr="007141B1">
        <w:rPr>
          <w:rFonts w:asciiTheme="minorHAnsi" w:hAnsiTheme="minorHAnsi" w:cs="Arial"/>
          <w:lang w:val="en-GB"/>
        </w:rPr>
        <w:t xml:space="preserve">hamper </w:t>
      </w:r>
      <w:r w:rsidR="00200147">
        <w:rPr>
          <w:rFonts w:asciiTheme="minorHAnsi" w:hAnsiTheme="minorHAnsi" w:cs="Arial"/>
          <w:lang w:val="en-GB"/>
        </w:rPr>
        <w:t xml:space="preserve">correct </w:t>
      </w:r>
      <w:r w:rsidRPr="007141B1">
        <w:rPr>
          <w:rFonts w:asciiTheme="minorHAnsi" w:hAnsiTheme="minorHAnsi" w:cs="Arial"/>
          <w:lang w:val="en-GB"/>
        </w:rPr>
        <w:t>interpretation.</w:t>
      </w:r>
      <w:r w:rsidR="00877B94" w:rsidRPr="007141B1">
        <w:rPr>
          <w:rFonts w:asciiTheme="minorHAnsi" w:hAnsiTheme="minorHAnsi" w:cs="Arial"/>
          <w:lang w:val="en-GB"/>
        </w:rPr>
        <w:t xml:space="preserve"> </w:t>
      </w:r>
      <w:r w:rsidR="00EF76EF" w:rsidRPr="007141B1">
        <w:rPr>
          <w:rFonts w:asciiTheme="minorHAnsi" w:hAnsiTheme="minorHAnsi" w:cs="Arial"/>
          <w:lang w:val="en-GB"/>
        </w:rPr>
        <w:t>The imperative for clinician-researchers is to test as many as possible of the interventions, both current and novel, in large, multicentre RCTs with the lowest possible risk of bias</w:t>
      </w:r>
      <w:r w:rsidR="00877B94" w:rsidRPr="007141B1">
        <w:rPr>
          <w:rFonts w:asciiTheme="minorHAnsi" w:hAnsiTheme="minorHAnsi" w:cs="Arial"/>
          <w:lang w:val="en-GB"/>
        </w:rPr>
        <w:t>.</w:t>
      </w:r>
    </w:p>
    <w:p w:rsidR="00DB3618" w:rsidRPr="007141B1" w:rsidRDefault="00DB3618" w:rsidP="00851E20">
      <w:pPr>
        <w:spacing w:line="360" w:lineRule="auto"/>
        <w:rPr>
          <w:rFonts w:asciiTheme="minorHAnsi" w:hAnsiTheme="minorHAnsi" w:cs="Arial"/>
          <w:lang w:val="en-GB"/>
        </w:rPr>
      </w:pPr>
    </w:p>
    <w:p w:rsidR="001474F0" w:rsidRPr="007141B1" w:rsidRDefault="001474F0" w:rsidP="00851E20">
      <w:pPr>
        <w:spacing w:line="360" w:lineRule="auto"/>
        <w:rPr>
          <w:rFonts w:asciiTheme="minorHAnsi" w:hAnsiTheme="minorHAnsi"/>
          <w:b/>
          <w:color w:val="000000"/>
          <w:sz w:val="28"/>
          <w:lang w:val="en-GB"/>
        </w:rPr>
      </w:pPr>
      <w:r w:rsidRPr="007141B1">
        <w:rPr>
          <w:rFonts w:asciiTheme="minorHAnsi" w:hAnsiTheme="minorHAnsi"/>
          <w:b/>
          <w:color w:val="000000"/>
          <w:sz w:val="28"/>
          <w:lang w:val="en-GB"/>
        </w:rPr>
        <w:lastRenderedPageBreak/>
        <w:t>What are remaining areas of uncertainties?</w:t>
      </w:r>
    </w:p>
    <w:p w:rsidR="00851E20" w:rsidRPr="007141B1" w:rsidRDefault="001474F0" w:rsidP="00851E20">
      <w:pPr>
        <w:spacing w:line="360" w:lineRule="auto"/>
        <w:rPr>
          <w:rFonts w:asciiTheme="minorHAnsi" w:hAnsiTheme="minorHAnsi" w:cs="Arial"/>
          <w:szCs w:val="22"/>
          <w:lang w:val="en-GB"/>
        </w:rPr>
      </w:pPr>
      <w:r w:rsidRPr="007141B1">
        <w:rPr>
          <w:rFonts w:asciiTheme="minorHAnsi" w:hAnsiTheme="minorHAnsi" w:cs="Arial"/>
          <w:b/>
          <w:szCs w:val="22"/>
          <w:lang w:val="en-GB"/>
        </w:rPr>
        <w:t xml:space="preserve">Look </w:t>
      </w:r>
      <w:r w:rsidR="004526CC">
        <w:rPr>
          <w:rFonts w:asciiTheme="minorHAnsi" w:hAnsiTheme="minorHAnsi" w:cs="Arial"/>
          <w:b/>
          <w:szCs w:val="22"/>
          <w:lang w:val="en-GB"/>
        </w:rPr>
        <w:t>at</w:t>
      </w:r>
      <w:r w:rsidR="004526CC" w:rsidRPr="007141B1">
        <w:rPr>
          <w:rFonts w:asciiTheme="minorHAnsi" w:hAnsiTheme="minorHAnsi" w:cs="Arial"/>
          <w:b/>
          <w:szCs w:val="22"/>
          <w:lang w:val="en-GB"/>
        </w:rPr>
        <w:t xml:space="preserve"> </w:t>
      </w:r>
      <w:r w:rsidRPr="007141B1">
        <w:rPr>
          <w:rFonts w:asciiTheme="minorHAnsi" w:hAnsiTheme="minorHAnsi" w:cs="Arial"/>
          <w:b/>
          <w:szCs w:val="22"/>
          <w:lang w:val="en-GB"/>
        </w:rPr>
        <w:t>t</w:t>
      </w:r>
      <w:r w:rsidR="00851E20" w:rsidRPr="007141B1">
        <w:rPr>
          <w:rFonts w:asciiTheme="minorHAnsi" w:hAnsiTheme="minorHAnsi" w:cs="Arial"/>
          <w:b/>
          <w:szCs w:val="22"/>
          <w:lang w:val="en-GB"/>
        </w:rPr>
        <w:t>h</w:t>
      </w:r>
      <w:r w:rsidR="004526CC">
        <w:rPr>
          <w:rFonts w:asciiTheme="minorHAnsi" w:hAnsiTheme="minorHAnsi" w:cs="Arial"/>
          <w:b/>
          <w:szCs w:val="22"/>
          <w:lang w:val="en-GB"/>
        </w:rPr>
        <w:t>os</w:t>
      </w:r>
      <w:r w:rsidR="00851E20" w:rsidRPr="007141B1">
        <w:rPr>
          <w:rFonts w:asciiTheme="minorHAnsi" w:hAnsiTheme="minorHAnsi" w:cs="Arial"/>
          <w:b/>
          <w:szCs w:val="22"/>
          <w:lang w:val="en-GB"/>
        </w:rPr>
        <w:t>e SSC Guideline recommendations base</w:t>
      </w:r>
      <w:r w:rsidRPr="007141B1">
        <w:rPr>
          <w:rFonts w:asciiTheme="minorHAnsi" w:hAnsiTheme="minorHAnsi" w:cs="Arial"/>
          <w:b/>
          <w:szCs w:val="22"/>
          <w:lang w:val="en-GB"/>
        </w:rPr>
        <w:t>d on low quality evidence</w:t>
      </w:r>
    </w:p>
    <w:p w:rsidR="00851E20" w:rsidRPr="007141B1" w:rsidRDefault="00851E20" w:rsidP="00851E20">
      <w:pPr>
        <w:spacing w:line="360" w:lineRule="auto"/>
        <w:rPr>
          <w:rFonts w:asciiTheme="minorHAnsi" w:hAnsiTheme="minorHAnsi" w:cs="Arial"/>
          <w:lang w:val="en-GB"/>
        </w:rPr>
      </w:pPr>
      <w:r w:rsidRPr="007141B1">
        <w:rPr>
          <w:rFonts w:asciiTheme="minorHAnsi" w:hAnsiTheme="minorHAnsi" w:cs="Arial"/>
          <w:lang w:val="en-GB"/>
        </w:rPr>
        <w:t>The SSC Guidelines</w:t>
      </w:r>
      <w:r w:rsidR="005B5377" w:rsidRPr="007141B1">
        <w:rPr>
          <w:rFonts w:asciiTheme="minorHAnsi" w:hAnsiTheme="minorHAnsi" w:cs="Arial"/>
          <w:lang w:val="en-GB"/>
        </w:rPr>
        <w:t xml:space="preserve"> </w:t>
      </w:r>
      <w:r w:rsidR="005B5377"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1bk2ehrbue","properties":{"formattedCitation":"[50]","plainCitation":"[50]"},"citationItems":[{"id":70,"uris":["http://zotero.org/users/local/ZaW79YVG/items/22IDUTNU"],"uri":["http://zotero.org/users/local/ZaW79YVG/items/22IDUTNU"],"itemData":{"id":70,"type":"article-journal","title":"Surviving Sepsis Campaign: international guidelines for management of severe sepsis and septic shock, 2012","container-title":"Intensive Care Medicine","page":"165-228","volume":"39","issue":"2","source":"PubMed","abstract":"OBJECTIVE: To provide an update to the \"Surviving Sepsis Campaign Guidelines for Management of Severe Sepsis and Septic Shock,\" last published in 2008.\nDESIGN: A consensus committee of 68 international experts representing 30 international organizations was convened. Nominal groups were assembled at key international meetings (for those committee members attending the conference). A formal conflict of interest policy was developed at the onset of the process and enforced throughout. The entire guidelines process was conducted independent of any industry funding. A stand-alone meeting was held for all subgroup heads, co- and vice-chairs, and selected individuals. Teleconferences and electronic-based discussion among subgroups and among the entire committee served as an integral part of the development.\nMETHODS: The authors were advised to follow the principles of the Grading of Recommendations Assessment, Development and Evaluation (GRADE) system to guide assessment of quality of evidence from high (A) to very low (D) and to determine the strength of recommendations as strong (1) or weak (2). The potential drawbacks of making strong recommendations in the presence of low-quality evidence were emphasized. Recommendations were classified into three groups: (1) those directly targeting severe sepsis; (2) those targeting general care of the critically ill patient and considered high priority in severe sepsis; and (3) pediatric considerations.\nRESULTS: Key recommendations and suggestions, listed by category, include: early quantitative resuscitation of the septic patient during the first 6 h after recognition (1C); blood cultures before antibiotic therapy (1C); imaging studies performed promptly to confirm a potential source of infection (UG); administration of broad-spectrum antimicrobials therapy within 1 h of the recognition of septic shock (1B) and severe sepsis without septic shock (1C) as the goal of therapy; reassessment of antimicrobial therapy daily for de-escalation, when appropriate (1B); infection source control with attention to the balance of risks and benefits of the chosen method within 12 h of diagnosis (1C); initial fluid resuscitation with crystalloid (1B) and consideration of the addition of albumin in patients who continue to require substantial amounts of crystalloid to maintain adequate mean arterial pressure (2C) and the avoidance of hetastarch formulations (1B); initial fluid challenge in patients with sepsis-induced tissue hypoperfusion and suspicion of hypovolemia to achieve a minimum of 30 mL/kg of crystalloids (more rapid administration and greater amounts of fluid may be needed in some patients (1C); fluid challenge technique continued as long as hemodynamic improvement is based on either dynamic or static variables (UG); norepinephrine as the first-choice vasopressor to maintain mean arterial pressure ≥65 mmHg (1B); epinephrine when an additional agent is needed to maintain adequate blood pressure (2B); vasopressin (0.03 U/min) can be added to norepinephrine to either raise mean arterial pressure to target or to decrease norepinephrine dose but should not be used as the initial vasopressor (UG); dopamine is not recommended except in highly selected circumstances (2C); dobutamine infusion administered or added to vasopressor in the presence of (a) myocardial dysfunction as suggested by elevated cardiac filling pressures and low cardiac output, or (b) ongoing signs of hypoperfusion despite achieving adequate intravascular volume and adequate mean arterial pressure (1C); avoiding use of intravenous hydrocortisone in adult septic shock patients if adequate fluid resuscitation and vasopressor therapy are able to restore hemodynamic stability (2C); hemoglobin target of 7-9 g/dL in the absence of tissue hypoperfusion, ischemic coronary artery disease, or acute hemorrhage (1B); low tidal volume (1A) and limitation of inspiratory plateau pressure (1B) for acute respiratory distress syndrome (ARDS); application of at least a minimal amount of positive end-expiratory pressure (PEEP) in ARDS (1B); higher rather than lower level of PEEP for patients with sepsis-induced moderate or severe ARDS (2C); recruitment maneuvers in sepsis patients with severe refractory hypoxemia due to ARDS (2C); prone positioning in sepsis-induced ARDS patients with a PaO (2)/FiO (2) ratio of ≤100 mm Hg in facilities that have experience with such practices (2C); head-of-bed elevation in mechanically ventilated patients unless contraindicated (1B); a conservative fluid strategy for patients with established ARDS who do not have evidence of tissue hypoperfusion (1C); protocols for weaning and sedation (1A); minimizing use of either intermittent bolus sedation or continuous infusion sedation targeting specific titration endpoints (1B); avoidance of neuromuscular blockers if possible in the septic patient without ARDS (1C); a short course of neuromuscular blocker (no longer than 48 h) for patients with early ARDS and a PaO (2)/FI O (2) &lt;150 mm Hg (2C); a protocolized approach to blood glucose management commencing insulin dosing when two consecutive blood glucose levels are &gt;180 mg/dL, targeting an upper blood glucose ≤180 mg/dL (1A); equivalency of continuous veno-venous hemofiltration or intermittent hemodialysis (2B); prophylaxis for deep vein thrombosis (1B); use of stress ulcer prophylaxis to prevent upper gastrointestinal bleeding in patients with bleeding risk factors (1B); oral or enteral (if necessary) feedings, as tolerated, rather than either complete fasting or provision of only intravenous glucose within the first 48 h after a diagnosis of severe sepsis/septic shock (2C); and addressing goals of care, including treatment plans and end-of-life planning (as appropriate) (1B), as early as feasible, but within 72 h of intensive care unit admission (2C). Recommendations specific to pediatric severe sepsis include: therapy with face mask oxygen, high flow nasal cannula oxygen, or nasopharyngeal continuous PEEP in the presence of respiratory distress and hypoxemia (2C), use of physical examination therapeutic endpoints such as capillary refill (2C); for septic shock associated with hypovolemia, the use of crystalloids or albumin to deliver a bolus of 20 mL/kg of crystalloids (or albumin equivalent) over 5-10 min (2C); more common use of inotropes and vasodilators for low cardiac output septic shock associated with elevated systemic vascular resistance (2C); and use of hydrocortisone only in children with suspected or proven \"absolute\"' adrenal insufficiency (2C).\nCONCLUSIONS: Strong agreement existed among a large cohort of international experts regarding many level 1 recommendations for the best care of patients with severe sepsis. Although a significant number of aspects of care have relatively weak support, evidence-based recommendations regarding the acute management of sepsis and septic shock are the foundation of improved outcomes for this important group of critically ill patients.","DOI":"10.1007/s00134-012-2769-8","ISSN":"1432-1238","note":"PMID: 23361625","shortTitle":"Surviving Sepsis Campaign","journalAbbreviation":"Intensive Care Med","language":"eng","author":[{"family":"Dellinger","given":"R. P."},{"family":"Levy","given":"Mitchell M."},{"family":"Rhodes","given":"Andrew"},{"family":"Annane","given":"Djillali"},{"family":"Gerlach","given":"Herwig"},{"family":"Opal","given":"Steven M."},{"family":"Sevransky","given":"Jonathan E."},{"family":"Sprung","given":"Charles L."},{"family":"Douglas","given":"Ivor S."},{"family":"Jaeschke","given":"Roman"},{"family":"Osborn","given":"Tiffany M."},{"family":"Nunnally","given":"Mark E."},{"family":"Townsend","given":"Sean R."},{"family":"Reinhart","given":"Konrad"},{"family":"Kleinpell","given":"Ruth M."},{"family":"Angus","given":"Derek C."},{"family":"Deutschman","given":"Clifford S."},{"family":"Machado","given":"Flavia R."},{"family":"Rubenfeld","given":"Gordon D."},{"family":"Webb","given":"Steven"},{"family":"Beale","given":"Richard J."},{"family":"Vincent","given":"Jean-Louis"},{"family":"Moreno","given":"Rui"},{"literal":"Surviving Sepsis Campaign Guidelines Committee including The Pediatric Subgroup"}],"issued":{"date-parts":[["2013",2]]},"PMID":"23361625"}}],"schema":"https://github.com/citation-style-language/schema/raw/master/csl-citation.json"} </w:instrText>
      </w:r>
      <w:r w:rsidR="005B5377" w:rsidRPr="007141B1">
        <w:rPr>
          <w:rFonts w:asciiTheme="minorHAnsi" w:hAnsiTheme="minorHAnsi" w:cs="Arial"/>
          <w:lang w:val="en-GB"/>
        </w:rPr>
        <w:fldChar w:fldCharType="separate"/>
      </w:r>
      <w:r w:rsidR="007E7E7B" w:rsidRPr="00DE4685">
        <w:rPr>
          <w:rFonts w:ascii="Calibri" w:hAnsi="Calibri" w:cs="Calibri"/>
          <w:lang w:val="en-US"/>
        </w:rPr>
        <w:t>[50]</w:t>
      </w:r>
      <w:r w:rsidR="005B5377" w:rsidRPr="007141B1">
        <w:rPr>
          <w:rFonts w:asciiTheme="minorHAnsi" w:hAnsiTheme="minorHAnsi" w:cs="Arial"/>
          <w:lang w:val="en-GB"/>
        </w:rPr>
        <w:fldChar w:fldCharType="end"/>
      </w:r>
      <w:r w:rsidRPr="007141B1">
        <w:rPr>
          <w:rFonts w:asciiTheme="minorHAnsi" w:hAnsiTheme="minorHAnsi" w:cs="Arial"/>
          <w:lang w:val="en-GB"/>
        </w:rPr>
        <w:t xml:space="preserve"> use the GRADE approach to generate recommendations for clinical care</w:t>
      </w:r>
      <w:r w:rsidR="005B5377" w:rsidRPr="007141B1">
        <w:rPr>
          <w:rFonts w:asciiTheme="minorHAnsi" w:hAnsiTheme="minorHAnsi" w:cs="Arial"/>
          <w:lang w:val="en-GB"/>
        </w:rPr>
        <w:t xml:space="preserve"> </w:t>
      </w:r>
      <w:r w:rsidR="005B5377"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acr8thot2","properties":{"formattedCitation":"[51]","plainCitation":"[51]"},"citationItems":[{"id":86,"uris":["http://zotero.org/users/local/ZaW79YVG/items/3H88MWGH"],"uri":["http://zotero.org/users/local/ZaW79YVG/items/3H88MWGH"],"itemData":{"id":86,"type":"article-journal","title":"GRADE: an emerging consensus on rating quality of evidence and strength of recommendations","container-title":"BMJ (Clinical research ed.)","page":"924-926","volume":"336","issue":"7650","source":"PubMed","DOI":"10.1136/bmj.39489.470347.AD","ISSN":"1756-1833","note":"PMID: 18436948\nPMCID: PMC2335261","shortTitle":"GRADE","journalAbbreviation":"BMJ","language":"eng","author":[{"family":"Guyatt","given":"Gordon H."},{"family":"Oxman","given":"Andrew D."},{"family":"Vist","given":"Gunn E."},{"family":"Kunz","given":"Regina"},{"family":"Falck-Ytter","given":"Yngve"},{"family":"Alonso-Coello","given":"Pablo"},{"family":"Schünemann","given":"Holger J."},{"literal":"GRADE Working Group"}],"issued":{"date-parts":[["2008",4,26]]},"PMID":"18436948","PMCID":"PMC2335261"}}],"schema":"https://github.com/citation-style-language/schema/raw/master/csl-citation.json"} </w:instrText>
      </w:r>
      <w:r w:rsidR="005B5377" w:rsidRPr="007141B1">
        <w:rPr>
          <w:rFonts w:asciiTheme="minorHAnsi" w:hAnsiTheme="minorHAnsi" w:cs="Arial"/>
          <w:lang w:val="en-GB"/>
        </w:rPr>
        <w:fldChar w:fldCharType="separate"/>
      </w:r>
      <w:r w:rsidR="007E7E7B" w:rsidRPr="00DE4685">
        <w:rPr>
          <w:rFonts w:ascii="Calibri" w:hAnsi="Calibri" w:cs="Calibri"/>
          <w:lang w:val="en-US"/>
        </w:rPr>
        <w:t>[51]</w:t>
      </w:r>
      <w:r w:rsidR="005B5377" w:rsidRPr="007141B1">
        <w:rPr>
          <w:rFonts w:asciiTheme="minorHAnsi" w:hAnsiTheme="minorHAnsi" w:cs="Arial"/>
          <w:lang w:val="en-GB"/>
        </w:rPr>
        <w:fldChar w:fldCharType="end"/>
      </w:r>
      <w:r w:rsidRPr="007141B1">
        <w:rPr>
          <w:rFonts w:asciiTheme="minorHAnsi" w:hAnsiTheme="minorHAnsi" w:cs="Arial"/>
          <w:lang w:val="en-GB"/>
        </w:rPr>
        <w:t xml:space="preserve">. </w:t>
      </w:r>
      <w:r w:rsidR="008C0B96">
        <w:rPr>
          <w:rFonts w:asciiTheme="minorHAnsi" w:hAnsiTheme="minorHAnsi" w:cs="Arial"/>
          <w:lang w:val="en-GB"/>
        </w:rPr>
        <w:t>While t</w:t>
      </w:r>
      <w:r w:rsidRPr="007141B1">
        <w:rPr>
          <w:rFonts w:asciiTheme="minorHAnsi" w:hAnsiTheme="minorHAnsi" w:cs="Arial"/>
          <w:lang w:val="en-GB"/>
        </w:rPr>
        <w:t>he</w:t>
      </w:r>
      <w:r w:rsidR="008C0B96">
        <w:rPr>
          <w:rFonts w:asciiTheme="minorHAnsi" w:hAnsiTheme="minorHAnsi" w:cs="Arial"/>
          <w:lang w:val="en-GB"/>
        </w:rPr>
        <w:t>re are improvements</w:t>
      </w:r>
      <w:r w:rsidRPr="007141B1">
        <w:rPr>
          <w:rFonts w:asciiTheme="minorHAnsi" w:hAnsiTheme="minorHAnsi" w:cs="Arial"/>
          <w:lang w:val="en-GB"/>
        </w:rPr>
        <w:t xml:space="preserve"> </w:t>
      </w:r>
      <w:r w:rsidR="008C0B96">
        <w:rPr>
          <w:rFonts w:asciiTheme="minorHAnsi" w:hAnsiTheme="minorHAnsi" w:cs="Arial"/>
          <w:lang w:val="en-GB"/>
        </w:rPr>
        <w:t xml:space="preserve">in </w:t>
      </w:r>
      <w:r w:rsidRPr="007141B1">
        <w:rPr>
          <w:rFonts w:asciiTheme="minorHAnsi" w:hAnsiTheme="minorHAnsi" w:cs="Arial"/>
          <w:lang w:val="en-GB"/>
        </w:rPr>
        <w:t>201</w:t>
      </w:r>
      <w:r w:rsidR="008C0B96">
        <w:rPr>
          <w:rFonts w:asciiTheme="minorHAnsi" w:hAnsiTheme="minorHAnsi" w:cs="Arial"/>
          <w:lang w:val="en-GB"/>
        </w:rPr>
        <w:t>6</w:t>
      </w:r>
      <w:r w:rsidRPr="007141B1">
        <w:rPr>
          <w:rFonts w:asciiTheme="minorHAnsi" w:hAnsiTheme="minorHAnsi" w:cs="Arial"/>
          <w:lang w:val="en-GB"/>
        </w:rPr>
        <w:t xml:space="preserve"> </w:t>
      </w:r>
      <w:r w:rsidR="00970D58" w:rsidRPr="007141B1">
        <w:rPr>
          <w:rFonts w:asciiTheme="minorHAnsi" w:hAnsiTheme="minorHAnsi" w:cs="Arial"/>
          <w:lang w:val="en-GB"/>
        </w:rPr>
        <w:t>iteration of the g</w:t>
      </w:r>
      <w:r w:rsidRPr="007141B1">
        <w:rPr>
          <w:rFonts w:asciiTheme="minorHAnsi" w:hAnsiTheme="minorHAnsi" w:cs="Arial"/>
          <w:lang w:val="en-GB"/>
        </w:rPr>
        <w:t>uideline</w:t>
      </w:r>
      <w:r w:rsidR="00970D58" w:rsidRPr="007141B1">
        <w:rPr>
          <w:rFonts w:asciiTheme="minorHAnsi" w:hAnsiTheme="minorHAnsi" w:cs="Arial"/>
          <w:lang w:val="en-GB"/>
        </w:rPr>
        <w:t>s</w:t>
      </w:r>
      <w:r w:rsidR="00A804A1">
        <w:rPr>
          <w:rFonts w:asciiTheme="minorHAnsi" w:hAnsiTheme="minorHAnsi" w:cs="Arial"/>
          <w:lang w:val="en-GB"/>
        </w:rPr>
        <w:t xml:space="preserve"> </w:t>
      </w:r>
      <w:r w:rsidR="00A804A1">
        <w:rPr>
          <w:rFonts w:asciiTheme="minorHAnsi" w:hAnsiTheme="minorHAnsi" w:cs="Arial"/>
          <w:lang w:val="en-GB"/>
        </w:rPr>
        <w:fldChar w:fldCharType="begin"/>
      </w:r>
      <w:r w:rsidR="00A804A1">
        <w:rPr>
          <w:rFonts w:asciiTheme="minorHAnsi" w:hAnsiTheme="minorHAnsi" w:cs="Arial"/>
          <w:lang w:val="en-GB"/>
        </w:rPr>
        <w:instrText xml:space="preserve"> ADDIN ZOTERO_ITEM CSL_CITATION {"citationID":"15es8alu37","properties":{"formattedCitation":"[5]","plainCitation":"[5]"},"citationItems":[{"id":36,"uris":["http://zotero.org/users/local/tmXAZSH1/items/475BNTXK"],"uri":["http://zotero.org/users/local/tmXAZSH1/items/475BNTXK"],"itemData":{"id":36,"type":"article-journal","title":"Surviving Sepsis Campaign: International Guidelines for Management of Sepsis and Septic Shock: 2016","container-title":"Intensive Care Medicine","source":"PubMed","abstract":"OBJECTIVE: To provide an update to \"Surviving Sepsis Campaign Guidelines for Management of Sepsis and Septic Shock: 2012\".\nDESIGN: A consensus committee of 55 international experts representing 25 international organizations was convened. Nominal groups were assembled at key international meetings (for those committee members attending the conference). A formal conflict-of-interest (COI) policy was developed at the onset of the process and enforced throughout. A stand-alone meeting was held for all panel members in December 2015. Teleconferences and electronic-based discussion among subgroups and among the entire committee served as an integral part of the development.\nMETHODS: The panel consisted of five sections: hemodynamics, infection, adjunctive therapies, metabolic, and ventilation. Population, intervention, comparison, and outcomes (PICO) questions were reviewed and updated as needed, and evidence profiles were generated. Each subgroup generated a list of questions, searched for best available evidence, and then followed the principles of the Grading of Recommendations Assessment, Development, and Evaluation (GRADE) system to assess the quality of evidence from high to very low, and to formulate recommendations as strong or weak, or best practice statement when applicable.\nRESULTS: The Surviving Sepsis Guideline panel provided 93 statements on early management and resuscitation of patients with sepsis or septic shock. Overall, 32 were strong recommendations, 39 were weak recommendations, and 18 were best-practice statements. No recommendation was provided for four questions.\nCONCLUSIONS: Substantial agreement exists among a large cohort of international experts regarding many strong recommendations for the best care of patients with sepsis. Although a significant number of aspects of care have relatively weak support, evidence-based recommendations regarding the acute management of sepsis and septic shock are the foundation of improved outcomes for these critically ill patients with high mortality.","DOI":"10.1007/s00134-017-4683-6","ISSN":"1432-1238","note":"PMID: 28101605","shortTitle":"Surviving Sepsis Campaign","journalAbbreviation":"Intensive Care Med","language":"eng","author":[{"family":"Rhodes","given":"Andrew"},{"family":"Evans","given":"Laura E."},{"family":"Alhazzani","given":"Waleed"},{"family":"Levy","given":"Mitchell M."},{"family":"Antonelli","given":"Massimo"},{"family":"Ferrer","given":"Ricard"},{"family":"Kumar","given":"Anand"},{"family":"Sevransky","given":"Jonathan E."},{"family":"Sprung","given":"Charles L."},{"family":"Nunnally","given":"Mark E."},{"family":"Rochwerg","given":"Bram"},{"family":"Rubenfeld","given":"Gordon D."},{"family":"Angus","given":"Derek C."},{"family":"Annane","given":"Djillali"},{"family":"Beale","given":"Richard J."},{"family":"Bellinghan","given":"Geoffrey J."},{"family":"Bernard","given":"Gordon R."},{"family":"Chiche","given":"Jean-Daniel"},{"family":"Coopersmith","given":"Craig"},{"family":"De Backer","given":"Daniel P."},{"family":"French","given":"Craig J."},{"family":"Fujishima","given":"Seitaro"},{"family":"Gerlach","given":"Herwig"},{"family":"Hidalgo","given":"Jorge Luis"},{"family":"Hollenberg","given":"Steven M."},{"family":"Jones","given":"Alan E."},{"family":"Karnad","given":"Dilip R."},{"family":"Kleinpell","given":"Ruth M."},{"family":"Koh","given":"Younsuk"},{"family":"Lisboa","given":"Thiago Costa"},{"family":"Machado","given":"Flavia R."},{"family":"Marini","given":"John J."},{"family":"Marshall","given":"John C."},{"family":"Mazuski","given":"John E."},{"family":"McIntyre","given":"Lauralyn A."},{"family":"McLean","given":"Anthony S."},{"family":"Mehta","given":"Sangeeta"},{"family":"Moreno","given":"Rui P."},{"family":"Myburgh","given":"John"},{"family":"Navalesi","given":"Paolo"},{"family":"Nishida","given":"Osamu"},{"family":"Osborn","given":"Tiffany M."},{"family":"Perner","given":"Anders"},{"family":"Plunkett","given":"Colleen M."},{"family":"Ranieri","given":"Marco"},{"family":"Schorr","given":"Christa A."},{"family":"Seckel","given":"Maureen A."},{"family":"Seymour","given":"Christopher W."},{"family":"Shieh","given":"Lisa"},{"family":"Shukri","given":"Khalid A."},{"family":"Simpson","given":"Steven Q."},{"family":"Singer","given":"Mervyn"},{"family":"Thompson","given":"B. Taylor"},{"family":"Townsend","given":"Sean R."},{"family":"Van der Poll","given":"Thomas"},{"family":"Vincent","given":"Jean-Louis"},{"family":"Wiersinga","given":"W. Joost"},{"family":"Zimmerman","given":"Janice L."},{"family":"Dellinger","given":"R. Phillip"}],"issued":{"date-parts":[["2017",1,18]]},"PMID":"28101605"}}],"schema":"https://github.com/citation-style-language/schema/raw/master/csl-citation.json"} </w:instrText>
      </w:r>
      <w:r w:rsidR="00A804A1">
        <w:rPr>
          <w:rFonts w:asciiTheme="minorHAnsi" w:hAnsiTheme="minorHAnsi" w:cs="Arial"/>
          <w:lang w:val="en-GB"/>
        </w:rPr>
        <w:fldChar w:fldCharType="separate"/>
      </w:r>
      <w:r w:rsidR="00A804A1" w:rsidRPr="00310854">
        <w:rPr>
          <w:rFonts w:ascii="Calibri" w:hAnsi="Calibri"/>
          <w:lang w:val="en-US"/>
        </w:rPr>
        <w:t>[5]</w:t>
      </w:r>
      <w:r w:rsidR="00A804A1">
        <w:rPr>
          <w:rFonts w:asciiTheme="minorHAnsi" w:hAnsiTheme="minorHAnsi" w:cs="Arial"/>
          <w:lang w:val="en-GB"/>
        </w:rPr>
        <w:fldChar w:fldCharType="end"/>
      </w:r>
      <w:r w:rsidR="004526CC">
        <w:rPr>
          <w:rFonts w:asciiTheme="minorHAnsi" w:hAnsiTheme="minorHAnsi" w:cs="Arial"/>
          <w:lang w:val="en-GB"/>
        </w:rPr>
        <w:t>,</w:t>
      </w:r>
      <w:r w:rsidR="005B5377" w:rsidRPr="007141B1">
        <w:rPr>
          <w:rFonts w:asciiTheme="minorHAnsi" w:hAnsiTheme="minorHAnsi" w:cs="Arial"/>
          <w:lang w:val="en-GB"/>
        </w:rPr>
        <w:t xml:space="preserve"> </w:t>
      </w:r>
      <w:r w:rsidRPr="007141B1">
        <w:rPr>
          <w:rFonts w:asciiTheme="minorHAnsi" w:hAnsiTheme="minorHAnsi" w:cs="Arial"/>
          <w:lang w:val="en-GB"/>
        </w:rPr>
        <w:t>few recommendations</w:t>
      </w:r>
      <w:r w:rsidR="009B1B05" w:rsidRPr="007141B1">
        <w:rPr>
          <w:rFonts w:asciiTheme="minorHAnsi" w:hAnsiTheme="minorHAnsi" w:cs="Arial"/>
          <w:lang w:val="en-GB"/>
        </w:rPr>
        <w:t xml:space="preserve"> </w:t>
      </w:r>
      <w:r w:rsidR="008C0B96">
        <w:rPr>
          <w:rFonts w:asciiTheme="minorHAnsi" w:hAnsiTheme="minorHAnsi" w:cs="Arial"/>
          <w:lang w:val="en-GB"/>
        </w:rPr>
        <w:t xml:space="preserve">are </w:t>
      </w:r>
      <w:r w:rsidR="009B1B05" w:rsidRPr="007141B1">
        <w:rPr>
          <w:rFonts w:asciiTheme="minorHAnsi" w:hAnsiTheme="minorHAnsi" w:cs="Arial"/>
          <w:lang w:val="en-GB"/>
        </w:rPr>
        <w:t>based on high</w:t>
      </w:r>
      <w:r w:rsidR="004526CC">
        <w:rPr>
          <w:rFonts w:asciiTheme="minorHAnsi" w:hAnsiTheme="minorHAnsi" w:cs="Arial"/>
          <w:lang w:val="en-GB"/>
        </w:rPr>
        <w:t>-</w:t>
      </w:r>
      <w:r w:rsidR="009B1B05" w:rsidRPr="007141B1">
        <w:rPr>
          <w:rFonts w:asciiTheme="minorHAnsi" w:hAnsiTheme="minorHAnsi" w:cs="Arial"/>
          <w:lang w:val="en-GB"/>
        </w:rPr>
        <w:t>quality evidence</w:t>
      </w:r>
      <w:r w:rsidR="004526CC">
        <w:rPr>
          <w:rFonts w:asciiTheme="minorHAnsi" w:hAnsiTheme="minorHAnsi" w:cs="Arial"/>
          <w:lang w:val="en-GB"/>
        </w:rPr>
        <w:t xml:space="preserve">; </w:t>
      </w:r>
      <w:r w:rsidR="001344F0">
        <w:rPr>
          <w:rFonts w:asciiTheme="minorHAnsi" w:hAnsiTheme="minorHAnsi" w:cs="Arial"/>
          <w:lang w:val="en-GB"/>
        </w:rPr>
        <w:t xml:space="preserve">in </w:t>
      </w:r>
      <w:r w:rsidR="00C47AD7">
        <w:rPr>
          <w:rFonts w:asciiTheme="minorHAnsi" w:hAnsiTheme="minorHAnsi" w:cs="Arial"/>
          <w:lang w:val="en-GB"/>
        </w:rPr>
        <w:t xml:space="preserve">many </w:t>
      </w:r>
      <w:r w:rsidR="00BB6440">
        <w:rPr>
          <w:rFonts w:asciiTheme="minorHAnsi" w:hAnsiTheme="minorHAnsi" w:cs="Arial"/>
          <w:lang w:val="en-GB"/>
        </w:rPr>
        <w:t xml:space="preserve">areas </w:t>
      </w:r>
      <w:r w:rsidRPr="007141B1">
        <w:rPr>
          <w:rFonts w:asciiTheme="minorHAnsi" w:hAnsiTheme="minorHAnsi" w:cs="Arial"/>
          <w:lang w:val="en-GB"/>
        </w:rPr>
        <w:t>uncertainty</w:t>
      </w:r>
      <w:r w:rsidR="00BB6440">
        <w:rPr>
          <w:rFonts w:asciiTheme="minorHAnsi" w:hAnsiTheme="minorHAnsi" w:cs="Arial"/>
          <w:lang w:val="en-GB"/>
        </w:rPr>
        <w:t xml:space="preserve"> remain</w:t>
      </w:r>
      <w:r w:rsidR="00C47AD7">
        <w:rPr>
          <w:rFonts w:asciiTheme="minorHAnsi" w:hAnsiTheme="minorHAnsi" w:cs="Arial"/>
          <w:lang w:val="en-GB"/>
        </w:rPr>
        <w:t>.</w:t>
      </w:r>
    </w:p>
    <w:p w:rsidR="00851E20" w:rsidRPr="007141B1" w:rsidRDefault="00851E20" w:rsidP="00970D58">
      <w:pPr>
        <w:spacing w:line="360" w:lineRule="auto"/>
        <w:rPr>
          <w:rFonts w:asciiTheme="minorHAnsi" w:hAnsiTheme="minorHAnsi" w:cs="Arial"/>
          <w:lang w:val="en-GB"/>
        </w:rPr>
      </w:pPr>
    </w:p>
    <w:p w:rsidR="00101E64" w:rsidRPr="007141B1" w:rsidRDefault="00101E64" w:rsidP="00851E20">
      <w:pPr>
        <w:spacing w:line="360" w:lineRule="auto"/>
        <w:rPr>
          <w:rFonts w:asciiTheme="minorHAnsi" w:hAnsiTheme="minorHAnsi" w:cs="Arial"/>
          <w:b/>
          <w:lang w:val="en-GB"/>
        </w:rPr>
      </w:pPr>
      <w:r w:rsidRPr="007141B1">
        <w:rPr>
          <w:rFonts w:asciiTheme="minorHAnsi" w:hAnsiTheme="minorHAnsi" w:cs="Arial"/>
          <w:b/>
          <w:lang w:val="en-GB"/>
        </w:rPr>
        <w:t>Antibiotics</w:t>
      </w:r>
    </w:p>
    <w:p w:rsidR="00851E20" w:rsidRPr="007141B1" w:rsidRDefault="00851E20" w:rsidP="00851E20">
      <w:pPr>
        <w:spacing w:line="360" w:lineRule="auto"/>
        <w:rPr>
          <w:rFonts w:asciiTheme="minorHAnsi" w:hAnsiTheme="minorHAnsi" w:cs="Arial"/>
          <w:lang w:val="en-GB"/>
        </w:rPr>
      </w:pPr>
      <w:r w:rsidRPr="007141B1">
        <w:rPr>
          <w:rFonts w:asciiTheme="minorHAnsi" w:hAnsiTheme="minorHAnsi" w:cs="Arial"/>
          <w:lang w:val="en-GB"/>
        </w:rPr>
        <w:t>The 3-hour and 6-hour resuscitation bundles focused on antibiotic therapy, fluid resuscitation and blood pressure targets</w:t>
      </w:r>
      <w:r w:rsidR="008C0B96">
        <w:rPr>
          <w:rFonts w:asciiTheme="minorHAnsi" w:hAnsiTheme="minorHAnsi" w:cs="Arial"/>
          <w:lang w:val="en-GB"/>
        </w:rPr>
        <w:t xml:space="preserve"> </w:t>
      </w:r>
      <w:r w:rsidR="008C0B96">
        <w:rPr>
          <w:rFonts w:asciiTheme="minorHAnsi" w:hAnsiTheme="minorHAnsi" w:cs="Arial"/>
          <w:lang w:val="en-GB" w:eastAsia="it-IT"/>
        </w:rPr>
        <w:t>(</w:t>
      </w:r>
      <w:r w:rsidR="008C0B96" w:rsidRPr="006F7F14">
        <w:rPr>
          <w:rFonts w:asciiTheme="minorHAnsi" w:hAnsiTheme="minorHAnsi" w:cs="Arial"/>
          <w:lang w:val="en-GB" w:eastAsia="it-IT"/>
        </w:rPr>
        <w:t>www.survivingsepsis.org/Bundles/Pages/default.aspx</w:t>
      </w:r>
      <w:r w:rsidR="008C0B96">
        <w:rPr>
          <w:rFonts w:asciiTheme="minorHAnsi" w:hAnsiTheme="minorHAnsi" w:cs="Arial"/>
          <w:lang w:val="en-GB" w:eastAsia="it-IT"/>
        </w:rPr>
        <w:t>)</w:t>
      </w:r>
      <w:r w:rsidRPr="007141B1">
        <w:rPr>
          <w:rFonts w:asciiTheme="minorHAnsi" w:hAnsiTheme="minorHAnsi" w:cs="Arial"/>
          <w:lang w:val="en-GB"/>
        </w:rPr>
        <w:t>. The evidence pertaining to optimal antibiotic therapy is weak despite these agents being the cornerstone of treating infection, the trigger for sepsis</w:t>
      </w:r>
      <w:r w:rsidR="001474F0" w:rsidRPr="007141B1">
        <w:rPr>
          <w:rFonts w:asciiTheme="minorHAnsi" w:hAnsiTheme="minorHAnsi" w:cs="Arial"/>
          <w:lang w:val="en-GB"/>
        </w:rPr>
        <w:t xml:space="preserve"> </w:t>
      </w:r>
      <w:r w:rsidR="005B5377"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{"citationID":"hamp50133","properties":{"formattedCitation":"[4, 52]","plainCitation":"[4, 52]"},"citationItems":[{"id":6,"uris":["http://zotero.org/users/local/ZaW79YVG/items/AT2V5RES"],"uri":["http://zotero.org/users/local/ZaW79YVG/items/AT2V5RES"],"itemData":{"id":6,"type":"article-journal","title":"The Third International Consensus Definitions for Sepsis and Septic Shock (Sepsis-3)","container-title":"JAMA","page":"801-810","volume":"315","issue":"8","source":"PubMed","abstract":"IMPORTANCE: Definitions of sepsis and septic shock were last revised in 2001. Considerable advances have since been made into the pathobiology (changes in organ function, morphology, cell biology, biochemistry, immunology, and circulation), management, and epidemiology of sepsis, suggesting the need for reexamination.\nOBJECTIVE: To evaluate and, as needed, update definitions for sepsis and septic shock.\nPROCESS: A task force (n = 19) with expertise in sepsis pathobiology, clinical trials, and epidemiology was convened by the Society of Critical Care Medicine and the European Society of Intensive Care Medicine. Definitions and clinical criteria were generated through meetings, Delphi processes, analysis of electronic health record databases, and voting, followed by circulation to international professional societies, requesting peer review and endorsement (by 31 societies listed in the Acknowledgment).\nKEY FINDINGS FROM EVIDENCE SYNTHESIS: Limitations of previous definitions included an excessive focus on inflammation, the misleading model that sepsis follows a continuum through severe sepsis to shock, and inadequate specificity and sensitivity of the systemic inflammatory response syndrome (SIRS) criteria. Multiple definitions and terminologies are currently in use for sepsis, septic shock, and organ dysfunction, leading to discrepancies in reported incidence and observed mortality. The task force concluded the term severe sepsis was redundant.\nRECOMMENDATIONS: Sepsis should be defined as life-threatening organ dysfunction caused by a dysregulated host response to infection. For clinical operationalization, organ dysfunction can be represented by an increase in the Sequential [Sepsis-related] Organ Failure Assessment (SOFA) score of 2 points or more, which is associated with an in-hospital mortality greater than 10%. Septic shock should be defined as a subset of sepsis in which particularly profound circulatory, cellular, and metabolic abnormalities are associated with a greater risk of mortality than with sepsis alone. Patients with septic shock can be clinically identified by a vasopressor requirement to maintain a mean arterial pressure of 65 mm Hg or greater and serum lactate level greater than 2 mmol/L (&gt;18 mg/dL) in the absence of hypovolemia. This combination is associated with hospital mortality rates greater than 40%. In out-of-hospital, emergency department, or general hospital ward settings, adult patients with suspected infection can be rapidly identified as being more likely to have poor outcomes typical of sepsis if they have at least 2 of the following clinical criteria that together constitute a new bedside clinical score termed quickSOFA (qSOFA): respiratory rate of 22/min or greater, altered mentation, or systolic blood pressure of 100 mm Hg or less.\nCONCLUSIONS AND RELEVANCE: These updated definitions and clinical criteria should replace previous definitions, offer greater consistency for epidemiologic studies and clinical trials, and facilitate earlier recognition and more timely management of patients with sepsis or at risk of developing sepsis.","DOI":"10.1001/jama.2016.0287","ISSN":"1538-3598","note":"PMID: 26903338\nPMCID: PMC4968574","journalAbbreviation":"JAMA","language":"eng","author":[{"family":"Singer","given":"Mervyn"},{"family":"Deutschman","given":"Clifford S."},{"family":"Seymour","given":"Christopher Warren"},{"family":"Shankar-Hari","given":"Manu"},{"family":"Annane","given":"Djillali"},{"family":"Bauer","given":"Michael"},{"family":"Bellomo","given":"Rinaldo"},{"family":"Bernard","given":"Gordon R."},{"family":"Chiche","given":"Jean-Daniel"},{"family":"Coopersmith","given":"Craig M."},{"family":"Hotchkiss","given":"Richard S."},{"family":"Levy","given":"Mitchell M."},{"family":"Marshall","given":"John C."},{"family":"Martin","given":"Greg S."},{"family":"Opal","given":"Steven M."},{"family":"Rubenfeld","given":"Gordon D."},{"family":"Poll","given":"Tom","non-dropping-particle":"van der"},{"family":"Vincent","given":"Jean-Louis"},{"family":"Angus","given":"Derek C."}],"issued":{"date-parts":[["2016",2,23]]},"PMID":"26903338","PMCID":"PMC4968574"}},{"id":88,"uris":["http://zotero.org/users/local/ZaW79YVG/items/443NZQQE"],"uri":["http://zotero.org/users/local/ZaW79YVG/items/443NZQQE"],"itemData":{"id":88,"type":"article-journal","title":"Developing a New Definition and Assessing New Clinical Criteria for Septic Shock: For the Third International Consensus Definitions for Sepsis and Septic Shock (Sepsis-3)","container-title":"JAMA","page":"775-787","volume":"315","issue":"8","source":"PubMed","abstract":"IMPORTANCE: Septic shock currently refers to a state of acute circulatory failure associated with infection. Emerging biological insights and reported variation in epidemiology challenge the validity of this definition.\nOBJECTIVE: To develop a new definition and clinical criteria for identifying septic shock in adults.\nDESIGN, SETTING, AND PARTICIPANTS: The Society of Critical Care Medicine and the European Society of Intensive Care Medicine convened a task force (19 participants) to revise current sepsis/septic shock definitions. Three sets of studies were conducted: (1) a systematic review and meta-analysis of observational studies in adults published between January 1, 1992, and December 25, 2015, to determine clinical criteria currently reported to identify septic shock and inform the Delphi process; (2) a Delphi study among the task force comprising 3 surveys and discussions of results from the systematic review, surveys, and cohort studies to achieve consensus on a new septic shock definition and clinical criteria; and (3) cohort studies to test variables identified by the Delphi process using Surviving Sepsis Campaign (SSC) (2005-2010; n = 28,150), University of Pittsburgh Medical Center (UPMC) (2010-2012; n = 1,309,025), and Kaiser Permanente Northern California (KPNC) (2009-2013; n = 1,847,165) electronic health record (EHR) data sets.\nMAIN OUTCOMES AND MEASURES: Evidence for and agreement on septic shock definitions and criteria.\nRESULTS: The systematic review identified 44 studies reporting septic shock outcomes (total of 166,479 patients) from a total of 92 sepsis epidemiology studies reporting different cutoffs and combinations for blood pressure (BP), fluid resuscitation, vasopressors, serum lactate level, and base deficit to identify septic shock. The septic shock-associated crude mortality was 46.5% (95% CI, 42.7%-50.3%), with significant between-study statistical heterogeneity (I2 = 99.5%; τ2 = 182.5; P &lt; .001). The Delphi process identified hypotension, serum lactate level, and vasopressor therapy as variables to test using cohort studies. Based on these 3 variables alone or in combination, 6 patient groups were generated. Examination of the SSC database demonstrated that the patient group requiring vasopressors to maintain mean BP 65 mm Hg or greater and having a serum lactate level greater than 2 mmol/L (18 mg/dL) after fluid resuscitation had a significantly higher mortality (42.3% [95% CI, 41.2%-43.3%]) in risk-adjusted comparisons with the other 5 groups derived using either serum lactate level greater than 2 mmol/L alone or combinations of hypotension, vasopressors, and serum lactate level 2 mmol/L or lower. These findings were validated in the UPMC and KPNC data sets.\nCONCLUSIONS AND RELEVANCE: Based on a consensus process using results from a systematic review, surveys, and cohort studies, septic shock is defined as a subset of sepsis in which underlying circulatory, cellular, and metabolic abnormalities are associated with a greater risk of mortality than sepsis alone. Adult patients with septic shock can be identified using the clinical criteria of hypotension requiring vasopressor therapy to maintain mean BP 65 mm Hg or greater and having a serum lactate level greater than 2 mmol/L after adequate fluid resuscitation.","DOI":"10.1001/jama.2016.0289","ISSN":"1538-3598","note":"PMID: 26903336\nPMCID: PMC4910392","shortTitle":"Developing a New Definition and Assessing New Clinical Criteria for Septic Shock","journalAbbreviation":"JAMA","language":"eng","author":[{"family":"Shankar-Hari","given":"Manu"},{"family":"Phillips","given":"Gary S."},{"family":"Levy","given":"Mitchell L."},{"family":"Seymour","given":"Christopher W."},{"family":"Liu","given":"Vincent X."},{"family":"Deutschman","given":"Clifford S."},{"family":"Angus","given":"Derek C."},{"family":"Rubenfeld","given":"Gordon D."},{"family":"Singer","given":"Mervyn"},{"literal":"Sepsis Definitions Task Force"}],"issued":{"date-parts":[["2016",2,23]]},"PMID":"26903336","PMCID":"PMC4910392"}}],"schema":"https://github.com/citation-style-language/schema/raw/master/csl-citation.json"} </w:instrText>
      </w:r>
      <w:r w:rsidR="005B5377" w:rsidRPr="007141B1">
        <w:rPr>
          <w:rFonts w:asciiTheme="minorHAnsi" w:hAnsiTheme="minorHAnsi" w:cs="Arial"/>
          <w:lang w:val="en-GB"/>
        </w:rPr>
        <w:fldChar w:fldCharType="separate"/>
      </w:r>
      <w:r w:rsidR="007E7E7B" w:rsidRPr="00DE4685">
        <w:rPr>
          <w:rFonts w:ascii="Calibri" w:hAnsi="Calibri" w:cs="Calibri"/>
          <w:lang w:val="en-US"/>
        </w:rPr>
        <w:t>[4, 52]</w:t>
      </w:r>
      <w:r w:rsidR="005B5377" w:rsidRPr="007141B1">
        <w:rPr>
          <w:rFonts w:asciiTheme="minorHAnsi" w:hAnsiTheme="minorHAnsi" w:cs="Arial"/>
          <w:lang w:val="en-GB"/>
        </w:rPr>
        <w:fldChar w:fldCharType="end"/>
      </w:r>
      <w:r w:rsidRPr="007141B1">
        <w:rPr>
          <w:rFonts w:asciiTheme="minorHAnsi" w:hAnsiTheme="minorHAnsi" w:cs="Arial"/>
          <w:lang w:val="en-GB"/>
        </w:rPr>
        <w:t xml:space="preserve">. </w:t>
      </w:r>
      <w:r w:rsidR="004526CC">
        <w:rPr>
          <w:rFonts w:asciiTheme="minorHAnsi" w:hAnsiTheme="minorHAnsi" w:cs="Arial"/>
          <w:lang w:val="en-GB"/>
        </w:rPr>
        <w:t>T</w:t>
      </w:r>
      <w:r w:rsidR="00EA429B">
        <w:rPr>
          <w:rFonts w:asciiTheme="minorHAnsi" w:hAnsiTheme="minorHAnsi" w:cs="Arial"/>
          <w:lang w:val="en-GB"/>
        </w:rPr>
        <w:t xml:space="preserve">here is little equipoise for delayed or no antibiotics, </w:t>
      </w:r>
      <w:r w:rsidR="00383B15">
        <w:rPr>
          <w:rFonts w:asciiTheme="minorHAnsi" w:hAnsiTheme="minorHAnsi" w:cs="Arial"/>
          <w:lang w:val="en-GB"/>
        </w:rPr>
        <w:t>raising practical and ethical issues over any efforts to generate new evidence where patients may be randomized to less antibiotic coverage. Nevertheless, t</w:t>
      </w:r>
      <w:r w:rsidRPr="007141B1">
        <w:rPr>
          <w:rFonts w:asciiTheme="minorHAnsi" w:hAnsiTheme="minorHAnsi" w:cs="Arial"/>
          <w:lang w:val="en-GB"/>
        </w:rPr>
        <w:t xml:space="preserve">he evidence base that ‘every hour counts’, that combination therapy is beneficial, and that long courses of therapy are needed to better eradicate microorganisms is weak and </w:t>
      </w:r>
      <w:r w:rsidR="00EA429B" w:rsidRPr="007141B1">
        <w:rPr>
          <w:rFonts w:asciiTheme="minorHAnsi" w:hAnsiTheme="minorHAnsi" w:cs="Arial"/>
          <w:lang w:val="en-GB"/>
        </w:rPr>
        <w:t>conflict</w:t>
      </w:r>
      <w:r w:rsidR="00EA429B">
        <w:rPr>
          <w:rFonts w:asciiTheme="minorHAnsi" w:hAnsiTheme="minorHAnsi" w:cs="Arial"/>
          <w:lang w:val="en-GB"/>
        </w:rPr>
        <w:t>ing</w:t>
      </w:r>
      <w:r w:rsidR="00EA429B" w:rsidRPr="007141B1">
        <w:rPr>
          <w:rFonts w:asciiTheme="minorHAnsi" w:hAnsiTheme="minorHAnsi" w:cs="Arial"/>
          <w:lang w:val="en-GB"/>
        </w:rPr>
        <w:t xml:space="preserve"> </w:t>
      </w:r>
      <w:r w:rsidR="00314E7A">
        <w:rPr>
          <w:rFonts w:asciiTheme="minorHAnsi" w:hAnsiTheme="minorHAnsi" w:cs="Arial"/>
          <w:lang w:val="en-GB"/>
        </w:rPr>
        <w:t>(</w:t>
      </w:r>
      <w:r w:rsidR="001474F0" w:rsidRPr="007141B1">
        <w:rPr>
          <w:rFonts w:asciiTheme="minorHAnsi" w:hAnsiTheme="minorHAnsi" w:cs="Arial"/>
          <w:lang w:val="en-GB"/>
        </w:rPr>
        <w:t xml:space="preserve">e.g. </w:t>
      </w:r>
      <w:r w:rsidR="005B5377"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{"citationID":"2n2tr5a021","properties":{"formattedCitation":"[53, 54]","plainCitation":"[53, 54]"},"citationItems":[{"id":90,"uris":["http://zotero.org/users/local/ZaW79YVG/items/4TGHQUT8"],"uri":["http://zotero.org/users/local/ZaW79YVG/items/4TGHQUT8"],"itemData":{"id":90,"type":"article-journal","title":"The Impact of Timing of Antibiotics on Outcomes in Severe Sepsis and Septic Shock: A Systematic Review and Meta-Analysis","container-title":"Critical Care Medicine","page":"1907-1915","volume":"43","issue":"9","source":"PubMed","abstract":"OBJECTIVES: We sought to systematically review and meta-analyze the available data on the association between timing of antibiotic administration and mortality in severe sepsis and septic shock.\nDATA SOURCES: A comprehensive search criteria was performed using a predefined protocol.\nSTUDY SELECTION: INCLUSION CRITERIA: adult patients with severe sepsis or septic shock, reported time to antibiotic administration in relation to emergency department triage and/or shock recognition, and mortality.\nEXCLUSION CRITERIA: immunosuppressed populations, review article, editorial, or nonhuman studies.\nDATA EXTRACTION: Two reviewers screened abstracts with a third reviewer arbitrating. The effect of time to antibiotic administration on mortality was based on current guideline recommendations: 1) administration within 3 hours of emergency department triage and 2) administration within 1 hour of severe sepsis/septic shock recognition. Odds ratios were calculated using a random effect model. The primary outcome was mortality.\nDATA SYNTHESIS: A total of 1,123 publications were identified and 11 were included in the analysis. Among the 11 included studies, 16,178 patients were evaluable for antibiotic administration from emergency department triage. Patients who received antibiotics more than 3 hours after emergency department triage (&lt; 3 hr reference) had a pooled odds ratio for mortality of 1.16 (0.92-1.46; p = 0.21). A total of 11,017 patients were evaluable for antibiotic administration from severe sepsis/septic shock recognition. Patients who received antibiotics more than 1 hour after severe sepsis/shock recognition (&lt; 1 hr reference) had a pooled odds ratio for mortality of 1.46 (0.89-2.40; p = 0.13). There was no increased mortality in the pooled odds ratios for each hourly delay from less than 1 to more than 5 hours in antibiotic administration from severe sepsis/shock recognition.\nCONCLUSION: Using the available pooled data, we found no significant mortality benefit of administering antibiotics within 3 hours of emergency department triage or within 1 hour of shock recognition in severe sepsis and septic shock. These results suggest that currently recommended timing metrics as measures of quality of care are not supported by the available evidence.","DOI":"10.1097/CCM.0000000000001142","ISSN":"1530-0293","note":"PMID: 26121073\nPMCID: PMC4597314","shortTitle":"The Impact of Timing of Antibiotics on Outcomes in Severe Sepsis and Septic Shock","journalAbbreviation":"Crit. Care Med.","language":"eng","author":[{"family":"Sterling","given":"Sarah A."},{"family":"Miller","given":"W. Ryan"},{"family":"Pryor","given":"Jason"},{"family":"Puskarich","given":"Michael A."},{"family":"Jones","given":"Alan E."}],"issued":{"date-parts":[["2015",9]]},"PMID":"26121073","PMCID":"PMC4597314"}},{"id":92,"uris":["http://zotero.org/users/local/ZaW79YVG/items/BMCX3K3J"],"uri":["http://zotero.org/users/local/ZaW79YVG/items/BMCX3K3J"],"itemData":{"id":92,"type":"article-journal","title":"The association between time to antibiotics and relevant clinical outcomes in emergency department patients with various stages of sepsis: a prospective multi-center study","container-title":"Critical Care (London, England)","page":"194","volume":"19","source":"PubMed","abstract":"INTRODUCTION: In early sepsis stages, optimal treatment could contribute to prevention of progression to severe sepsis. Therefore, we investigated if there was an association between time to antibiotics and relevant clinical outcomes in hospitalized emergency department (ED) patients with mild to severe sepsis stages.\nMETHODS: This is a prospective multicenter study in three Dutch EDs. Patients were stratified into three categories of illness severity, as assessed by the predisposition, infection, response, and organ failure (PIRO) score: PIRO score 1 to 7, 8 to 14 and &gt;14 points, reflected low, intermediate, and high illness severity, respectively. Consecutive hospitalized ED patients with a suspected infection who were treated with intravenous antibiotics were eligible to participate in the study. The primary outcome measure was the number of surviving days outside the hospital at day 28 which was used as an inverse measure of hospital length of stay (LOS). The secondary outcome measure was 28-day mortality, taking into account the time to mortality. Multivariable Cox regression analysis was used to estimate the association between time to antibiotics and the primary and secondary outcome measures corrected for confounders, including appropriateness of antibiotics and initial ED resuscitation, in three categories of illness severity.\nRESULTS: Of the 1,168 included patients, 112 died (10%), while 85% and 95% received antibiotics within three and six hours, respectively. No association between time to antibiotics and surviving days outside the hospital or mortality was found. Only in PIRO group 1 to 7 was delayed administration of antibiotics (&gt;3 hours) associated with an increase in surviving days outside the hospital at day 28 (hazard ratio: 1.46, 95% confidence interval: 1.05 to 2.02 after correction for potential confounders).\nCONCLUSIONS: In ED patients with mild to severe sepsis who received antibiotics within six hours after ED presentation, a reduction in time to antibiotics was not found to be associated with an improvement in relevant clinical outcomes.","DOI":"10.1186/s13054-015-0936-3","ISSN":"1466-609X","note":"PMID: 25925412\nPMCID: PMC4440486","shortTitle":"The association between time to antibiotics and relevant clinical outcomes in emergency department patients with various stages of sepsis","journalAbbreviation":"Crit Care","language":"eng","author":[{"family":"Groot","given":"Bas","non-dropping-particle":"de"},{"family":"Ansems","given":"Annemieke"},{"family":"Gerling","given":"Daan H."},{"family":"Rijpsma","given":"Douwe"},{"family":"Amstel","given":"Paul","non-dropping-particle":"van"},{"family":"Linzel","given":"Durk"},{"family":"Kostense","given":"Piet J."},{"family":"Jonker","given":"Marianne"},{"family":"Jonge","given":"Evert","non-dropping-particle":"de"}],"issued":{"date-parts":[["2015",4,29]]},"PMID":"25925412","PMCID":"PMC4440486"}}],"schema":"https://github.com/citation-style-language/schema/raw/master/csl-citation.json"} </w:instrText>
      </w:r>
      <w:r w:rsidR="005B5377" w:rsidRPr="007141B1">
        <w:rPr>
          <w:rFonts w:asciiTheme="minorHAnsi" w:hAnsiTheme="minorHAnsi" w:cs="Arial"/>
          <w:lang w:val="en-GB"/>
        </w:rPr>
        <w:fldChar w:fldCharType="separate"/>
      </w:r>
      <w:r w:rsidR="007E7E7B" w:rsidRPr="00DE4685">
        <w:rPr>
          <w:rFonts w:ascii="Calibri" w:hAnsi="Calibri" w:cs="Calibri"/>
          <w:lang w:val="en-US"/>
        </w:rPr>
        <w:t>[53, 54]</w:t>
      </w:r>
      <w:r w:rsidR="005B5377" w:rsidRPr="007141B1">
        <w:rPr>
          <w:rFonts w:asciiTheme="minorHAnsi" w:hAnsiTheme="minorHAnsi" w:cs="Arial"/>
          <w:lang w:val="en-GB"/>
        </w:rPr>
        <w:fldChar w:fldCharType="end"/>
      </w:r>
      <w:r w:rsidR="00314E7A">
        <w:rPr>
          <w:rFonts w:asciiTheme="minorHAnsi" w:hAnsiTheme="minorHAnsi"/>
          <w:noProof/>
          <w:lang w:val="en-GB"/>
        </w:rPr>
        <w:t>)</w:t>
      </w:r>
      <w:r w:rsidRPr="007141B1">
        <w:rPr>
          <w:rFonts w:asciiTheme="minorHAnsi" w:hAnsiTheme="minorHAnsi" w:cs="Arial"/>
          <w:lang w:val="en-GB"/>
        </w:rPr>
        <w:t xml:space="preserve">. </w:t>
      </w:r>
      <w:r w:rsidR="00AB7C6A">
        <w:rPr>
          <w:rFonts w:asciiTheme="minorHAnsi" w:hAnsiTheme="minorHAnsi" w:cs="Arial"/>
          <w:lang w:val="en-GB"/>
        </w:rPr>
        <w:t xml:space="preserve">Emerging </w:t>
      </w:r>
      <w:r w:rsidRPr="007141B1">
        <w:rPr>
          <w:rFonts w:asciiTheme="minorHAnsi" w:hAnsiTheme="minorHAnsi" w:cs="Arial"/>
          <w:lang w:val="en-GB"/>
        </w:rPr>
        <w:t>data suggest harm from antibiotic load, be it from longer courses and/or multiple agents. Studies of antimicrobial therapies seldom report mortality differences between patients treated with appropriate and inappropriate antibiotics, and also differ in how ‘appropriate’ is defined</w:t>
      </w:r>
      <w:r w:rsidR="001474F0" w:rsidRPr="007141B1">
        <w:rPr>
          <w:rFonts w:asciiTheme="minorHAnsi" w:hAnsiTheme="minorHAnsi" w:cs="Arial"/>
          <w:lang w:val="en-GB"/>
        </w:rPr>
        <w:t xml:space="preserve"> </w:t>
      </w:r>
      <w:r w:rsidR="005B5377"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7q6nnrotd","properties":{"formattedCitation":"[55]","plainCitation":"[55]"},"citationItems":[{"id":94,"uris":["http://zotero.org/users/local/ZaW79YVG/items/E5Q5N6Q6"],"uri":["http://zotero.org/users/local/ZaW79YVG/items/E5Q5N6Q6"],"itemData":{"id":94,"type":"article-journal","title":"A systematic review of the methods used to assess the association between appropriate antibiotic therapy and mortality in bacteremic patients","container-title":"Clinical Infectious Diseases: An Official Publication of the Infectious Diseases Society of America","page":"329-337","volume":"45","issue":"3","source":"PubMed","abstract":"Studies of the association between inappropriate antibiotic therapy and mortality among bacteremic patients have generated conflicting findings. We systematically reviewed these studies to identify methodological heterogeneity that may explain the lack of agreement. We identified 51 articles that met the inclusion criteria, and we extracted the following data: study design, definition and measurement of variables, and statistical methods. Only 8 studies (16%) defined inappropriate antibiotic therapy as that which was inactive in vitro against the isolated organism(s) and not consistent with current clinical practice recommendations and distinguished between empiric and definitive treatment. Thirty-four studies (67%) measured the severity of illness, but only 6 (12%) specified the time at which it was measured. The methodological recommendations suggested in this article are intended to improve the validity and generalizability of future research. In brief, future studies should define \"inappropriate\" therapy on the basis of in vitro susceptibility data, should separately evaluate empiric and definitive therapy, and should control for the baseline severity of illness.","DOI":"10.1086/519283","ISSN":"1537-6591","note":"PMID: 17599310","journalAbbreviation":"Clin. Infect. Dis.","language":"eng","author":[{"family":"McGregor","given":"Jessina C."},{"family":"Rich","given":"Shayna E."},{"family":"Harris","given":"Anthony D."},{"family":"Perencevich","given":"Eli N."},{"family":"Osih","given":"Regina"},{"family":"Lodise","given":"Thomas P."},{"family":"Miller","given":"Ram R."},{"family":"Furuno","given":"Jon P."}],"issued":{"date-parts":[["2007",8,1]]},"PMID":"17599310"}}],"schema":"https://github.com/citation-style-language/schema/raw/master/csl-citation.json"} </w:instrText>
      </w:r>
      <w:r w:rsidR="005B5377" w:rsidRPr="007141B1">
        <w:rPr>
          <w:rFonts w:asciiTheme="minorHAnsi" w:hAnsiTheme="minorHAnsi" w:cs="Arial"/>
          <w:lang w:val="en-GB"/>
        </w:rPr>
        <w:fldChar w:fldCharType="separate"/>
      </w:r>
      <w:r w:rsidR="007E7E7B" w:rsidRPr="00DE4685">
        <w:rPr>
          <w:rFonts w:ascii="Calibri" w:hAnsi="Calibri" w:cs="Calibri"/>
          <w:lang w:val="en-US"/>
        </w:rPr>
        <w:t>[55]</w:t>
      </w:r>
      <w:r w:rsidR="005B5377" w:rsidRPr="007141B1">
        <w:rPr>
          <w:rFonts w:asciiTheme="minorHAnsi" w:hAnsiTheme="minorHAnsi" w:cs="Arial"/>
          <w:lang w:val="en-GB"/>
        </w:rPr>
        <w:fldChar w:fldCharType="end"/>
      </w:r>
      <w:r w:rsidRPr="007141B1">
        <w:rPr>
          <w:rFonts w:asciiTheme="minorHAnsi" w:hAnsiTheme="minorHAnsi" w:cs="Arial"/>
          <w:lang w:val="en-GB"/>
        </w:rPr>
        <w:t>. Even if the microorganism is susceptible, we are generally unaware if the patient is receiving an adequate dose or not</w:t>
      </w:r>
      <w:r w:rsidR="00383B15">
        <w:rPr>
          <w:rFonts w:asciiTheme="minorHAnsi" w:hAnsiTheme="minorHAnsi" w:cs="Arial"/>
          <w:lang w:val="en-GB"/>
        </w:rPr>
        <w:t xml:space="preserve">. </w:t>
      </w:r>
      <w:r w:rsidRPr="007141B1">
        <w:rPr>
          <w:rFonts w:asciiTheme="minorHAnsi" w:hAnsiTheme="minorHAnsi" w:cs="Arial"/>
          <w:lang w:val="en-GB"/>
        </w:rPr>
        <w:t xml:space="preserve">Other than aminoglycosides and vancomycin, antibiotic dosing is seldom monitored. </w:t>
      </w:r>
      <w:r w:rsidR="00AB7C6A">
        <w:rPr>
          <w:rFonts w:asciiTheme="minorHAnsi" w:hAnsiTheme="minorHAnsi" w:cs="Arial"/>
          <w:lang w:val="en-GB"/>
        </w:rPr>
        <w:t xml:space="preserve">There is therefore great uncertainty </w:t>
      </w:r>
      <w:r w:rsidRPr="007141B1">
        <w:rPr>
          <w:rFonts w:asciiTheme="minorHAnsi" w:hAnsiTheme="minorHAnsi" w:cs="Arial"/>
          <w:lang w:val="en-GB"/>
        </w:rPr>
        <w:t xml:space="preserve">whether individual patients are being under- or over-dosed with standard regimens, especially as drug excretion, metabolism, volumes of distribution, protein binding and augmented renal clearance will vary markedly </w:t>
      </w:r>
      <w:r w:rsidR="00200147">
        <w:rPr>
          <w:rFonts w:asciiTheme="minorHAnsi" w:hAnsiTheme="minorHAnsi" w:cs="Arial"/>
          <w:lang w:val="en-GB"/>
        </w:rPr>
        <w:t xml:space="preserve">in sepsis </w:t>
      </w:r>
      <w:r w:rsidR="00200147" w:rsidRPr="007141B1">
        <w:rPr>
          <w:rFonts w:asciiTheme="minorHAnsi" w:hAnsiTheme="minorHAnsi" w:cs="Arial"/>
          <w:lang w:val="en-GB"/>
        </w:rPr>
        <w:t xml:space="preserve">both temporally </w:t>
      </w:r>
      <w:r w:rsidR="00200147">
        <w:rPr>
          <w:rFonts w:asciiTheme="minorHAnsi" w:hAnsiTheme="minorHAnsi" w:cs="Arial"/>
          <w:lang w:val="en-GB"/>
        </w:rPr>
        <w:t xml:space="preserve">within patients </w:t>
      </w:r>
      <w:r w:rsidRPr="007141B1">
        <w:rPr>
          <w:rFonts w:asciiTheme="minorHAnsi" w:hAnsiTheme="minorHAnsi" w:cs="Arial"/>
          <w:lang w:val="en-GB"/>
        </w:rPr>
        <w:t>and between patients</w:t>
      </w:r>
      <w:r w:rsidR="007D7541" w:rsidRPr="007141B1">
        <w:rPr>
          <w:rFonts w:asciiTheme="minorHAnsi" w:hAnsiTheme="minorHAnsi" w:cs="Arial"/>
          <w:lang w:val="en-GB"/>
        </w:rPr>
        <w:t xml:space="preserve"> </w:t>
      </w:r>
      <w:r w:rsidR="007D7541"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{"citationID":"12stluakpg","properties":{"formattedCitation":"[56, 57]","plainCitation":"[56, 57]"},"citationItems":[{"id":96,"uris":["http://zotero.org/users/local/ZaW79YVG/items/22CRGWJ4"],"uri":["http://zotero.org/users/local/ZaW79YVG/items/22CRGWJ4"],"itemData":{"id":96,"type":"article-journal","title":"Antibiotic dosing in critically ill patients with acute kidney injury","container-title":"Nature Reviews. Nephrology","page":"226-235","volume":"7","issue":"4","source":"PubMed","abstract":"A common cause of acute kidney injury (AKI) is sepsis, which makes appropriate dosing of antibiotics in these patients essential. Drug dosing in critically ill patients with AKI, however, can be complicated. Critical illness and AKI can both substantially alter pharmacokinetic parameters as compared with healthy individuals or patients with end-stage renal disease. Furthermore, drug pharmacokinetic parameters are highly variable within the critically ill population. The volume of distribution of hydrophilic agents can increase as a result of fluid overload and decreased binding of the drug to serum proteins, and antibiotic loading doses must be adjusted upwards to account for these changes. Although renal elimination of drugs is decreased in patients with AKI, residual renal function in conjunction with renal replacement therapies (RRTs) result in enhanced drug clearance, and maintenance doses must reflect this situation. Antibiotic dosing decisions should be individualized to take into account patient-related, RRT-related, and drug-related factors. Efforts must also be made to optimize the attainment of antibiotic pharmacodynamic goals in this population.","DOI":"10.1038/nrneph.2011.12","ISSN":"1759-507X","note":"PMID: 21343897","journalAbbreviation":"Nat Rev Nephrol","language":"eng","author":[{"family":"Eyler","given":"Rachel F."},{"family":"Mueller","given":"Bruce A."},{"literal":"Medscape"}],"issued":{"date-parts":[["2011",4]]},"PMID":"21343897"}},{"id":98,"uris":["http://zotero.org/users/local/ZaW79YVG/items/4Q6QDHTG"],"uri":["http://zotero.org/users/local/ZaW79YVG/items/4Q6QDHTG"],"itemData":{"id":98,"type":"article-journal","title":"Beta-Lactam Infusion in Severe Sepsis (BLISS): a prospective, two-centre, open-labelled randomised controlled trial of continuous versus intermittent beta-lactam infusion in critically ill patients with severe sepsis","container-title":"Intensive Care Medicine","page":"1535-1545","volume":"42","issue":"10","source":"PubMed","abstract":"PURPOSE: This study aims to determine if continuous infusion (CI) is associated with better clinical and pharmacokinetic/pharmacodynamic (PK/PD) outcomes compared to intermittent bolus (IB) dosing in critically ill patients with severe sepsis.\nMETHODS: This was a two-centre randomised controlled trial of CI versus IB dosing of beta-lactam antibiotics, which enrolled critically ill participants with severe sepsis who were not on renal replacement therapy (RRT). The primary outcome was clinical cure at 14 days after antibiotic cessation. Secondary outcomes were PK/PD target attainment, ICU-free days and ventilator-free days at day 28 post-randomisation, 14- and 30-day survival, and time to white cell count normalisation.\nRESULTS: A total of 140 participants were enrolled with 70 participants each allocated to CI and IB dosing. CI participants had higher clinical cure rates (56 versus 34 %, p = 0.011) and higher median ventilator-free days (22 versus 14 days, p &lt; 0.043) than IB participants. PK/PD target attainment rates were higher in the CI arm at 100 % fT &gt;MIC than the IB arm on day 1 (97 versus 70 %, p &lt; 0.001) and day 3 (97 versus 68 %, p &lt; 0.001) post-randomisation. There was no difference in 14-day or 30-day survival between the treatment arms.\nCONCLUSIONS: In critically ill patients with severe sepsis not receiving RRT, CI demonstrated higher clinical cure rates and had better PK/PD target attainment compared to IB dosing of beta-lactam antibiotics. Continuous beta-lactam infusion may be mostly advantageous for critically ill patients with high levels of illness severity and not receiving RRT. Malaysian National Medical Research Register ID: NMRR-12-1013-14017.","DOI":"10.1007/s00134-015-4188-0","ISSN":"1432-1238","note":"PMID: 26754759","shortTitle":"Beta-Lactam Infusion in Severe Sepsis (BLISS)","journalAbbreviation":"Intensive Care Med","language":"eng","author":[{"family":"Abdul-Aziz","given":"Mohd H."},{"family":"Sulaiman","given":"Helmi"},{"family":"Mat-Nor","given":"Mohd-Basri"},{"family":"Rai","given":"Vineya"},{"family":"Wong","given":"Kang K."},{"family":"Hasan","given":"Mohd S."},{"family":"Abd Rahman","given":"Azrin N."},{"family":"Jamal","given":"Janattul A."},{"family":"Wallis","given":"Steven C."},{"family":"Lipman","given":"Jeffrey"},{"family":"Staatz","given":"Christine E."},{"family":"Roberts","given":"Jason A."}],"issued":{"date-parts":[["2016",10]]},"PMID":"26754759"}}],"schema":"https://github.com/citation-style-language/schema/raw/master/csl-citation.json"} </w:instrText>
      </w:r>
      <w:r w:rsidR="007D7541" w:rsidRPr="007141B1">
        <w:rPr>
          <w:rFonts w:asciiTheme="minorHAnsi" w:hAnsiTheme="minorHAnsi" w:cs="Arial"/>
          <w:lang w:val="en-GB"/>
        </w:rPr>
        <w:fldChar w:fldCharType="separate"/>
      </w:r>
      <w:r w:rsidR="007E7E7B" w:rsidRPr="00DE4685">
        <w:rPr>
          <w:rFonts w:ascii="Calibri" w:hAnsi="Calibri" w:cs="Calibri"/>
          <w:lang w:val="en-US"/>
        </w:rPr>
        <w:t>[56, 57]</w:t>
      </w:r>
      <w:r w:rsidR="007D7541" w:rsidRPr="007141B1">
        <w:rPr>
          <w:rFonts w:asciiTheme="minorHAnsi" w:hAnsiTheme="minorHAnsi" w:cs="Arial"/>
          <w:lang w:val="en-GB"/>
        </w:rPr>
        <w:fldChar w:fldCharType="end"/>
      </w:r>
      <w:r w:rsidRPr="007141B1">
        <w:rPr>
          <w:rFonts w:asciiTheme="minorHAnsi" w:hAnsiTheme="minorHAnsi" w:cs="Arial"/>
          <w:lang w:val="en-GB"/>
        </w:rPr>
        <w:t xml:space="preserve">. We are also uncertain whether monitoring of blood levels is appropriate to ensure adequate concentrations in the affected area (e.g. consolidated lung or soiled peritoneal cavity), and whether </w:t>
      </w:r>
      <w:r w:rsidR="004526CC">
        <w:rPr>
          <w:rFonts w:asciiTheme="minorHAnsi" w:hAnsiTheme="minorHAnsi" w:cs="Arial"/>
          <w:lang w:val="en-GB"/>
        </w:rPr>
        <w:t xml:space="preserve">the </w:t>
      </w:r>
      <w:r w:rsidR="00C47AD7">
        <w:rPr>
          <w:rFonts w:asciiTheme="minorHAnsi" w:hAnsiTheme="minorHAnsi" w:cs="Arial"/>
          <w:lang w:val="en-GB"/>
        </w:rPr>
        <w:t>minimal inhibitory concentration (MIC)</w:t>
      </w:r>
      <w:r w:rsidRPr="007141B1">
        <w:rPr>
          <w:rFonts w:asciiTheme="minorHAnsi" w:hAnsiTheme="minorHAnsi" w:cs="Arial"/>
          <w:lang w:val="en-GB"/>
        </w:rPr>
        <w:t xml:space="preserve"> measured </w:t>
      </w:r>
      <w:r w:rsidRPr="007141B1">
        <w:rPr>
          <w:rFonts w:asciiTheme="minorHAnsi" w:hAnsiTheme="minorHAnsi" w:cs="Arial"/>
          <w:i/>
          <w:lang w:val="en-GB"/>
        </w:rPr>
        <w:t>in vitro</w:t>
      </w:r>
      <w:r w:rsidRPr="007141B1">
        <w:rPr>
          <w:rFonts w:asciiTheme="minorHAnsi" w:hAnsiTheme="minorHAnsi" w:cs="Arial"/>
          <w:lang w:val="en-GB"/>
        </w:rPr>
        <w:t xml:space="preserve"> </w:t>
      </w:r>
      <w:r w:rsidR="004526CC">
        <w:rPr>
          <w:rFonts w:asciiTheme="minorHAnsi" w:hAnsiTheme="minorHAnsi" w:cs="Arial"/>
          <w:lang w:val="en-GB"/>
        </w:rPr>
        <w:t>is</w:t>
      </w:r>
      <w:r w:rsidR="004526CC" w:rsidRPr="007141B1">
        <w:rPr>
          <w:rFonts w:asciiTheme="minorHAnsi" w:hAnsiTheme="minorHAnsi" w:cs="Arial"/>
          <w:lang w:val="en-GB"/>
        </w:rPr>
        <w:t xml:space="preserve"> </w:t>
      </w:r>
      <w:r w:rsidRPr="007141B1">
        <w:rPr>
          <w:rFonts w:asciiTheme="minorHAnsi" w:hAnsiTheme="minorHAnsi" w:cs="Arial"/>
          <w:lang w:val="en-GB"/>
        </w:rPr>
        <w:t xml:space="preserve">applicable to </w:t>
      </w:r>
      <w:r w:rsidRPr="007141B1">
        <w:rPr>
          <w:rFonts w:asciiTheme="minorHAnsi" w:hAnsiTheme="minorHAnsi" w:cs="Arial"/>
          <w:i/>
          <w:lang w:val="en-GB"/>
        </w:rPr>
        <w:t>in vivo</w:t>
      </w:r>
      <w:r w:rsidRPr="007141B1">
        <w:rPr>
          <w:rFonts w:asciiTheme="minorHAnsi" w:hAnsiTheme="minorHAnsi" w:cs="Arial"/>
          <w:lang w:val="en-GB"/>
        </w:rPr>
        <w:t xml:space="preserve"> cure or failure rates</w:t>
      </w:r>
      <w:r w:rsidR="007D7541" w:rsidRPr="007141B1">
        <w:rPr>
          <w:rFonts w:asciiTheme="minorHAnsi" w:hAnsiTheme="minorHAnsi" w:cs="Arial"/>
          <w:lang w:val="en-GB"/>
        </w:rPr>
        <w:t xml:space="preserve"> </w:t>
      </w:r>
      <w:r w:rsidR="007D7541"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1ofjcblfbb","properties":{"formattedCitation":"[58]","plainCitation":"[58]"},"citationItems":[{"id":100,"uris":["http://zotero.org/users/local/ZaW79YVG/items/Q4UUAP7A"],"uri":["http://zotero.org/users/local/ZaW79YVG/items/Q4UUAP7A"],"itemData":{"id":100,"type":"article-journal","title":"Understanding PK/PD","container-title":"Intensive Care Medicine","page":"1797-1800","volume":"42","issue":"11","source":"PubMed","DOI":"10.1007/s00134-015-4032-6","ISSN":"1432-1238","note":"PMID: 26334756","journalAbbreviation":"Intensive Care Med","language":"eng","author":[{"family":"Roberts","given":"Jason A."},{"family":"Taccone","given":"Fabio Silvio"},{"family":"Lipman","given":"Jeffrey"}],"issued":{"date-parts":[["2016",11]]},"PMID":"26334756"}}],"schema":"https://github.com/citation-style-language/schema/raw/master/csl-citation.json"} </w:instrText>
      </w:r>
      <w:r w:rsidR="007D7541" w:rsidRPr="007141B1">
        <w:rPr>
          <w:rFonts w:asciiTheme="minorHAnsi" w:hAnsiTheme="minorHAnsi" w:cs="Arial"/>
          <w:lang w:val="en-GB"/>
        </w:rPr>
        <w:fldChar w:fldCharType="separate"/>
      </w:r>
      <w:r w:rsidR="007E7E7B" w:rsidRPr="00DE4685">
        <w:rPr>
          <w:rFonts w:ascii="Calibri" w:hAnsi="Calibri" w:cs="Calibri"/>
          <w:lang w:val="en-US"/>
        </w:rPr>
        <w:t>[58]</w:t>
      </w:r>
      <w:r w:rsidR="007D7541" w:rsidRPr="007141B1">
        <w:rPr>
          <w:rFonts w:asciiTheme="minorHAnsi" w:hAnsiTheme="minorHAnsi" w:cs="Arial"/>
          <w:lang w:val="en-GB"/>
        </w:rPr>
        <w:fldChar w:fldCharType="end"/>
      </w:r>
      <w:r w:rsidRPr="007141B1">
        <w:rPr>
          <w:rFonts w:asciiTheme="minorHAnsi" w:hAnsiTheme="minorHAnsi" w:cs="Arial"/>
          <w:lang w:val="en-GB"/>
        </w:rPr>
        <w:t>. In the context of an increasing incidence of sepsis</w:t>
      </w:r>
      <w:r w:rsidR="007D7541" w:rsidRPr="007141B1">
        <w:rPr>
          <w:rFonts w:asciiTheme="minorHAnsi" w:hAnsiTheme="minorHAnsi" w:cs="Arial"/>
          <w:lang w:val="en-GB"/>
        </w:rPr>
        <w:t xml:space="preserve"> </w:t>
      </w:r>
      <w:r w:rsidR="007D7541"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{"citationID":"h7t024soc","properties":{"formattedCitation":"[59, 60]","plainCitation":"[59, 60]"},"citationItems":[{"id":102,"uris":["http://zotero.org/users/local/ZaW79YVG/items/8N42Z5M6"],"uri":["http://zotero.org/users/local/ZaW79YVG/items/8N42Z5M6"],"itemData":{"id":102,"type":"article-journal","title":"Differences in Impact of Definitional Elements on Mortality Precludes International Comparisons of Sepsis Epidemiology-A Cohort Study Illustrating the Need for Standardized Reporting","container-title":"Critical Care Medicine","page":"2223-2230","volume":"44","issue":"12","source":"PubMed","abstract":"OBJECTIVES: Sepsis generates significant global acute illness burden. The international variations in sepsis epidemiology (illness burden) have implications for region specific health policy. We hypothesised that there have been changes over time in the sepsis definitional elements (infection and organ dysfunction), and these may have impacted on hospital mortality.\nDESIGN: Cohort study.\nSETTING: We evaluated a high quality, nationally representative, clinical ICU database including data from 181 adult ICUs in England.\nPATIENTS: Nine hundred sixty-seven thousand five hundred thirty-two consecutive adult ICU admissions from January 2000 to December 2012.\nINTERVENTIONS: None.\nMEASUREMENTS AND MAIN RESULTS: To address the proposed hypothesis, we evaluated a high quality, nationally representative, clinical, ICU database of 967,532 consecutive admissions to 181 adult ICUs in England, from January 2000 to December 2012, to identify sepsis cases in a robust and reproducible way. Multinomial logistic regression was used to report unadjusted trends in sepsis definitional elements and in mortality risk categories based on organ dysfunction combinations. We generated logistic regression models and assessed statistical interactions with acute hospital mortality as outcome and cohort characteristics, sepsis definitional elements, and mortality risk categories as covariates. Finally, we calculated postestimation statistics to illustrate the magnitude of clinically meaningful improvements in sepsis outcomes over the study period. Over the study period, there were 248,864 sepsis admissions (25.7%). Sepsis mortality varied by infection sources (19.1% for genitourinary to 43.0% for respiratory; p &lt; 0.001), by number of organ dysfunctions (18.5% for 1 to 69.9% for 5; p &lt; 0.001), and organ dysfunction combinations (18.5% for risk category 1 to 58.0% for risk category 4). The rate of improvement in adjusted hospital mortality was significant (odds ratio, 0.939 [0.934-0.945] per year; p &lt; 0.001), but showed different secular trends in improvement between infection sources.\nCONCLUSIONS: Within a sepsis cohort, we illustrate case-mix heterogeneity using definitional elements (infection source and organ dysfunction). In the context of improving outcomes, we illustrate differential secular trends in impact of these variables on adjusted mortality and propose this as a valid reason for international variations in sepsis epidemiology. Our article highlights the need to determine standardized reporting elements for optimal comparisons of international sepsis epidemiology.","DOI":"10.1097/CCM.0000000000001876","ISSN":"1530-0293","note":"PMID: 27352126","journalAbbreviation":"Crit. Care Med.","language":"eng","author":[{"family":"Shankar-Hari","given":"Manu"},{"family":"Harrison","given":"David A."},{"family":"Rowan","given":"Kathryn M."}],"issued":{"date-parts":[["2016",12]]},"PMID":"27352126"}},{"id":104,"uris":["http://zotero.org/users/local/ZaW79YVG/items/VJEP6VSA"],"uri":["http://zotero.org/users/local/ZaW79YVG/items/VJEP6VSA"],"itemData":{"id":104,"type":"article-journal","title":"Mortality related to severe sepsis and septic shock among critically ill patients in Australia and New Zealand, 2000-2012","container-title":"JAMA","page":"1308-1316","volume":"311","issue":"13","source":"PubMed","abstract":"IMPORTANCE: Severe sepsis and septic shock are major causes of mortality in intensive care unit (ICU) patients. It is unknown whether progress has been made in decreasing their mortality rate.\nOBJECTIVE: To describe changes in mortality for severe sepsis with and without shock in ICU patients.\nDESIGN, SETTING, AND PARTICIPANTS: Retrospective, observational study from 2000 to 2012 including 101,064 patients with severe sepsis from 171 ICUs with various patient case mix in Australia and New Zealand.\nMAIN OUTCOMES AND MEASURES: Hospital outcome (mortality and discharge to home, to other hospital, or to rehabilitation).\nRESULTS: Absolute mortality in severe sepsis decreased from 35.0% (95% CI, 33.2%-36.8%; 949/2708) to 18.4% (95% CI, 17.8%-19.0%; 2300/12,512; P &lt; .001), representing an overall decrease of 16.7% (95% CI, 14.8%-18.6%), an annual rate of absolute decrease of 1.3%, and a relative risk reduction of 47.5% (95% CI, 44.1%-50.8%). After adjusted analysis, mortality decreased throughout the study period with an odds ratio (OR) of 0.49 (95% CI, 0.46-0.52) in 2012, using the year 2000 as the reference (P &lt; .001). The annual decline in mortality did not differ significantly between patients with severe sepsis and those with all other diagnoses (OR, 0.94 [95% CI, 0.94-0.95] vs 0.94 [95% CI, 0.94-0.94]; P = .37). The annual increase in rates of discharge to home was significantly greater in patients with severe sepsis compared with all other diagnoses (OR, 1.03 [95% CI, 1.02-1.03] vs 1.01 [95% CI, 1.01-1.01]; P &lt; .001). Conversely, the annual increase in the rate of patients discharged to rehabilitation facilities was significantly less in severe sepsis compared with all other diagnoses (OR, 1.08 [95% CI, 1.07-1.09] vs 1.09 [95% CI, 1.09-1.10]; P &lt; .001). In the absence of comorbidities and older age, mortality was less than 5%.\nCONCLUSIONS AND RELEVANCE: In critically ill patients in Australia and New Zealand with severe sepsis with and without shock, there was a decrease in mortality from 2000 to 2012. These findings were accompanied by changes in the patterns of discharge to home, rehabilitation, and other hospitals.","DOI":"10.1001/jama.2014.2637","ISSN":"1538-3598","note":"PMID: 24638143","journalAbbreviation":"JAMA","language":"eng","author":[{"family":"Kaukonen","given":"Kirsi-Maija"},{"family":"Bailey","given":"Michael"},{"family":"Suzuki","given":"Satoshi"},{"family":"Pilcher","given":"David"},{"family":"Bellomo","given":"Rinaldo"}],"issued":{"date-parts":[["2014",4,2]]},"PMID":"24638143"}}],"schema":"https://github.com/citation-style-language/schema/raw/master/csl-citation.json"} </w:instrText>
      </w:r>
      <w:r w:rsidR="007D7541" w:rsidRPr="007141B1">
        <w:rPr>
          <w:rFonts w:asciiTheme="minorHAnsi" w:hAnsiTheme="minorHAnsi" w:cs="Arial"/>
          <w:lang w:val="en-GB"/>
        </w:rPr>
        <w:fldChar w:fldCharType="separate"/>
      </w:r>
      <w:r w:rsidR="007E7E7B" w:rsidRPr="00DE4685">
        <w:rPr>
          <w:rFonts w:ascii="Calibri" w:hAnsi="Calibri" w:cs="Calibri"/>
          <w:lang w:val="en-US"/>
        </w:rPr>
        <w:t>[59, 60]</w:t>
      </w:r>
      <w:r w:rsidR="007D7541" w:rsidRPr="007141B1">
        <w:rPr>
          <w:rFonts w:asciiTheme="minorHAnsi" w:hAnsiTheme="minorHAnsi" w:cs="Arial"/>
          <w:lang w:val="en-GB"/>
        </w:rPr>
        <w:fldChar w:fldCharType="end"/>
      </w:r>
      <w:r w:rsidRPr="007141B1">
        <w:rPr>
          <w:rFonts w:asciiTheme="minorHAnsi" w:hAnsiTheme="minorHAnsi" w:cs="Arial"/>
          <w:lang w:val="en-GB"/>
        </w:rPr>
        <w:t xml:space="preserve"> and </w:t>
      </w:r>
      <w:r w:rsidR="004526CC" w:rsidRPr="007141B1">
        <w:rPr>
          <w:rFonts w:asciiTheme="minorHAnsi" w:hAnsiTheme="minorHAnsi" w:cs="Arial"/>
          <w:lang w:val="en-GB"/>
        </w:rPr>
        <w:t>fast</w:t>
      </w:r>
      <w:r w:rsidR="004526CC">
        <w:rPr>
          <w:rFonts w:asciiTheme="minorHAnsi" w:hAnsiTheme="minorHAnsi" w:cs="Arial"/>
          <w:lang w:val="en-GB"/>
        </w:rPr>
        <w:t>-</w:t>
      </w:r>
      <w:r w:rsidRPr="007141B1">
        <w:rPr>
          <w:rFonts w:asciiTheme="minorHAnsi" w:hAnsiTheme="minorHAnsi" w:cs="Arial"/>
          <w:lang w:val="en-GB"/>
        </w:rPr>
        <w:t>emerging antibiotic resistance</w:t>
      </w:r>
      <w:r w:rsidR="007D7541" w:rsidRPr="007141B1">
        <w:rPr>
          <w:rFonts w:asciiTheme="minorHAnsi" w:hAnsiTheme="minorHAnsi" w:cs="Arial"/>
          <w:lang w:val="en-GB"/>
        </w:rPr>
        <w:t xml:space="preserve"> </w:t>
      </w:r>
      <w:r w:rsidR="007D7541"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uv8p0ljpb","properties":{"formattedCitation":"[61]","plainCitation":"[61]"},"citationItems":[{"id":106,"uris":["http://zotero.org/users/local/ZaW79YVG/items/RS7WIB75"],"uri":["http://zotero.org/users/local/ZaW79YVG/items/RS7WIB75"],"itemData":{"id":106,"type":"article-journal","title":"The future of antibiotics and resistance","container-title":"The New England Journal of Medicine","page":"299-302","volume":"368","issue":"4","source":"PubMed","DOI":"10.1056/NEJMp1215093","ISSN":"1533-4406","note":"PMID: 23343059\nPMCID: PMC3617123","journalAbbreviation":"N. Engl. J. Med.","language":"eng","author":[{"family":"Spellberg","given":"Brad"},{"family":"Bartlett","given":"John G."},{"family":"Gilbert","given":"David N."}],"issued":{"date-parts":[["2013",1,24]]},"PMID":"23343059","PMCID":"PMC3617123"}}],"schema":"https://github.com/citation-style-language/schema/raw/master/csl-citation.json"} </w:instrText>
      </w:r>
      <w:r w:rsidR="007D7541" w:rsidRPr="007141B1">
        <w:rPr>
          <w:rFonts w:asciiTheme="minorHAnsi" w:hAnsiTheme="minorHAnsi" w:cs="Arial"/>
          <w:lang w:val="en-GB"/>
        </w:rPr>
        <w:fldChar w:fldCharType="separate"/>
      </w:r>
      <w:r w:rsidR="007E7E7B" w:rsidRPr="00DE4685">
        <w:rPr>
          <w:rFonts w:ascii="Calibri" w:hAnsi="Calibri" w:cs="Calibri"/>
          <w:lang w:val="en-US"/>
        </w:rPr>
        <w:t>[61]</w:t>
      </w:r>
      <w:r w:rsidR="007D7541" w:rsidRPr="007141B1">
        <w:rPr>
          <w:rFonts w:asciiTheme="minorHAnsi" w:hAnsiTheme="minorHAnsi" w:cs="Arial"/>
          <w:lang w:val="en-GB"/>
        </w:rPr>
        <w:fldChar w:fldCharType="end"/>
      </w:r>
      <w:r w:rsidRPr="007141B1">
        <w:rPr>
          <w:rFonts w:asciiTheme="minorHAnsi" w:hAnsiTheme="minorHAnsi" w:cs="Arial"/>
          <w:lang w:val="en-GB"/>
        </w:rPr>
        <w:t xml:space="preserve">, </w:t>
      </w:r>
      <w:r w:rsidR="00383B15">
        <w:rPr>
          <w:rFonts w:asciiTheme="minorHAnsi" w:hAnsiTheme="minorHAnsi" w:cs="Arial"/>
          <w:lang w:val="en-GB"/>
        </w:rPr>
        <w:t xml:space="preserve">this </w:t>
      </w:r>
      <w:r w:rsidR="004526CC">
        <w:rPr>
          <w:rFonts w:asciiTheme="minorHAnsi" w:hAnsiTheme="minorHAnsi" w:cs="Arial"/>
          <w:lang w:val="en-GB"/>
        </w:rPr>
        <w:t>weak</w:t>
      </w:r>
      <w:r w:rsidR="00383B15">
        <w:rPr>
          <w:rFonts w:asciiTheme="minorHAnsi" w:hAnsiTheme="minorHAnsi" w:cs="Arial"/>
          <w:lang w:val="en-GB"/>
        </w:rPr>
        <w:t xml:space="preserve"> evidence base is </w:t>
      </w:r>
      <w:r w:rsidR="004526CC">
        <w:rPr>
          <w:rFonts w:asciiTheme="minorHAnsi" w:hAnsiTheme="minorHAnsi" w:cs="Arial"/>
          <w:lang w:val="en-GB"/>
        </w:rPr>
        <w:t>disappointing</w:t>
      </w:r>
      <w:r w:rsidR="00383B15">
        <w:rPr>
          <w:rFonts w:asciiTheme="minorHAnsi" w:hAnsiTheme="minorHAnsi" w:cs="Arial"/>
          <w:lang w:val="en-GB"/>
        </w:rPr>
        <w:t xml:space="preserve"> and arguably unacceptable. W</w:t>
      </w:r>
      <w:r w:rsidR="00383B15" w:rsidRPr="007141B1">
        <w:rPr>
          <w:rFonts w:asciiTheme="minorHAnsi" w:hAnsiTheme="minorHAnsi" w:cs="Arial"/>
          <w:lang w:val="en-GB"/>
        </w:rPr>
        <w:t xml:space="preserve">e </w:t>
      </w:r>
      <w:r w:rsidRPr="007141B1">
        <w:rPr>
          <w:rFonts w:asciiTheme="minorHAnsi" w:hAnsiTheme="minorHAnsi" w:cs="Arial"/>
          <w:lang w:val="en-GB"/>
        </w:rPr>
        <w:t>must rapidly determine how to prescribe antibiotics optimally for both efficacy and safety</w:t>
      </w:r>
      <w:r w:rsidR="007D7541" w:rsidRPr="007141B1">
        <w:rPr>
          <w:rFonts w:asciiTheme="minorHAnsi" w:hAnsiTheme="minorHAnsi" w:cs="Arial"/>
          <w:lang w:val="en-GB"/>
        </w:rPr>
        <w:t xml:space="preserve"> </w:t>
      </w:r>
      <w:r w:rsidR="007D7541"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r8ku6i8se","properties":{"formattedCitation":"[62]","plainCitation":"[62]"},"citationItems":[{"id":108,"uris":["http://zotero.org/users/local/ZaW79YVG/items/PIXQ2HNI"],"uri":["http://zotero.org/users/local/ZaW79YVG/items/PIXQ2HNI"],"itemData":{"id":108,"type":"article-journal","title":"Sepsis: frontiers in diagnosis, resuscitation and antibiotic therapy","container-title":"Intensive Care Medicine","page":"1958-1969","volume":"42","issue":"12","source":"PubMed","abstract":"Sepsis is a major growing global burden and a major challenge to intensive care clinicians, researchers, guideline committee members and policy makers, because of its high and increasing incidence and great pathophysiological, molecular, genetic and clinical complexity. In spite of recent progress, short-term mortality remains high and there is growing evidence of long-term morbidity and increased long-term mortality in survivors of sepsis both in developed and developing countries. Further improvement in the care of patients with sepsis will impact upon global health. In this narrative review, invited experts describe the expected challenges and progress to be made in the near future. We focus on diagnosis, resuscitation (fluids, vasopressors, inotropes, blood transfusion and hemodynamic targets) and infection (antibiotics and infection biomarkers), as these areas are key, if initial management and subsequent outcomes are to be improved in patients with sepsis.","DOI":"10.1007/s00134-016-4577-z","ISSN":"1432-1238","note":"PMID: 27695884","shortTitle":"Sepsis","journalAbbreviation":"Intensive Care Med","language":"eng","author":[{"family":"Perner","given":"Anders"},{"family":"Gordon","given":"Anthony C."},{"family":"De Backer","given":"Daniel"},{"family":"Dimopoulos","given":"George"},{"family":"Russell","given":"James A."},{"family":"Lipman","given":"Jeffrey"},{"family":"Jensen","given":"Jens-Ulrik"},{"family":"Myburgh","given":"John"},{"family":"Singer","given":"Mervyn"},{"family":"Bellomo","given":"Rinaldo"},{"family":"Walsh","given":"Timothy"}],"issued":{"date-parts":[["2016",12]]},"PMID":"27695884"}}],"schema":"https://github.com/citation-style-language/schema/raw/master/csl-citation.json"} </w:instrText>
      </w:r>
      <w:r w:rsidR="007D7541" w:rsidRPr="007141B1">
        <w:rPr>
          <w:rFonts w:asciiTheme="minorHAnsi" w:hAnsiTheme="minorHAnsi" w:cs="Arial"/>
          <w:lang w:val="en-GB"/>
        </w:rPr>
        <w:fldChar w:fldCharType="separate"/>
      </w:r>
      <w:r w:rsidR="007E7E7B" w:rsidRPr="000F5B05">
        <w:rPr>
          <w:rFonts w:ascii="Calibri" w:hAnsi="Calibri" w:cs="Calibri"/>
          <w:lang w:val="en-US"/>
        </w:rPr>
        <w:t>[62]</w:t>
      </w:r>
      <w:r w:rsidR="007D7541" w:rsidRPr="007141B1">
        <w:rPr>
          <w:rFonts w:asciiTheme="minorHAnsi" w:hAnsiTheme="minorHAnsi" w:cs="Arial"/>
          <w:lang w:val="en-GB"/>
        </w:rPr>
        <w:fldChar w:fldCharType="end"/>
      </w:r>
      <w:r w:rsidRPr="007141B1">
        <w:rPr>
          <w:rFonts w:asciiTheme="minorHAnsi" w:hAnsiTheme="minorHAnsi" w:cs="Arial"/>
          <w:lang w:val="en-GB"/>
        </w:rPr>
        <w:t>.</w:t>
      </w:r>
    </w:p>
    <w:p w:rsidR="00851E20" w:rsidRPr="007141B1" w:rsidRDefault="00851E20" w:rsidP="00851E20">
      <w:pPr>
        <w:spacing w:line="360" w:lineRule="auto"/>
        <w:ind w:firstLine="720"/>
        <w:rPr>
          <w:rFonts w:asciiTheme="minorHAnsi" w:hAnsiTheme="minorHAnsi" w:cs="Arial"/>
          <w:lang w:val="en-GB"/>
        </w:rPr>
      </w:pPr>
    </w:p>
    <w:p w:rsidR="00101E64" w:rsidRPr="007141B1" w:rsidRDefault="00101E64" w:rsidP="00851E20">
      <w:pPr>
        <w:spacing w:line="360" w:lineRule="auto"/>
        <w:rPr>
          <w:rFonts w:asciiTheme="minorHAnsi" w:hAnsiTheme="minorHAnsi" w:cs="Arial"/>
          <w:b/>
          <w:lang w:val="en-GB"/>
        </w:rPr>
      </w:pPr>
      <w:r w:rsidRPr="007141B1">
        <w:rPr>
          <w:rFonts w:asciiTheme="minorHAnsi" w:hAnsiTheme="minorHAnsi" w:cs="Arial"/>
          <w:b/>
          <w:lang w:val="en-GB"/>
        </w:rPr>
        <w:t>Resuscitation</w:t>
      </w:r>
    </w:p>
    <w:p w:rsidR="00851E20" w:rsidRPr="00D74E25" w:rsidRDefault="00851E20" w:rsidP="00851E20">
      <w:pPr>
        <w:spacing w:line="360" w:lineRule="auto"/>
        <w:rPr>
          <w:rFonts w:asciiTheme="minorHAnsi" w:hAnsiTheme="minorHAnsi" w:cs="Arial"/>
          <w:lang w:val="en-GB"/>
        </w:rPr>
      </w:pPr>
      <w:r w:rsidRPr="007141B1">
        <w:rPr>
          <w:rFonts w:asciiTheme="minorHAnsi" w:hAnsiTheme="minorHAnsi" w:cs="Arial"/>
          <w:lang w:val="en-GB"/>
        </w:rPr>
        <w:t xml:space="preserve">The ‘6-hour resuscitation bundle’ – based upon </w:t>
      </w:r>
      <w:r w:rsidR="00FE0188">
        <w:rPr>
          <w:rFonts w:asciiTheme="minorHAnsi" w:hAnsiTheme="minorHAnsi" w:cs="Arial"/>
          <w:lang w:val="en-GB"/>
        </w:rPr>
        <w:t>the original</w:t>
      </w:r>
      <w:r w:rsidRPr="007141B1">
        <w:rPr>
          <w:rFonts w:asciiTheme="minorHAnsi" w:hAnsiTheme="minorHAnsi" w:cs="Arial"/>
          <w:lang w:val="en-GB"/>
        </w:rPr>
        <w:t xml:space="preserve"> </w:t>
      </w:r>
      <w:r w:rsidR="00FE0188">
        <w:rPr>
          <w:rFonts w:asciiTheme="minorHAnsi" w:hAnsiTheme="minorHAnsi" w:cs="Arial"/>
          <w:lang w:val="en-GB"/>
        </w:rPr>
        <w:t>EGDT</w:t>
      </w:r>
      <w:r w:rsidR="007D7541" w:rsidRPr="007141B1">
        <w:rPr>
          <w:rFonts w:asciiTheme="minorHAnsi" w:hAnsiTheme="minorHAnsi" w:cs="Arial"/>
          <w:lang w:val="en-GB"/>
        </w:rPr>
        <w:t xml:space="preserve"> </w:t>
      </w:r>
      <w:r w:rsidR="007D7541" w:rsidRPr="007141B1">
        <w:rPr>
          <w:rFonts w:asciiTheme="minorHAnsi" w:hAnsiTheme="minorHAnsi" w:cs="Arial"/>
          <w:lang w:val="en-GB"/>
        </w:rPr>
        <w:fldChar w:fldCharType="begin"/>
      </w:r>
      <w:r w:rsidR="006E59A1">
        <w:rPr>
          <w:rFonts w:asciiTheme="minorHAnsi" w:hAnsiTheme="minorHAnsi" w:cs="Arial"/>
          <w:lang w:val="en-GB"/>
        </w:rPr>
        <w:instrText xml:space="preserve"> ADDIN ZOTERO_ITEM CSL_CITATION {"citationID":"1bsv671suc","properties":{"formattedCitation":"[19]","plainCitation":"[19]"},"citationItems":[{"id":22,"uris":["http://zotero.org/users/local/ZaW79YVG/items/WMTETCM7"],"uri":["http://zotero.org/users/local/ZaW79YVG/items/WMTETCM7"],"itemData":{"id":22,"type":"article-journal","title":"Early goal-directed therapy in the treatment of severe sepsis and septic shock","container-title":"The New England Journal of Medicine","page":"1368-1377","volume":"345","issue":"19","source":"PubMed","abstract":"BACKGROUND: Goal-directed therapy has been used for severe sepsis and septic shock in the intensive care unit. This approach involves adjustments of cardiac preload, afterload, and contractility to balance oxygen delivery with oxygen demand. The purpose of this study was to evaluate the efficacy of early goal-directed therapy before admission to the intensive care unit.\nMETHODS: We randomly assigned patients who arrived at an urban emergency department with severe sepsis or septic shock to receive either six hours of early goal-directed therapy or standard therapy (as a control) before admission to the intensive care unit. Clinicians who subsequently assumed the care of the patients were blinded to the treatment assignment. In-hospital mortality (the primary efficacy outcome), end points with respect to resuscitation, and Acute Physiology and Chronic Health Evaluation (APACHE II) scores were obtained serially for 72 hours and compared between the study groups.\nRESULTS: Of the 263 enrolled patients, 130 were randomly assigned to early goal-directed therapy and 133 to standard therapy; there were no significant differences between the groups with respect to base-line characteristics. In-hospital mortality was 30.5 percent in the group assigned to early goal-directed therapy, as compared with 46.5 percent in the group assigned to standard therapy (P = 0.009). During the interval from 7 to 72 hours, the patients assigned to early goal-directed therapy had a significantly higher mean (+/-SD) central venous oxygen saturation (70.4+/-10.7 percent vs. 65.3+/-11.4 percent), a lower lactate concentration (3.0+/-4.4 vs. 3.9+/-4.4 mmol per liter), a lower base deficit (2.0+/-6.6 vs. 5.1+/-6.7 mmol per liter), and a higher pH (7.40+/-0.12 vs. 7.36+/-0.12) than the patients assigned to standard therapy (P &lt; or = 0.02 for all comparisons). During the same period, mean APACHE II scores were significantly lower, indicating less severe organ dysfunction, in the patients assigned to early goal-directed therapy than in those assigned to standard therapy (13.0+/-6.3 vs. 15.9+/-6.4, P &lt; 0.001).\nCONCLUSIONS: Early goal-directed therapy provides significant benefits with respect to outcome in patients with severe sepsis and septic shock.","DOI":"10.1056/NEJMoa010307","ISSN":"0028-4793","note":"PMID: 11794169","journalAbbreviation":"N. Engl. J. Med.","language":"eng","author":[{"family":"Rivers","given":"E."},{"family":"Nguyen","given":"B."},{"family":"Havstad","given":"S."},{"family":"Ressler","given":"J."},{"family":"Muzzin","given":"A."},{"family":"Knoblich","given":"B."},{"family":"Peterson","given":"E."},{"family":"Tomlanovich","given":"M."},{"literal":"Early Goal-Directed Therapy Collaborative Group"}],"issued":{"date-parts":[["2001",11,8]]},"PMID":"11794169"}}],"schema":"https://github.com/citation-style-language/schema/raw/master/csl-citation.json"} </w:instrText>
      </w:r>
      <w:r w:rsidR="007D7541" w:rsidRPr="007141B1">
        <w:rPr>
          <w:rFonts w:asciiTheme="minorHAnsi" w:hAnsiTheme="minorHAnsi" w:cs="Arial"/>
          <w:lang w:val="en-GB"/>
        </w:rPr>
        <w:fldChar w:fldCharType="separate"/>
      </w:r>
      <w:r w:rsidR="006E59A1" w:rsidRPr="009D5B86">
        <w:rPr>
          <w:rFonts w:ascii="Calibri" w:hAnsi="Calibri" w:cs="Calibri"/>
          <w:lang w:val="en-US"/>
        </w:rPr>
        <w:t>[19]</w:t>
      </w:r>
      <w:r w:rsidR="007D7541" w:rsidRPr="007141B1">
        <w:rPr>
          <w:rFonts w:asciiTheme="minorHAnsi" w:hAnsiTheme="minorHAnsi" w:cs="Arial"/>
          <w:lang w:val="en-GB"/>
        </w:rPr>
        <w:fldChar w:fldCharType="end"/>
      </w:r>
      <w:r w:rsidRPr="007141B1">
        <w:rPr>
          <w:rFonts w:asciiTheme="minorHAnsi" w:hAnsiTheme="minorHAnsi" w:cs="Arial"/>
          <w:lang w:val="en-GB"/>
        </w:rPr>
        <w:t xml:space="preserve"> targets - has also been</w:t>
      </w:r>
      <w:r w:rsidR="00314E7A">
        <w:rPr>
          <w:rFonts w:asciiTheme="minorHAnsi" w:hAnsiTheme="minorHAnsi" w:cs="Arial"/>
          <w:lang w:val="en-GB"/>
        </w:rPr>
        <w:t xml:space="preserve"> </w:t>
      </w:r>
      <w:r w:rsidRPr="007141B1">
        <w:rPr>
          <w:rFonts w:asciiTheme="minorHAnsi" w:hAnsiTheme="minorHAnsi" w:cs="Arial"/>
          <w:lang w:val="en-GB"/>
        </w:rPr>
        <w:t>shown to offer no advantage over standard of care</w:t>
      </w:r>
      <w:r w:rsidR="00314E7A">
        <w:rPr>
          <w:rFonts w:asciiTheme="minorHAnsi" w:hAnsiTheme="minorHAnsi" w:cs="Arial"/>
          <w:lang w:val="en-GB"/>
        </w:rPr>
        <w:t xml:space="preserve"> </w:t>
      </w:r>
      <w:r w:rsidR="007D7541" w:rsidRPr="007141B1">
        <w:rPr>
          <w:rFonts w:asciiTheme="minorHAnsi" w:hAnsiTheme="minorHAnsi" w:cs="Arial"/>
          <w:lang w:val="en-GB"/>
        </w:rPr>
        <w:fldChar w:fldCharType="begin"/>
      </w:r>
      <w:r w:rsidR="00D93B3B">
        <w:rPr>
          <w:rFonts w:asciiTheme="minorHAnsi" w:hAnsiTheme="minorHAnsi" w:cs="Arial"/>
          <w:lang w:val="en-GB"/>
        </w:rPr>
        <w:instrText xml:space="preserve"> ADDIN ZOTERO_ITEM CSL_CITATION {"citationID":"xBbmb70P","properties":{"formattedCitation":"[24, 38]","plainCitation":"[24, 38]"},"citationItems":[{"id":50,"uris":["http://zotero.org/users/local/ZaW79YVG/items/2CDVHSI5"],"uri":["http://zotero.org/users/local/ZaW79YVG/items/2CDVHSI5"],"itemData":{"id":50,"type":"article-journal","title":"A systematic review and meta-analysis of early goal-directed therapy for septic shock: the ARISE, ProCESS and ProMISe Investigators","container-title":"Intensive Care Medicine","page":"1549-1560","volume":"41","issue":"9","source":"PubMed","abstract":"PURPOSE: To determine whether early goal-directed therapy (EGDT) reduces mortality compared with other resuscitation strategies for patients presenting to the emergency department (ED) with septic shock.\nMETHODS: Using a search strategy of PubMed, EmBase and CENTRAL, we selected all relevant randomised clinical trials published from January 2000 to January 2015. We translated non-English papers and contacted authors as necessary. Our primary analysis generated a pooled odds ratio (OR) from a fixed-effect model. Sensitivity analyses explored the effect of including non-ED studies, adjusting for study quality, and conducting a random-effects model. Secondary outcomes included organ support and hospital and ICU length of stay.\nRESULTS: From 2395 initially eligible abstracts, five randomised clinical trials (n = 4735 patients) met all criteria and generally scored high for quality except for lack of blinding. There was no effect on the primary mortality outcome (EGDT: 23.2% [495/2134] versus control: 22.4% [582/2601]; pooled OR 1.01 [95% CI 0.88-1.16], P = 0.9, with heterogeneity [I(2) = 57%; P = 0.055]). The pooled estimate of 90-day mortality from the three recent multicentre studies (n = 4063) also showed no difference [pooled OR 0.99 (95% CI 0.86-1.15), P = 0.93] with no heterogeneity (I(2) = 0.0%; P = 0.97). EGDT increased vasopressor use (OR 1.25 [95% CI 1.10-1.41]; P &lt; 0.001) and ICU admission [OR 2.19 (95% CI 1.82-2.65); P &lt; 0.001]. Including six non-ED randomised trials increased heterogeneity (I(2) = 71%; P &lt; 0.001) but did not change overall results [pooled OR 0.94 (95% CI 0.82 to 1.07); P = 0.33].\nCONCLUSION: EGDT is not superior to usual care for ED patients with septic shock but is associated with increased utilisation of ICU resources.","DOI":"10.1007/s00134-015-3822-1","ISSN":"1432-1238","note":"PMID: 25952825","shortTitle":"A systematic review and meta-analysis of early goal-directed therapy for septic shock","journalAbbreviation":"Intensive Care Med","language":"eng","author":[{"family":"Angus","given":"D. C."},{"family":"Barnato","given":"A. E."},{"family":"Bell","given":"D."},{"family":"Bellomo","given":"R."},{"family":"Chong","given":"C.-R."},{"family":"Coats","given":"T. J."},{"family":"Davies","given":"A."},{"family":"Delaney","given":"A."},{"family":"Harrison","given":"D. A."},{"family":"Holdgate","given":"A."},{"family":"Howe","given":"B."},{"family":"Huang","given":"D. T."},{"family":"Iwashyna","given":"T."},{"family":"Kellum","given":"J. A."},{"family":"Peake","given":"S. L."},{"family":"Pike","given":"F."},{"family":"Reade","given":"M. C."},{"family":"Rowan","given":"K. M."},{"family":"Singer","given":"M."},{"family":"Webb","given":"S. a. R."},{"family":"Weissfeld","given":"L. A."},{"family":"Yealy","given":"D. M."},{"family":"Young","given":"J. D."}],"issued":{"date-parts":[["2015",9]]},"PMID":"25952825"}},{"id":177,"uris":["http://zotero.org/users/local/ZaW79YVG/items/M6FP2D2G"],"uri":["http://zotero.org/users/local/ZaW79YVG/items/M6FP2D2G"],"itemData":{"id":177,"type":"article-journal","title":"Early, Goal-Directed Therapy for Septic Shock - A Patient-Level Meta-Analysis","container-title":"The New England Journal of Medicine","source":"PubMed","abstract":"Background After a single-center trial and observational studies suggesting that early, goal-directed therapy (EGDT) reduced mortality from septic shock, three multicenter trials (ProCESS, ARISE, and ProMISe) showed no benefit. This meta-analysis of individual patient data from the three recent trials was designed prospectively to improve statistical power and explore heterogeneity of treatment effect of EGDT. Methods We harmonized entry criteria, intervention protocols, outcomes, resource-use measures, and data collection across the trials and specified all analyses before unblinding. After completion of the trials, we pooled data, excluding the protocol-based standard-therapy group from the ProCESS trial, and resolved residual differences. The primary outcome was 90-day mortality. Secondary outcomes included 1-year survival, organ support, and hospitalization costs. We tested for treatment-by-subgroup interactions for 16 patient characteristics and 6 care-delivery characteristics. Results We studied 3723 patients at 138 hospitals in seven countries. Mortality at 90 days was similar for EGDT (462 of 1852 patients [24.9%]) and usual care (475 of 1871 patients [25.4%]); the adjusted odds ratio was 0.97 (95% confidence interval, 0.82 to 1.14; P=0.68). EGDT was associated with greater mean (±SD) use of intensive care (5.3±7.1 vs. 4.9±7.0 days, P=0.04) and cardiovascular support (1.9±3.7 vs. 1.6±2.9 days, P=0.01) than was usual care; other outcomes did not differ significantly, although average costs were higher with EGDT. Subgroup analyses showed no benefit from EGDT for patients with worse shock (higher serum lactate level, combined hypotension and hyperlactatemia, or higher predicted risk of death) or for hospitals with a lower propensity to use vasopressors or fluids during usual resuscitation. Conclusions In this meta-analysis of individual patient data, EGDT did not result in better outcomes than usual care and was associated with higher hospitalization costs across a broad range of patient and hospital characteristics. (Funded by the National Institute of General Medical Sciences and others; PRISM ClinicalTrials.gov number, NCT02030158 .).","DOI":"10.1056/NEJMoa1701380","ISSN":"1533-4406","note":"PMID: 28320242","journalAbbreviation":"N. Engl. J. Med.","language":"eng","author":[{"literal":"PRISM Investigators"}],"issued":{"date-parts":[["2017",3,21]]},"PMID":"28320242"}}],"schema":"https://github.com/citation-style-language/schema/raw/master/csl-citation.json"} </w:instrText>
      </w:r>
      <w:r w:rsidR="007D7541" w:rsidRPr="007141B1">
        <w:rPr>
          <w:rFonts w:asciiTheme="minorHAnsi" w:hAnsiTheme="minorHAnsi" w:cs="Arial"/>
          <w:lang w:val="en-GB"/>
        </w:rPr>
        <w:fldChar w:fldCharType="separate"/>
      </w:r>
      <w:r w:rsidR="00D93B3B" w:rsidRPr="009D5B86">
        <w:rPr>
          <w:rFonts w:ascii="Calibri" w:hAnsi="Calibri" w:cs="Calibri"/>
          <w:lang w:val="en-US"/>
        </w:rPr>
        <w:t>[24, 38]</w:t>
      </w:r>
      <w:r w:rsidR="007D7541" w:rsidRPr="007141B1">
        <w:rPr>
          <w:rFonts w:asciiTheme="minorHAnsi" w:hAnsiTheme="minorHAnsi" w:cs="Arial"/>
          <w:lang w:val="en-GB"/>
        </w:rPr>
        <w:fldChar w:fldCharType="end"/>
      </w:r>
      <w:r w:rsidRPr="007141B1">
        <w:rPr>
          <w:rFonts w:asciiTheme="minorHAnsi" w:hAnsiTheme="minorHAnsi" w:cs="Arial"/>
          <w:lang w:val="en-GB"/>
        </w:rPr>
        <w:t xml:space="preserve">. Surely we </w:t>
      </w:r>
      <w:r w:rsidR="00F91D2A">
        <w:rPr>
          <w:rFonts w:asciiTheme="minorHAnsi" w:hAnsiTheme="minorHAnsi" w:cs="Arial"/>
          <w:lang w:val="en-GB"/>
        </w:rPr>
        <w:t xml:space="preserve">must </w:t>
      </w:r>
      <w:r w:rsidRPr="007141B1">
        <w:rPr>
          <w:rFonts w:asciiTheme="minorHAnsi" w:hAnsiTheme="minorHAnsi" w:cs="Arial"/>
          <w:lang w:val="en-GB"/>
        </w:rPr>
        <w:t xml:space="preserve">re-evaluate the benefit of recommending rigid physiological targets in a heterogeneous population where one size cannot possibly fit all? This clearly applies to the volume needed to achieve ‘adequate’ fluid resuscitation, and the criteria upon which ‘adequate’ is determined. This is relevant in the light of a recent feasibility trial testing a </w:t>
      </w:r>
      <w:r w:rsidR="00C47AD7">
        <w:rPr>
          <w:rFonts w:asciiTheme="minorHAnsi" w:hAnsiTheme="minorHAnsi" w:cs="Arial"/>
          <w:lang w:val="en-GB"/>
        </w:rPr>
        <w:t xml:space="preserve">more </w:t>
      </w:r>
      <w:r w:rsidRPr="007141B1">
        <w:rPr>
          <w:rFonts w:asciiTheme="minorHAnsi" w:hAnsiTheme="minorHAnsi" w:cs="Arial"/>
          <w:lang w:val="en-GB"/>
        </w:rPr>
        <w:t>restrictive resuscitation strategy</w:t>
      </w:r>
      <w:r w:rsidR="007D7541" w:rsidRPr="007141B1">
        <w:rPr>
          <w:rFonts w:asciiTheme="minorHAnsi" w:hAnsiTheme="minorHAnsi" w:cs="Arial"/>
          <w:lang w:val="en-GB"/>
        </w:rPr>
        <w:t xml:space="preserve"> </w:t>
      </w:r>
      <w:r w:rsidR="00D822D6" w:rsidRPr="007141B1">
        <w:rPr>
          <w:rFonts w:asciiTheme="minorHAnsi" w:hAnsiTheme="minorHAnsi" w:cs="Arial"/>
          <w:lang w:val="en-GB"/>
        </w:rPr>
        <w:fldChar w:fldCharType="begin"/>
      </w:r>
      <w:r w:rsidR="006E59A1">
        <w:rPr>
          <w:rFonts w:asciiTheme="minorHAnsi" w:hAnsiTheme="minorHAnsi" w:cs="Arial"/>
          <w:lang w:val="en-GB"/>
        </w:rPr>
        <w:instrText xml:space="preserve"> ADDIN ZOTERO_ITEM CSL_CITATION {"citationID":"if944k9l5","properties":{"formattedCitation":"[26]","plainCitation":"[26]"},"citationItems":[{"id":112,"uris":["http://zotero.org/users/local/ZaW79YVG/items/5AIXPPE3"],"uri":["http://zotero.org/users/local/ZaW79YVG/items/5AIXPPE3"],"itemData":{"id":112,"type":"article-journal","title":"Restricting volumes of resuscitation fluid in adults with septic shock after initial management: the CLASSIC randomised, parallel-group, multicentre feasibility trial","container-title":"Intensive Care Medicine","page":"1695-1705","volume":"42","issue":"11","source":"PubMed","abstract":"PURPOSE: We assessed the effects of a protocol restricting resuscitation fluid vs. a standard care protocol after initial resuscitation in intensive care unit (ICU) patients with septic shock.\nMETHODS: We randomised 151 adult patients with septic shock who had received initial fluid resuscitation in nine Scandinavian ICUs. In the fluid restriction group fluid boluses were permitted only if signs of severe hypoperfusion occurred, while in the standard care group fluid boluses were permitted as long as circulation continued to improve.\nRESULTS: The co-primary outcome measures, resuscitation fluid volumes at day 5 and during ICU stay, were lower in the fluid restriction group than in the standard care group [mean differences -1.2 L (95 % confidence interval -2.0 to -0.4); p &lt; 0.001 and -1.4 L (-2.4 to -0.4) respectively; p &lt; 0.001]. Neither total fluid inputs and balances nor serious adverse reactions differed statistically significantly between the groups. Major protocol violations occurred in 27/75 patients in the fluid restriction group. Ischaemic events occurred in 3/75 in the fluid restriction group vs. 9/76 in the standard care group (odds ratio 0.32; 0.08-1.27; p = 0.11), worsening of acute kidney injury in 27/73 vs. 39/72 (0.46; 0.23-0.92; p = 0.03), and death by 90 days in 25/75 vs. 31/76 (0.71; 0.36-1.40; p = 0.32).\nCONCLUSIONS: A protocol restricting resuscitation fluid successfully reduced volumes of resuscitation fluid compared with a standard care protocol in adult ICU patients with septic shock. The patient-centred outcomes all pointed towards benefit with fluid restriction, but our trial was not powered to show differences in these exploratory outcomes.\nTRIAL REGISTRATION: NCT02079402.","DOI":"10.1007/s00134-016-4500-7","ISSN":"1432-1238","note":"PMID: 27686349","shortTitle":"Restricting volumes of resuscitation fluid in adults with septic shock after initial management","journalAbbreviation":"Intensive Care Med","language":"eng","author":[{"family":"Hjortrup","given":"Peter B."},{"family":"Haase","given":"Nicolai"},{"family":"Bundgaard","given":"Helle"},{"family":"Thomsen","given":"Simon L."},{"family":"Winding","given":"Robert"},{"family":"Pettilä","given":"Ville"},{"family":"Aaen","given":"Anne"},{"family":"Lodahl","given":"David"},{"family":"Berthelsen","given":"Rasmus E."},{"family":"Christensen","given":"Henrik"},{"family":"Madsen","given":"Martin B."},{"family":"Winkel","given":"Per"},{"family":"Wetterslev","given":"Jørn"},{"family":"Perner","given":"Anders"},{"literal":"CLASSIC Trial Group"},{"literal":"Scandinavian Critical Care Trials Group"}],"issued":{"date-parts":[["2016",11]]},"PMID":"27686349"}}],"schema":"https://github.com/citation-style-language/schema/raw/master/csl-citation.json"} </w:instrText>
      </w:r>
      <w:r w:rsidR="00D822D6" w:rsidRPr="007141B1">
        <w:rPr>
          <w:rFonts w:asciiTheme="minorHAnsi" w:hAnsiTheme="minorHAnsi" w:cs="Arial"/>
          <w:lang w:val="en-GB"/>
        </w:rPr>
        <w:fldChar w:fldCharType="separate"/>
      </w:r>
      <w:r w:rsidR="006E59A1" w:rsidRPr="009D5B86">
        <w:rPr>
          <w:rFonts w:ascii="Calibri" w:hAnsi="Calibri" w:cs="Calibri"/>
          <w:lang w:val="en-US"/>
        </w:rPr>
        <w:t>[26]</w:t>
      </w:r>
      <w:r w:rsidR="00D822D6" w:rsidRPr="007141B1">
        <w:rPr>
          <w:rFonts w:asciiTheme="minorHAnsi" w:hAnsiTheme="minorHAnsi" w:cs="Arial"/>
          <w:lang w:val="en-GB"/>
        </w:rPr>
        <w:fldChar w:fldCharType="end"/>
      </w:r>
      <w:r w:rsidRPr="007141B1">
        <w:rPr>
          <w:rFonts w:asciiTheme="minorHAnsi" w:hAnsiTheme="minorHAnsi" w:cs="Arial"/>
          <w:lang w:val="en-GB"/>
        </w:rPr>
        <w:t xml:space="preserve">. Similarly, </w:t>
      </w:r>
      <w:r w:rsidR="00C47AD7">
        <w:rPr>
          <w:rFonts w:asciiTheme="minorHAnsi" w:hAnsiTheme="minorHAnsi" w:cs="Arial"/>
          <w:lang w:val="en-GB"/>
        </w:rPr>
        <w:t>the</w:t>
      </w:r>
      <w:r w:rsidRPr="007141B1">
        <w:rPr>
          <w:rFonts w:asciiTheme="minorHAnsi" w:hAnsiTheme="minorHAnsi" w:cs="Arial"/>
          <w:lang w:val="en-GB"/>
        </w:rPr>
        <w:t xml:space="preserve"> blood pressure target sufficient to achieve an adequate but not excessive organ perfusion pressure is likely to vary between individuals</w:t>
      </w:r>
      <w:r w:rsidRPr="00275009">
        <w:rPr>
          <w:rFonts w:asciiTheme="minorHAnsi" w:hAnsiTheme="minorHAnsi" w:cs="Arial"/>
          <w:lang w:val="en-GB"/>
        </w:rPr>
        <w:t xml:space="preserve">. </w:t>
      </w:r>
      <w:r w:rsidR="00275009" w:rsidRPr="00D74E25">
        <w:rPr>
          <w:rFonts w:asciiTheme="minorHAnsi" w:hAnsiTheme="minorHAnsi"/>
          <w:lang w:val="en-GB"/>
        </w:rPr>
        <w:t xml:space="preserve">Randomising septic shock patients to two fairly fixed blood pressure targets failed to demonstrate overall improvements in outcome </w:t>
      </w:r>
      <w:r w:rsidR="00D822D6" w:rsidRPr="00D74E25">
        <w:rPr>
          <w:rFonts w:asciiTheme="minorHAnsi" w:hAnsiTheme="minorHAnsi" w:cs="Arial"/>
          <w:lang w:val="en-GB"/>
        </w:rPr>
        <w:t xml:space="preserve"> </w:t>
      </w:r>
      <w:r w:rsidR="00D822D6" w:rsidRPr="00D74E25">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28gqigcv97","properties":{"formattedCitation":"[63]","plainCitation":"[63]"},"citationItems":[{"id":114,"uris":["http://zotero.org/users/local/ZaW79YVG/items/H97W3MXC"],"uri":["http://zotero.org/users/local/ZaW79YVG/items/H97W3MXC"],"itemData":{"id":114,"type":"article-journal","title":"High versus low blood-pressure target in patients with septic shock","container-title":"The New England Journal of Medicine","page":"1583-1593","volume":"370","issue":"17","source":"PubMed","abstract":"BACKGROUND: The Surviving Sepsis Campaign recommends targeting a mean arterial pressure of at least 65 mm Hg during initial resuscitation of patients with septic shock. However, whether this blood-pressure target is more or less effective than a higher target is unknown.\nMETHODS: In a multicenter, open-label trial, we randomly assigned 776 patients with septic shock to undergo resuscitation with a mean arterial pressure target of either 80 to 85 mm Hg (high-target group) or 65 to 70 mm Hg (low-target group). The primary end point was mortality at day 28.\nRESULTS: At 28 days, there was no significant between-group difference in mortality, with deaths reported in 142 of 388 patients in the high-target group (36.6%) and 132 of 388 patients in the low-target group (34.0%) (hazard ratio in the high-target group, 1.07; 95% confidence interval [CI], 0.84 to 1.38; P=0.57). There was also no significant difference in mortality at 90 days, with 170 deaths (43.8%) and 164 deaths (42.3%), respectively (hazard ratio, 1.04; 95% CI, 0.83 to 1.30; P=0.74). The occurrence of serious adverse events did not differ significantly between the two groups (74 events [19.1%] and 69 events [17.8%], respectively; P=0.64). However, the incidence of newly diagnosed atrial fibrillation was higher in the high-target group than in the low-target group. Among patients with chronic hypertension, those in the high-target group required less renal-replacement therapy than did those in the low-target group, but such therapy was not associated with a difference in mortality.\nCONCLUSIONS: Targeting a mean arterial pressure of 80 to 85 mm Hg, as compared with 65 to 70 mm Hg, in patients with septic shock undergoing resuscitation did not result in significant differences in mortality at either 28 or 90 days. (Funded by the French Ministry of Health; SEPSISPAM ClinicalTrials.gov number, NCT01149278.).","DOI":"10.1056/NEJMoa1312173","ISSN":"1533-4406","note":"PMID: 24635770","journalAbbreviation":"N. Engl. J. Med.","language":"eng","author":[{"family":"Asfar","given":"Pierre"},{"family":"Meziani","given":"Ferhat"},{"family":"Hamel","given":"Jean-François"},{"family":"Grelon","given":"Fabien"},{"family":"Megarbane","given":"Bruno"},{"family":"Anguel","given":"Nadia"},{"family":"Mira","given":"Jean-Paul"},{"family":"Dequin","given":"Pierre-François"},{"family":"Gergaud","given":"Soizic"},{"family":"Weiss","given":"Nicolas"},{"family":"Legay","given":"François"},{"family":"Le Tulzo","given":"Yves"},{"family":"Conrad","given":"Marie"},{"family":"Robert","given":"René"},{"family":"Gonzalez","given":"Frédéric"},{"family":"Guitton","given":"Christophe"},{"family":"Tamion","given":"Fabienne"},{"family":"Tonnelier","given":"Jean-Marie"},{"family":"Guezennec","given":"Pierre"},{"family":"Van Der Linden","given":"Thierry"},{"family":"Vieillard-Baron","given":"Antoine"},{"family":"Mariotte","given":"Eric"},{"family":"Pradel","given":"Gaël"},{"family":"Lesieur","given":"Olivier"},{"family":"Ricard","given":"Jean-Damien"},{"family":"Hervé","given":"Fabien"},{"family":"Cheyron","given":"Damien","non-dropping-particle":"du"},{"family":"Guerin","given":"Claude"},{"family":"Mercat","given":"Alain"},{"family":"Teboul","given":"Jean-Louis"},{"family":"Radermacher","given":"Peter"},{"literal":"SEPSISPAM Investigators"}],"issued":{"date-parts":[["2014",4,24]]},"PMID":"24635770"}}],"schema":"https://github.com/citation-style-language/schema/raw/master/csl-citation.json"} </w:instrText>
      </w:r>
      <w:r w:rsidR="00D822D6" w:rsidRPr="00D74E25">
        <w:rPr>
          <w:rFonts w:asciiTheme="minorHAnsi" w:hAnsiTheme="minorHAnsi" w:cs="Arial"/>
          <w:lang w:val="en-GB"/>
        </w:rPr>
        <w:fldChar w:fldCharType="separate"/>
      </w:r>
      <w:r w:rsidR="007E7E7B" w:rsidRPr="000F5B05">
        <w:rPr>
          <w:rFonts w:ascii="Calibri" w:hAnsi="Calibri" w:cs="Calibri"/>
          <w:lang w:val="en-US"/>
        </w:rPr>
        <w:t>[63]</w:t>
      </w:r>
      <w:r w:rsidR="00D822D6" w:rsidRPr="00D74E25">
        <w:rPr>
          <w:rFonts w:asciiTheme="minorHAnsi" w:hAnsiTheme="minorHAnsi" w:cs="Arial"/>
          <w:lang w:val="en-GB"/>
        </w:rPr>
        <w:fldChar w:fldCharType="end"/>
      </w:r>
      <w:r w:rsidRPr="00D74E25">
        <w:rPr>
          <w:rFonts w:asciiTheme="minorHAnsi" w:hAnsiTheme="minorHAnsi" w:cs="Arial"/>
          <w:lang w:val="en-GB"/>
        </w:rPr>
        <w:t xml:space="preserve">; </w:t>
      </w:r>
      <w:r w:rsidR="00275009" w:rsidRPr="00D74E25">
        <w:rPr>
          <w:rFonts w:asciiTheme="minorHAnsi" w:hAnsiTheme="minorHAnsi"/>
          <w:lang w:val="en-GB"/>
        </w:rPr>
        <w:t xml:space="preserve">it may be that better </w:t>
      </w:r>
      <w:proofErr w:type="spellStart"/>
      <w:r w:rsidR="00275009" w:rsidRPr="00D74E25">
        <w:rPr>
          <w:rFonts w:asciiTheme="minorHAnsi" w:hAnsiTheme="minorHAnsi"/>
          <w:lang w:val="en-GB"/>
        </w:rPr>
        <w:t>pheno</w:t>
      </w:r>
      <w:proofErr w:type="spellEnd"/>
      <w:r w:rsidR="00275009" w:rsidRPr="00D74E25">
        <w:rPr>
          <w:rFonts w:asciiTheme="minorHAnsi" w:hAnsiTheme="minorHAnsi"/>
          <w:lang w:val="en-GB"/>
        </w:rPr>
        <w:t>- or genotyping could stratify patients to the optimal blood pressure target</w:t>
      </w:r>
      <w:r w:rsidR="00531DD6">
        <w:rPr>
          <w:rFonts w:asciiTheme="minorHAnsi" w:hAnsiTheme="minorHAnsi"/>
          <w:lang w:val="en-GB"/>
        </w:rPr>
        <w:t>?</w:t>
      </w:r>
    </w:p>
    <w:p w:rsidR="00101E64" w:rsidRPr="00275009" w:rsidRDefault="00101E64" w:rsidP="00851E20">
      <w:pPr>
        <w:spacing w:line="360" w:lineRule="auto"/>
        <w:rPr>
          <w:rFonts w:asciiTheme="minorHAnsi" w:hAnsiTheme="minorHAnsi" w:cs="Arial"/>
          <w:lang w:val="en-GB"/>
        </w:rPr>
      </w:pPr>
    </w:p>
    <w:p w:rsidR="00101E64" w:rsidRPr="007141B1" w:rsidRDefault="002E6D08" w:rsidP="00101E64">
      <w:pPr>
        <w:spacing w:line="360" w:lineRule="auto"/>
        <w:rPr>
          <w:rFonts w:asciiTheme="minorHAnsi" w:hAnsiTheme="minorHAnsi" w:cs="Arial"/>
          <w:b/>
          <w:lang w:val="en-GB"/>
        </w:rPr>
      </w:pPr>
      <w:r>
        <w:rPr>
          <w:rFonts w:asciiTheme="minorHAnsi" w:hAnsiTheme="minorHAnsi" w:cs="Arial"/>
          <w:b/>
          <w:lang w:val="en-GB"/>
        </w:rPr>
        <w:t>New definitions and t</w:t>
      </w:r>
      <w:r w:rsidR="00101E64" w:rsidRPr="007141B1">
        <w:rPr>
          <w:rFonts w:asciiTheme="minorHAnsi" w:hAnsiTheme="minorHAnsi" w:cs="Arial"/>
          <w:b/>
          <w:lang w:val="en-GB"/>
        </w:rPr>
        <w:t>rigger tools</w:t>
      </w:r>
    </w:p>
    <w:p w:rsidR="00101E64" w:rsidRPr="007141B1" w:rsidRDefault="00101E64" w:rsidP="00101E64">
      <w:pPr>
        <w:spacing w:line="360" w:lineRule="auto"/>
        <w:rPr>
          <w:rFonts w:asciiTheme="minorHAnsi" w:hAnsiTheme="minorHAnsi" w:cs="Arial"/>
          <w:lang w:val="en-GB"/>
        </w:rPr>
      </w:pPr>
      <w:r w:rsidRPr="007141B1">
        <w:rPr>
          <w:rFonts w:asciiTheme="minorHAnsi" w:hAnsiTheme="minorHAnsi" w:cs="Arial"/>
          <w:lang w:val="en-GB"/>
        </w:rPr>
        <w:t>The new sepsis definitions</w:t>
      </w:r>
      <w:r w:rsidR="00D822D6" w:rsidRPr="007141B1">
        <w:rPr>
          <w:rFonts w:asciiTheme="minorHAnsi" w:hAnsiTheme="minorHAnsi" w:cs="Arial"/>
          <w:lang w:val="en-GB"/>
        </w:rPr>
        <w:t xml:space="preserve"> </w:t>
      </w:r>
      <w:r w:rsidR="00D822D6"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{"citationID":"2bpk1reugq","properties":{"formattedCitation":"[4, 52]","plainCitation":"[4, 52]"},"citationItems":[{"id":6,"uris":["http://zotero.org/users/local/ZaW79YVG/items/AT2V5RES"],"uri":["http://zotero.org/users/local/ZaW79YVG/items/AT2V5RES"],"itemData":{"id":6,"type":"article-journal","title":"The Third International Consensus Definitions for Sepsis and Septic Shock (Sepsis-3)","container-title":"JAMA","page":"801-810","volume":"315","issue":"8","source":"PubMed","abstract":"IMPORTANCE: Definitions of sepsis and septic shock were last revised in 2001. Considerable advances have since been made into the pathobiology (changes in organ function, morphology, cell biology, biochemistry, immunology, and circulation), management, and epidemiology of sepsis, suggesting the need for reexamination.\nOBJECTIVE: To evaluate and, as needed, update definitions for sepsis and septic shock.\nPROCESS: A task force (n = 19) with expertise in sepsis pathobiology, clinical trials, and epidemiology was convened by the Society of Critical Care Medicine and the European Society of Intensive Care Medicine. Definitions and clinical criteria were generated through meetings, Delphi processes, analysis of electronic health record databases, and voting, followed by circulation to international professional societies, requesting peer review and endorsement (by 31 societies listed in the Acknowledgment).\nKEY FINDINGS FROM EVIDENCE SYNTHESIS: Limitations of previous definitions included an excessive focus on inflammation, the misleading model that sepsis follows a continuum through severe sepsis to shock, and inadequate specificity and sensitivity of the systemic inflammatory response syndrome (SIRS) criteria. Multiple definitions and terminologies are currently in use for sepsis, septic shock, and organ dysfunction, leading to discrepancies in reported incidence and observed mortality. The task force concluded the term severe sepsis was redundant.\nRECOMMENDATIONS: Sepsis should be defined as life-threatening organ dysfunction caused by a dysregulated host response to infection. For clinical operationalization, organ dysfunction can be represented by an increase in the Sequential [Sepsis-related] Organ Failure Assessment (SOFA) score of 2 points or more, which is associated with an in-hospital mortality greater than 10%. Septic shock should be defined as a subset of sepsis in which particularly profound circulatory, cellular, and metabolic abnormalities are associated with a greater risk of mortality than with sepsis alone. Patients with septic shock can be clinically identified by a vasopressor requirement to maintain a mean arterial pressure of 65 mm Hg or greater and serum lactate level greater than 2 mmol/L (&gt;18 mg/dL) in the absence of hypovolemia. This combination is associated with hospital mortality rates greater than 40%. In out-of-hospital, emergency department, or general hospital ward settings, adult patients with suspected infection can be rapidly identified as being more likely to have poor outcomes typical of sepsis if they have at least 2 of the following clinical criteria that together constitute a new bedside clinical score termed quickSOFA (qSOFA): respiratory rate of 22/min or greater, altered mentation, or systolic blood pressure of 100 mm Hg or less.\nCONCLUSIONS AND RELEVANCE: These updated definitions and clinical criteria should replace previous definitions, offer greater consistency for epidemiologic studies and clinical trials, and facilitate earlier recognition and more timely management of patients with sepsis or at risk of developing sepsis.","DOI":"10.1001/jama.2016.0287","ISSN":"1538-3598","note":"PMID: 26903338\nPMCID: PMC4968574","journalAbbreviation":"JAMA","language":"eng","author":[{"family":"Singer","given":"Mervyn"},{"family":"Deutschman","given":"Clifford S."},{"family":"Seymour","given":"Christopher Warren"},{"family":"Shankar-Hari","given":"Manu"},{"family":"Annane","given":"Djillali"},{"family":"Bauer","given":"Michael"},{"family":"Bellomo","given":"Rinaldo"},{"family":"Bernard","given":"Gordon R."},{"family":"Chiche","given":"Jean-Daniel"},{"family":"Coopersmith","given":"Craig M."},{"family":"Hotchkiss","given":"Richard S."},{"family":"Levy","given":"Mitchell M."},{"family":"Marshall","given":"John C."},{"family":"Martin","given":"Greg S."},{"family":"Opal","given":"Steven M."},{"family":"Rubenfeld","given":"Gordon D."},{"family":"Poll","given":"Tom","non-dropping-particle":"van der"},{"family":"Vincent","given":"Jean-Louis"},{"family":"Angus","given":"Derek C."}],"issued":{"date-parts":[["2016",2,23]]},"PMID":"26903338","PMCID":"PMC4968574"}},{"id":88,"uris":["http://zotero.org/users/local/ZaW79YVG/items/443NZQQE"],"uri":["http://zotero.org/users/local/ZaW79YVG/items/443NZQQE"],"itemData":{"id":88,"type":"article-journal","title":"Developing a New Definition and Assessing New Clinical Criteria for Septic Shock: For the Third International Consensus Definitions for Sepsis and Septic Shock (Sepsis-3)","container-title":"JAMA","page":"775-787","volume":"315","issue":"8","source":"PubMed","abstract":"IMPORTANCE: Septic shock currently refers to a state of acute circulatory failure associated with infection. Emerging biological insights and reported variation in epidemiology challenge the validity of this definition.\nOBJECTIVE: To develop a new definition and clinical criteria for identifying septic shock in adults.\nDESIGN, SETTING, AND PARTICIPANTS: The Society of Critical Care Medicine and the European Society of Intensive Care Medicine convened a task force (19 participants) to revise current sepsis/septic shock definitions. Three sets of studies were conducted: (1) a systematic review and meta-analysis of observational studies in adults published between January 1, 1992, and December 25, 2015, to determine clinical criteria currently reported to identify septic shock and inform the Delphi process; (2) a Delphi study among the task force comprising 3 surveys and discussions of results from the systematic review, surveys, and cohort studies to achieve consensus on a new septic shock definition and clinical criteria; and (3) cohort studies to test variables identified by the Delphi process using Surviving Sepsis Campaign (SSC) (2005-2010; n = 28,150), University of Pittsburgh Medical Center (UPMC) (2010-2012; n = 1,309,025), and Kaiser Permanente Northern California (KPNC) (2009-2013; n = 1,847,165) electronic health record (EHR) data sets.\nMAIN OUTCOMES AND MEASURES: Evidence for and agreement on septic shock definitions and criteria.\nRESULTS: The systematic review identified 44 studies reporting septic shock outcomes (total of 166,479 patients) from a total of 92 sepsis epidemiology studies reporting different cutoffs and combinations for blood pressure (BP), fluid resuscitation, vasopressors, serum lactate level, and base deficit to identify septic shock. The septic shock-associated crude mortality was 46.5% (95% CI, 42.7%-50.3%), with significant between-study statistical heterogeneity (I2 = 99.5%; τ2 = 182.5; P &lt; .001). The Delphi process identified hypotension, serum lactate level, and vasopressor therapy as variables to test using cohort studies. Based on these 3 variables alone or in combination, 6 patient groups were generated. Examination of the SSC database demonstrated that the patient group requiring vasopressors to maintain mean BP 65 mm Hg or greater and having a serum lactate level greater than 2 mmol/L (18 mg/dL) after fluid resuscitation had a significantly higher mortality (42.3% [95% CI, 41.2%-43.3%]) in risk-adjusted comparisons with the other 5 groups derived using either serum lactate level greater than 2 mmol/L alone or combinations of hypotension, vasopressors, and serum lactate level 2 mmol/L or lower. These findings were validated in the UPMC and KPNC data sets.\nCONCLUSIONS AND RELEVANCE: Based on a consensus process using results from a systematic review, surveys, and cohort studies, septic shock is defined as a subset of sepsis in which underlying circulatory, cellular, and metabolic abnormalities are associated with a greater risk of mortality than sepsis alone. Adult patients with septic shock can be identified using the clinical criteria of hypotension requiring vasopressor therapy to maintain mean BP 65 mm Hg or greater and having a serum lactate level greater than 2 mmol/L after adequate fluid resuscitation.","DOI":"10.1001/jama.2016.0289","ISSN":"1538-3598","note":"PMID: 26903336\nPMCID: PMC4910392","shortTitle":"Developing a New Definition and Assessing New Clinical Criteria for Septic Shock","journalAbbreviation":"JAMA","language":"eng","author":[{"family":"Shankar-Hari","given":"Manu"},{"family":"Phillips","given":"Gary S."},{"family":"Levy","given":"Mitchell L."},{"family":"Seymour","given":"Christopher W."},{"family":"Liu","given":"Vincent X."},{"family":"Deutschman","given":"Clifford S."},{"family":"Angus","given":"Derek C."},{"family":"Rubenfeld","given":"Gordon D."},{"family":"Singer","given":"Mervyn"},{"literal":"Sepsis Definitions Task Force"}],"issued":{"date-parts":[["2016",2,23]]},"PMID":"26903336","PMCID":"PMC4910392"}}],"schema":"https://github.com/citation-style-language/schema/raw/master/csl-citation.json"} </w:instrText>
      </w:r>
      <w:r w:rsidR="00D822D6" w:rsidRPr="007141B1">
        <w:rPr>
          <w:rFonts w:asciiTheme="minorHAnsi" w:hAnsiTheme="minorHAnsi" w:cs="Arial"/>
          <w:lang w:val="en-GB"/>
        </w:rPr>
        <w:fldChar w:fldCharType="separate"/>
      </w:r>
      <w:r w:rsidR="007E7E7B" w:rsidRPr="007E7E7B">
        <w:rPr>
          <w:rFonts w:ascii="Calibri" w:hAnsi="Calibri" w:cs="Calibri"/>
        </w:rPr>
        <w:t>[4, 52]</w:t>
      </w:r>
      <w:r w:rsidR="00D822D6" w:rsidRPr="007141B1">
        <w:rPr>
          <w:rFonts w:asciiTheme="minorHAnsi" w:hAnsiTheme="minorHAnsi" w:cs="Arial"/>
          <w:lang w:val="en-GB"/>
        </w:rPr>
        <w:fldChar w:fldCharType="end"/>
      </w:r>
      <w:r w:rsidRPr="007141B1">
        <w:rPr>
          <w:rFonts w:asciiTheme="minorHAnsi" w:hAnsiTheme="minorHAnsi"/>
          <w:noProof/>
          <w:lang w:val="en-GB"/>
        </w:rPr>
        <w:t xml:space="preserve"> </w:t>
      </w:r>
      <w:r w:rsidRPr="007141B1">
        <w:rPr>
          <w:rFonts w:asciiTheme="minorHAnsi" w:hAnsiTheme="minorHAnsi" w:cs="Arial"/>
          <w:lang w:val="en-GB"/>
        </w:rPr>
        <w:t>have explicitly proposed criteria for sepsis and septic shock</w:t>
      </w:r>
      <w:r w:rsidR="005D2A3A">
        <w:rPr>
          <w:rFonts w:asciiTheme="minorHAnsi" w:hAnsiTheme="minorHAnsi" w:cs="Arial"/>
          <w:lang w:val="en-GB"/>
        </w:rPr>
        <w:t xml:space="preserve">. </w:t>
      </w:r>
      <w:r w:rsidR="00EF2D1F">
        <w:rPr>
          <w:rFonts w:asciiTheme="minorHAnsi" w:hAnsiTheme="minorHAnsi" w:cs="Arial"/>
          <w:lang w:val="en-GB"/>
        </w:rPr>
        <w:t>R</w:t>
      </w:r>
      <w:r w:rsidR="005D2A3A" w:rsidRPr="005D2A3A">
        <w:rPr>
          <w:rFonts w:asciiTheme="minorHAnsi" w:hAnsiTheme="minorHAnsi" w:cs="Arial"/>
          <w:lang w:val="en-GB"/>
        </w:rPr>
        <w:t>e-analyses of two existing trial database</w:t>
      </w:r>
      <w:r w:rsidR="00EF2D1F">
        <w:rPr>
          <w:rFonts w:asciiTheme="minorHAnsi" w:hAnsiTheme="minorHAnsi" w:cs="Arial"/>
          <w:lang w:val="en-GB"/>
        </w:rPr>
        <w:t>s</w:t>
      </w:r>
      <w:r w:rsidR="005D2A3A" w:rsidRPr="005D2A3A">
        <w:rPr>
          <w:rFonts w:asciiTheme="minorHAnsi" w:hAnsiTheme="minorHAnsi" w:cs="Arial"/>
          <w:lang w:val="en-GB"/>
        </w:rPr>
        <w:t xml:space="preserve"> have provided differing results regarding the potential interaction of the new definition and the intervention effect</w:t>
      </w:r>
      <w:r w:rsidR="0044450B">
        <w:rPr>
          <w:rFonts w:asciiTheme="minorHAnsi" w:hAnsiTheme="minorHAnsi" w:cs="Arial"/>
          <w:lang w:val="en-GB"/>
        </w:rPr>
        <w:t xml:space="preserve"> </w:t>
      </w:r>
      <w:r w:rsidR="0044450B" w:rsidRPr="004B4448">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{"citationID":"HCD1H0ge","properties":{"formattedCitation":"[64, 65]","plainCitation":"[64, 65]"},"citationItems":[{"id":148,"uris":["http://zotero.org/users/local/tmXAZSH1/items/FH3TCVS5"],"uri":["http://zotero.org/users/local/tmXAZSH1/items/FH3TCVS5"],"itemData":{"id":148,"type":"article-journal","title":"Higher vs. lower haemoglobin threshold for transfusion in septic shock: subgroup analyses of the TRISS trial","container-title":"Acta Anaesthesiologica Scandinavica","page":"166-175","volume":"61","issue":"2","source":"PubMed","abstract":"BACKGROUND: Using a restrictive transfusion strategy appears to be safe in sepsis, but there may be subgroups of patients who benefit from transfusion at a higher haemoglobin level. We explored if subgroups of patients with septic shock and anaemia had better outcome when transfused at a higher vs. a lower haemoglobin threshold.\nMETHODS: In post-hoc analyses of the full trial population of 998 patients from the Transfusion Requirements in Septic Shock (TRISS) trial, we investigated the intervention effect on 90-day mortality in patients with severe comorbidity (chronic lung disease, haematological malignancy or metastatic cancer), in patients who had undergone surgery (elective or acute) and in patients with septic shock as defined by the new consensus definition: lactate above 2 mmol/l and the need for vasopressors to maintain a mean arterial pressure above 65 mmHg.\nRESULTS: The baseline characteristics were mostly similar between the two intervention groups in the different subgroups. There were no differences in the intervention effect on 90-day mortality in patients with chronic lung disease (test of interaction P = 0.31), haematological malignancy (P = 0.47), metastatic cancer (P = 0.51), in those who had undergone surgery (P = 0.99) or in patients with septic shock by the new definition (P = 0.20).\nCONCLUSION: In exploratory analyses of a randomized trial in patients with septic shock and anaemia, we observed no survival benefit in any subgroups of transfusion at a haemoglobin threshold of 90 g/l vs. 70 g/l.","DOI":"10.1111/aas.12837","ISSN":"1399-6576","note":"PMID: 27910086","shortTitle":"Higher vs. lower haemoglobin threshold for transfusion in septic shock","journalAbbreviation":"Acta Anaesthesiol Scand","language":"eng","author":[{"family":"Rygård","given":"S. L."},{"family":"Holst","given":"L. B."},{"family":"Wetterslev","given":"J."},{"family":"Johansson","given":"P. I."},{"family":"Perner","given":"A."},{"literal":"TRISS trial group"},{"literal":"Scandinavian Critical Care Trials Group"}],"issued":{"date-parts":[["2017",2]]},"PMID":"27910086"}},{"id":172,"uris":["http://zotero.org/users/local/ZaW79YVG/items/DDPPAMUQ"],"uri":["http://zotero.org/users/local/ZaW79YVG/items/DDPPAMUQ"],"itemData":{"id":172,"type":"article-journal","title":"The Septic Shock 3.0 Definition and Trials: A Vasopressin and Septic Shock Trial Experience","container-title":"Critical Care Medicine","source":"PubMed","abstract":"OBJECTIVES: The Septic Shock 3.0 definition could alter treatment comparisons in randomized controlled trials in septic shock. Our first hypothesis was that the vasopressin versus norepinephrine comparison and 28-day mortality of patients with Septic Shock 3.0 definition (lactate &gt; 2 mmol/L) differ from vasopressin versus norepinephrine and mortality in Vasopressin and Septic Shock Trial. Our second hypothesis was that there are differences in plasma cytokine levels in Vasopressin and Septic Shock Trial for lactate less than or equal to 2 versus greater than 2 mmol/L.\nDESIGN: Retrospective analysis of randomized controlled trial.\nSETTING: Multicenter ICUs.\nMETHODS: We compared vasopressin-to-norepinephrine group 28- and 90-day mortality in Vasopressin and Septic Shock Trial in lactate subgroups. We measured 39 cytokines to compare patients with lactate less than or equal to 2 versus greater than 2 mmol/L.\nPATIENTS: Patients with septic shock with lactate greater than 2 mmol/L or less than or equal to 2 mmol/L, randomized to vasopressin or norepinephrine.\nINTERVENTIONS: Concealed vasopressin (0.03 U/min.) or norepinephrine infusions.\nMEASUREMENTS AND MAIN RESULTS: The Septic Shock 3.0 definition would have decreased sample size by about half. The 28- and 90-day mortality rates were 10-12 % higher than the original Vasopressin and Septic Shock Trial mortality. There was a significantly (p = 0.028) lower mortality with vasopressin versus norepinephrine in lactate less than or equal to 2 mmol/L but no difference between treatment groups in lactate greater than 2 mmol/L. Nearly all cytokine levels were significantly higher in patients with lactate greater than 2 versus less than or equal to 2 mmol/L.\nCONCLUSIONS: The Septic Shock 3.0 definition decreased sample size by half and increased 28-day mortality rates by about 10%. Vasopressin lowered mortality versus norepinephrine if lactate was less than or equal to 2 mmol/L. Patients had higher plasma cytokines in lactate greater than 2 versus less than or equal to 2 mmol/L, a brisker cytokine response to infection. The Septic Shock 3.0 definition and our findings have important implications for trial design in septic shock.","DOI":"10.1097/CCM.0000000000002323","ISSN":"1530-0293","note":"PMID: 28333757","shortTitle":"The Septic Shock 3.0 Definition and Trials","journalAbbreviation":"Crit. Care Med.","language":"eng","author":[{"family":"Russell","given":"James A."},{"family":"Lee","given":"Terry"},{"family":"Singer","given":"Joel"},{"family":"Boyd","given":"John H."},{"family":"Walley","given":"Keith R."},{"literal":"Vasopressin and Septic Shock Trial (VASST) Group"}],"issued":{"date-parts":[["2017",3,22]]},"PMID":"28333757"}}],"schema":"https://github.com/citation-style-language/schema/raw/master/csl-citation.json"} </w:instrText>
      </w:r>
      <w:r w:rsidR="0044450B" w:rsidRPr="004B4448">
        <w:rPr>
          <w:rFonts w:asciiTheme="minorHAnsi" w:hAnsiTheme="minorHAnsi" w:cs="Arial"/>
          <w:lang w:val="en-GB"/>
        </w:rPr>
        <w:fldChar w:fldCharType="separate"/>
      </w:r>
      <w:r w:rsidR="007E7E7B" w:rsidRPr="007E7E7B">
        <w:rPr>
          <w:rFonts w:ascii="Calibri" w:hAnsi="Calibri" w:cs="Calibri"/>
        </w:rPr>
        <w:t>[64, 65]</w:t>
      </w:r>
      <w:r w:rsidR="0044450B" w:rsidRPr="004B4448">
        <w:rPr>
          <w:rFonts w:asciiTheme="minorHAnsi" w:hAnsiTheme="minorHAnsi" w:cs="Arial"/>
          <w:lang w:val="en-GB"/>
        </w:rPr>
        <w:fldChar w:fldCharType="end"/>
      </w:r>
      <w:r w:rsidR="00EF2D1F" w:rsidRPr="00EF2D1F">
        <w:rPr>
          <w:rFonts w:asciiTheme="minorHAnsi" w:hAnsiTheme="minorHAnsi" w:cs="Arial"/>
          <w:color w:val="000000"/>
          <w:shd w:val="clear" w:color="auto" w:fill="FFFFFF"/>
          <w:lang w:val="en-US"/>
        </w:rPr>
        <w:t>. W</w:t>
      </w:r>
      <w:r w:rsidR="005D2A3A" w:rsidRPr="00EF2D1F">
        <w:rPr>
          <w:rFonts w:asciiTheme="minorHAnsi" w:hAnsiTheme="minorHAnsi" w:cs="Arial"/>
          <w:color w:val="000000"/>
          <w:shd w:val="clear" w:color="auto" w:fill="FFFFFF"/>
          <w:lang w:val="en-US"/>
        </w:rPr>
        <w:t>e</w:t>
      </w:r>
      <w:r w:rsidR="00EF2D1F" w:rsidRPr="00EF2D1F">
        <w:rPr>
          <w:rFonts w:asciiTheme="minorHAnsi" w:hAnsiTheme="minorHAnsi" w:cs="Arial"/>
          <w:color w:val="000000"/>
          <w:shd w:val="clear" w:color="auto" w:fill="FFFFFF"/>
          <w:lang w:val="en-US"/>
        </w:rPr>
        <w:t xml:space="preserve"> therefore</w:t>
      </w:r>
      <w:r w:rsidR="005D2A3A" w:rsidRPr="00EF2D1F">
        <w:rPr>
          <w:rFonts w:asciiTheme="minorHAnsi" w:hAnsiTheme="minorHAnsi" w:cs="Arial"/>
          <w:color w:val="000000"/>
          <w:shd w:val="clear" w:color="auto" w:fill="FFFFFF"/>
          <w:lang w:val="en-US"/>
        </w:rPr>
        <w:t xml:space="preserve"> need more such analyses to better estimate </w:t>
      </w:r>
      <w:r w:rsidR="00EF2D1F" w:rsidRPr="00EF2D1F">
        <w:rPr>
          <w:rFonts w:asciiTheme="minorHAnsi" w:hAnsiTheme="minorHAnsi" w:cs="Arial"/>
          <w:color w:val="000000"/>
          <w:shd w:val="clear" w:color="auto" w:fill="FFFFFF"/>
          <w:lang w:val="en-US"/>
        </w:rPr>
        <w:t>the potential of</w:t>
      </w:r>
      <w:r w:rsidR="005D2A3A" w:rsidRPr="00EF2D1F">
        <w:rPr>
          <w:rFonts w:asciiTheme="minorHAnsi" w:hAnsiTheme="minorHAnsi" w:cs="Arial"/>
          <w:color w:val="000000"/>
          <w:shd w:val="clear" w:color="auto" w:fill="FFFFFF"/>
          <w:lang w:val="en-US"/>
        </w:rPr>
        <w:t xml:space="preserve"> the new </w:t>
      </w:r>
      <w:r w:rsidR="00EF2D1F" w:rsidRPr="00EF2D1F">
        <w:rPr>
          <w:rFonts w:asciiTheme="minorHAnsi" w:hAnsiTheme="minorHAnsi" w:cs="Arial"/>
          <w:color w:val="000000"/>
          <w:shd w:val="clear" w:color="auto" w:fill="FFFFFF"/>
          <w:lang w:val="en-US"/>
        </w:rPr>
        <w:t xml:space="preserve">sepsis </w:t>
      </w:r>
      <w:r w:rsidR="005D2A3A" w:rsidRPr="00EF2D1F">
        <w:rPr>
          <w:rFonts w:asciiTheme="minorHAnsi" w:hAnsiTheme="minorHAnsi" w:cs="Arial"/>
          <w:color w:val="000000"/>
          <w:shd w:val="clear" w:color="auto" w:fill="FFFFFF"/>
          <w:lang w:val="en-US"/>
        </w:rPr>
        <w:t xml:space="preserve">definitions </w:t>
      </w:r>
      <w:r w:rsidR="00EF2D1F" w:rsidRPr="00EF2D1F">
        <w:rPr>
          <w:rFonts w:asciiTheme="minorHAnsi" w:hAnsiTheme="minorHAnsi" w:cs="Arial"/>
          <w:color w:val="000000"/>
          <w:shd w:val="clear" w:color="auto" w:fill="FFFFFF"/>
          <w:lang w:val="en-US"/>
        </w:rPr>
        <w:t xml:space="preserve">to </w:t>
      </w:r>
      <w:r w:rsidR="005D2A3A" w:rsidRPr="00EF2D1F">
        <w:rPr>
          <w:rFonts w:asciiTheme="minorHAnsi" w:hAnsiTheme="minorHAnsi" w:cs="Arial"/>
          <w:color w:val="000000"/>
          <w:shd w:val="clear" w:color="auto" w:fill="FFFFFF"/>
          <w:lang w:val="en-US"/>
        </w:rPr>
        <w:t>change</w:t>
      </w:r>
      <w:r w:rsidR="005D2A3A" w:rsidRPr="005D2A3A">
        <w:rPr>
          <w:rFonts w:asciiTheme="minorHAnsi" w:hAnsiTheme="minorHAnsi" w:cs="Arial"/>
          <w:color w:val="000000"/>
          <w:shd w:val="clear" w:color="auto" w:fill="FFFFFF"/>
          <w:lang w:val="en-US"/>
        </w:rPr>
        <w:t xml:space="preserve"> the intervention</w:t>
      </w:r>
      <w:r w:rsidR="00EF2D1F">
        <w:rPr>
          <w:rFonts w:asciiTheme="minorHAnsi" w:hAnsiTheme="minorHAnsi" w:cs="Arial"/>
          <w:color w:val="000000"/>
          <w:shd w:val="clear" w:color="auto" w:fill="FFFFFF"/>
          <w:lang w:val="en-US"/>
        </w:rPr>
        <w:t xml:space="preserve"> </w:t>
      </w:r>
      <w:r w:rsidR="005D2A3A" w:rsidRPr="005D2A3A">
        <w:rPr>
          <w:rFonts w:asciiTheme="minorHAnsi" w:hAnsiTheme="minorHAnsi" w:cs="Arial"/>
          <w:color w:val="000000"/>
          <w:shd w:val="clear" w:color="auto" w:fill="FFFFFF"/>
          <w:lang w:val="en-US"/>
        </w:rPr>
        <w:t>effect</w:t>
      </w:r>
      <w:r w:rsidR="00EF2D1F">
        <w:rPr>
          <w:rFonts w:asciiTheme="minorHAnsi" w:hAnsiTheme="minorHAnsi" w:cs="Arial"/>
          <w:color w:val="000000"/>
          <w:shd w:val="clear" w:color="auto" w:fill="FFFFFF"/>
          <w:lang w:val="en-US"/>
        </w:rPr>
        <w:t xml:space="preserve"> estimate</w:t>
      </w:r>
      <w:r w:rsidR="005D2A3A" w:rsidRPr="005D2A3A">
        <w:rPr>
          <w:rFonts w:asciiTheme="minorHAnsi" w:hAnsiTheme="minorHAnsi" w:cs="Arial"/>
          <w:color w:val="000000"/>
          <w:shd w:val="clear" w:color="auto" w:fill="FFFFFF"/>
          <w:lang w:val="en-US"/>
        </w:rPr>
        <w:t>s observed in previous trials.</w:t>
      </w:r>
      <w:r w:rsidRPr="005D2A3A">
        <w:rPr>
          <w:rFonts w:asciiTheme="minorHAnsi" w:hAnsiTheme="minorHAnsi" w:cs="Arial"/>
          <w:lang w:val="en-GB"/>
        </w:rPr>
        <w:t xml:space="preserve"> </w:t>
      </w:r>
      <w:r w:rsidR="002E6D08" w:rsidRPr="005D2A3A">
        <w:rPr>
          <w:rFonts w:asciiTheme="minorHAnsi" w:hAnsiTheme="minorHAnsi" w:cs="Arial"/>
          <w:lang w:val="en-GB"/>
        </w:rPr>
        <w:t>In</w:t>
      </w:r>
      <w:r w:rsidR="002E6D08">
        <w:rPr>
          <w:rFonts w:asciiTheme="minorHAnsi" w:hAnsiTheme="minorHAnsi" w:cs="Arial"/>
          <w:lang w:val="en-GB"/>
        </w:rPr>
        <w:t xml:space="preserve"> addition</w:t>
      </w:r>
      <w:r w:rsidR="00314E7A">
        <w:rPr>
          <w:rFonts w:asciiTheme="minorHAnsi" w:hAnsiTheme="minorHAnsi" w:cs="Arial"/>
          <w:lang w:val="en-GB"/>
        </w:rPr>
        <w:t>,</w:t>
      </w:r>
      <w:r w:rsidR="002E6D08">
        <w:rPr>
          <w:rFonts w:asciiTheme="minorHAnsi" w:hAnsiTheme="minorHAnsi" w:cs="Arial"/>
          <w:lang w:val="en-GB"/>
        </w:rPr>
        <w:t xml:space="preserve"> the new criteria </w:t>
      </w:r>
      <w:r w:rsidR="005D2A3A">
        <w:rPr>
          <w:rFonts w:asciiTheme="minorHAnsi" w:hAnsiTheme="minorHAnsi" w:cs="Arial"/>
          <w:lang w:val="en-GB"/>
        </w:rPr>
        <w:t>include</w:t>
      </w:r>
      <w:r w:rsidRPr="007141B1">
        <w:rPr>
          <w:rFonts w:asciiTheme="minorHAnsi" w:hAnsiTheme="minorHAnsi" w:cs="Arial"/>
          <w:lang w:val="en-GB"/>
        </w:rPr>
        <w:t xml:space="preserve"> a simple physiology-based score (</w:t>
      </w:r>
      <w:proofErr w:type="spellStart"/>
      <w:r w:rsidRPr="007141B1">
        <w:rPr>
          <w:rFonts w:asciiTheme="minorHAnsi" w:hAnsiTheme="minorHAnsi" w:cs="Arial"/>
          <w:lang w:val="en-GB"/>
        </w:rPr>
        <w:t>qSOFA</w:t>
      </w:r>
      <w:proofErr w:type="spellEnd"/>
      <w:r w:rsidRPr="007141B1">
        <w:rPr>
          <w:rFonts w:asciiTheme="minorHAnsi" w:hAnsiTheme="minorHAnsi" w:cs="Arial"/>
          <w:lang w:val="en-GB"/>
        </w:rPr>
        <w:t>) to identify those patients with suspected infection at risk of bad outcomes</w:t>
      </w:r>
      <w:r w:rsidR="00D822D6" w:rsidRPr="007141B1">
        <w:rPr>
          <w:rFonts w:asciiTheme="minorHAnsi" w:hAnsiTheme="minorHAnsi" w:cs="Arial"/>
          <w:lang w:val="en-GB"/>
        </w:rPr>
        <w:t xml:space="preserve"> </w:t>
      </w:r>
      <w:r w:rsidR="00D822D6"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1cmkecvsfa","properties":{"formattedCitation":"[66]","plainCitation":"[66]"},"citationItems":[{"id":116,"uris":["http://zotero.org/users/local/ZaW79YVG/items/SQPIBSH9"],"uri":["http://zotero.org/users/local/ZaW79YVG/items/SQPIBSH9"],"itemData":{"id":116,"type":"article-journal","title":"Assessment of Clinical Criteria for Sepsis: For the Third International Consensus Definitions for Sepsis and Septic Shock (Sepsis-3)","container-title":"JAMA","page":"762-774","volume":"315","issue":"8","source":"PubMed","abstract":"IMPORTANCE: The Third International Consensus Definitions Task Force defined sepsis as \"life-threatening organ dysfunction due to a dysregulated host response to infection.\" The performance of clinical criteria for this sepsis definition is unknown.\nOBJECTIVE: To evaluate the validity of clinical criteria to identify patients with suspected infection who are at risk of sepsis.\nDESIGN, SETTINGS, AND POPULATION: Among 1.3 million electronic health record encounters from January 1, 2010, to December 31, 2012, at 12 hospitals in southwestern Pennsylvania, we identified those with suspected infection in whom to compare criteria. Confirmatory analyses were performed in 4 data sets of 706,399 out-of-hospital and hospital encounters at 165 US and non-US hospitals ranging from January 1, 2008, until December 31, 2013.\nEXPOSURES: Sequential [Sepsis-related] Organ Failure Assessment (SOFA) score, systemic inflammatory response syndrome (SIRS) criteria, Logistic Organ Dysfunction System (LODS) score, and a new model derived using multivariable logistic regression in a split sample, the quick Sequential [Sepsis-related] Organ Failure Assessment (qSOFA) score (range, 0-3 points, with 1 point each for systolic hypotension [≤100 mm Hg], tachypnea [≥22/min], or altered mentation).\nMAIN OUTCOMES AND MEASURES: For construct validity, pairwise agreement was assessed. For predictive validity, the discrimination for outcomes (primary: in-hospital mortality; secondary: in-hospital mortality or intensive care unit [ICU] length of stay ≥3 days) more common in sepsis than uncomplicated infection was determined. Results were expressed as the fold change in outcome over deciles of baseline risk of death and area under the receiver operating characteristic curve (AUROC).\nRESULTS: In the primary cohort, 148,907 encounters had suspected infection (n = 74,453 derivation; n = 74,454 validation), of whom 6347 (4%) died. Among ICU encounters in the validation cohort (n = 7932 with suspected infection, of whom 1289 [16%] died), the predictive validity for in-hospital mortality was lower for SIRS (AUROC = 0.64; 95% CI, 0.62-0.66) and qSOFA (AUROC = 0.66; 95% CI, 0.64-0.68) vs SOFA (AUROC = 0.74; 95% CI, 0.73-0.76; P &lt; .001 for both) or LODS (AUROC = 0.75; 95% CI, 0.73-0.76; P &lt; .001 for both). Among non-ICU encounters in the validation cohort (n = 66 522 with suspected infection, of whom 1886 [3%] died), qSOFA had predictive validity (AUROC = 0.81; 95% CI, 0.80-0.82) that was greater than SOFA (AUROC = 0.79; 95% CI, 0.78-0.80; P &lt; .001) and SIRS (AUROC = 0.76; 95% CI, 0.75-0.77; P &lt; .001). Relative to qSOFA scores lower than 2, encounters with qSOFA scores of 2 or higher had a 3- to 14-fold increase in hospital mortality across baseline risk deciles. Findings were similar in external data sets and for the secondary outcome.\nCONCLUSIONS AND RELEVANCE: Among ICU encounters with suspected infection, the predictive validity for in-hospital mortality of SOFA was not significantly different than the more complex LODS but was statistically greater than SIRS and qSOFA, supporting its use in clinical criteria for sepsis. Among encounters with suspected infection outside of the ICU, the predictive validity for in-hospital mortality of qSOFA was statistically greater than SOFA and SIRS, supporting its use as a prompt to consider possible sepsis.","DOI":"10.1001/jama.2016.0288","ISSN":"1538-3598","note":"PMID: 26903335","shortTitle":"Assessment of Clinical Criteria for Sepsis","journalAbbreviation":"JAMA","language":"eng","author":[{"family":"Seymour","given":"Christopher W."},{"family":"Liu","given":"Vincent X."},{"family":"Iwashyna","given":"Theodore J."},{"family":"Brunkhorst","given":"Frank M."},{"family":"Rea","given":"Thomas D."},{"family":"Scherag","given":"André"},{"family":"Rubenfeld","given":"Gordon"},{"family":"Kahn","given":"Jeremy M."},{"family":"Shankar-Hari","given":"Manu"},{"family":"Singer","given":"Mervyn"},{"family":"Deutschman","given":"Clifford S."},{"family":"Escobar","given":"Gabriel J."},{"family":"Angus","given":"Derek C."}],"issued":{"date-parts":[["2016",2,23]]},"PMID":"26903335"}}],"schema":"https://github.com/citation-style-language/schema/raw/master/csl-citation.json"} </w:instrText>
      </w:r>
      <w:r w:rsidR="00D822D6" w:rsidRPr="007141B1">
        <w:rPr>
          <w:rFonts w:asciiTheme="minorHAnsi" w:hAnsiTheme="minorHAnsi" w:cs="Arial"/>
          <w:lang w:val="en-GB"/>
        </w:rPr>
        <w:fldChar w:fldCharType="separate"/>
      </w:r>
      <w:r w:rsidR="007E7E7B" w:rsidRPr="000F5B05">
        <w:rPr>
          <w:rFonts w:ascii="Calibri" w:hAnsi="Calibri" w:cs="Calibri"/>
          <w:lang w:val="en-US"/>
        </w:rPr>
        <w:t>[66]</w:t>
      </w:r>
      <w:r w:rsidR="00D822D6" w:rsidRPr="007141B1">
        <w:rPr>
          <w:rFonts w:asciiTheme="minorHAnsi" w:hAnsiTheme="minorHAnsi" w:cs="Arial"/>
          <w:lang w:val="en-GB"/>
        </w:rPr>
        <w:fldChar w:fldCharType="end"/>
      </w:r>
      <w:r w:rsidRPr="007141B1">
        <w:rPr>
          <w:rFonts w:asciiTheme="minorHAnsi" w:hAnsiTheme="minorHAnsi" w:cs="Arial"/>
          <w:lang w:val="en-GB"/>
        </w:rPr>
        <w:t>. Several track and trigger tools exist and differ in their performance and feasibility of implementation</w:t>
      </w:r>
      <w:r w:rsidR="00D822D6" w:rsidRPr="007141B1">
        <w:rPr>
          <w:rFonts w:asciiTheme="minorHAnsi" w:hAnsiTheme="minorHAnsi" w:cs="Arial"/>
          <w:lang w:val="en-GB"/>
        </w:rPr>
        <w:t xml:space="preserve"> </w:t>
      </w:r>
      <w:r w:rsidR="00D822D6"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2tkkgh8r8","properties":{"formattedCitation":"[67]","plainCitation":"[67]"},"citationItems":[{"id":118,"uris":["http://zotero.org/users/local/ZaW79YVG/items/AHG6WAIP"],"uri":["http://zotero.org/users/local/ZaW79YVG/items/AHG6WAIP"],"itemData":{"id":118,"type":"article-journal","title":"Identifying Patients with Sepsis on the Hospital Wards","container-title":"Chest","source":"PubMed","abstract":"Sepsis contributes to up to half of all deaths in hospitalized patients, and early interventions, such as appropriate antibiotics, have been shown to improve outcomes. Most research has focused on early identification and treatment of septic patients in the emergency department and the intensive care unit; however, many patients develop sepsis on the general wards. The goal of this review is to discuss recent advances in sepsis detection in patients on the hospital wards. It will discuss data highlighting the benefits and limitations of the systemic inflammatory response syndrome (SIRS) criteria for screening septic patients, such as its low specificity, as well as newly described scoring systems, including the proposed role of the quick Sepsis-related Organ Failure Assessment (qSOFA) score. Challenges specific to detecting sepsis on the wards will be discussed, and future directions that utilize big data approaches and automated alert systems will be highlighted.","DOI":"10.1016/j.chest.2016.06.020","ISSN":"1931-3543","note":"PMID: 27374948","journalAbbreviation":"Chest","language":"eng","author":[{"family":"Bhattacharjee","given":"Poushali"},{"family":"Edelson","given":"Dana P."},{"family":"Churpek","given":"Matthew M."}],"issued":{"date-parts":[["2016",6,30]]},"PMID":"27374948"}}],"schema":"https://github.com/citation-style-language/schema/raw/master/csl-citation.json"} </w:instrText>
      </w:r>
      <w:r w:rsidR="00D822D6" w:rsidRPr="007141B1">
        <w:rPr>
          <w:rFonts w:asciiTheme="minorHAnsi" w:hAnsiTheme="minorHAnsi" w:cs="Arial"/>
          <w:lang w:val="en-GB"/>
        </w:rPr>
        <w:fldChar w:fldCharType="separate"/>
      </w:r>
      <w:r w:rsidR="007E7E7B" w:rsidRPr="000F5B05">
        <w:rPr>
          <w:rFonts w:ascii="Calibri" w:hAnsi="Calibri" w:cs="Calibri"/>
          <w:lang w:val="en-US"/>
        </w:rPr>
        <w:t>[67]</w:t>
      </w:r>
      <w:r w:rsidR="00D822D6" w:rsidRPr="007141B1">
        <w:rPr>
          <w:rFonts w:asciiTheme="minorHAnsi" w:hAnsiTheme="minorHAnsi" w:cs="Arial"/>
          <w:lang w:val="en-GB"/>
        </w:rPr>
        <w:fldChar w:fldCharType="end"/>
      </w:r>
      <w:r w:rsidRPr="007141B1">
        <w:rPr>
          <w:rFonts w:asciiTheme="minorHAnsi" w:hAnsiTheme="minorHAnsi" w:cs="Arial"/>
          <w:lang w:val="en-GB"/>
        </w:rPr>
        <w:fldChar w:fldCharType="begin">
          <w:fldData xml:space="preserve">PEVuZE5vdGU+PENpdGU+PEF1dGhvcj5CaGF0dGFjaGFyamVlPC9BdXRob3I+PFllYXI+MjAxNjwv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</w:fldData>
        </w:fldChar>
      </w:r>
      <w:r w:rsidRPr="007141B1">
        <w:rPr>
          <w:rFonts w:asciiTheme="minorHAnsi" w:hAnsiTheme="minorHAnsi" w:cs="Arial"/>
          <w:lang w:val="en-GB"/>
        </w:rPr>
        <w:instrText xml:space="preserve"> ADDIN EN.CITE </w:instrText>
      </w:r>
      <w:r w:rsidRPr="007141B1">
        <w:rPr>
          <w:rFonts w:asciiTheme="minorHAnsi" w:hAnsiTheme="minorHAnsi" w:cs="Arial"/>
          <w:lang w:val="en-GB"/>
        </w:rPr>
        <w:fldChar w:fldCharType="begin">
          <w:fldData xml:space="preserve">PEVuZE5vdGU+PENpdGU+PEF1dGhvcj5CaGF0dGFjaGFyamVlPC9BdXRob3I+PFllYXI+MjAxNjwv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</w:fldData>
        </w:fldChar>
      </w:r>
      <w:r w:rsidRPr="007141B1">
        <w:rPr>
          <w:rFonts w:asciiTheme="minorHAnsi" w:hAnsiTheme="minorHAnsi" w:cs="Arial"/>
          <w:lang w:val="en-GB"/>
        </w:rPr>
        <w:instrText xml:space="preserve"> ADDIN EN.CITE.DATA </w:instrText>
      </w:r>
      <w:r w:rsidRPr="007141B1">
        <w:rPr>
          <w:rFonts w:asciiTheme="minorHAnsi" w:hAnsiTheme="minorHAnsi" w:cs="Arial"/>
          <w:lang w:val="en-GB"/>
        </w:rPr>
      </w:r>
      <w:r w:rsidRPr="007141B1">
        <w:rPr>
          <w:rFonts w:asciiTheme="minorHAnsi" w:hAnsiTheme="minorHAnsi" w:cs="Arial"/>
          <w:lang w:val="en-GB"/>
        </w:rPr>
        <w:fldChar w:fldCharType="end"/>
      </w:r>
      <w:r w:rsidRPr="007141B1">
        <w:rPr>
          <w:rFonts w:asciiTheme="minorHAnsi" w:hAnsiTheme="minorHAnsi" w:cs="Arial"/>
          <w:lang w:val="en-GB"/>
        </w:rPr>
      </w:r>
      <w:r w:rsidRPr="007141B1">
        <w:rPr>
          <w:rFonts w:asciiTheme="minorHAnsi" w:hAnsiTheme="minorHAnsi" w:cs="Arial"/>
          <w:lang w:val="en-GB"/>
        </w:rPr>
        <w:fldChar w:fldCharType="end"/>
      </w:r>
      <w:r w:rsidRPr="007141B1">
        <w:rPr>
          <w:rFonts w:asciiTheme="minorHAnsi" w:hAnsiTheme="minorHAnsi" w:cs="Arial"/>
          <w:lang w:val="en-GB"/>
        </w:rPr>
        <w:t xml:space="preserve">. Determining the best tool to detect the at-risk patient with optimal sensitivity and specificity is </w:t>
      </w:r>
      <w:proofErr w:type="gramStart"/>
      <w:r w:rsidRPr="007141B1">
        <w:rPr>
          <w:rFonts w:asciiTheme="minorHAnsi" w:hAnsiTheme="minorHAnsi" w:cs="Arial"/>
          <w:lang w:val="en-GB"/>
        </w:rPr>
        <w:t>key</w:t>
      </w:r>
      <w:proofErr w:type="gramEnd"/>
      <w:r w:rsidRPr="007141B1">
        <w:rPr>
          <w:rFonts w:asciiTheme="minorHAnsi" w:hAnsiTheme="minorHAnsi" w:cs="Arial"/>
          <w:lang w:val="en-GB"/>
        </w:rPr>
        <w:t>.</w:t>
      </w:r>
    </w:p>
    <w:p w:rsidR="00101E64" w:rsidRPr="007141B1" w:rsidRDefault="00101E64" w:rsidP="00851E20">
      <w:pPr>
        <w:spacing w:line="360" w:lineRule="auto"/>
        <w:rPr>
          <w:rFonts w:asciiTheme="minorHAnsi" w:hAnsiTheme="minorHAnsi" w:cs="Arial"/>
          <w:b/>
          <w:lang w:val="en-GB"/>
        </w:rPr>
      </w:pPr>
    </w:p>
    <w:p w:rsidR="00101E64" w:rsidRPr="007141B1" w:rsidRDefault="00101E64" w:rsidP="00851E20">
      <w:pPr>
        <w:spacing w:line="360" w:lineRule="auto"/>
        <w:rPr>
          <w:rFonts w:asciiTheme="minorHAnsi" w:hAnsiTheme="minorHAnsi" w:cs="Arial"/>
          <w:b/>
          <w:lang w:val="en-GB"/>
        </w:rPr>
      </w:pPr>
      <w:r w:rsidRPr="007141B1">
        <w:rPr>
          <w:rFonts w:asciiTheme="minorHAnsi" w:hAnsiTheme="minorHAnsi" w:cs="Arial"/>
          <w:b/>
          <w:lang w:val="en-GB"/>
        </w:rPr>
        <w:t>Mediator modulation</w:t>
      </w:r>
    </w:p>
    <w:p w:rsidR="00851E20" w:rsidRPr="007141B1" w:rsidRDefault="00851E20" w:rsidP="00851E20">
      <w:pPr>
        <w:spacing w:line="360" w:lineRule="auto"/>
        <w:rPr>
          <w:rFonts w:asciiTheme="minorHAnsi" w:hAnsiTheme="minorHAnsi" w:cs="Arial"/>
          <w:lang w:val="en-GB"/>
        </w:rPr>
      </w:pPr>
      <w:r w:rsidRPr="007141B1">
        <w:rPr>
          <w:rFonts w:asciiTheme="minorHAnsi" w:hAnsiTheme="minorHAnsi" w:cs="Arial"/>
          <w:lang w:val="en-GB"/>
        </w:rPr>
        <w:t>The SSC had previously abandoned the ’24-hour resuscitation bundle’</w:t>
      </w:r>
      <w:r w:rsidR="00D822D6" w:rsidRPr="007141B1">
        <w:rPr>
          <w:rFonts w:asciiTheme="minorHAnsi" w:hAnsiTheme="minorHAnsi" w:cs="Arial"/>
          <w:lang w:val="en-GB"/>
        </w:rPr>
        <w:t xml:space="preserve"> </w:t>
      </w:r>
      <w:r w:rsidR="00D822D6"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234krriot6","properties":{"formattedCitation":"[50]","plainCitation":"[50]"},"citationItems":[{"id":70,"uris":["http://zotero.org/users/local/ZaW79YVG/items/22IDUTNU"],"uri":["http://zotero.org/users/local/ZaW79YVG/items/22IDUTNU"],"itemData":{"id":70,"type":"article-journal","title":"Surviving Sepsis Campaign: international guidelines for management of severe sepsis and septic shock, 2012","container-title":"Intensive Care Medicine","page":"165-228","volume":"39","issue":"2","source":"PubMed","abstract":"OBJECTIVE: To provide an update to the \"Surviving Sepsis Campaign Guidelines for Management of Severe Sepsis and Septic Shock,\" last published in 2008.\nDESIGN: A consensus committee of 68 international experts representing 30 international organizations was convened. Nominal groups were assembled at key international meetings (for those committee members attending the conference). A formal conflict of interest policy was developed at the onset of the process and enforced throughout. The entire guidelines process was conducted independent of any industry funding. A stand-alone meeting was held for all subgroup heads, co- and vice-chairs, and selected individuals. Teleconferences and electronic-based discussion among subgroups and among the entire committee served as an integral part of the development.\nMETHODS: The authors were advised to follow the principles of the Grading of Recommendations Assessment, Development and Evaluation (GRADE) system to guide assessment of quality of evidence from high (A) to very low (D) and to determine the strength of recommendations as strong (1) or weak (2). The potential drawbacks of making strong recommendations in the presence of low-quality evidence were emphasized. Recommendations were classified into three groups: (1) those directly targeting severe sepsis; (2) those targeting general care of the critically ill patient and considered high priority in severe sepsis; and (3) pediatric considerations.\nRESULTS: Key recommendations and suggestions, listed by category, include: early quantitative resuscitation of the septic patient during the first 6 h after recognition (1C); blood cultures before antibiotic therapy (1C); imaging studies performed promptly to confirm a potential source of infection (UG); administration of broad-spectrum antimicrobials therapy within 1 h of the recognition of septic shock (1B) and severe sepsis without septic shock (1C) as the goal of therapy; reassessment of antimicrobial therapy daily for de-escalation, when appropriate (1B); infection source control with attention to the balance of risks and benefits of the chosen method within 12 h of diagnosis (1C); initial fluid resuscitation with crystalloid (1B) and consideration of the addition of albumin in patients who continue to require substantial amounts of crystalloid to maintain adequate mean arterial pressure (2C) and the avoidance of hetastarch formulations (1B); initial fluid challenge in patients with sepsis-induced tissue hypoperfusion and suspicion of hypovolemia to achieve a minimum of 30 mL/kg of crystalloids (more rapid administration and greater amounts of fluid may be needed in some patients (1C); fluid challenge technique continued as long as hemodynamic improvement is based on either dynamic or static variables (UG); norepinephrine as the first-choice vasopressor to maintain mean arterial pressure ≥65 mmHg (1B); epinephrine when an additional agent is needed to maintain adequate blood pressure (2B); vasopressin (0.03 U/min) can be added to norepinephrine to either raise mean arterial pressure to target or to decrease norepinephrine dose but should not be used as the initial vasopressor (UG); dopamine is not recommended except in highly selected circumstances (2C); dobutamine infusion administered or added to vasopressor in the presence of (a) myocardial dysfunction as suggested by elevated cardiac filling pressures and low cardiac output, or (b) ongoing signs of hypoperfusion despite achieving adequate intravascular volume and adequate mean arterial pressure (1C); avoiding use of intravenous hydrocortisone in adult septic shock patients if adequate fluid resuscitation and vasopressor therapy are able to restore hemodynamic stability (2C); hemoglobin target of 7-9 g/dL in the absence of tissue hypoperfusion, ischemic coronary artery disease, or acute hemorrhage (1B); low tidal volume (1A) and limitation of inspiratory plateau pressure (1B) for acute respiratory distress syndrome (ARDS); application of at least a minimal amount of positive end-expiratory pressure (PEEP) in ARDS (1B); higher rather than lower level of PEEP for patients with sepsis-induced moderate or severe ARDS (2C); recruitment maneuvers in sepsis patients with severe refractory hypoxemia due to ARDS (2C); prone positioning in sepsis-induced ARDS patients with a PaO (2)/FiO (2) ratio of ≤100 mm Hg in facilities that have experience with such practices (2C); head-of-bed elevation in mechanically ventilated patients unless contraindicated (1B); a conservative fluid strategy for patients with established ARDS who do not have evidence of tissue hypoperfusion (1C); protocols for weaning and sedation (1A); minimizing use of either intermittent bolus sedation or continuous infusion sedation targeting specific titration endpoints (1B); avoidance of neuromuscular blockers if possible in the septic patient without ARDS (1C); a short course of neuromuscular blocker (no longer than 48 h) for patients with early ARDS and a PaO (2)/FI O (2) &lt;150 mm Hg (2C); a protocolized approach to blood glucose management commencing insulin dosing when two consecutive blood glucose levels are &gt;180 mg/dL, targeting an upper blood glucose ≤180 mg/dL (1A); equivalency of continuous veno-venous hemofiltration or intermittent hemodialysis (2B); prophylaxis for deep vein thrombosis (1B); use of stress ulcer prophylaxis to prevent upper gastrointestinal bleeding in patients with bleeding risk factors (1B); oral or enteral (if necessary) feedings, as tolerated, rather than either complete fasting or provision of only intravenous glucose within the first 48 h after a diagnosis of severe sepsis/septic shock (2C); and addressing goals of care, including treatment plans and end-of-life planning (as appropriate) (1B), as early as feasible, but within 72 h of intensive care unit admission (2C). Recommendations specific to pediatric severe sepsis include: therapy with face mask oxygen, high flow nasal cannula oxygen, or nasopharyngeal continuous PEEP in the presence of respiratory distress and hypoxemia (2C), use of physical examination therapeutic endpoints such as capillary refill (2C); for septic shock associated with hypovolemia, the use of crystalloids or albumin to deliver a bolus of 20 mL/kg of crystalloids (or albumin equivalent) over 5-10 min (2C); more common use of inotropes and vasodilators for low cardiac output septic shock associated with elevated systemic vascular resistance (2C); and use of hydrocortisone only in children with suspected or proven \"absolute\"' adrenal insufficiency (2C).\nCONCLUSIONS: Strong agreement existed among a large cohort of international experts regarding many level 1 recommendations for the best care of patients with severe sepsis. Although a significant number of aspects of care have relatively weak support, evidence-based recommendations regarding the acute management of sepsis and septic shock are the foundation of improved outcomes for this important group of critically ill patients.","DOI":"10.1007/s00134-012-2769-8","ISSN":"1432-1238","note":"PMID: 23361625","shortTitle":"Surviving Sepsis Campaign","journalAbbreviation":"Intensive Care Med","language":"eng","author":[{"family":"Dellinger","given":"R. P."},{"family":"Levy","given":"Mitchell M."},{"family":"Rhodes","given":"Andrew"},{"family":"Annane","given":"Djillali"},{"family":"Gerlach","given":"Herwig"},{"family":"Opal","given":"Steven M."},{"family":"Sevransky","given":"Jonathan E."},{"family":"Sprung","given":"Charles L."},{"family":"Douglas","given":"Ivor S."},{"family":"Jaeschke","given":"Roman"},{"family":"Osborn","given":"Tiffany M."},{"family":"Nunnally","given":"Mark E."},{"family":"Townsend","given":"Sean R."},{"family":"Reinhart","given":"Konrad"},{"family":"Kleinpell","given":"Ruth M."},{"family":"Angus","given":"Derek C."},{"family":"Deutschman","given":"Clifford S."},{"family":"Machado","given":"Flavia R."},{"family":"Rubenfeld","given":"Gordon D."},{"family":"Webb","given":"Steven"},{"family":"Beale","given":"Richard J."},{"family":"Vincent","given":"Jean-Louis"},{"family":"Moreno","given":"Rui"},{"literal":"Surviving Sepsis Campaign Guidelines Committee including The Pediatric Subgroup"}],"issued":{"date-parts":[["2013",2]]},"PMID":"23361625"}}],"schema":"https://github.com/citation-style-language/schema/raw/master/csl-citation.json"} </w:instrText>
      </w:r>
      <w:r w:rsidR="00D822D6" w:rsidRPr="007141B1">
        <w:rPr>
          <w:rFonts w:asciiTheme="minorHAnsi" w:hAnsiTheme="minorHAnsi" w:cs="Arial"/>
          <w:lang w:val="en-GB"/>
        </w:rPr>
        <w:fldChar w:fldCharType="separate"/>
      </w:r>
      <w:r w:rsidR="007E7E7B" w:rsidRPr="000F5B05">
        <w:rPr>
          <w:rFonts w:ascii="Calibri" w:hAnsi="Calibri" w:cs="Calibri"/>
          <w:lang w:val="en-US"/>
        </w:rPr>
        <w:t>[50]</w:t>
      </w:r>
      <w:r w:rsidR="00D822D6" w:rsidRPr="007141B1">
        <w:rPr>
          <w:rFonts w:asciiTheme="minorHAnsi" w:hAnsiTheme="minorHAnsi" w:cs="Arial"/>
          <w:lang w:val="en-GB"/>
        </w:rPr>
        <w:fldChar w:fldCharType="end"/>
      </w:r>
      <w:r w:rsidRPr="007141B1">
        <w:rPr>
          <w:rFonts w:asciiTheme="minorHAnsi" w:hAnsiTheme="minorHAnsi" w:cs="Arial"/>
          <w:lang w:val="en-GB"/>
        </w:rPr>
        <w:t xml:space="preserve"> as three (activated protein C, corticosteroids for shock, tight glycaemic control) of the</w:t>
      </w:r>
      <w:r w:rsidR="0044450B">
        <w:rPr>
          <w:rFonts w:asciiTheme="minorHAnsi" w:hAnsiTheme="minorHAnsi" w:cs="Arial"/>
          <w:lang w:val="en-GB"/>
        </w:rPr>
        <w:t xml:space="preserve"> 4 </w:t>
      </w:r>
      <w:r w:rsidRPr="007141B1">
        <w:rPr>
          <w:rFonts w:asciiTheme="minorHAnsi" w:hAnsiTheme="minorHAnsi" w:cs="Arial"/>
          <w:lang w:val="en-GB"/>
        </w:rPr>
        <w:t xml:space="preserve">components were shown in </w:t>
      </w:r>
      <w:r w:rsidR="00200147">
        <w:rPr>
          <w:rFonts w:asciiTheme="minorHAnsi" w:hAnsiTheme="minorHAnsi" w:cs="Arial"/>
          <w:lang w:val="en-GB"/>
        </w:rPr>
        <w:t>subsequent</w:t>
      </w:r>
      <w:r w:rsidR="00200147" w:rsidRPr="007141B1">
        <w:rPr>
          <w:rFonts w:asciiTheme="minorHAnsi" w:hAnsiTheme="minorHAnsi" w:cs="Arial"/>
          <w:lang w:val="en-GB"/>
        </w:rPr>
        <w:t xml:space="preserve"> </w:t>
      </w:r>
      <w:r w:rsidRPr="007141B1">
        <w:rPr>
          <w:rFonts w:asciiTheme="minorHAnsi" w:hAnsiTheme="minorHAnsi" w:cs="Arial"/>
          <w:lang w:val="en-GB"/>
        </w:rPr>
        <w:t xml:space="preserve">multicentre </w:t>
      </w:r>
      <w:r w:rsidR="00531DD6">
        <w:rPr>
          <w:rFonts w:asciiTheme="minorHAnsi" w:hAnsiTheme="minorHAnsi" w:cs="Arial"/>
          <w:lang w:val="en-GB"/>
        </w:rPr>
        <w:t>trials</w:t>
      </w:r>
      <w:r w:rsidR="00531DD6" w:rsidRPr="007141B1">
        <w:rPr>
          <w:rFonts w:asciiTheme="minorHAnsi" w:hAnsiTheme="minorHAnsi" w:cs="Arial"/>
          <w:lang w:val="en-GB"/>
        </w:rPr>
        <w:t xml:space="preserve"> </w:t>
      </w:r>
      <w:r w:rsidRPr="007141B1">
        <w:rPr>
          <w:rFonts w:asciiTheme="minorHAnsi" w:hAnsiTheme="minorHAnsi" w:cs="Arial"/>
          <w:lang w:val="en-GB"/>
        </w:rPr>
        <w:t xml:space="preserve">to confer </w:t>
      </w:r>
      <w:r w:rsidR="00CC1F3C" w:rsidRPr="007141B1">
        <w:rPr>
          <w:rFonts w:asciiTheme="minorHAnsi" w:hAnsiTheme="minorHAnsi" w:cs="Arial"/>
          <w:lang w:val="en-GB"/>
        </w:rPr>
        <w:t>no</w:t>
      </w:r>
      <w:r w:rsidRPr="007141B1">
        <w:rPr>
          <w:rFonts w:asciiTheme="minorHAnsi" w:hAnsiTheme="minorHAnsi" w:cs="Arial"/>
          <w:lang w:val="en-GB"/>
        </w:rPr>
        <w:t xml:space="preserve"> benefit. Similarly, other immunomodulatory drugs such as intravenous immunoglobulins have been discarded based on lack of </w:t>
      </w:r>
      <w:r w:rsidR="00C056E0">
        <w:rPr>
          <w:rFonts w:asciiTheme="minorHAnsi" w:hAnsiTheme="minorHAnsi" w:cs="Arial"/>
          <w:lang w:val="en-GB"/>
        </w:rPr>
        <w:t>overall</w:t>
      </w:r>
      <w:r w:rsidR="00C056E0" w:rsidRPr="007141B1">
        <w:rPr>
          <w:rFonts w:asciiTheme="minorHAnsi" w:hAnsiTheme="minorHAnsi" w:cs="Arial"/>
          <w:lang w:val="en-GB"/>
        </w:rPr>
        <w:t xml:space="preserve"> </w:t>
      </w:r>
      <w:r w:rsidR="00C056E0">
        <w:rPr>
          <w:rFonts w:asciiTheme="minorHAnsi" w:hAnsiTheme="minorHAnsi" w:cs="Arial"/>
          <w:lang w:val="en-GB"/>
        </w:rPr>
        <w:t>outcome</w:t>
      </w:r>
      <w:r w:rsidR="00C056E0" w:rsidRPr="007141B1">
        <w:rPr>
          <w:rFonts w:asciiTheme="minorHAnsi" w:hAnsiTheme="minorHAnsi" w:cs="Arial"/>
          <w:lang w:val="en-GB"/>
        </w:rPr>
        <w:t xml:space="preserve"> </w:t>
      </w:r>
      <w:r w:rsidRPr="007141B1">
        <w:rPr>
          <w:rFonts w:asciiTheme="minorHAnsi" w:hAnsiTheme="minorHAnsi" w:cs="Arial"/>
          <w:lang w:val="en-GB"/>
        </w:rPr>
        <w:t xml:space="preserve">effect </w:t>
      </w:r>
      <w:r w:rsidR="00D822D6"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hhhfvvtv8","properties":{"formattedCitation":"[68]","plainCitation":"[68]"},"citationItems":[{"id":120,"uris":["http://zotero.org/users/local/ZaW79YVG/items/X5RDINK7"],"uri":["http://zotero.org/users/local/ZaW79YVG/items/X5RDINK7"],"itemData":{"id":120,"type":"article-journal","title":"Sepsis: a roadmap for future research","container-title":"The Lancet. Infectious Diseases","page":"581-614","volume":"15","issue":"5","source":"PubMed","abstract":"Sepsis is a common and lethal syndrome: although outcomes have improved, mortality remains high. No specific anti-sepsis treatments exist; as such, management of patients relies mainly on early recognition allowing correct therapeutic measures to be started rapidly, including administration of appropriate antibiotics, source control measures when necessary, and resuscitation with intravenous fluids and vasoactive drugs when needed. Although substantial developments have been made in the understanding of the basic pathogenesis of sepsis and the complex interplay of host, pathogen, and environment that affect the incidence and course of the disease, sepsis has stubbornly resisted all efforts to successfully develop and then deploy new and improved treatments. Existing models of clinical research seem increasingly unlikely to produce new therapies that will result in a step change in clinical outcomes. In this Commission, we set out our understanding of the clinical epidemiology and management of sepsis and then ask how the present approaches might be challenged to develop a new roadmap for future research.","DOI":"10.1016/S1473-3099(15)70112-X","ISSN":"1474-4457","note":"PMID: 25932591","shortTitle":"Sepsis","journalAbbreviation":"Lancet Infect Dis","language":"eng","author":[{"family":"Cohen","given":"Jonathan"},{"family":"Vincent","given":"Jean-Louis"},{"family":"Adhikari","given":"Neill K. J."},{"family":"Machado","given":"Flavia R."},{"family":"Angus","given":"Derek C."},{"family":"Calandra","given":"Thierry"},{"family":"Jaton","given":"Katia"},{"family":"Giulieri","given":"Stefano"},{"family":"Delaloye","given":"Julie"},{"family":"Opal","given":"Steven"},{"family":"Tracey","given":"Kevin"},{"family":"Poll","given":"Tom","non-dropping-particle":"van der"},{"family":"Pelfrene","given":"Eric"}],"issued":{"date-parts":[["2015",5]]},"PMID":"25932591"}}],"schema":"https://github.com/citation-style-language/schema/raw/master/csl-citation.json"} </w:instrText>
      </w:r>
      <w:r w:rsidR="00D822D6" w:rsidRPr="007141B1">
        <w:rPr>
          <w:rFonts w:asciiTheme="minorHAnsi" w:hAnsiTheme="minorHAnsi" w:cs="Arial"/>
          <w:lang w:val="en-GB"/>
        </w:rPr>
        <w:fldChar w:fldCharType="separate"/>
      </w:r>
      <w:r w:rsidR="007E7E7B" w:rsidRPr="000F5B05">
        <w:rPr>
          <w:rFonts w:ascii="Calibri" w:hAnsi="Calibri" w:cs="Calibri"/>
          <w:lang w:val="en-US"/>
        </w:rPr>
        <w:t>[68]</w:t>
      </w:r>
      <w:r w:rsidR="00D822D6" w:rsidRPr="007141B1">
        <w:rPr>
          <w:rFonts w:asciiTheme="minorHAnsi" w:hAnsiTheme="minorHAnsi" w:cs="Arial"/>
          <w:lang w:val="en-GB"/>
        </w:rPr>
        <w:fldChar w:fldCharType="end"/>
      </w:r>
      <w:r w:rsidRPr="007141B1">
        <w:rPr>
          <w:rFonts w:asciiTheme="minorHAnsi" w:hAnsiTheme="minorHAnsi" w:cs="Arial"/>
          <w:lang w:val="en-GB"/>
        </w:rPr>
        <w:t xml:space="preserve">. </w:t>
      </w:r>
      <w:r w:rsidR="001344F0">
        <w:rPr>
          <w:rFonts w:asciiTheme="minorHAnsi" w:hAnsiTheme="minorHAnsi" w:cs="Arial"/>
          <w:lang w:val="en-GB"/>
        </w:rPr>
        <w:t>W</w:t>
      </w:r>
      <w:r w:rsidRPr="007141B1">
        <w:rPr>
          <w:rFonts w:asciiTheme="minorHAnsi" w:hAnsiTheme="minorHAnsi" w:cs="Arial"/>
          <w:lang w:val="en-GB"/>
        </w:rPr>
        <w:t>e should re-evaluat</w:t>
      </w:r>
      <w:r w:rsidR="00172ABB">
        <w:rPr>
          <w:rFonts w:asciiTheme="minorHAnsi" w:hAnsiTheme="minorHAnsi" w:cs="Arial"/>
          <w:lang w:val="en-GB"/>
        </w:rPr>
        <w:t>e such</w:t>
      </w:r>
      <w:r w:rsidRPr="007141B1">
        <w:rPr>
          <w:rFonts w:asciiTheme="minorHAnsi" w:hAnsiTheme="minorHAnsi" w:cs="Arial"/>
          <w:lang w:val="en-GB"/>
        </w:rPr>
        <w:t xml:space="preserve"> treatment</w:t>
      </w:r>
      <w:r w:rsidR="00172ABB">
        <w:rPr>
          <w:rFonts w:asciiTheme="minorHAnsi" w:hAnsiTheme="minorHAnsi" w:cs="Arial"/>
          <w:lang w:val="en-GB"/>
        </w:rPr>
        <w:t xml:space="preserve"> </w:t>
      </w:r>
      <w:r w:rsidRPr="007141B1">
        <w:rPr>
          <w:rFonts w:asciiTheme="minorHAnsi" w:hAnsiTheme="minorHAnsi" w:cs="Arial"/>
          <w:lang w:val="en-GB"/>
        </w:rPr>
        <w:t>‘failures’ by using predictive or prognostic enrichment</w:t>
      </w:r>
      <w:r w:rsidR="00D822D6" w:rsidRPr="007141B1">
        <w:rPr>
          <w:rFonts w:asciiTheme="minorHAnsi" w:hAnsiTheme="minorHAnsi" w:cs="Arial"/>
          <w:lang w:val="en-GB"/>
        </w:rPr>
        <w:t xml:space="preserve"> </w:t>
      </w:r>
      <w:r w:rsidR="00D822D6" w:rsidRPr="007141B1">
        <w:rPr>
          <w:rFonts w:asciiTheme="minorHAnsi" w:hAnsiTheme="minorHAnsi" w:cs="Arial"/>
          <w:lang w:val="en-GB"/>
        </w:rPr>
        <w:lastRenderedPageBreak/>
        <w:fldChar w:fldCharType="begin"/>
      </w:r>
      <w:r w:rsidR="007E7E7B">
        <w:rPr>
          <w:rFonts w:asciiTheme="minorHAnsi" w:hAnsiTheme="minorHAnsi" w:cs="Arial"/>
          <w:lang w:val="en-GB"/>
        </w:rPr>
        <w:instrText xml:space="preserve"> ADDIN ZOTERO_ITEM CSL_CITATION {"citationID":"4qijfcpio","properties":{"formattedCitation":"[69]","plainCitation":"[69]"},"citationItems":[{"id":122,"uris":["http://zotero.org/users/local/ZaW79YVG/items/RX3S82I7"],"uri":["http://zotero.org/users/local/ZaW79YVG/items/RX3S82I7"],"itemData":{"id":122,"type":"article-journal","title":"Toward Smarter Lumping and Smarter Splitting: Rethinking Strategies for Sepsis and Acute Respiratory Distress Syndrome Clinical Trial Design","container-title":"American Journal of Respiratory and Critical Care Medicine","page":"147-155","volume":"194","issue":"2","source":"PubMed","abstract":"Both quality improvement and clinical research efforts over the past few decades have focused on consensus definition of sepsis and acute respiratory distress syndrome (ARDS). Although clinical definitions based on readily available clinical data have advanced recognition and timely use of broad supportive treatments, they likely hinder the identification of more targeted therapies that manipulate select biological mechanisms underlying critical illness. Sepsis and ARDS are by definition heterogeneous, and patients vary in both their underlying biology and their severity of illness. We have long been able to identify subtypes of sepsis and ARDS that confer different prognoses. The key is that we are now on the verge of identifying subtypes that may confer different response to therapy. In this perspective, inspired by a 2015 American Thoracic Society International Conference Symposium entitled \"Lumpers and Splitters: Phenotyping in Critical Illness,\" we highlight promising approaches to uncovering patient subtypes that may predict treatment responsiveness and not just differences in prognosis. We then discuss how this information can be leveraged to improve the success and translatability of clinical trials by using predictive enrichment and other design strategies. Last, we discuss the challenges and limitations to identifying biomarkers and endotypes and incorporating them into routine clinical practice.","DOI":"10.1164/rccm.201512-2544CP","ISSN":"1535-4970","note":"PMID: 27244481\nPMCID: PMC5003218","shortTitle":"Toward Smarter Lumping and Smarter Splitting","journalAbbreviation":"Am. J. Respir. Crit. Care Med.","language":"eng","author":[{"family":"Prescott","given":"Hallie C."},{"family":"Calfee","given":"Carolyn S."},{"family":"Thompson","given":"B. Taylor"},{"family":"Angus","given":"Derek C."},{"family":"Liu","given":"Vincent X."}],"issued":{"date-parts":[["2016",7,15]]},"PMID":"27244481","PMCID":"PMC5003218"}}],"schema":"https://github.com/citation-style-language/schema/raw/master/csl-citation.json"} </w:instrText>
      </w:r>
      <w:r w:rsidR="00D822D6" w:rsidRPr="007141B1">
        <w:rPr>
          <w:rFonts w:asciiTheme="minorHAnsi" w:hAnsiTheme="minorHAnsi" w:cs="Arial"/>
          <w:lang w:val="en-GB"/>
        </w:rPr>
        <w:fldChar w:fldCharType="separate"/>
      </w:r>
      <w:r w:rsidR="007E7E7B" w:rsidRPr="007E7E7B">
        <w:rPr>
          <w:rFonts w:ascii="Calibri" w:hAnsi="Calibri" w:cs="Calibri"/>
        </w:rPr>
        <w:t>[69]</w:t>
      </w:r>
      <w:r w:rsidR="00D822D6" w:rsidRPr="007141B1">
        <w:rPr>
          <w:rFonts w:asciiTheme="minorHAnsi" w:hAnsiTheme="minorHAnsi" w:cs="Arial"/>
          <w:lang w:val="en-GB"/>
        </w:rPr>
        <w:fldChar w:fldCharType="end"/>
      </w:r>
      <w:r w:rsidRPr="007141B1">
        <w:rPr>
          <w:rFonts w:asciiTheme="minorHAnsi" w:hAnsiTheme="minorHAnsi" w:cs="Arial"/>
          <w:lang w:val="en-GB"/>
        </w:rPr>
        <w:t>. Treatment-responsive sub-phenotypes have been suggested for ARDS</w:t>
      </w:r>
      <w:r w:rsidR="006B62E1" w:rsidRPr="007141B1">
        <w:rPr>
          <w:rFonts w:asciiTheme="minorHAnsi" w:hAnsiTheme="minorHAnsi" w:cs="Arial"/>
          <w:lang w:val="en-GB"/>
        </w:rPr>
        <w:t xml:space="preserve"> </w:t>
      </w:r>
      <w:r w:rsidR="006B62E1"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m9st0skta","properties":{"formattedCitation":"[70]","plainCitation":"[70]"},"citationItems":[{"id":124,"uris":["http://zotero.org/users/local/ZaW79YVG/items/BDK7MJIH"],"uri":["http://zotero.org/users/local/ZaW79YVG/items/BDK7MJIH"],"itemData":{"id":124,"type":"article-journal","title":"ARDS Subphenotypes Respond Differently to Randomized Fluid Management Strategy","container-title":"American Journal of Respiratory and Critical Care Medicine","source":"PubMed","abstract":"BACKGROUND: We previously identified two ARDS subphenotypes in two separate randomized controlled trials, with differential response to positive end-expiratory pressure. The current analysis sought to identify these subphenotypes in a third ARDS cohort, to test whether subphenotypes respond differently to fluid management strategy, and to develop a practical model for subphenotype identification.\nMETHODS: We used latent class analysis of baseline clinical and plasma biomarker data to identify subphenotypes in the Fluid and Catheter Treatment Trial (FACTT; n=1000). Logistic regression was used to test for an interaction between subphenotype and treatment for mortality. We used stepwise modeling to generate a model for subphenotype identification in FACTT and validated its accuracy in the two cohorts in which we previously identified ARDS subphenotypes.\nFINDINGS: We confirmed that a two-class (two-subphenotype) model best described the study population. Subphenotype 2 was again characterized by higher inflammatory biomarkers and hypotension. Fluid management strategy had significantly different effects on 90-day mortality in the two subphenotypes (p=0.0039 for interaction); mortality in Subphenotype 1 was 26% with fluid conservative strategy versus 18% with fluid liberal, while mortality in Subphenotype 2 was 40% with fluid conservative strategy versus 50% in fluid liberal. A three-variable model of interleukin-8, bicarbonate, and tumor necrosis factor receptor-1 accurately classified the subphenotypes.\nINTERPRETATION: This analysis confirms the presence of two ARDS subphenotypes that can be accurately identified with a limited number of variables and that responded differently to randomly-assigned fluid management. These findings support the presence of ARDS subtypes that may require different treatment approaches.","DOI":"10.1164/rccm.201603-0645OC","ISSN":"1535-4970","note":"PMID: 27513822","journalAbbreviation":"Am. J. Respir. Crit. Care Med.","language":"eng","author":[{"family":"Famous","given":"Katie R."},{"family":"Delucchi","given":"Kevin"},{"family":"Ware","given":"Lorraine B."},{"family":"Kangelaris","given":"Kirsten N."},{"family":"Liu","given":"Kathleen D."},{"family":"Thompson","given":"B. Taylor"},{"family":"Calfee","given":"Carolyn S."}],"issued":{"date-parts":[["2016",8,11]]},"PMID":"27513822"}}],"schema":"https://github.com/citation-style-language/schema/raw/master/csl-citation.json"} </w:instrText>
      </w:r>
      <w:r w:rsidR="006B62E1" w:rsidRPr="007141B1">
        <w:rPr>
          <w:rFonts w:asciiTheme="minorHAnsi" w:hAnsiTheme="minorHAnsi" w:cs="Arial"/>
          <w:lang w:val="en-GB"/>
        </w:rPr>
        <w:fldChar w:fldCharType="separate"/>
      </w:r>
      <w:r w:rsidR="007E7E7B" w:rsidRPr="007E7E7B">
        <w:rPr>
          <w:rFonts w:ascii="Calibri" w:hAnsi="Calibri" w:cs="Calibri"/>
        </w:rPr>
        <w:t>[70]</w:t>
      </w:r>
      <w:r w:rsidR="006B62E1" w:rsidRPr="007141B1">
        <w:rPr>
          <w:rFonts w:asciiTheme="minorHAnsi" w:hAnsiTheme="minorHAnsi" w:cs="Arial"/>
          <w:lang w:val="en-GB"/>
        </w:rPr>
        <w:fldChar w:fldCharType="end"/>
      </w:r>
      <w:r w:rsidRPr="007141B1">
        <w:rPr>
          <w:rFonts w:asciiTheme="minorHAnsi" w:hAnsiTheme="minorHAnsi" w:cs="Arial"/>
          <w:lang w:val="en-GB"/>
        </w:rPr>
        <w:t xml:space="preserve"> and sepsis</w:t>
      </w:r>
      <w:r w:rsidR="006B62E1" w:rsidRPr="007141B1">
        <w:rPr>
          <w:rFonts w:asciiTheme="minorHAnsi" w:hAnsiTheme="minorHAnsi" w:cs="Arial"/>
          <w:lang w:val="en-GB"/>
        </w:rPr>
        <w:t xml:space="preserve"> </w:t>
      </w:r>
      <w:r w:rsidR="006B62E1"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10gqq0rb9a","properties":{"formattedCitation":"[71]","plainCitation":"[71]"},"citationItems":[{"id":126,"uris":["http://zotero.org/users/local/ZaW79YVG/items/MDQPIVN2"],"uri":["http://zotero.org/users/local/ZaW79YVG/items/MDQPIVN2"],"itemData":{"id":126,"type":"article-journal","title":"Developing a clinically feasible personalized medicine approach to pediatric septic shock","container-title":"American Journal of Respiratory and Critical Care Medicine","page":"309-315","volume":"191","issue":"3","source":"PubMed","abstract":"RATIONALE: Using microarray data, we previously identified gene expression-based subclasses of septic shock with important phenotypic differences. The subclass-defining genes correspond to adaptive immunity and glucocorticoid receptor signaling. Identifying the subclasses in real time has theranostic implications, given the potential for immune-enhancing therapies and controversies surrounding adjunctive corticosteroids for septic shock.\nOBJECTIVES: To develop and validate a real-time subclassification method for septic shock.\nMETHODS: Gene expression data for the 100 subclass-defining genes were generated using a multiplex messenger RNA quantification platform (NanoString nCounter) and visualized using gene expression mosaics. Study subjects (n = 168) were allocated to the subclasses using computer-assisted image analysis and microarray-based reference mosaics. A gene expression score was calculated to reduce the gene expression patterns to a single metric. The method was tested prospectively in a separate cohort (n = 132).\nMEASUREMENTS AND MAIN RESULTS: The NanoString-based data reproduced two septic shock subclasses. As previously, one subclass had decreased expression of the subclass-defining genes. The gene expression score identified this subclass with an area under the curve of 0.98 (95% confidence interval [CI95] = 0.96-0.99). Prospective testing of the subclassification method corroborated these findings. Allocation to this subclass was independently associated with mortality (odds ratio = 2.7; CI95 = 1.2-6.0; P = 0.016), and adjunctive corticosteroids prescribed at physician discretion were independently associated with mortality in this subclass (odds ratio = 4.1; CI95 = 1.4-12.0; P = 0.011).\nCONCLUSIONS: We developed and tested a gene expression-based classification method for pediatric septic shock that meets the time constraints of the critical care environment, and can potentially inform therapeutic decisions.","DOI":"10.1164/rccm.201410-1864OC","ISSN":"1535-4970","note":"PMID: 25489881\nPMCID: PMC4351580","journalAbbreviation":"Am. J. Respir. Crit. Care Med.","language":"eng","author":[{"family":"Wong","given":"Hector R."},{"family":"Cvijanovich","given":"Natalie Z."},{"family":"Anas","given":"Nick"},{"family":"Allen","given":"Geoffrey L."},{"family":"Thomas","given":"Neal J."},{"family":"Bigham","given":"Michael T."},{"family":"Weiss","given":"Scott L."},{"family":"Fitzgerald","given":"Julie"},{"family":"Checchia","given":"Paul A."},{"family":"Meyer","given":"Keith"},{"family":"Shanley","given":"Thomas P."},{"family":"Quasney","given":"Michael"},{"family":"Hall","given":"Mark"},{"family":"Gedeit","given":"Rainer"},{"family":"Freishtat","given":"Robert J."},{"family":"Nowak","given":"Jeffrey"},{"family":"Shekhar","given":"Raj S."},{"family":"Gertz","given":"Shira"},{"family":"Dawson","given":"Emily"},{"family":"Howard","given":"Kelli"},{"family":"Harmon","given":"Kelli"},{"family":"Beckman","given":"Eileen"},{"family":"Frank","given":"Erin"},{"family":"Lindsell","given":"Christopher J."}],"issued":{"date-parts":[["2015",2,1]]},"PMID":"25489881","PMCID":"PMC4351580"}}],"schema":"https://github.com/citation-style-language/schema/raw/master/csl-citation.json"} </w:instrText>
      </w:r>
      <w:r w:rsidR="006B62E1" w:rsidRPr="007141B1">
        <w:rPr>
          <w:rFonts w:asciiTheme="minorHAnsi" w:hAnsiTheme="minorHAnsi" w:cs="Arial"/>
          <w:lang w:val="en-GB"/>
        </w:rPr>
        <w:fldChar w:fldCharType="separate"/>
      </w:r>
      <w:r w:rsidR="007E7E7B" w:rsidRPr="000F5B05">
        <w:rPr>
          <w:rFonts w:ascii="Calibri" w:hAnsi="Calibri" w:cs="Calibri"/>
          <w:lang w:val="en-US"/>
        </w:rPr>
        <w:t>[71]</w:t>
      </w:r>
      <w:r w:rsidR="006B62E1" w:rsidRPr="007141B1">
        <w:rPr>
          <w:rFonts w:asciiTheme="minorHAnsi" w:hAnsiTheme="minorHAnsi" w:cs="Arial"/>
          <w:lang w:val="en-GB"/>
        </w:rPr>
        <w:fldChar w:fldCharType="end"/>
      </w:r>
      <w:r w:rsidRPr="007141B1">
        <w:rPr>
          <w:rFonts w:asciiTheme="minorHAnsi" w:hAnsiTheme="minorHAnsi" w:cs="Arial"/>
          <w:lang w:val="en-GB"/>
        </w:rPr>
        <w:t xml:space="preserve">, and these need to be explored </w:t>
      </w:r>
      <w:r w:rsidR="001344F0">
        <w:rPr>
          <w:rFonts w:asciiTheme="minorHAnsi" w:hAnsiTheme="minorHAnsi" w:cs="Arial"/>
          <w:lang w:val="en-GB"/>
        </w:rPr>
        <w:t xml:space="preserve">further. We </w:t>
      </w:r>
      <w:r w:rsidRPr="007141B1">
        <w:rPr>
          <w:rFonts w:asciiTheme="minorHAnsi" w:hAnsiTheme="minorHAnsi" w:cs="Arial"/>
          <w:lang w:val="en-GB"/>
        </w:rPr>
        <w:t xml:space="preserve">need to identify patients in whom therapies should be avoided. Immunosuppressive agents (such as steroids) should be withheld in patients found to be immunosuppressed, whereas </w:t>
      </w:r>
      <w:r w:rsidR="00101E64" w:rsidRPr="007141B1">
        <w:rPr>
          <w:rFonts w:asciiTheme="minorHAnsi" w:hAnsiTheme="minorHAnsi" w:cs="Arial"/>
          <w:lang w:val="en-GB"/>
        </w:rPr>
        <w:t>immune-</w:t>
      </w:r>
      <w:r w:rsidRPr="007141B1">
        <w:rPr>
          <w:rFonts w:asciiTheme="minorHAnsi" w:hAnsiTheme="minorHAnsi" w:cs="Arial"/>
          <w:lang w:val="en-GB"/>
        </w:rPr>
        <w:t>stimulatory agents (e.g.</w:t>
      </w:r>
      <w:r w:rsidR="00D81B75">
        <w:rPr>
          <w:rFonts w:asciiTheme="minorHAnsi" w:hAnsiTheme="minorHAnsi" w:cs="Arial"/>
          <w:lang w:val="en-GB"/>
        </w:rPr>
        <w:t>,</w:t>
      </w:r>
      <w:r w:rsidRPr="007141B1">
        <w:rPr>
          <w:rFonts w:asciiTheme="minorHAnsi" w:hAnsiTheme="minorHAnsi" w:cs="Arial"/>
          <w:lang w:val="en-GB"/>
        </w:rPr>
        <w:t xml:space="preserve"> GM-CSF, IFN-gamma, </w:t>
      </w:r>
      <w:r w:rsidR="00D81B75">
        <w:rPr>
          <w:rFonts w:asciiTheme="minorHAnsi" w:hAnsiTheme="minorHAnsi" w:cs="Arial"/>
          <w:lang w:val="en-GB"/>
        </w:rPr>
        <w:t xml:space="preserve">or </w:t>
      </w:r>
      <w:r w:rsidRPr="007141B1">
        <w:rPr>
          <w:rFonts w:asciiTheme="minorHAnsi" w:hAnsiTheme="minorHAnsi" w:cs="Arial"/>
          <w:lang w:val="en-GB"/>
        </w:rPr>
        <w:t xml:space="preserve">PD-1 </w:t>
      </w:r>
      <w:r w:rsidR="00D81B75">
        <w:rPr>
          <w:rFonts w:asciiTheme="minorHAnsi" w:hAnsiTheme="minorHAnsi" w:cs="Arial"/>
          <w:lang w:val="en-GB"/>
        </w:rPr>
        <w:t>inhibitors</w:t>
      </w:r>
      <w:r w:rsidRPr="007141B1">
        <w:rPr>
          <w:rFonts w:asciiTheme="minorHAnsi" w:hAnsiTheme="minorHAnsi" w:cs="Arial"/>
          <w:lang w:val="en-GB"/>
        </w:rPr>
        <w:t>) would likely further aggravate a cytokine storm if given when a strong pro-inflammatory phenotype is being expressed</w:t>
      </w:r>
      <w:r w:rsidR="006B62E1" w:rsidRPr="007141B1">
        <w:rPr>
          <w:rFonts w:asciiTheme="minorHAnsi" w:hAnsiTheme="minorHAnsi" w:cs="Arial"/>
          <w:lang w:val="en-GB"/>
        </w:rPr>
        <w:t xml:space="preserve"> </w:t>
      </w:r>
      <w:r w:rsidR="006B62E1"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1va9epsvvi","properties":{"formattedCitation":"[72]","plainCitation":"[72]"},"citationItems":[{"id":128,"uris":["http://zotero.org/users/local/ZaW79YVG/items/PT8P62SI"],"uri":["http://zotero.org/users/local/ZaW79YVG/items/PT8P62SI"],"itemData":{"id":128,"type":"article-journal","title":"Immunology. Getting sepsis therapy right","container-title":"Science (New York, N.Y.)","page":"1201-1202","volume":"347","issue":"6227","source":"PubMed","DOI":"10.1126/science.aaa8334","ISSN":"1095-9203","note":"PMID: 25766219\nPMCID: PMC4398343","journalAbbreviation":"Science","language":"eng","author":[{"family":"Hotchkiss","given":"Richard S."},{"family":"Sherwood","given":"Edward R."}],"issued":{"date-parts":[["2015",3,13]]},"PMID":"25766219","PMCID":"PMC4398343"}}],"schema":"https://github.com/citation-style-language/schema/raw/master/csl-citation.json"} </w:instrText>
      </w:r>
      <w:r w:rsidR="006B62E1" w:rsidRPr="007141B1">
        <w:rPr>
          <w:rFonts w:asciiTheme="minorHAnsi" w:hAnsiTheme="minorHAnsi" w:cs="Arial"/>
          <w:lang w:val="en-GB"/>
        </w:rPr>
        <w:fldChar w:fldCharType="separate"/>
      </w:r>
      <w:r w:rsidR="007E7E7B" w:rsidRPr="000F5B05">
        <w:rPr>
          <w:rFonts w:ascii="Calibri" w:hAnsi="Calibri" w:cs="Calibri"/>
          <w:lang w:val="en-US"/>
        </w:rPr>
        <w:t>[72]</w:t>
      </w:r>
      <w:r w:rsidR="006B62E1" w:rsidRPr="007141B1">
        <w:rPr>
          <w:rFonts w:asciiTheme="minorHAnsi" w:hAnsiTheme="minorHAnsi" w:cs="Arial"/>
          <w:lang w:val="en-GB"/>
        </w:rPr>
        <w:fldChar w:fldCharType="end"/>
      </w:r>
      <w:r w:rsidRPr="007141B1">
        <w:rPr>
          <w:rFonts w:asciiTheme="minorHAnsi" w:hAnsiTheme="minorHAnsi" w:cs="Arial"/>
          <w:lang w:val="en-GB"/>
        </w:rPr>
        <w:t xml:space="preserve">. </w:t>
      </w:r>
    </w:p>
    <w:p w:rsidR="00851E20" w:rsidRPr="007141B1" w:rsidRDefault="00851E20" w:rsidP="00A07303">
      <w:pPr>
        <w:spacing w:line="360" w:lineRule="auto"/>
        <w:rPr>
          <w:rFonts w:asciiTheme="minorHAnsi" w:hAnsiTheme="minorHAnsi" w:cs="Arial"/>
          <w:lang w:val="en-GB"/>
        </w:rPr>
      </w:pPr>
    </w:p>
    <w:p w:rsidR="00101E64" w:rsidRPr="007141B1" w:rsidRDefault="00101E64" w:rsidP="00851E20">
      <w:pPr>
        <w:spacing w:line="360" w:lineRule="auto"/>
        <w:rPr>
          <w:rFonts w:asciiTheme="minorHAnsi" w:hAnsiTheme="minorHAnsi" w:cs="Arial"/>
          <w:b/>
          <w:lang w:val="en-GB"/>
        </w:rPr>
      </w:pPr>
      <w:r w:rsidRPr="007141B1">
        <w:rPr>
          <w:rFonts w:asciiTheme="minorHAnsi" w:hAnsiTheme="minorHAnsi" w:cs="Arial"/>
          <w:b/>
          <w:lang w:val="en-GB"/>
        </w:rPr>
        <w:t>Trial design</w:t>
      </w:r>
    </w:p>
    <w:p w:rsidR="00851E20" w:rsidRPr="007141B1" w:rsidRDefault="00851E20" w:rsidP="00851E20">
      <w:pPr>
        <w:spacing w:line="360" w:lineRule="auto"/>
        <w:rPr>
          <w:rFonts w:asciiTheme="minorHAnsi" w:hAnsiTheme="minorHAnsi" w:cs="Arial"/>
          <w:lang w:val="en-GB"/>
        </w:rPr>
      </w:pPr>
      <w:r w:rsidRPr="007141B1">
        <w:rPr>
          <w:rFonts w:asciiTheme="minorHAnsi" w:hAnsiTheme="minorHAnsi" w:cs="Arial"/>
          <w:lang w:val="en-GB"/>
        </w:rPr>
        <w:t xml:space="preserve">We </w:t>
      </w:r>
      <w:r w:rsidR="00172ABB">
        <w:rPr>
          <w:rFonts w:asciiTheme="minorHAnsi" w:hAnsiTheme="minorHAnsi" w:cs="Arial"/>
          <w:lang w:val="en-GB"/>
        </w:rPr>
        <w:t xml:space="preserve">also </w:t>
      </w:r>
      <w:r w:rsidRPr="007141B1">
        <w:rPr>
          <w:rFonts w:asciiTheme="minorHAnsi" w:hAnsiTheme="minorHAnsi" w:cs="Arial"/>
          <w:lang w:val="en-GB"/>
        </w:rPr>
        <w:t>need to be smarter in other aspects of trial design</w:t>
      </w:r>
      <w:r w:rsidR="00D06366">
        <w:rPr>
          <w:rFonts w:asciiTheme="minorHAnsi" w:hAnsiTheme="minorHAnsi" w:cs="Arial"/>
          <w:lang w:val="en-GB"/>
        </w:rPr>
        <w:t xml:space="preserve"> (Fig. 3)</w:t>
      </w:r>
      <w:r w:rsidR="0044450B">
        <w:rPr>
          <w:rFonts w:asciiTheme="minorHAnsi" w:hAnsiTheme="minorHAnsi" w:cs="Arial"/>
          <w:lang w:val="en-GB"/>
        </w:rPr>
        <w:t>.</w:t>
      </w:r>
      <w:r w:rsidRPr="007141B1">
        <w:rPr>
          <w:rFonts w:asciiTheme="minorHAnsi" w:hAnsiTheme="minorHAnsi" w:cs="Arial"/>
          <w:lang w:val="en-GB"/>
        </w:rPr>
        <w:t xml:space="preserve"> Many studies have been unrealistically powered to sui</w:t>
      </w:r>
      <w:r w:rsidR="001344F0">
        <w:rPr>
          <w:rFonts w:asciiTheme="minorHAnsi" w:hAnsiTheme="minorHAnsi" w:cs="Arial"/>
          <w:lang w:val="en-GB"/>
        </w:rPr>
        <w:t>t funding or time limitations; t</w:t>
      </w:r>
      <w:r w:rsidRPr="007141B1">
        <w:rPr>
          <w:rFonts w:asciiTheme="minorHAnsi" w:hAnsiTheme="minorHAnsi" w:cs="Arial"/>
          <w:lang w:val="en-GB"/>
        </w:rPr>
        <w:t>ype</w:t>
      </w:r>
      <w:r w:rsidR="0044450B">
        <w:rPr>
          <w:rFonts w:asciiTheme="minorHAnsi" w:hAnsiTheme="minorHAnsi" w:cs="Arial"/>
          <w:lang w:val="en-GB"/>
        </w:rPr>
        <w:t xml:space="preserve"> </w:t>
      </w:r>
      <w:r w:rsidRPr="007141B1">
        <w:rPr>
          <w:rFonts w:asciiTheme="minorHAnsi" w:hAnsiTheme="minorHAnsi" w:cs="Arial"/>
          <w:lang w:val="en-GB"/>
        </w:rPr>
        <w:t>II error is thus a concern. With the advent of ‘big data’</w:t>
      </w:r>
      <w:r w:rsidR="00DC09D5" w:rsidRPr="007141B1">
        <w:rPr>
          <w:rFonts w:asciiTheme="minorHAnsi" w:hAnsiTheme="minorHAnsi" w:cs="Arial"/>
          <w:lang w:val="en-GB"/>
        </w:rPr>
        <w:t xml:space="preserve"> </w:t>
      </w:r>
      <w:r w:rsidR="006B62E1"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2gk0v077pr","properties":{"formattedCitation":"[73]","plainCitation":"[73]"},"citationItems":[{"id":130,"uris":["http://zotero.org/users/local/ZaW79YVG/items/VC2T5ZE7"],"uri":["http://zotero.org/users/local/ZaW79YVG/items/VC2T5ZE7"],"itemData":{"id":130,"type":"article-journal","title":"What's so different about big data?. A primer for clinicians trained to think epidemiologically","container-title":"Annals of the American Thoracic Society","page":"1130-1135","volume":"11","issue":"7","source":"PubMed","abstract":"The Big Data movement in computer science has brought dramatic changes in what counts as data, how those data are analyzed, and what can be done with those data. Although increasingly pervasive in the business world, it has only recently begun to influence clinical research and practice. As Big Data draws from different intellectual traditions than clinical epidemiology, the ideas may be less familiar to practicing clinicians. There is an increasing role of Big Data in health care, and it has tremendous potential. This Demystifying Data Seminar identifies four main strands in Big Data relevant to health care. The first is the inclusion of many new kinds of data elements into clinical research and operations, in a volume not previously routinely used. Second, Big Data asks different kinds of questions of data and emphasizes the usefulness of analyses that are explicitly associational but not causal. Third, Big Data brings new analytic approaches to bear on these questions. And fourth, Big Data embodies a new set of aspirations for a breaking down of distinctions between research data and operational data and their merging into a continuously learning health system.","DOI":"10.1513/AnnalsATS.201405-185AS","ISSN":"2325-6621","note":"PMID: 25102315\nPMCID: PMC4214055","shortTitle":"What's so different about big data?","journalAbbreviation":"Ann Am Thorac Soc","language":"eng","author":[{"family":"Iwashyna","given":"Theodore J."},{"family":"Liu","given":"Vincent"}],"issued":{"date-parts":[["2014",9]]},"PMID":"25102315","PMCID":"PMC4214055"}}],"schema":"https://github.com/citation-style-language/schema/raw/master/csl-citation.json"} </w:instrText>
      </w:r>
      <w:r w:rsidR="006B62E1" w:rsidRPr="007141B1">
        <w:rPr>
          <w:rFonts w:asciiTheme="minorHAnsi" w:hAnsiTheme="minorHAnsi" w:cs="Arial"/>
          <w:lang w:val="en-GB"/>
        </w:rPr>
        <w:fldChar w:fldCharType="separate"/>
      </w:r>
      <w:r w:rsidR="007E7E7B" w:rsidRPr="000F5B05">
        <w:rPr>
          <w:rFonts w:ascii="Calibri" w:hAnsi="Calibri" w:cs="Calibri"/>
          <w:lang w:val="en-US"/>
        </w:rPr>
        <w:t>[73]</w:t>
      </w:r>
      <w:r w:rsidR="006B62E1" w:rsidRPr="007141B1">
        <w:rPr>
          <w:rFonts w:asciiTheme="minorHAnsi" w:hAnsiTheme="minorHAnsi" w:cs="Arial"/>
          <w:lang w:val="en-GB"/>
        </w:rPr>
        <w:fldChar w:fldCharType="end"/>
      </w:r>
      <w:r w:rsidRPr="007141B1">
        <w:rPr>
          <w:rFonts w:asciiTheme="minorHAnsi" w:hAnsiTheme="minorHAnsi" w:cs="Arial"/>
          <w:lang w:val="en-GB"/>
        </w:rPr>
        <w:t>, we should be able to better characterise patients for study inclusion and exclusion, and to target more appropriate study endpoints rather than mortality</w:t>
      </w:r>
      <w:r w:rsidR="00172ABB">
        <w:rPr>
          <w:rFonts w:asciiTheme="minorHAnsi" w:hAnsiTheme="minorHAnsi" w:cs="Arial"/>
          <w:lang w:val="en-GB"/>
        </w:rPr>
        <w:t>,</w:t>
      </w:r>
      <w:r w:rsidRPr="007141B1">
        <w:rPr>
          <w:rFonts w:asciiTheme="minorHAnsi" w:hAnsiTheme="minorHAnsi" w:cs="Arial"/>
          <w:lang w:val="en-GB"/>
        </w:rPr>
        <w:t xml:space="preserve"> or to consider mortality with persisting organ failure</w:t>
      </w:r>
      <w:r w:rsidR="00DC09D5" w:rsidRPr="007141B1">
        <w:rPr>
          <w:rFonts w:asciiTheme="minorHAnsi" w:hAnsiTheme="minorHAnsi" w:cs="Arial"/>
          <w:lang w:val="en-GB"/>
        </w:rPr>
        <w:t xml:space="preserve"> </w:t>
      </w:r>
      <w:r w:rsidR="00977389"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1shk0jssvn","properties":{"formattedCitation":"[74]","plainCitation":"[74]"},"citationItems":[{"id":132,"uris":["http://zotero.org/users/local/ZaW79YVG/items/NUNET5RN"],"uri":["http://zotero.org/users/local/ZaW79YVG/items/NUNET5RN"],"itemData":{"id":132,"type":"article-journal","title":"Persistent organ dysfunction plus death: a novel, composite outcome measure for critical care trials","container-title":"Critical Care (London, England)","page":"R98","volume":"15","issue":"2","source":"PubMed","abstract":"INTRODUCTION: Due to resource limitations, few critical care interventions have been rigorously evaluated with adequately powered randomized clinical trials (RCTs). There is a need to improve the efficiency of RCTs in critical care so that more definitive high quality RCTs can be completed with the available resources. The objective of this study was to validate and demonstrate the utility of a novel composite outcome measure, persistent organ dysfunction (POD) plus death, for clinical trials of critically ill patients.\nMETHODS: We performed a secondary analysis of a dataset from a prospective randomized trial involving 38 intensive care units (ICUs) in Canada, Europe, and the United States. We define POD as the persistence of organ dysfunction requiring supportive technologies during the convalescent phase of critical illness and it is present when a patient has an ongoing requirement for vasopressors, dialysis, or mechanical ventilation at the outcome assessments time points. In 600 patients enrolled in a randomized trial of nutrition therapy and followed prospectively for six months, we evaluated the prevalence of POD and its association with outcome.\nRESULTS: At 28 days, 2.3% of patients had circulatory failure, 13.7% had renal failure, 8.7% had respiratory failure, and 27.2% had died, for an overall prevalence of POD + death = 46.0%. Of survivors at Day 28, those with POD, compared to those without POD, had a higher mortality rate in the six-month follow-up period, had longer ICU and hospital stays, and a reduced quality of life at three months. Given these rates of POD + death and using a two-sided Chi-squared test at alpha = 0.05, we would require 616 patients per arm to detect a 25% relative risk reduction (RRR) in mortality, but only 286 per arm to detect the same RRR in POD + mortality.\nCONCLUSIONS: POD + death may be a valid composite outcome measure and compared to mortality endpoints, may reduce the sample size requirements of clinical trials of critically ill patients. Further validation in larger clinical trials is required.","DOI":"10.1186/cc10110","ISSN":"1466-609X","note":"PMID: 21418560\nPMCID: PMC3219367","shortTitle":"Persistent organ dysfunction plus death","journalAbbreviation":"Crit Care","language":"eng","author":[{"family":"Heyland","given":"Daren K."},{"family":"Muscedere","given":"John"},{"family":"Drover","given":"John"},{"family":"Jiang","given":"Xuran"},{"family":"Day","given":"Andrew G."},{"literal":"Canadian Critical Care Trials Group"}],"issued":{"date-parts":[["2011"]]},"PMID":"21418560","PMCID":"PMC3219367"}}],"schema":"https://github.com/citation-style-language/schema/raw/master/csl-citation.json"} </w:instrText>
      </w:r>
      <w:r w:rsidR="00977389" w:rsidRPr="007141B1">
        <w:rPr>
          <w:rFonts w:asciiTheme="minorHAnsi" w:hAnsiTheme="minorHAnsi" w:cs="Arial"/>
          <w:lang w:val="en-GB"/>
        </w:rPr>
        <w:fldChar w:fldCharType="separate"/>
      </w:r>
      <w:r w:rsidR="007E7E7B" w:rsidRPr="000F5B05">
        <w:rPr>
          <w:rFonts w:ascii="Calibri" w:hAnsi="Calibri" w:cs="Calibri"/>
          <w:lang w:val="en-US"/>
        </w:rPr>
        <w:t>[74]</w:t>
      </w:r>
      <w:r w:rsidR="00977389" w:rsidRPr="007141B1">
        <w:rPr>
          <w:rFonts w:asciiTheme="minorHAnsi" w:hAnsiTheme="minorHAnsi" w:cs="Arial"/>
          <w:lang w:val="en-GB"/>
        </w:rPr>
        <w:fldChar w:fldCharType="end"/>
      </w:r>
      <w:r w:rsidRPr="007141B1">
        <w:rPr>
          <w:rFonts w:asciiTheme="minorHAnsi" w:hAnsiTheme="minorHAnsi" w:cs="Arial"/>
          <w:lang w:val="en-GB"/>
        </w:rPr>
        <w:t>. However, choosing composite and/or no</w:t>
      </w:r>
      <w:r w:rsidR="00EF76EF" w:rsidRPr="007141B1">
        <w:rPr>
          <w:rFonts w:asciiTheme="minorHAnsi" w:hAnsiTheme="minorHAnsi" w:cs="Arial"/>
          <w:lang w:val="en-GB"/>
        </w:rPr>
        <w:t xml:space="preserve">n-mortality endpoints </w:t>
      </w:r>
      <w:r w:rsidR="00E30963">
        <w:rPr>
          <w:rFonts w:asciiTheme="minorHAnsi" w:hAnsiTheme="minorHAnsi" w:cs="Arial"/>
          <w:lang w:val="en-GB"/>
        </w:rPr>
        <w:t>is</w:t>
      </w:r>
      <w:r w:rsidRPr="007141B1">
        <w:rPr>
          <w:rFonts w:asciiTheme="minorHAnsi" w:hAnsiTheme="minorHAnsi" w:cs="Arial"/>
          <w:lang w:val="en-GB"/>
        </w:rPr>
        <w:t xml:space="preserve"> complex</w:t>
      </w:r>
      <w:r w:rsidR="00A07303">
        <w:rPr>
          <w:rFonts w:asciiTheme="minorHAnsi" w:hAnsiTheme="minorHAnsi" w:cs="Arial"/>
          <w:lang w:val="en-GB"/>
        </w:rPr>
        <w:t xml:space="preserve"> </w:t>
      </w:r>
      <w:r w:rsidR="00A07303"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lm0bnp5ah","properties":{"formattedCitation":"[75]","plainCitation":"[75]"},"citationItems":[{"id":134,"uris":["http://zotero.org/users/local/ZaW79YVG/items/RPJV3WZG"],"uri":["http://zotero.org/users/local/ZaW79YVG/items/RPJV3WZG"],"itemData":{"id":134,"type":"article-journal","title":"Validity of composite end points in clinical trials","container-title":"BMJ (Clinical research ed.)","page":"594-596","volume":"330","issue":"7491","source":"PubMed","DOI":"10.1136/bmj.330.7491.594","ISSN":"1756-1833","note":"PMID: 15761002\nPMCID: PMC554039","journalAbbreviation":"BMJ","language":"eng","author":[{"family":"Montori","given":"Victor M."},{"family":"Permanyer-Miralda","given":"Gaietà"},{"family":"Ferreira-González","given":"Ignacio"},{"family":"Busse","given":"Jason W."},{"family":"Pacheco-Huergo","given":"Valeria"},{"family":"Bryant","given":"Dianne"},{"family":"Alonso","given":"Jordi"},{"family":"Akl","given":"Elie A."},{"family":"Domingo-Salvany","given":"Antònia"},{"family":"Mills","given":"Edward"},{"family":"Wu","given":"Ping"},{"family":"Schünemann","given":"Holger J."},{"family":"Jaeschke","given":"Roman"},{"family":"Guyatt","given":"Gordon H."}],"issued":{"date-parts":[["2005",3,12]]},"PMID":"15761002","PMCID":"PMC554039"}}],"schema":"https://github.com/citation-style-language/schema/raw/master/csl-citation.json"} </w:instrText>
      </w:r>
      <w:r w:rsidR="00A07303" w:rsidRPr="007141B1">
        <w:rPr>
          <w:rFonts w:asciiTheme="minorHAnsi" w:hAnsiTheme="minorHAnsi" w:cs="Arial"/>
          <w:lang w:val="en-GB"/>
        </w:rPr>
        <w:fldChar w:fldCharType="separate"/>
      </w:r>
      <w:r w:rsidR="007E7E7B" w:rsidRPr="000F5B05">
        <w:rPr>
          <w:rFonts w:ascii="Calibri" w:hAnsi="Calibri" w:cs="Calibri"/>
          <w:lang w:val="en-US"/>
        </w:rPr>
        <w:t>[75]</w:t>
      </w:r>
      <w:r w:rsidR="00A07303" w:rsidRPr="007141B1">
        <w:rPr>
          <w:rFonts w:asciiTheme="minorHAnsi" w:hAnsiTheme="minorHAnsi" w:cs="Arial"/>
          <w:lang w:val="en-GB"/>
        </w:rPr>
        <w:fldChar w:fldCharType="end"/>
      </w:r>
      <w:r w:rsidR="00172ABB">
        <w:rPr>
          <w:rFonts w:asciiTheme="minorHAnsi" w:hAnsiTheme="minorHAnsi" w:cs="Arial"/>
          <w:lang w:val="en-GB"/>
        </w:rPr>
        <w:t xml:space="preserve">; </w:t>
      </w:r>
      <w:r w:rsidRPr="007141B1">
        <w:rPr>
          <w:rFonts w:asciiTheme="minorHAnsi" w:hAnsiTheme="minorHAnsi" w:cs="Arial"/>
          <w:lang w:val="en-GB"/>
        </w:rPr>
        <w:t>improving a non-mortality endpoint may not necessarily translate into a survival benefit.</w:t>
      </w:r>
      <w:r w:rsidR="00200147" w:rsidRPr="00200147">
        <w:rPr>
          <w:rFonts w:asciiTheme="minorHAnsi" w:hAnsiTheme="minorHAnsi" w:cs="Arial"/>
          <w:lang w:val="en-GB"/>
        </w:rPr>
        <w:t xml:space="preserve"> </w:t>
      </w:r>
      <w:r w:rsidR="00200147">
        <w:rPr>
          <w:rFonts w:asciiTheme="minorHAnsi" w:hAnsiTheme="minorHAnsi" w:cs="Arial"/>
          <w:lang w:val="en-GB"/>
        </w:rPr>
        <w:t>Adaptive trial design can also increase trial efficiency by facilitating earlier discard of ineffective interventions or doses of drugs.</w:t>
      </w:r>
    </w:p>
    <w:p w:rsidR="00851E20" w:rsidRPr="007141B1" w:rsidRDefault="00851E20" w:rsidP="00851E20">
      <w:pPr>
        <w:spacing w:line="360" w:lineRule="auto"/>
        <w:ind w:firstLine="720"/>
        <w:rPr>
          <w:rFonts w:asciiTheme="minorHAnsi" w:hAnsiTheme="minorHAnsi" w:cs="Arial"/>
          <w:lang w:val="en-GB"/>
        </w:rPr>
      </w:pPr>
    </w:p>
    <w:p w:rsidR="00A35BC1" w:rsidRPr="007141B1" w:rsidRDefault="00A35BC1" w:rsidP="00851E20">
      <w:pPr>
        <w:spacing w:line="360" w:lineRule="auto"/>
        <w:rPr>
          <w:rFonts w:asciiTheme="minorHAnsi" w:hAnsiTheme="minorHAnsi"/>
          <w:b/>
          <w:color w:val="000000"/>
          <w:sz w:val="28"/>
          <w:lang w:val="en-GB"/>
        </w:rPr>
      </w:pPr>
      <w:r w:rsidRPr="007141B1">
        <w:rPr>
          <w:rFonts w:asciiTheme="minorHAnsi" w:hAnsiTheme="minorHAnsi"/>
          <w:b/>
          <w:color w:val="000000"/>
          <w:sz w:val="28"/>
          <w:lang w:val="en-GB"/>
        </w:rPr>
        <w:t xml:space="preserve">What are the top 10 </w:t>
      </w:r>
      <w:r w:rsidR="00A1126C">
        <w:rPr>
          <w:rFonts w:asciiTheme="minorHAnsi" w:hAnsiTheme="minorHAnsi"/>
          <w:b/>
          <w:color w:val="000000"/>
          <w:sz w:val="28"/>
          <w:lang w:val="en-GB"/>
        </w:rPr>
        <w:t>topics</w:t>
      </w:r>
      <w:r w:rsidRPr="007141B1">
        <w:rPr>
          <w:rFonts w:asciiTheme="minorHAnsi" w:hAnsiTheme="minorHAnsi"/>
          <w:b/>
          <w:color w:val="000000"/>
          <w:sz w:val="28"/>
          <w:lang w:val="en-GB"/>
        </w:rPr>
        <w:t xml:space="preserve"> to </w:t>
      </w:r>
      <w:r w:rsidR="00A1126C">
        <w:rPr>
          <w:rFonts w:asciiTheme="minorHAnsi" w:hAnsiTheme="minorHAnsi"/>
          <w:b/>
          <w:color w:val="000000"/>
          <w:sz w:val="28"/>
          <w:lang w:val="en-GB"/>
        </w:rPr>
        <w:t xml:space="preserve">undergo clinical testing </w:t>
      </w:r>
      <w:r w:rsidRPr="007141B1">
        <w:rPr>
          <w:rFonts w:asciiTheme="minorHAnsi" w:hAnsiTheme="minorHAnsi"/>
          <w:b/>
          <w:color w:val="000000"/>
          <w:sz w:val="28"/>
          <w:lang w:val="en-GB"/>
        </w:rPr>
        <w:t>in</w:t>
      </w:r>
      <w:r w:rsidR="006903BC" w:rsidRPr="007141B1">
        <w:rPr>
          <w:rFonts w:asciiTheme="minorHAnsi" w:hAnsiTheme="minorHAnsi"/>
          <w:b/>
          <w:color w:val="000000"/>
          <w:sz w:val="28"/>
          <w:lang w:val="en-GB"/>
        </w:rPr>
        <w:t xml:space="preserve"> septic shock in</w:t>
      </w:r>
      <w:r w:rsidRPr="007141B1">
        <w:rPr>
          <w:rFonts w:asciiTheme="minorHAnsi" w:hAnsiTheme="minorHAnsi"/>
          <w:b/>
          <w:color w:val="000000"/>
          <w:sz w:val="28"/>
          <w:lang w:val="en-GB"/>
        </w:rPr>
        <w:t xml:space="preserve"> the next 10 years?</w:t>
      </w:r>
    </w:p>
    <w:p w:rsidR="00A35BC1" w:rsidRDefault="00A35BC1" w:rsidP="00851E20">
      <w:pPr>
        <w:spacing w:line="360" w:lineRule="auto"/>
        <w:rPr>
          <w:rFonts w:asciiTheme="minorHAnsi" w:hAnsiTheme="minorHAnsi"/>
          <w:lang w:val="en-GB"/>
        </w:rPr>
      </w:pPr>
      <w:r w:rsidRPr="007141B1">
        <w:rPr>
          <w:rFonts w:asciiTheme="minorHAnsi" w:hAnsiTheme="minorHAnsi"/>
          <w:lang w:val="en-GB"/>
        </w:rPr>
        <w:t>These range from those trials ready to be conducted now to more speculative</w:t>
      </w:r>
      <w:r w:rsidRPr="007141B1" w:rsidDel="00E774EF">
        <w:rPr>
          <w:rFonts w:asciiTheme="minorHAnsi" w:hAnsiTheme="minorHAnsi"/>
          <w:lang w:val="en-GB"/>
        </w:rPr>
        <w:t xml:space="preserve"> </w:t>
      </w:r>
      <w:r w:rsidR="00A1126C">
        <w:rPr>
          <w:rFonts w:asciiTheme="minorHAnsi" w:hAnsiTheme="minorHAnsi"/>
          <w:lang w:val="en-GB"/>
        </w:rPr>
        <w:t>programs</w:t>
      </w:r>
      <w:r w:rsidR="00F163A6">
        <w:rPr>
          <w:rFonts w:asciiTheme="minorHAnsi" w:hAnsiTheme="minorHAnsi"/>
          <w:lang w:val="en-GB"/>
        </w:rPr>
        <w:t xml:space="preserve"> for later </w:t>
      </w:r>
      <w:r w:rsidR="00172ABB">
        <w:rPr>
          <w:rFonts w:asciiTheme="minorHAnsi" w:hAnsiTheme="minorHAnsi"/>
          <w:lang w:val="en-GB"/>
        </w:rPr>
        <w:t xml:space="preserve">study </w:t>
      </w:r>
      <w:r w:rsidR="00F163A6">
        <w:rPr>
          <w:rFonts w:asciiTheme="minorHAnsi" w:hAnsiTheme="minorHAnsi"/>
          <w:lang w:val="en-GB"/>
        </w:rPr>
        <w:t>in the next decade.</w:t>
      </w:r>
      <w:r w:rsidR="00347D81">
        <w:rPr>
          <w:rFonts w:asciiTheme="minorHAnsi" w:hAnsiTheme="minorHAnsi"/>
          <w:lang w:val="en-GB"/>
        </w:rPr>
        <w:t xml:space="preserve"> There are many other research questions to be answered</w:t>
      </w:r>
      <w:r w:rsidR="00172ABB">
        <w:rPr>
          <w:rFonts w:asciiTheme="minorHAnsi" w:hAnsiTheme="minorHAnsi"/>
          <w:lang w:val="en-GB"/>
        </w:rPr>
        <w:t>,</w:t>
      </w:r>
      <w:r w:rsidR="00347D81">
        <w:rPr>
          <w:rFonts w:asciiTheme="minorHAnsi" w:hAnsiTheme="minorHAnsi"/>
          <w:lang w:val="en-GB"/>
        </w:rPr>
        <w:t xml:space="preserve"> in particular in less resourced settings, but it is beyond the scope of the present paper to cover </w:t>
      </w:r>
      <w:r w:rsidR="003331FC">
        <w:rPr>
          <w:rFonts w:asciiTheme="minorHAnsi" w:hAnsiTheme="minorHAnsi"/>
          <w:lang w:val="en-GB"/>
        </w:rPr>
        <w:t xml:space="preserve">all </w:t>
      </w:r>
      <w:r w:rsidR="00347D81">
        <w:rPr>
          <w:rFonts w:asciiTheme="minorHAnsi" w:hAnsiTheme="minorHAnsi"/>
          <w:lang w:val="en-GB"/>
        </w:rPr>
        <w:t>these.</w:t>
      </w:r>
    </w:p>
    <w:p w:rsidR="00F163A6" w:rsidRPr="007141B1" w:rsidRDefault="00F163A6" w:rsidP="00851E20">
      <w:pPr>
        <w:spacing w:line="360" w:lineRule="auto"/>
        <w:rPr>
          <w:rFonts w:asciiTheme="minorHAnsi" w:hAnsiTheme="minorHAnsi"/>
          <w:lang w:val="en-GB"/>
        </w:rPr>
      </w:pPr>
    </w:p>
    <w:p w:rsidR="00A35BC1" w:rsidRPr="007141B1" w:rsidRDefault="00275009" w:rsidP="00851E20">
      <w:pPr>
        <w:spacing w:line="360" w:lineRule="auto"/>
        <w:rPr>
          <w:rFonts w:asciiTheme="minorHAnsi" w:hAnsiTheme="minorHAnsi"/>
          <w:b/>
          <w:lang w:val="en-GB"/>
        </w:rPr>
      </w:pPr>
      <w:r>
        <w:rPr>
          <w:rFonts w:asciiTheme="minorHAnsi" w:hAnsiTheme="minorHAnsi"/>
          <w:b/>
          <w:lang w:val="en-GB"/>
        </w:rPr>
        <w:t>1</w:t>
      </w:r>
      <w:r w:rsidR="00A35BC1" w:rsidRPr="007141B1">
        <w:rPr>
          <w:rFonts w:asciiTheme="minorHAnsi" w:hAnsiTheme="minorHAnsi"/>
          <w:b/>
          <w:lang w:val="en-GB"/>
        </w:rPr>
        <w:t>. Restrictive vs. liberal fluid resuscitation</w:t>
      </w:r>
    </w:p>
    <w:p w:rsidR="00A35BC1" w:rsidRPr="007141B1" w:rsidRDefault="00A35BC1" w:rsidP="00851E20">
      <w:pPr>
        <w:spacing w:line="360" w:lineRule="auto"/>
        <w:rPr>
          <w:rFonts w:asciiTheme="minorHAnsi" w:hAnsiTheme="minorHAnsi"/>
          <w:lang w:val="en-GB"/>
        </w:rPr>
      </w:pPr>
      <w:r w:rsidRPr="007141B1">
        <w:rPr>
          <w:rFonts w:asciiTheme="minorHAnsi" w:hAnsiTheme="minorHAnsi"/>
          <w:lang w:val="en-GB"/>
        </w:rPr>
        <w:t>Although fluid therapy is a fundamental component of resuscitation there is increasing evidence that excess fluid may be harmful</w:t>
      </w:r>
      <w:r w:rsidR="00977389" w:rsidRPr="007141B1">
        <w:rPr>
          <w:rFonts w:asciiTheme="minorHAnsi" w:hAnsiTheme="minorHAnsi"/>
          <w:lang w:val="en-GB"/>
        </w:rPr>
        <w:t xml:space="preserve"> </w:t>
      </w:r>
      <w:r w:rsidR="00977389" w:rsidRPr="007141B1">
        <w:rPr>
          <w:rFonts w:asciiTheme="minorHAnsi" w:hAnsiTheme="minorHAnsi"/>
          <w:lang w:val="en-GB"/>
        </w:rPr>
        <w:fldChar w:fldCharType="begin"/>
      </w:r>
      <w:r w:rsidR="007E7E7B">
        <w:rPr>
          <w:rFonts w:asciiTheme="minorHAnsi" w:hAnsiTheme="minorHAnsi"/>
          <w:lang w:val="en-GB"/>
        </w:rPr>
        <w:instrText xml:space="preserve"> ADDIN ZOTERO_ITEM CSL_CITATION {"citationID":"ufmafCCT","properties":{"formattedCitation":"[25, 76]","plainCitation":"[25, 76]"},"citationItems":[{"id":138,"uris":["http://zotero.org/users/local/ZaW79YVG/items/4WJK7FSS"],"uri":["http://zotero.org/users/local/ZaW79YVG/items/4WJK7FSS"],"itemData":{"id":138,"type":"article-journal","title":"Fluid resuscitation in septic shock: a positive fluid balance and elevated central venous pressure are associated with increased mortality","container-title":"Critical Care Medicine","page":"259-265","volume":"39","issue":"2","source":"PubMed","abstract":"OBJECTIVE: To determine whether central venous pressure and fluid balance after resuscitation for septic shock are associated with mortality.\nDESIGN: We conducted a retrospective review of the use of intravenous fluids during the first 4 days of care.\nSETTING: Multicenter randomized controlled trial.\nPATIENTS: The Vasopressin in Septic Shock Trial (VASST) study enrolled 778 patients who had septic shock and who were receiving a minimum of 5 μg of norepinephrine per minute.\nINTERVENTIONS: None.\nMEASUREMENTS AND MAIN RESULTS: Based on net fluid balance, we determined whether one's fluid balance quartile was correlated with 28-day mortality. We also analyzed whether fluid balance was predictive of central venous pressure and furthermore whether a guideline-recommended central venous pressure of 8-12 mm Hg yielded a mortality advantage. At enrollment, which occurred on average 12 hrs after presentation, the average fluid balance was +4.2 L. By day 4, the cumulative average fluid balance was +11 L. After correcting for age and Acute Physiology and Chronic Health Evaluation II score, a more positive fluid balance at both at 12 hrs and day 4 correlated significantly with increased mortality. Central venous pressure was correlated with fluid balance at 12 hrs, whereas on days 1-4, there was no significant correlation. At 12 hrs, patients with central venous pressure &lt;8 mm Hg had the lowest mortality rate followed by those with central venous pressure 8-12 mm Hg. The highest mortality rate was observed in those with central venous pressure &gt;12 mm Hg. Contrary to the overall effect, patients whose central venous pressure was &lt;8 mm Hg had improved survival with a more positive fluid balance.\nCONCLUSIONS: A more positive fluid balance both early in resuscitation and cumulatively over 4 days is associated with an increased risk of mortality in septic shock. Central venous pressure may be used to gauge fluid balance ≤ 12 hrs into septic shock but becomes an unreliable marker of fluid balance thereafter. Optimal survival in the VASST study occurred with a positive fluid balance of approximately 3 L at 12 hrs.","DOI":"10.1097/CCM.0b013e3181feeb15","ISSN":"1530-0293","note":"PMID: 20975548","shortTitle":"Fluid resuscitation in septic shock","journalAbbreviation":"Crit. Care Med.","language":"eng","author":[{"family":"Boyd","given":"John H."},{"family":"Forbes","given":"Jason"},{"family":"Nakada","given":"Taka-aki"},{"family":"Walley","given":"Keith R."},{"family":"Russell","given":"James A."}],"issued":{"date-parts":[["2011",2]]},"PMID":"20975548"}},{"id":32,"uris":["http://zotero.org/users/local/ZaW79YVG/items/HZJD7356"],"uri":["http://zotero.org/users/local/ZaW79YVG/items/HZJD7356"],"itemData":{"id":32,"type":"article-journal","title":"Mortality after fluid bolus in African children with severe infection","container-title":"The New England Journal of Medicine","page":"2483-2495","volume":"364","issue":"26","source":"PubMed","abstract":"BACKGROUND: The role of fluid resuscitation in the treatment of children with shock and life-threatening infections who live in resource-limited settings is not established.\nMETHODS: We randomly assigned children with severe febrile illness and impaired perfusion to receive boluses of 20 to 40 ml of 5% albumin solution (albumin-bolus group) or 0.9% saline solution (saline-bolus group) per kilogram of body weight or no bolus (control group) at the time of admission to a hospital in Uganda, Kenya, or Tanzania (stratum A); children with severe hypotension were randomly assigned to one of the bolus groups only (stratum B). All children received appropriate antimicrobial treatment, intravenous maintenance fluids, and supportive care, according to guidelines. Children with malnutrition or gastroenteritis were excluded. The primary end point was 48-hour mortality; secondary end points included pulmonary edema, increased intracranial pressure, and mortality or neurologic sequelae at 4 weeks.\nRESULTS: The data and safety monitoring committee recommended halting recruitment after 3141 of the projected 3600 children in stratum A were enrolled. Malaria status (57% overall) and clinical severity were similar across groups. The 48-hour mortality was 10.6% (111 of 1050 children), 10.5% (110 of 1047 children), and 7.3% (76 of 1044 children) in the albumin-bolus, saline-bolus, and control groups, respectively (relative risk for saline bolus vs. control, 1.44; 95% confidence interval [CI], 1.09 to 1.90; P=0.01; relative risk for albumin bolus vs. saline bolus, 1.01; 95% CI, 0.78 to 1.29; P=0.96; and relative risk for any bolus vs. control, 1.45; 95% CI, 1.13 to 1.86; P=0.003). The 4-week mortality was 12.2%, 12.0%, and 8.7% in the three groups, respectively (P=0.004 for the comparison of bolus with control). Neurologic sequelae occurred in 2.2%, 1.9%, and 2.0% of the children in the respective groups (P=0.92), and pulmonary edema or increased intracranial pressure occurred in 2.6%, 2.2%, and 1.7% (P=0.17), respectively. In stratum B, 69% of the children (9 of 13) in the albumin-bolus group and 56% (9 of 16) in the saline-bolus group died (P=0.45). The results were consistent across centers and across subgroups according to the severity of shock and status with respect to malaria, coma, sepsis, acidosis, and severe anemia.\nCONCLUSIONS: Fluid boluses significantly increased 48-hour mortality in critically ill children with impaired perfusion in these resource-limited settings in Africa. (Funded by the Medical Research Council, United Kingdom; FEAST Current Controlled Trials number, ISRCTN69856593.).","DOI":"10.1056/NEJMoa1101549","ISSN":"1533-4406","note":"PMID: 21615299","journalAbbreviation":"N. Engl. J. Med.","language":"eng","author":[{"family":"Maitland","given":"Kathryn"},{"family":"Kiguli","given":"Sarah"},{"family":"Opoka","given":"Robert O."},{"family":"Engoru","given":"Charles"},{"family":"Olupot-Olupot","given":"Peter"},{"family":"Akech","given":"Samuel O."},{"family":"Nyeko","given":"Richard"},{"family":"Mtove","given":"George"},{"family":"Reyburn","given":"Hugh"},{"family":"Lang","given":"Trudie"},{"family":"Brent","given":"Bernadette"},{"family":"Evans","given":"Jennifer A."},{"family":"Tibenderana","given":"James K."},{"family":"Crawley","given":"Jane"},{"family":"Russell","given":"Elizabeth C."},{"family":"Levin","given":"Michael"},{"family":"Babiker","given":"Abdel G."},{"family":"Gibb","given":"Diana M."},{"literal":"FEAST Trial Group"}],"issued":{"date-parts":[["2011",6,30]]},"PMID":"21615299"}}],"schema":"https://github.com/citation-style-language/schema/raw/master/csl-citation.json"} </w:instrText>
      </w:r>
      <w:r w:rsidR="00977389" w:rsidRPr="007141B1">
        <w:rPr>
          <w:rFonts w:asciiTheme="minorHAnsi" w:hAnsiTheme="minorHAnsi"/>
          <w:lang w:val="en-GB"/>
        </w:rPr>
        <w:fldChar w:fldCharType="separate"/>
      </w:r>
      <w:r w:rsidR="007E7E7B" w:rsidRPr="000F5B05">
        <w:rPr>
          <w:rFonts w:ascii="Calibri" w:hAnsi="Calibri" w:cs="Calibri"/>
          <w:lang w:val="en-US"/>
        </w:rPr>
        <w:t>[25, 76]</w:t>
      </w:r>
      <w:r w:rsidR="00977389" w:rsidRPr="007141B1">
        <w:rPr>
          <w:rFonts w:asciiTheme="minorHAnsi" w:hAnsiTheme="minorHAnsi"/>
          <w:lang w:val="en-GB"/>
        </w:rPr>
        <w:fldChar w:fldCharType="end"/>
      </w:r>
      <w:r w:rsidRPr="007141B1">
        <w:rPr>
          <w:rFonts w:asciiTheme="minorHAnsi" w:hAnsiTheme="minorHAnsi"/>
          <w:lang w:val="en-GB"/>
        </w:rPr>
        <w:t xml:space="preserve">. However, as this evidence comes from retrospective </w:t>
      </w:r>
      <w:r w:rsidR="00D74E25">
        <w:rPr>
          <w:rFonts w:asciiTheme="minorHAnsi" w:hAnsiTheme="minorHAnsi"/>
          <w:lang w:val="en-GB"/>
        </w:rPr>
        <w:t>studies</w:t>
      </w:r>
      <w:r w:rsidRPr="007141B1">
        <w:rPr>
          <w:rFonts w:asciiTheme="minorHAnsi" w:hAnsiTheme="minorHAnsi"/>
          <w:lang w:val="en-GB"/>
        </w:rPr>
        <w:t xml:space="preserve"> or different clinical settings</w:t>
      </w:r>
      <w:r w:rsidR="008956E1">
        <w:rPr>
          <w:rFonts w:asciiTheme="minorHAnsi" w:hAnsiTheme="minorHAnsi"/>
          <w:lang w:val="en-GB"/>
        </w:rPr>
        <w:t>,</w:t>
      </w:r>
      <w:r w:rsidRPr="007141B1">
        <w:rPr>
          <w:rFonts w:asciiTheme="minorHAnsi" w:hAnsiTheme="minorHAnsi"/>
          <w:lang w:val="en-GB"/>
        </w:rPr>
        <w:t xml:space="preserve"> we need direct evidence from </w:t>
      </w:r>
      <w:r w:rsidR="006903BC" w:rsidRPr="007141B1">
        <w:rPr>
          <w:rFonts w:asciiTheme="minorHAnsi" w:hAnsiTheme="minorHAnsi"/>
          <w:lang w:val="en-GB"/>
        </w:rPr>
        <w:t>RCTs</w:t>
      </w:r>
      <w:r w:rsidR="008956E1">
        <w:rPr>
          <w:rFonts w:asciiTheme="minorHAnsi" w:hAnsiTheme="minorHAnsi"/>
          <w:lang w:val="en-GB"/>
        </w:rPr>
        <w:t xml:space="preserve"> performed</w:t>
      </w:r>
      <w:r w:rsidRPr="007141B1">
        <w:rPr>
          <w:rFonts w:asciiTheme="minorHAnsi" w:hAnsiTheme="minorHAnsi"/>
          <w:lang w:val="en-GB"/>
        </w:rPr>
        <w:t xml:space="preserve"> </w:t>
      </w:r>
      <w:r w:rsidR="00A1126C">
        <w:rPr>
          <w:rFonts w:asciiTheme="minorHAnsi" w:hAnsiTheme="minorHAnsi"/>
          <w:lang w:val="en-GB"/>
        </w:rPr>
        <w:t>in the different phases of</w:t>
      </w:r>
      <w:r w:rsidRPr="007141B1">
        <w:rPr>
          <w:rFonts w:asciiTheme="minorHAnsi" w:hAnsiTheme="minorHAnsi"/>
          <w:lang w:val="en-GB"/>
        </w:rPr>
        <w:t xml:space="preserve"> </w:t>
      </w:r>
      <w:r w:rsidR="000A2F5D">
        <w:rPr>
          <w:rFonts w:asciiTheme="minorHAnsi" w:hAnsiTheme="minorHAnsi"/>
          <w:lang w:val="en-GB"/>
        </w:rPr>
        <w:t>septic shock</w:t>
      </w:r>
      <w:r w:rsidRPr="007141B1">
        <w:rPr>
          <w:rFonts w:asciiTheme="minorHAnsi" w:hAnsiTheme="minorHAnsi"/>
          <w:lang w:val="en-GB"/>
        </w:rPr>
        <w:t>. A recent pilot trial demonstrated that a restrictive vs</w:t>
      </w:r>
      <w:r w:rsidR="006903BC" w:rsidRPr="007141B1">
        <w:rPr>
          <w:rFonts w:asciiTheme="minorHAnsi" w:hAnsiTheme="minorHAnsi"/>
          <w:lang w:val="en-GB"/>
        </w:rPr>
        <w:t>.</w:t>
      </w:r>
      <w:r w:rsidRPr="007141B1">
        <w:rPr>
          <w:rFonts w:asciiTheme="minorHAnsi" w:hAnsiTheme="minorHAnsi"/>
          <w:lang w:val="en-GB"/>
        </w:rPr>
        <w:t xml:space="preserve"> liberal fluid strategy trial is feasible</w:t>
      </w:r>
      <w:r w:rsidR="00A1126C">
        <w:rPr>
          <w:rFonts w:asciiTheme="minorHAnsi" w:hAnsiTheme="minorHAnsi"/>
          <w:lang w:val="en-GB"/>
        </w:rPr>
        <w:t xml:space="preserve"> after initial management of septic shock</w:t>
      </w:r>
      <w:r w:rsidRPr="007141B1">
        <w:rPr>
          <w:rFonts w:asciiTheme="minorHAnsi" w:hAnsiTheme="minorHAnsi"/>
          <w:lang w:val="en-GB"/>
        </w:rPr>
        <w:t xml:space="preserve"> </w:t>
      </w:r>
      <w:r w:rsidR="00977389" w:rsidRPr="007141B1">
        <w:rPr>
          <w:rFonts w:asciiTheme="minorHAnsi" w:hAnsiTheme="minorHAnsi"/>
          <w:lang w:val="en-GB"/>
        </w:rPr>
        <w:fldChar w:fldCharType="begin"/>
      </w:r>
      <w:r w:rsidR="006E59A1">
        <w:rPr>
          <w:rFonts w:asciiTheme="minorHAnsi" w:hAnsiTheme="minorHAnsi"/>
          <w:lang w:val="en-GB"/>
        </w:rPr>
        <w:instrText xml:space="preserve"> ADDIN ZOTERO_ITEM CSL_CITATION {"citationID":"1ulfbbst0c","properties":{"formattedCitation":"[26]","plainCitation":"[26]"},"citationItems":[{"id":112,"uris":["http://zotero.org/users/local/ZaW79YVG/items/5AIXPPE3"],"uri":["http://zotero.org/users/local/ZaW79YVG/items/5AIXPPE3"],"itemData":{"id":112,"type":"article-journal","title":"Restricting volumes of resuscitation fluid in adults with septic shock after initial management: the CLASSIC randomised, parallel-group, multicentre feasibility trial","container-title":"Intensive Care Medicine","page":"1695-1705","volume":"42","issue":"11","source":"PubMed","abstract":"PURPOSE: We assessed the effects of a protocol restricting resuscitation fluid vs. a standard care protocol after initial resuscitation in intensive care unit (ICU) patients with septic shock.\nMETHODS: We randomised 151 adult patients with septic shock who had received initial fluid resuscitation in nine Scandinavian ICUs. In the fluid restriction group fluid boluses were permitted only if signs of severe hypoperfusion occurred, while in the standard care group fluid boluses were permitted as long as circulation continued to improve.\nRESULTS: The co-primary outcome measures, resuscitation fluid volumes at day 5 and during ICU stay, were lower in the fluid restriction group than in the standard care group [mean differences -1.2 L (95 % confidence interval -2.0 to -0.4); p &lt; 0.001 and -1.4 L (-2.4 to -0.4) respectively; p &lt; 0.001]. Neither total fluid inputs and balances nor serious adverse reactions differed statistically significantly between the groups. Major protocol violations occurred in 27/75 patients in the fluid restriction group. Ischaemic events occurred in 3/75 in the fluid restriction group vs. 9/76 in the standard care group (odds ratio 0.32; 0.08-1.27; p = 0.11), worsening of acute kidney injury in 27/73 vs. 39/72 (0.46; 0.23-0.92; p = 0.03), and death by 90 days in 25/75 vs. 31/76 (0.71; 0.36-1.40; p = 0.32).\nCONCLUSIONS: A protocol restricting resuscitation fluid successfully reduced volumes of resuscitation fluid compared with a standard care protocol in adult ICU patients with septic shock. The patient-centred outcomes all pointed towards benefit with fluid restriction, but our trial was not powered to show differences in these exploratory outcomes.\nTRIAL REGISTRATION: NCT02079402.","DOI":"10.1007/s00134-016-4500-7","ISSN":"1432-1238","note":"PMID: 27686349","shortTitle":"Restricting volumes of resuscitation fluid in adults with septic shock after initial management","journalAbbreviation":"Intensive Care Med","language":"eng","author":[{"family":"Hjortrup","given":"Peter B."},{"family":"Haase","given":"Nicolai"},{"family":"Bundgaard","given":"Helle"},{"family":"Thomsen","given":"Simon L."},{"family":"Winding","given":"Robert"},{"family":"Pettilä","given":"Ville"},{"family":"Aaen","given":"Anne"},{"family":"Lodahl","given":"David"},{"family":"Berthelsen","given":"Rasmus E."},{"family":"Christensen","given":"Henrik"},{"family":"Madsen","given":"Martin B."},{"family":"Winkel","given":"Per"},{"family":"Wetterslev","given":"Jørn"},{"family":"Perner","given":"Anders"},{"literal":"CLASSIC Trial Group"},{"literal":"Scandinavian Critical Care Trials Group"}],"issued":{"date-parts":[["2016",11]]},"PMID":"27686349"}}],"schema":"https://github.com/citation-style-language/schema/raw/master/csl-citation.json"} </w:instrText>
      </w:r>
      <w:r w:rsidR="00977389" w:rsidRPr="007141B1">
        <w:rPr>
          <w:rFonts w:asciiTheme="minorHAnsi" w:hAnsiTheme="minorHAnsi"/>
          <w:lang w:val="en-GB"/>
        </w:rPr>
        <w:fldChar w:fldCharType="separate"/>
      </w:r>
      <w:r w:rsidR="006E59A1" w:rsidRPr="009D5B86">
        <w:rPr>
          <w:rFonts w:ascii="Calibri" w:hAnsi="Calibri" w:cs="Calibri"/>
          <w:lang w:val="en-US"/>
        </w:rPr>
        <w:t>[26]</w:t>
      </w:r>
      <w:r w:rsidR="00977389" w:rsidRPr="007141B1">
        <w:rPr>
          <w:rFonts w:asciiTheme="minorHAnsi" w:hAnsiTheme="minorHAnsi"/>
          <w:lang w:val="en-GB"/>
        </w:rPr>
        <w:fldChar w:fldCharType="end"/>
      </w:r>
      <w:r w:rsidRPr="007141B1">
        <w:rPr>
          <w:rFonts w:asciiTheme="minorHAnsi" w:hAnsiTheme="minorHAnsi"/>
          <w:lang w:val="en-GB"/>
        </w:rPr>
        <w:t>.</w:t>
      </w:r>
      <w:r w:rsidR="000A2F5D">
        <w:rPr>
          <w:rFonts w:asciiTheme="minorHAnsi" w:hAnsiTheme="minorHAnsi"/>
          <w:lang w:val="en-GB"/>
        </w:rPr>
        <w:t xml:space="preserve"> Similar trials of the fluid management of the post-resuscitation phas</w:t>
      </w:r>
      <w:r w:rsidR="0044450B">
        <w:rPr>
          <w:rFonts w:asciiTheme="minorHAnsi" w:hAnsiTheme="minorHAnsi"/>
          <w:lang w:val="en-GB"/>
        </w:rPr>
        <w:t>e of septic shock are needed to complement existing evidence</w:t>
      </w:r>
      <w:r w:rsidR="003E52AE">
        <w:rPr>
          <w:rFonts w:asciiTheme="minorHAnsi" w:hAnsiTheme="minorHAnsi"/>
          <w:lang w:val="en-GB"/>
        </w:rPr>
        <w:t xml:space="preserve"> </w:t>
      </w:r>
      <w:r w:rsidR="003E52AE">
        <w:rPr>
          <w:rFonts w:asciiTheme="minorHAnsi" w:hAnsiTheme="minorHAnsi"/>
          <w:lang w:val="en-GB"/>
        </w:rPr>
        <w:fldChar w:fldCharType="begin"/>
      </w:r>
      <w:r w:rsidR="007E7E7B">
        <w:rPr>
          <w:rFonts w:asciiTheme="minorHAnsi" w:hAnsiTheme="minorHAnsi"/>
          <w:lang w:val="en-GB"/>
        </w:rPr>
        <w:instrText xml:space="preserve"> ADDIN ZOTERO_ITEM CSL_CITATION {"citationID":"2066tkmptl","properties":{"formattedCitation":"[77]","plainCitation":"[77]"},"citationItems":[{"id":196,"uris":["http://zotero.org/users/local/ZaW79YVG/items/6GG4FIEN"],"uri":["http://zotero.org/users/local/ZaW79YVG/items/6GG4FIEN"],"itemData":{"id":196,"type":"article-journal","title":"Comparison of two fluid-management strategies in acute lung injury","container-title":"The New England Journal of Medicine","page":"2564-2575","volume":"354","issue":"24","source":"PubMed","abstract":"BACKGROUND: Optimal fluid management in patients with acute lung injury is unknown. Diuresis or fluid restriction may improve lung function but could jeopardize extrapulmonary-organ perfusion.\nMETHODS: In a randomized study, we compared a conservative and a liberal strategy of fluid management using explicit protocols applied for seven days in 1000 patients with acute lung injury. The primary end point was death at 60 days. Secondary end points included the number of ventilator-free days and organ-failure-free days and measures of lung physiology.\nRESULTS: The rate of death at 60 days was 25.5 percent in the conservative-strategy group and 28.4 percent in the liberal-strategy group (P=0.30; 95 percent confidence interval for the difference, -2.6 to 8.4 percent). The mean (+/-SE) cumulative fluid balance during the first seven days was -136+/-491 ml in the conservative-strategy group and 6992+/-502 ml in the liberal-strategy group (P&lt;0.001). As compared with the liberal strategy, the conservative strategy improved the oxygenation index ([mean airway pressure x the ratio of the fraction of inspired oxygen to the partial pressure of arterial oxygen]x100) and the lung injury score and increased the number of ventilator-free days (14.6+/-0.5 vs. 12.1+/-0.5, P&lt;0.001) and days not spent in the intensive care unit (13.4+/-0.4 vs. 11.2+/-0.4, P&lt;0.001) during the first 28 days but did not increase the incidence or prevalence of shock during the study or the use of dialysis during the first 60 days (10 percent vs. 14 percent, P=0.06).\nCONCLUSIONS: Although there was no significant difference in the primary outcome of 60-day mortality, the conservative strategy of fluid management improved lung function and shortened the duration of mechanical ventilation and intensive care without increasing nonpulmonary-organ failures. These results support the use of a conservative strategy of fluid management in patients with acute lung injury. (ClinicalTrials.gov number, NCT00281268 [ClinicalTrials.gov].).","DOI":"10.1056/NEJMoa062200","ISSN":"1533-4406","note":"PMID: 16714767","journalAbbreviation":"N. Engl. J. Med.","language":"eng","author":[{"literal":"National Heart, Lung, and Blood Institute Acute Respiratory Distress Syndrome (ARDS) Clinical Trials Network"},{"family":"Wiedemann","given":"Herbert P."},{"family":"Wheeler","given":"Arthur P."},{"family":"Bernard","given":"Gordon R."},{"family":"Thompson","given":"B. Taylor"},{"family":"Hayden","given":"Douglas"},{"family":"deBoisblanc","given":"Ben"},{"family":"Connors","given":"Alfred F."},{"family":"Hite","given":"R. Duncan"},{"family":"Harabin","given":"Andrea L."}],"issued":{"date-parts":[["2006",6,15]]},"PMID":"16714767"}}],"schema":"https://github.com/citation-style-language/schema/raw/master/csl-citation.json"} </w:instrText>
      </w:r>
      <w:r w:rsidR="003E52AE">
        <w:rPr>
          <w:rFonts w:asciiTheme="minorHAnsi" w:hAnsiTheme="minorHAnsi"/>
          <w:lang w:val="en-GB"/>
        </w:rPr>
        <w:fldChar w:fldCharType="separate"/>
      </w:r>
      <w:r w:rsidR="007E7E7B" w:rsidRPr="000F5B05">
        <w:rPr>
          <w:rFonts w:ascii="Calibri" w:hAnsi="Calibri" w:cs="Calibri"/>
          <w:lang w:val="en-US"/>
        </w:rPr>
        <w:t>[77]</w:t>
      </w:r>
      <w:r w:rsidR="003E52AE">
        <w:rPr>
          <w:rFonts w:asciiTheme="minorHAnsi" w:hAnsiTheme="minorHAnsi"/>
          <w:lang w:val="en-GB"/>
        </w:rPr>
        <w:fldChar w:fldCharType="end"/>
      </w:r>
      <w:r w:rsidR="000A2F5D">
        <w:rPr>
          <w:rFonts w:asciiTheme="minorHAnsi" w:hAnsiTheme="minorHAnsi"/>
          <w:lang w:val="en-GB"/>
        </w:rPr>
        <w:t>.</w:t>
      </w:r>
    </w:p>
    <w:p w:rsidR="00877B94" w:rsidRPr="007141B1" w:rsidRDefault="00877B94" w:rsidP="00851E20">
      <w:pPr>
        <w:spacing w:line="360" w:lineRule="auto"/>
        <w:rPr>
          <w:rFonts w:asciiTheme="minorHAnsi" w:hAnsiTheme="minorHAnsi"/>
          <w:lang w:val="en-GB"/>
        </w:rPr>
      </w:pPr>
    </w:p>
    <w:p w:rsidR="00877B94" w:rsidRPr="007141B1" w:rsidRDefault="00275009" w:rsidP="00851E20">
      <w:pPr>
        <w:spacing w:line="360" w:lineRule="auto"/>
        <w:rPr>
          <w:rFonts w:asciiTheme="minorHAnsi" w:hAnsiTheme="minorHAnsi"/>
          <w:b/>
          <w:lang w:val="en-GB"/>
        </w:rPr>
      </w:pPr>
      <w:r>
        <w:rPr>
          <w:rFonts w:asciiTheme="minorHAnsi" w:hAnsiTheme="minorHAnsi"/>
          <w:b/>
          <w:lang w:val="en-GB"/>
        </w:rPr>
        <w:t>2</w:t>
      </w:r>
      <w:r w:rsidR="00877B94" w:rsidRPr="007141B1">
        <w:rPr>
          <w:rFonts w:asciiTheme="minorHAnsi" w:hAnsiTheme="minorHAnsi"/>
          <w:b/>
          <w:lang w:val="en-GB"/>
        </w:rPr>
        <w:t xml:space="preserve">. Rapid microbiology diagnostic </w:t>
      </w:r>
      <w:r w:rsidR="00EF25BC">
        <w:rPr>
          <w:rFonts w:asciiTheme="minorHAnsi" w:hAnsiTheme="minorHAnsi"/>
          <w:b/>
          <w:lang w:val="en-GB"/>
        </w:rPr>
        <w:t xml:space="preserve">and </w:t>
      </w:r>
      <w:r w:rsidR="00877B94" w:rsidRPr="007141B1">
        <w:rPr>
          <w:rFonts w:asciiTheme="minorHAnsi" w:hAnsiTheme="minorHAnsi"/>
          <w:b/>
          <w:lang w:val="en-GB"/>
        </w:rPr>
        <w:t xml:space="preserve">antibiotic </w:t>
      </w:r>
      <w:r w:rsidR="00EF25BC">
        <w:rPr>
          <w:rFonts w:asciiTheme="minorHAnsi" w:hAnsiTheme="minorHAnsi"/>
          <w:b/>
          <w:lang w:val="en-GB"/>
        </w:rPr>
        <w:t xml:space="preserve">measuring </w:t>
      </w:r>
      <w:r w:rsidR="00EF25BC" w:rsidRPr="007141B1">
        <w:rPr>
          <w:rFonts w:asciiTheme="minorHAnsi" w:hAnsiTheme="minorHAnsi"/>
          <w:b/>
          <w:lang w:val="en-GB"/>
        </w:rPr>
        <w:t xml:space="preserve">devices to guide </w:t>
      </w:r>
      <w:r w:rsidR="00877B94" w:rsidRPr="007141B1">
        <w:rPr>
          <w:rFonts w:asciiTheme="minorHAnsi" w:hAnsiTheme="minorHAnsi"/>
          <w:b/>
          <w:lang w:val="en-GB"/>
        </w:rPr>
        <w:t xml:space="preserve">therapy </w:t>
      </w:r>
    </w:p>
    <w:p w:rsidR="00877B94" w:rsidRDefault="00877B94" w:rsidP="00851E20">
      <w:pPr>
        <w:spacing w:line="360" w:lineRule="auto"/>
        <w:rPr>
          <w:rFonts w:asciiTheme="minorHAnsi" w:hAnsiTheme="minorHAnsi"/>
          <w:lang w:val="en-GB"/>
        </w:rPr>
      </w:pPr>
      <w:r w:rsidRPr="007141B1">
        <w:rPr>
          <w:rFonts w:asciiTheme="minorHAnsi" w:hAnsiTheme="minorHAnsi"/>
          <w:lang w:val="en-GB"/>
        </w:rPr>
        <w:t xml:space="preserve">Early </w:t>
      </w:r>
      <w:r w:rsidR="00A1126C">
        <w:rPr>
          <w:rFonts w:asciiTheme="minorHAnsi" w:hAnsiTheme="minorHAnsi"/>
          <w:lang w:val="en-GB"/>
        </w:rPr>
        <w:t xml:space="preserve">appropriate </w:t>
      </w:r>
      <w:r w:rsidRPr="007141B1">
        <w:rPr>
          <w:rFonts w:asciiTheme="minorHAnsi" w:hAnsiTheme="minorHAnsi"/>
          <w:lang w:val="en-GB"/>
        </w:rPr>
        <w:t>antibiotic therapy in severely ill patients is critical for successful sepsis management. However, in less severely ill patients when the diagnosis of infection is less clear there is evidence that waiting for positive microbiology results may be appropriate</w:t>
      </w:r>
      <w:r w:rsidR="00977389" w:rsidRPr="007141B1">
        <w:rPr>
          <w:rFonts w:asciiTheme="minorHAnsi" w:hAnsiTheme="minorHAnsi"/>
          <w:lang w:val="en-GB"/>
        </w:rPr>
        <w:t xml:space="preserve"> </w:t>
      </w:r>
      <w:r w:rsidR="00977389" w:rsidRPr="007141B1">
        <w:rPr>
          <w:rFonts w:asciiTheme="minorHAnsi" w:hAnsiTheme="minorHAnsi"/>
          <w:lang w:val="en-GB"/>
        </w:rPr>
        <w:fldChar w:fldCharType="begin"/>
      </w:r>
      <w:r w:rsidR="007E7E7B">
        <w:rPr>
          <w:rFonts w:asciiTheme="minorHAnsi" w:hAnsiTheme="minorHAnsi"/>
          <w:lang w:val="en-GB"/>
        </w:rPr>
        <w:instrText xml:space="preserve"> ADDIN ZOTERO_ITEM CSL_CITATION {"citationID":"aiajo484b","properties":{"formattedCitation":"[78]","plainCitation":"[78]"},"citationItems":[{"id":142,"uris":["http://zotero.org/users/local/ZaW79YVG/items/TZKWKUGG"],"uri":["http://zotero.org/users/local/ZaW79YVG/items/TZKWKUGG"],"itemData":{"id":142,"type":"article-journal","title":"Aggressive versus conservative initiation of antimicrobial treatment in critically ill surgical patients with suspected intensive-care-unit-acquired infection: a quasi-experimental, before and after observational cohort study","container-title":"The Lancet. Infectious Diseases","page":"774-780","volume":"12","issue":"10","source":"PubMed","abstract":"BACKGROUND: Antimicrobial treatment in critically ill patients can either be started as soon as infection is suspected or after objective data confirm an infection. We postulated that delaying antimicrobial treatment of patients with suspected infections in the surgical intensive care unit (SICU) until objective evidence of infection had been obtained would not worsen patient mortality.\nMETHODS: We did a 2-year, quasi-experimental, before and after observational cohort study of patients aged 18 years or older who were admitted to the SICU of the University of Virginia (Charlottesville, VA, USA). From Sept 1, 2008, to Aug 31, 2009, aggressive treatment was used: patients suspected of having an infection on the basis of clinical grounds had blood cultures sent and antimicrobial treatment started. From Sept 1, 2009, to Aug 31, 2010, a conservative strategy was used, with antimicrobial treatment started only after objective findings confirmed an infection. Our primary outcome was in-hospital mortality. Analyses were by intention to treat.\nFINDINGS: Admissions to the SICU for the first and second years were 762 and 721, respectively, with 101 patients with SICU-acquired infections during the aggressive year and 100 patients during the conservative year. Compared with the aggressive approach, the conservative approach was associated with lower all-cause mortality (13/100 [13%] vs 27/101 [27%]; p=0·015), more initially appropriate therapy (158/214 [74%] vs 144/231 [62%]; p=0·0095), and a shorter mean duration of therapy (12·5 days [SD 10·7] vs 17·7 [28·1]; p=0·0080). After adjusting for age, sex, trauma involvement, acute physiology and chronic health evaluation (APACHE) II score, and site of infection, the odds ratio for the risk of mortality in the aggressive therapy group compared with the conservative therapy group was 2·5 (95% CI 1·5-4·0).\nINTERPRETATION: Waiting for objective data to diagnose infection before treatment with antimicrobial drugs for suspected SICU-acquired infections does not worsen mortality and might be associated with better outcomes and use of antimicrobial drugs.\nFUNDING: National Institutes of Health.","DOI":"10.1016/S1473-3099(12)70151-2","ISSN":"1474-4457","note":"PMID: 22951600\nPMCID: PMC3462590","shortTitle":"Aggressive versus conservative initiation of antimicrobial treatment in critically ill surgical patients with suspected intensive-care-unit-acquired infection","journalAbbreviation":"Lancet Infect Dis","language":"eng","author":[{"family":"Hranjec","given":"Tjasa"},{"family":"Rosenberger","given":"Laura H."},{"family":"Swenson","given":"Brian"},{"family":"Metzger","given":"Rosemarie"},{"family":"Flohr","given":"Tanya R."},{"family":"Politano","given":"Amani D."},{"family":"Riccio","given":"Lin M."},{"family":"Popovsky","given":"Kimberley A."},{"family":"Sawyer","given":"Robert G."}],"issued":{"date-parts":[["2012",10]]},"PMID":"22951600","PMCID":"PMC3462590"}}],"schema":"https://github.com/citation-style-language/schema/raw/master/csl-citation.json"} </w:instrText>
      </w:r>
      <w:r w:rsidR="00977389" w:rsidRPr="007141B1">
        <w:rPr>
          <w:rFonts w:asciiTheme="minorHAnsi" w:hAnsiTheme="minorHAnsi"/>
          <w:lang w:val="en-GB"/>
        </w:rPr>
        <w:fldChar w:fldCharType="separate"/>
      </w:r>
      <w:r w:rsidR="007E7E7B" w:rsidRPr="000F5B05">
        <w:rPr>
          <w:rFonts w:ascii="Calibri" w:hAnsi="Calibri" w:cs="Calibri"/>
          <w:lang w:val="en-US"/>
        </w:rPr>
        <w:t>[78]</w:t>
      </w:r>
      <w:r w:rsidR="00977389" w:rsidRPr="007141B1">
        <w:rPr>
          <w:rFonts w:asciiTheme="minorHAnsi" w:hAnsiTheme="minorHAnsi"/>
          <w:lang w:val="en-GB"/>
        </w:rPr>
        <w:fldChar w:fldCharType="end"/>
      </w:r>
      <w:r w:rsidRPr="007141B1">
        <w:rPr>
          <w:rFonts w:asciiTheme="minorHAnsi" w:hAnsiTheme="minorHAnsi"/>
          <w:lang w:val="en-GB"/>
        </w:rPr>
        <w:t>. As antibiotic resistance rates continue to rise, avoiding unnecessary antibiotic use</w:t>
      </w:r>
      <w:r w:rsidR="00EF25BC">
        <w:rPr>
          <w:rFonts w:asciiTheme="minorHAnsi" w:hAnsiTheme="minorHAnsi"/>
          <w:lang w:val="en-GB"/>
        </w:rPr>
        <w:t xml:space="preserve"> and optimising the dosing of those used</w:t>
      </w:r>
      <w:r w:rsidRPr="007141B1">
        <w:rPr>
          <w:rFonts w:asciiTheme="minorHAnsi" w:hAnsiTheme="minorHAnsi"/>
          <w:lang w:val="en-GB"/>
        </w:rPr>
        <w:t xml:space="preserve"> </w:t>
      </w:r>
      <w:r w:rsidR="00EF25BC">
        <w:rPr>
          <w:rFonts w:asciiTheme="minorHAnsi" w:hAnsiTheme="minorHAnsi"/>
          <w:lang w:val="en-GB"/>
        </w:rPr>
        <w:t>are</w:t>
      </w:r>
      <w:r w:rsidRPr="007141B1">
        <w:rPr>
          <w:rFonts w:asciiTheme="minorHAnsi" w:hAnsiTheme="minorHAnsi"/>
          <w:lang w:val="en-GB"/>
        </w:rPr>
        <w:t xml:space="preserve"> </w:t>
      </w:r>
      <w:r w:rsidR="00EF25BC">
        <w:rPr>
          <w:rFonts w:asciiTheme="minorHAnsi" w:hAnsiTheme="minorHAnsi"/>
          <w:lang w:val="en-GB"/>
        </w:rPr>
        <w:t xml:space="preserve">high </w:t>
      </w:r>
      <w:r w:rsidRPr="007141B1">
        <w:rPr>
          <w:rFonts w:asciiTheme="minorHAnsi" w:hAnsiTheme="minorHAnsi"/>
          <w:lang w:val="en-GB"/>
        </w:rPr>
        <w:t>priorit</w:t>
      </w:r>
      <w:r w:rsidR="00EF25BC">
        <w:rPr>
          <w:rFonts w:asciiTheme="minorHAnsi" w:hAnsiTheme="minorHAnsi"/>
          <w:lang w:val="en-GB"/>
        </w:rPr>
        <w:t>ies</w:t>
      </w:r>
      <w:r w:rsidRPr="007141B1">
        <w:rPr>
          <w:rFonts w:asciiTheme="minorHAnsi" w:hAnsiTheme="minorHAnsi"/>
          <w:lang w:val="en-GB"/>
        </w:rPr>
        <w:t xml:space="preserve">. </w:t>
      </w:r>
      <w:r w:rsidR="00996599">
        <w:rPr>
          <w:rFonts w:asciiTheme="minorHAnsi" w:hAnsiTheme="minorHAnsi"/>
          <w:lang w:val="en-GB"/>
        </w:rPr>
        <w:t xml:space="preserve">There are now several RCTs evaluating in different subsets of potentially infected patients whether </w:t>
      </w:r>
      <w:proofErr w:type="spellStart"/>
      <w:r w:rsidR="008A2E55">
        <w:rPr>
          <w:rFonts w:asciiTheme="minorHAnsi" w:hAnsiTheme="minorHAnsi"/>
          <w:lang w:val="en-GB"/>
        </w:rPr>
        <w:t>procalcitonin</w:t>
      </w:r>
      <w:proofErr w:type="spellEnd"/>
      <w:r w:rsidR="008A2E55">
        <w:rPr>
          <w:rFonts w:asciiTheme="minorHAnsi" w:hAnsiTheme="minorHAnsi"/>
          <w:lang w:val="en-GB"/>
        </w:rPr>
        <w:t xml:space="preserve">, </w:t>
      </w:r>
      <w:r w:rsidR="00996599">
        <w:rPr>
          <w:rFonts w:asciiTheme="minorHAnsi" w:hAnsiTheme="minorHAnsi"/>
          <w:lang w:val="en-GB"/>
        </w:rPr>
        <w:t xml:space="preserve">a marker of host response to infection, could be incorporated into antibiotic prescribing guidelines. </w:t>
      </w:r>
      <w:r w:rsidRPr="007141B1">
        <w:rPr>
          <w:rFonts w:asciiTheme="minorHAnsi" w:hAnsiTheme="minorHAnsi"/>
          <w:lang w:val="en-GB"/>
        </w:rPr>
        <w:t xml:space="preserve">Novel technology now allows </w:t>
      </w:r>
      <w:r w:rsidR="00996599">
        <w:rPr>
          <w:rFonts w:asciiTheme="minorHAnsi" w:hAnsiTheme="minorHAnsi"/>
          <w:lang w:val="en-GB"/>
        </w:rPr>
        <w:t xml:space="preserve">a vast array of rapid assays of both microbial products and host response to infection as well as </w:t>
      </w:r>
      <w:r w:rsidR="00EF25BC">
        <w:rPr>
          <w:rFonts w:asciiTheme="minorHAnsi" w:hAnsiTheme="minorHAnsi"/>
          <w:lang w:val="en-GB"/>
        </w:rPr>
        <w:t>assessment of antibiotic pharmacokinetics</w:t>
      </w:r>
      <w:r w:rsidR="000A2F5D" w:rsidRPr="000A2F5D">
        <w:rPr>
          <w:rFonts w:asciiTheme="minorHAnsi" w:hAnsiTheme="minorHAnsi"/>
          <w:lang w:val="en-GB"/>
        </w:rPr>
        <w:t xml:space="preserve"> </w:t>
      </w:r>
      <w:r w:rsidR="000A2F5D">
        <w:rPr>
          <w:rFonts w:asciiTheme="minorHAnsi" w:hAnsiTheme="minorHAnsi"/>
          <w:lang w:val="en-GB"/>
        </w:rPr>
        <w:t>and pharmacogenomics</w:t>
      </w:r>
      <w:r w:rsidR="00996599">
        <w:rPr>
          <w:rFonts w:asciiTheme="minorHAnsi" w:hAnsiTheme="minorHAnsi"/>
          <w:lang w:val="en-GB"/>
        </w:rPr>
        <w:t xml:space="preserve">. We welcome the evaluation of these novel diagnostics in trial designs similar to those used to evaluate </w:t>
      </w:r>
      <w:proofErr w:type="spellStart"/>
      <w:r w:rsidR="008A2E55">
        <w:rPr>
          <w:rFonts w:asciiTheme="minorHAnsi" w:hAnsiTheme="minorHAnsi"/>
          <w:lang w:val="en-GB"/>
        </w:rPr>
        <w:t>procalcitonin</w:t>
      </w:r>
      <w:proofErr w:type="spellEnd"/>
      <w:r w:rsidR="00996599">
        <w:rPr>
          <w:rFonts w:asciiTheme="minorHAnsi" w:hAnsiTheme="minorHAnsi"/>
          <w:lang w:val="en-GB"/>
        </w:rPr>
        <w:t xml:space="preserve"> to help guide </w:t>
      </w:r>
      <w:r w:rsidRPr="007141B1">
        <w:rPr>
          <w:rFonts w:asciiTheme="minorHAnsi" w:hAnsiTheme="minorHAnsi"/>
          <w:lang w:val="en-GB"/>
        </w:rPr>
        <w:t>initiation</w:t>
      </w:r>
      <w:r w:rsidR="00EF25BC">
        <w:rPr>
          <w:rFonts w:asciiTheme="minorHAnsi" w:hAnsiTheme="minorHAnsi"/>
          <w:lang w:val="en-GB"/>
        </w:rPr>
        <w:t>,</w:t>
      </w:r>
      <w:r w:rsidRPr="007141B1">
        <w:rPr>
          <w:rFonts w:asciiTheme="minorHAnsi" w:hAnsiTheme="minorHAnsi"/>
          <w:lang w:val="en-GB"/>
        </w:rPr>
        <w:t xml:space="preserve"> selection</w:t>
      </w:r>
      <w:r w:rsidR="000A2F5D">
        <w:rPr>
          <w:rFonts w:asciiTheme="minorHAnsi" w:hAnsiTheme="minorHAnsi"/>
          <w:lang w:val="en-GB"/>
        </w:rPr>
        <w:t>,</w:t>
      </w:r>
      <w:r w:rsidR="00EF25BC">
        <w:rPr>
          <w:rFonts w:asciiTheme="minorHAnsi" w:hAnsiTheme="minorHAnsi"/>
          <w:lang w:val="en-GB"/>
        </w:rPr>
        <w:t xml:space="preserve"> dosing</w:t>
      </w:r>
      <w:r w:rsidR="000A2F5D">
        <w:rPr>
          <w:rFonts w:asciiTheme="minorHAnsi" w:hAnsiTheme="minorHAnsi"/>
          <w:lang w:val="en-GB"/>
        </w:rPr>
        <w:t xml:space="preserve"> and duration</w:t>
      </w:r>
      <w:r w:rsidRPr="007141B1">
        <w:rPr>
          <w:rFonts w:asciiTheme="minorHAnsi" w:hAnsiTheme="minorHAnsi"/>
          <w:lang w:val="en-GB"/>
        </w:rPr>
        <w:t xml:space="preserve"> of antibiotic</w:t>
      </w:r>
      <w:r w:rsidR="00EF25BC">
        <w:rPr>
          <w:rFonts w:asciiTheme="minorHAnsi" w:hAnsiTheme="minorHAnsi"/>
          <w:lang w:val="en-GB"/>
        </w:rPr>
        <w:t>s</w:t>
      </w:r>
      <w:r w:rsidRPr="007141B1">
        <w:rPr>
          <w:rFonts w:asciiTheme="minorHAnsi" w:hAnsiTheme="minorHAnsi"/>
          <w:lang w:val="en-GB"/>
        </w:rPr>
        <w:t>.</w:t>
      </w:r>
    </w:p>
    <w:p w:rsidR="00275009" w:rsidRDefault="00275009" w:rsidP="00275009">
      <w:pPr>
        <w:spacing w:line="360" w:lineRule="auto"/>
        <w:rPr>
          <w:rFonts w:asciiTheme="minorHAnsi" w:hAnsiTheme="minorHAnsi"/>
          <w:b/>
          <w:lang w:val="en-GB"/>
        </w:rPr>
      </w:pPr>
    </w:p>
    <w:p w:rsidR="00275009" w:rsidRPr="007141B1" w:rsidRDefault="00275009" w:rsidP="00275009">
      <w:pPr>
        <w:spacing w:line="360" w:lineRule="auto"/>
        <w:rPr>
          <w:rFonts w:asciiTheme="minorHAnsi" w:hAnsiTheme="minorHAnsi"/>
          <w:b/>
          <w:lang w:val="en-GB"/>
        </w:rPr>
      </w:pPr>
      <w:r>
        <w:rPr>
          <w:rFonts w:asciiTheme="minorHAnsi" w:hAnsiTheme="minorHAnsi"/>
          <w:b/>
          <w:lang w:val="en-GB"/>
        </w:rPr>
        <w:t>3</w:t>
      </w:r>
      <w:r w:rsidRPr="007141B1">
        <w:rPr>
          <w:rFonts w:asciiTheme="minorHAnsi" w:hAnsiTheme="minorHAnsi"/>
          <w:b/>
          <w:lang w:val="en-GB"/>
        </w:rPr>
        <w:t xml:space="preserve">. </w:t>
      </w:r>
      <w:r w:rsidR="00EF25BC">
        <w:rPr>
          <w:rFonts w:asciiTheme="minorHAnsi" w:hAnsiTheme="minorHAnsi"/>
          <w:b/>
          <w:lang w:val="en-GB"/>
        </w:rPr>
        <w:t xml:space="preserve">Reducing </w:t>
      </w:r>
      <w:r w:rsidR="008A2E55">
        <w:rPr>
          <w:rFonts w:asciiTheme="minorHAnsi" w:hAnsiTheme="minorHAnsi"/>
          <w:b/>
          <w:lang w:val="en-GB"/>
        </w:rPr>
        <w:t>catecholamine use</w:t>
      </w:r>
      <w:r w:rsidR="008A2E55" w:rsidRPr="007141B1">
        <w:rPr>
          <w:rFonts w:asciiTheme="minorHAnsi" w:hAnsiTheme="minorHAnsi"/>
          <w:b/>
          <w:lang w:val="en-GB"/>
        </w:rPr>
        <w:t xml:space="preserve"> </w:t>
      </w:r>
      <w:r w:rsidRPr="007141B1">
        <w:rPr>
          <w:rFonts w:asciiTheme="minorHAnsi" w:hAnsiTheme="minorHAnsi"/>
          <w:b/>
          <w:lang w:val="en-GB"/>
        </w:rPr>
        <w:t>in septic shock</w:t>
      </w:r>
    </w:p>
    <w:p w:rsidR="00275009" w:rsidRDefault="00275009" w:rsidP="00275009">
      <w:pPr>
        <w:spacing w:line="360" w:lineRule="auto"/>
        <w:rPr>
          <w:rFonts w:asciiTheme="minorHAnsi" w:hAnsiTheme="minorHAnsi"/>
          <w:lang w:val="en-GB"/>
        </w:rPr>
      </w:pPr>
      <w:r w:rsidRPr="007141B1">
        <w:rPr>
          <w:rFonts w:asciiTheme="minorHAnsi" w:hAnsiTheme="minorHAnsi"/>
          <w:lang w:val="en-GB"/>
        </w:rPr>
        <w:t xml:space="preserve">The </w:t>
      </w:r>
      <w:r w:rsidR="007F1C25">
        <w:rPr>
          <w:rFonts w:asciiTheme="minorHAnsi" w:hAnsiTheme="minorHAnsi"/>
          <w:lang w:val="en-GB"/>
        </w:rPr>
        <w:t xml:space="preserve">potentially favourable effects of </w:t>
      </w:r>
      <w:r w:rsidR="007F1C25" w:rsidRPr="007141B1">
        <w:rPr>
          <w:rFonts w:asciiTheme="minorHAnsi" w:hAnsiTheme="minorHAnsi"/>
          <w:lang w:val="en-GB"/>
        </w:rPr>
        <w:t>reduc</w:t>
      </w:r>
      <w:r w:rsidR="00A804A1">
        <w:rPr>
          <w:rFonts w:asciiTheme="minorHAnsi" w:hAnsiTheme="minorHAnsi"/>
          <w:lang w:val="en-GB"/>
        </w:rPr>
        <w:t xml:space="preserve">ed vasopressor dosing </w:t>
      </w:r>
      <w:r w:rsidR="00A804A1">
        <w:rPr>
          <w:rFonts w:asciiTheme="minorHAnsi" w:hAnsiTheme="minorHAnsi"/>
          <w:lang w:val="en-GB"/>
        </w:rPr>
        <w:fldChar w:fldCharType="begin"/>
      </w:r>
      <w:r w:rsidR="007E7E7B">
        <w:rPr>
          <w:rFonts w:asciiTheme="minorHAnsi" w:hAnsiTheme="minorHAnsi"/>
          <w:lang w:val="en-GB"/>
        </w:rPr>
        <w:instrText xml:space="preserve"> ADDIN ZOTERO_ITEM CSL_CITATION {"citationID":"1svnd04ak4","properties":{"formattedCitation":"[79]","plainCitation":"[79]"},"citationItems":[{"id":150,"uris":["http://zotero.org/users/local/tmXAZSH1/items/6BIEZWF6"],"uri":["http://zotero.org/users/local/tmXAZSH1/items/6BIEZWF6"],"itemData":{"id":150,"type":"article-journal","title":"Higher versus lower blood pressure targets for vasopressor therapy in shock: a multicentre pilot randomized controlled trial","container-title":"Intensive Care Medicine","page":"542-550","volume":"42","issue":"4","source":"PubMed","abstract":"PURPOSE: In shock, hypotension may contribute to inadequate oxygen delivery, organ failure and death. We conducted the Optimal Vasopressor Titration (OVATION) pilot trial to inform the design of a larger trial examining the effect of lower versus higher mean arterial pressure (MAP) targets for vasopressor therapy in shock.\nMETHODS: We randomly assigned critically ill patients who were presumed to suffer from vasodilatory shock regardless of admission diagnosis to a lower (60-65 mmHg) versus a higher (75-80 mmHg) MAP target. The primary objective was to measure the separation in MAP between groups. We also recorded days with protocol deviations, enrolment rate, cardiac arrhythmias and mortality for prespecified subgroups.\nRESULTS: A total of 118 patients were enrolled from 11 centres (2.3 patients/site/month of screening). The between-group separation in MAP was 9 mmHg (95% CI 7-11). In the lower and higher MAP groups, we observed deviations on 12 versus 8% of all days on vasopressors (p = 0.059). Risks of cardiac arrhythmias (20 versus 36%, p = 0.07) and hospital mortality (30 versus 33%, p = 0.84) were not different between lower and higher MAP arms. Among patients aged 75 years or older, a lower MAP target was associated with reduced hospital mortality (13 versus 60%, p = 0.03) but not in younger patients.\nCONCLUSIONS: This pilot study supports the feasibility of a large trial comparing lower versus higher MAP targets for shock. Further research may help delineate the reasons for vasopressor dosing in excess of prescribed targets and how individual patient characteristics modify the response to vasopressor therapy.","DOI":"10.1007/s00134-016-4237-3","ISSN":"1432-1238","note":"PMID: 26891677","shortTitle":"Higher versus lower blood pressure targets for vasopressor therapy in shock","journalAbbreviation":"Intensive Care Med","language":"eng","author":[{"family":"Lamontagne","given":"François"},{"family":"Meade","given":"Maureen O."},{"family":"Hébert","given":"Paul C."},{"family":"Asfar","given":"Pierre"},{"family":"Lauzier","given":"François"},{"family":"Seely","given":"Andrew J. E."},{"family":"Day","given":"Andrew G."},{"family":"Mehta","given":"Sangeeta"},{"family":"Muscedere","given":"John"},{"family":"Bagshaw","given":"Sean M."},{"family":"Ferguson","given":"Niall D."},{"family":"Cook","given":"Deborah J."},{"family":"Kanji","given":"Salmaan"},{"family":"Turgeon","given":"Alexis F."},{"family":"Herridge","given":"Margaret S."},{"family":"Subramanian","given":"Sanjay"},{"family":"Lacroix","given":"Jacques"},{"family":"Adhikari","given":"Neill K. J."},{"family":"Scales","given":"Damon C."},{"family":"Fox-Robichaud","given":"Alison"},{"family":"Skrobik","given":"Yoanna"},{"family":"Whitlock","given":"Richard P."},{"family":"Green","given":"Robert S."},{"family":"Koo","given":"Karen K. Y."},{"family":"Tanguay","given":"Teddie"},{"family":"Magder","given":"Sheldon"},{"family":"Heyland","given":"Daren K."},{"literal":"Canadian Critical Care Trials Group"}],"issued":{"date-parts":[["2016",4]]},"PMID":"26891677"}}],"schema":"https://github.com/citation-style-language/schema/raw/master/csl-citation.json"} </w:instrText>
      </w:r>
      <w:r w:rsidR="00A804A1">
        <w:rPr>
          <w:rFonts w:asciiTheme="minorHAnsi" w:hAnsiTheme="minorHAnsi"/>
          <w:lang w:val="en-GB"/>
        </w:rPr>
        <w:fldChar w:fldCharType="separate"/>
      </w:r>
      <w:r w:rsidR="007E7E7B" w:rsidRPr="007E7E7B">
        <w:rPr>
          <w:rFonts w:ascii="Calibri" w:hAnsi="Calibri" w:cs="Calibri"/>
        </w:rPr>
        <w:t>[79]</w:t>
      </w:r>
      <w:r w:rsidR="00A804A1">
        <w:rPr>
          <w:rFonts w:asciiTheme="minorHAnsi" w:hAnsiTheme="minorHAnsi"/>
          <w:lang w:val="en-GB"/>
        </w:rPr>
        <w:fldChar w:fldCharType="end"/>
      </w:r>
      <w:r w:rsidR="007F1C25">
        <w:rPr>
          <w:rFonts w:asciiTheme="minorHAnsi" w:hAnsiTheme="minorHAnsi"/>
          <w:lang w:val="en-GB"/>
        </w:rPr>
        <w:t xml:space="preserve">, </w:t>
      </w:r>
      <w:r w:rsidR="000A2F5D">
        <w:rPr>
          <w:rFonts w:asciiTheme="minorHAnsi" w:hAnsiTheme="minorHAnsi"/>
          <w:lang w:val="en-GB"/>
        </w:rPr>
        <w:t>adjunctive vasopressin</w:t>
      </w:r>
      <w:r w:rsidR="00CF6CEC">
        <w:rPr>
          <w:rFonts w:asciiTheme="minorHAnsi" w:hAnsiTheme="minorHAnsi"/>
          <w:lang w:val="en-GB"/>
        </w:rPr>
        <w:t xml:space="preserve"> </w:t>
      </w:r>
      <w:r w:rsidR="00CF6CEC">
        <w:rPr>
          <w:rFonts w:asciiTheme="minorHAnsi" w:hAnsiTheme="minorHAnsi"/>
          <w:lang w:val="en-GB"/>
        </w:rPr>
        <w:fldChar w:fldCharType="begin"/>
      </w:r>
      <w:r w:rsidR="007E7E7B">
        <w:rPr>
          <w:rFonts w:asciiTheme="minorHAnsi" w:hAnsiTheme="minorHAnsi"/>
          <w:lang w:val="en-GB"/>
        </w:rPr>
        <w:instrText xml:space="preserve"> ADDIN ZOTERO_ITEM CSL_CITATION {"citationID":"24tokbb00e","properties":{"formattedCitation":"[80, 81]","plainCitation":"[80, 81]"},"citationItems":[{"id":152,"uris":["http://zotero.org/users/local/tmXAZSH1/items/ENNA9C69"],"uri":["http://zotero.org/users/local/tmXAZSH1/items/ENNA9C69"],"itemData":{"id":152,"type":"article-journal","title":"Vasopressin versus norepinephrine infusion in patients with septic shock","container-title":"The New England Journal of Medicine","page":"877-887","volume":"358","issue":"9","source":"PubMed","abstract":"BACKGROUND: Vasopressin is commonly used as an adjunct to catecholamines to support blood pressure in refractory septic shock, but its effect on mortality is unknown. We hypothesized that low-dose vasopressin as compared with norepinephrine would decrease mortality among patients with septic shock who were being treated with conventional (catecholamine) vasopressors.\nMETHODS: In this multicenter, randomized, double-blind trial, we assigned patients who had septic shock and were receiving a minimum of 5 microg of norepinephrine per minute to receive either low-dose vasopressin (0.01 to 0.03 U per minute) or norepinephrine (5 to 15 microg per minute) in addition to open-label vasopressors. All vasopressor infusions were titrated and tapered according to protocols to maintain a target blood pressure. The primary end point was the mortality rate 28 days after the start of infusions.\nRESULTS: A total of 778 patients underwent randomization, were infused with the study drug (396 patients received vasopressin, and 382 norepinephrine), and were included in the analysis. There was no significant difference between the vasopressin and norepinephrine groups in the 28-day mortality rate (35.4% and 39.3%, respectively; P=0.26) or in 90-day mortality (43.9% and 49.6%, respectively; P=0.11). There were no significant differences in the overall rates of serious adverse events (10.3% and 10.5%, respectively; P=1.00). In the prospectively defined stratum of less severe septic shock, the mortality rate was lower in the vasopressin group than in the norepinephrine group at 28 days (26.5% vs. 35.7%, P=0.05); in the stratum of more severe septic shock, there was no significant difference in 28-day mortality (44.0% and 42.5%, respectively; P=0.76). A test for heterogeneity between these two study strata was not significant (P=0.10).\nCONCLUSIONS: Low-dose vasopressin did not reduce mortality rates as compared with norepinephrine among patients with septic shock who were treated with catecholamine vasopressors. (Current Controlled Trials number, ISRCTN94845869 [controlled-trials.com].).","DOI":"10.1056/NEJMoa067373","ISSN":"1533-4406","note":"PMID: 18305265","journalAbbreviation":"N. Engl. J. Med.","language":"eng","author":[{"family":"Russell","given":"James A."},{"family":"Walley","given":"Keith R."},{"family":"Singer","given":"Joel"},{"family":"Gordon","given":"Anthony C."},{"family":"Hébert","given":"Paul C."},{"family":"Cooper","given":"D. James"},{"family":"Holmes","given":"Cheryl L."},{"family":"Mehta","given":"Sangeeta"},{"family":"Granton","given":"John T."},{"family":"Storms","given":"Michelle M."},{"family":"Cook","given":"Deborah J."},{"family":"Presneill","given":"Jeffrey J."},{"family":"Ayers","given":"Dieter"},{"literal":"VASST Investigators"}],"issued":{"date-parts":[["2008",2,28]]},"PMID":"18305265"}},{"id":154,"uris":["http://zotero.org/users/local/tmXAZSH1/items/49I8UEKA"],"uri":["http://zotero.org/users/local/tmXAZSH1/items/49I8UEKA"],"itemData":{"id":154,"type":"article-journal","title":"Effect of Early Vasopressin vs Norepinephrine on Kidney Failure in Patients With Septic Shock: The VANISH Randomized Clinical Trial","container-title":"JAMA","page":"509-518","volume":"316","issue":"5","source":"PubMed","abstract":"IMPORTANCE: Norepinephrine is currently recommended as the first-line vasopressor in septic shock; however, early vasopressin use has been proposed as an alternative.\nOBJECTIVE: To compare the effect of early vasopressin vs norepinephrine on kidney failure in patients with septic shock.\nDESIGN, SETTING, AND PARTICIPANTS: A factorial (2×2), double-blind, randomized clinical trial conducted in 18 general adult intensive care units in the United Kingdom between February 2013 and May 2015, enrolling adult patients who had septic shock requiring vasopressors despite fluid resuscitation within a maximum of 6 hours after the onset of shock.\nINTERVENTIONS: Patients were randomly allocated to vasopressin (titrated up to 0.06 U/min) and hydrocortisone (n = 101), vasopressin and placebo (n = 104), norepinephrine and hydrocortisone (n = 101), or norepinephrine and placebo (n = 103).\nMAIN OUTCOMES AND MEASURES: The primary outcome was kidney failure-free days during the 28-day period after randomization, measured as (1) the proportion of patients who never developed kidney failure and (2) median number of days alive and free of kidney failure for patients who did not survive, who experienced kidney failure, or both. Rates of renal replacement therapy, mortality, and serious adverse events were secondary outcomes.\nRESULTS: A total of 409 patients (median age, 66 years; men, 58.2%) were included in the study, with a median time to study drug administration of 3.5 hours after diagnosis of shock. The number of survivors who never developed kidney failure was 94 of 165 patients (57.0%) in the vasopressin group and 93 of 157 patients (59.2%) in the norepinephrine group (difference, -2.3% [95% CI, -13.0% to 8.5%]). The median number of kidney failure-free days for patients who did not survive, who experienced kidney failure, or both was 9 days (interquartile range [IQR], 1 to -24) in the vasopressin group and 13 days (IQR, 1 to -25) in the norepinephrine group (difference, -4 days [95% CI, -11 to 5]). There was less use of renal replacement therapy in the vasopressin group than in the norepinephrine group (25.4% for vasopressin vs 35.3% for norepinephrine; difference, -9.9% [95% CI, -19.3% to -0.6%]). There was no significant difference in mortality rates between groups. In total, 22 of 205 patients (10.7%) had a serious adverse event in the vasopressin group vs 17 of 204 patients (8.3%) in the norepinephrine group (difference, 2.5% [95% CI, -3.3% to 8.2%]).\nCONCLUSIONS AND RELEVANCE: Among adults with septic shock, the early use of vasopressin compared with norepinephrine did not improve the number of kidney failure-free days. Although these findings do not support the use of vasopressin to replace norepinephrine as initial treatment in this situation, the confidence interval included a potential clinically important benefit for vasopressin, and larger trials may be warranted to assess this further.\nTRIAL REGISTRATION: clinicaltrials.gov Identifier: ISRCTN 20769191.","DOI":"10.1001/jama.2016.10485","ISSN":"1538-3598","note":"PMID: 27483065","shortTitle":"Effect of Early Vasopressin vs Norepinephrine on Kidney Failure in Patients With Septic Shock","journalAbbreviation":"JAMA","language":"eng","author":[{"family":"Gordon","given":"Anthony C."},{"family":"Mason","given":"Alexina J."},{"family":"Thirunavukkarasu","given":"Neeraja"},{"family":"Perkins","given":"Gavin D."},{"family":"Cecconi","given":"Maurizio"},{"family":"Cepkova","given":"Magda"},{"family":"Pogson","given":"David G."},{"family":"Aya","given":"Hollmann D."},{"family":"Anjum","given":"Aisha"},{"family":"Frazier","given":"Gregory J."},{"family":"Santhakumaran","given":"Shalini"},{"family":"Ashby","given":"Deborah"},{"family":"Brett","given":"Stephen J."},{"literal":"VANISH Investigators"}],"issued":{"date-parts":[["2016",8,2]]},"PMID":"27483065"}}],"schema":"https://github.com/citation-style-language/schema/raw/master/csl-citation.json"} </w:instrText>
      </w:r>
      <w:r w:rsidR="00CF6CEC">
        <w:rPr>
          <w:rFonts w:asciiTheme="minorHAnsi" w:hAnsiTheme="minorHAnsi"/>
          <w:lang w:val="en-GB"/>
        </w:rPr>
        <w:fldChar w:fldCharType="separate"/>
      </w:r>
      <w:r w:rsidR="007E7E7B" w:rsidRPr="007E7E7B">
        <w:rPr>
          <w:rFonts w:ascii="Calibri" w:hAnsi="Calibri" w:cs="Calibri"/>
        </w:rPr>
        <w:t>[80, 81]</w:t>
      </w:r>
      <w:r w:rsidR="00CF6CEC">
        <w:rPr>
          <w:rFonts w:asciiTheme="minorHAnsi" w:hAnsiTheme="minorHAnsi"/>
          <w:lang w:val="en-GB"/>
        </w:rPr>
        <w:fldChar w:fldCharType="end"/>
      </w:r>
      <w:r w:rsidR="000A2F5D">
        <w:rPr>
          <w:rFonts w:asciiTheme="minorHAnsi" w:hAnsiTheme="minorHAnsi"/>
          <w:lang w:val="en-GB"/>
        </w:rPr>
        <w:t xml:space="preserve"> or angiotensin-II</w:t>
      </w:r>
      <w:r w:rsidR="00CF6CEC">
        <w:rPr>
          <w:rFonts w:asciiTheme="minorHAnsi" w:hAnsiTheme="minorHAnsi"/>
          <w:lang w:val="en-GB"/>
        </w:rPr>
        <w:t xml:space="preserve"> </w:t>
      </w:r>
      <w:r w:rsidR="00CF6CEC">
        <w:rPr>
          <w:rFonts w:asciiTheme="minorHAnsi" w:hAnsiTheme="minorHAnsi"/>
          <w:lang w:val="en-GB"/>
        </w:rPr>
        <w:fldChar w:fldCharType="begin"/>
      </w:r>
      <w:r w:rsidR="007E7E7B">
        <w:rPr>
          <w:rFonts w:asciiTheme="minorHAnsi" w:hAnsiTheme="minorHAnsi"/>
          <w:lang w:val="en-GB"/>
        </w:rPr>
        <w:instrText xml:space="preserve"> ADDIN ZOTERO_ITEM CSL_CITATION {"citationID":"2RDCbjyl","properties":{"formattedCitation":"[82]","plainCitation":"[82]"},"citationItems":[{"id":156,"uris":["http://zotero.org/users/local/tmXAZSH1/items/IQ3DTVEE"],"uri":["http://zotero.org/users/local/tmXAZSH1/items/IQ3DTVEE"],"itemData":{"id":156,"type":"article-journal","title":"Intravenous angiotensin II for the treatment of high-output shock (ATHOS trial): a pilot study","container-title":"Critical Care (London, England)","page":"534","volume":"18","issue":"5","source":"PubMed","abstract":"INTRODUCTION: Patients with distributive shock who require high dose vasopressors have a high mortality. Angiotensin II (ATII) may prove useful in patients who remain hypotensive despite catecholamine and vasopressin therapy. The appropriate dose of parenteral angiotensin II for shock is unknown.\nMETHODS: In total, 20 patients with distributive shock and a cardiovascular Sequential Organ Failure Assessment score of 4 were randomized to either ATII infusion (N =10) or placebo (N =10) plus standard of care. ATII was started at a dose of 20 ng/kg/min, and titrated for a goal of maintaining a mean arterial pressure (MAP) of 65 mmHg. The infusion (either ATII or placebo) was continued for 6 hours then titrated off. The primary endpoint was the effect of ATII on the standing dose of norepinephrine required to maintain a MAP of 65 mmHg.\nRESULTS: ATII resulted in marked reduction in norepinephrine dosing in all patients. The mean hour 1 norepinephrine dose for the placebo cohort was 27.6 ± 29.3 mcg/min versus 7.4 ± 12.4 mcg/min for the ATII cohort (P =0.06). The most common adverse event attributable to ATII was hypertension, which occurred in 20% of patients receiving ATII. 30-day mortality for the ATII cohort and the placebo cohort was similar (50% versus 60%, P =1.00).\nCONCLUSION: Angiotensin II is an effective rescue vasopressor agent in patients with distributive shock requiring multiple vasopressors. The initial dose range of ATII that appears to be appropriate for patients with distributive shock is 2 to 10 ng/kg/min.\nTRIAL REGISTRATION: Clinicaltrials.gov NCT01393782. Registered 12 July 2011.","DOI":"10.1186/s13054-014-0534-9","ISSN":"1466-609X","note":"PMID: 25286986\nPMCID: PMC4212099","shortTitle":"Intravenous angiotensin II for the treatment of high-output shock (ATHOS trial)","journalAbbreviation":"Crit Care","language":"eng","author":[{"family":"Chawla","given":"Lakhmir S."},{"family":"Busse","given":"Laurence"},{"family":"Brasha-Mitchell","given":"Ermira"},{"family":"Davison","given":"Danielle"},{"family":"Honiq","given":"Jacqueline"},{"family":"Alotaibi","given":"Ziyad"},{"family":"Seneff","given":"Michael G."}],"issued":{"date-parts":[["2014",10,6]]},"PMID":"25286986","PMCID":"PMC4212099"}}],"schema":"https://github.com/citation-style-language/schema/raw/master/csl-citation.json"} </w:instrText>
      </w:r>
      <w:r w:rsidR="00CF6CEC">
        <w:rPr>
          <w:rFonts w:asciiTheme="minorHAnsi" w:hAnsiTheme="minorHAnsi"/>
          <w:lang w:val="en-GB"/>
        </w:rPr>
        <w:fldChar w:fldCharType="separate"/>
      </w:r>
      <w:r w:rsidR="007E7E7B" w:rsidRPr="007E7E7B">
        <w:rPr>
          <w:rFonts w:ascii="Calibri" w:hAnsi="Calibri" w:cs="Calibri"/>
        </w:rPr>
        <w:t>[82]</w:t>
      </w:r>
      <w:r w:rsidR="00CF6CEC">
        <w:rPr>
          <w:rFonts w:asciiTheme="minorHAnsi" w:hAnsiTheme="minorHAnsi"/>
          <w:lang w:val="en-GB"/>
        </w:rPr>
        <w:fldChar w:fldCharType="end"/>
      </w:r>
      <w:r w:rsidR="007F1C25">
        <w:rPr>
          <w:rFonts w:asciiTheme="minorHAnsi" w:hAnsiTheme="minorHAnsi"/>
          <w:lang w:val="en-GB"/>
        </w:rPr>
        <w:t>, and</w:t>
      </w:r>
      <w:r w:rsidR="000A2F5D">
        <w:rPr>
          <w:rFonts w:asciiTheme="minorHAnsi" w:hAnsiTheme="minorHAnsi"/>
          <w:lang w:val="en-GB"/>
        </w:rPr>
        <w:t>/or</w:t>
      </w:r>
      <w:r w:rsidR="007F1C25">
        <w:rPr>
          <w:rFonts w:asciiTheme="minorHAnsi" w:hAnsiTheme="minorHAnsi"/>
          <w:lang w:val="en-GB"/>
        </w:rPr>
        <w:t xml:space="preserve"> beta-block</w:t>
      </w:r>
      <w:r w:rsidR="000A2F5D">
        <w:rPr>
          <w:rFonts w:asciiTheme="minorHAnsi" w:hAnsiTheme="minorHAnsi"/>
          <w:lang w:val="en-GB"/>
        </w:rPr>
        <w:t>er(s)</w:t>
      </w:r>
      <w:r w:rsidRPr="007141B1">
        <w:rPr>
          <w:rFonts w:asciiTheme="minorHAnsi" w:hAnsiTheme="minorHAnsi"/>
          <w:lang w:val="en-GB"/>
        </w:rPr>
        <w:t xml:space="preserve"> </w:t>
      </w:r>
      <w:r w:rsidRPr="007141B1">
        <w:rPr>
          <w:rFonts w:asciiTheme="minorHAnsi" w:hAnsiTheme="minorHAnsi"/>
          <w:lang w:val="en-GB"/>
        </w:rPr>
        <w:fldChar w:fldCharType="begin"/>
      </w:r>
      <w:r w:rsidR="007E7E7B">
        <w:rPr>
          <w:rFonts w:asciiTheme="minorHAnsi" w:hAnsiTheme="minorHAnsi"/>
          <w:lang w:val="en-GB"/>
        </w:rPr>
        <w:instrText xml:space="preserve"> ADDIN ZOTERO_ITEM CSL_CITATION {"citationID":"2l5k1n2fiu","properties":{"formattedCitation":"[83]","plainCitation":"[83]"},"citationItems":[{"id":136,"uris":["http://zotero.org/users/local/ZaW79YVG/items/P6GB986X"],"uri":["http://zotero.org/users/local/ZaW79YVG/items/P6GB986X"],"itemData":{"id":136,"type":"article-journal","title":"Effect of heart rate control with esmolol on hemodynamic and clinical outcomes in patients with septic shock: a randomized clinical trial","container-title":"JAMA","page":"1683-1691","volume":"310","issue":"16","source":"PubMed","abstract":"IMPORTANCE: β-Blocker therapy may control heart rate and attenuate the deleterious effects of β-adrenergic receptor stimulation in septic shock. However, β-Blockers are not traditionally used for this condition and may worsen cardiovascular decompensation related through negative inotropic and hypotensive effects.\nOBJECTIVE: To investigate the effect of the short-acting β-blocker esmolol in patients with severe septic shock.\nDESIGN, SETTING, AND PATIENTS: Open-label, randomized phase 2 study, conducted in a university hospital intensive care unit (ICU) between November 2010 and July 2012, involving patients in septic shock with a heart rate of 95/min or higher requiring high-dose norepinephrine to maintain a mean arterial pressure of 65 mm Hg or higher.\nINTERVENTIONS: We randomly assigned 77 patients to receive a continuous infusion of esmolol titrated to maintain heart rate between 80/min and 94/min for their ICU stay and 77 patients to standard treatment.\nMAIN OUTCOMES AND MEASURES: Our primary outcome was a reduction in heart rate below the predefined threshold of 95/min and to maintain heart rate between 80/min and 94/min by esmolol treatment over a 96-hour period. Secondary outcomes included hemodynamic and organ function measures; norepinephrine dosages at 24, 48, 72, and 96 hours; and adverse events and mortality occurring within 28 days after randomization.\nRESULTS: Targeted heart rates were achieved in all patients in the esmolol group compared with those in the control group. The median AUC for heart rate during the first 96 hours was -28/min (IQR, -37 to -21) for the esmolol group vs -6/min (95% CI, -14 to 0) for the control group with a mean reduction of 18/min (P &lt; .001). For stroke volume index, the median AUC for esmolol was 4 mL/m2 (IQR, -1 to 10) vs 1 mL/m2 for the control group (IQR, -3 to 5; P = .02), whereas the left ventricular stroke work index for esmolol was 3 mL/m2 (IQR, 0 to 8) vs 1 mL/m2 for the control group (IQR, -2 to 5; P = .03). For arterial lactatemia, median AUC for esmolol was -0.1 mmol/L (IQR, -0.6 to 0.2) vs 0.1 mmol/L for the control group (IQR, -0.3 for 0.6; P = .007); for norepinephrine, -0.11 μg/kg/min (IQR, -0.46 to 0.02) for the esmolol group vs -0.01 μg/kg/min (IQR, -0.2 to 0.44) for the control group (P = .003). Fluid requirements were reduced in the esmolol group: median AUC was 3975 mL/24 h (IQR, 3663 to 4200) vs 4425 mL/24 h(IQR, 4038 to 4775) for the control group (P &lt; .001). We found no clinically relevant differences between groups in other cardiopulmonary variables nor in rescue therapy requirements. Twenty-eight day mortality was 49.4% in the esmolol group vs 80.5% in the control group (adjusted hazard ratio, 0.39; 95% CI, 0.26 to 0.59; P &lt; .001).\nCONCLUSIONS AND RELEVANCE: For patients in septic shock, open-label use of esmolol vs standard care was associated with reductions in heart rates to achieve target levels, without increased adverse events. The observed improvement in mortality and other secondary clinical outcomes warrants further investigation.\nTRIAL REGISTRATION: clinicaltrials.gov Identifier: NCT01231698.","DOI":"10.1001/jama.2013.278477","ISSN":"1538-3598","note":"PMID: 24108526","shortTitle":"Effect of heart rate control with esmolol on hemodynamic and clinical outcomes in patients with septic shock","journalAbbreviation":"JAMA","language":"eng","author":[{"family":"Morelli","given":"Andrea"},{"family":"Ertmer","given":"Christian"},{"family":"Westphal","given":"Martin"},{"family":"Rehberg","given":"Sebastian"},{"family":"Kampmeier","given":"Tim"},{"family":"Ligges","given":"Sandra"},{"family":"Orecchioni","given":"Alessandra"},{"family":"D'Egidio","given":"Annalia"},{"family":"D'Ippoliti","given":"Fiorella"},{"family":"Raffone","given":"Cristina"},{"family":"Venditti","given":"Mario"},{"family":"Guarracino","given":"Fabio"},{"family":"Girardis","given":"Massimo"},{"family":"Tritapepe","given":"Luigi"},{"family":"Pietropaoli","given":"Paolo"},{"family":"Mebazaa","given":"Alexander"},{"family":"Singer","given":"Mervyn"}],"issued":{"date-parts":[["2013",10,23]]},"PMID":"24108526"}}],"schema":"https://github.com/citation-style-language/schema/raw/master/csl-citation.json"} </w:instrText>
      </w:r>
      <w:r w:rsidRPr="007141B1">
        <w:rPr>
          <w:rFonts w:asciiTheme="minorHAnsi" w:hAnsiTheme="minorHAnsi"/>
          <w:lang w:val="en-GB"/>
        </w:rPr>
        <w:fldChar w:fldCharType="separate"/>
      </w:r>
      <w:r w:rsidR="007E7E7B" w:rsidRPr="000F5B05">
        <w:rPr>
          <w:rFonts w:ascii="Calibri" w:hAnsi="Calibri" w:cs="Calibri"/>
          <w:lang w:val="en-US"/>
        </w:rPr>
        <w:t>[83]</w:t>
      </w:r>
      <w:r w:rsidRPr="007141B1">
        <w:rPr>
          <w:rFonts w:asciiTheme="minorHAnsi" w:hAnsiTheme="minorHAnsi"/>
          <w:lang w:val="en-GB"/>
        </w:rPr>
        <w:fldChar w:fldCharType="end"/>
      </w:r>
      <w:r w:rsidRPr="007141B1">
        <w:rPr>
          <w:rFonts w:asciiTheme="minorHAnsi" w:hAnsiTheme="minorHAnsi"/>
          <w:lang w:val="en-GB"/>
        </w:rPr>
        <w:t xml:space="preserve"> support the notion that excess </w:t>
      </w:r>
      <w:proofErr w:type="spellStart"/>
      <w:r w:rsidRPr="007141B1">
        <w:rPr>
          <w:rFonts w:asciiTheme="minorHAnsi" w:hAnsiTheme="minorHAnsi"/>
          <w:lang w:val="en-GB"/>
        </w:rPr>
        <w:t>catecholamines</w:t>
      </w:r>
      <w:proofErr w:type="spellEnd"/>
      <w:r w:rsidRPr="007141B1">
        <w:rPr>
          <w:rFonts w:asciiTheme="minorHAnsi" w:hAnsiTheme="minorHAnsi"/>
          <w:lang w:val="en-GB"/>
        </w:rPr>
        <w:t xml:space="preserve"> be </w:t>
      </w:r>
      <w:r w:rsidR="000A2F5D">
        <w:rPr>
          <w:rFonts w:asciiTheme="minorHAnsi" w:hAnsiTheme="minorHAnsi"/>
          <w:lang w:val="en-GB"/>
        </w:rPr>
        <w:t xml:space="preserve">limited or </w:t>
      </w:r>
      <w:r w:rsidRPr="007141B1">
        <w:rPr>
          <w:rFonts w:asciiTheme="minorHAnsi" w:hAnsiTheme="minorHAnsi"/>
          <w:lang w:val="en-GB"/>
        </w:rPr>
        <w:t>avoided</w:t>
      </w:r>
      <w:r w:rsidR="00B81F68">
        <w:rPr>
          <w:rFonts w:asciiTheme="minorHAnsi" w:hAnsiTheme="minorHAnsi"/>
          <w:lang w:val="en-GB"/>
        </w:rPr>
        <w:t xml:space="preserve"> in septic shock</w:t>
      </w:r>
      <w:r w:rsidRPr="007141B1">
        <w:rPr>
          <w:rFonts w:asciiTheme="minorHAnsi" w:hAnsiTheme="minorHAnsi"/>
          <w:lang w:val="en-GB"/>
        </w:rPr>
        <w:t xml:space="preserve">. </w:t>
      </w:r>
      <w:r w:rsidR="007F1C25">
        <w:rPr>
          <w:rFonts w:asciiTheme="minorHAnsi" w:hAnsiTheme="minorHAnsi"/>
          <w:lang w:val="en-GB"/>
        </w:rPr>
        <w:t>T</w:t>
      </w:r>
      <w:r w:rsidRPr="007141B1">
        <w:rPr>
          <w:rFonts w:asciiTheme="minorHAnsi" w:hAnsiTheme="minorHAnsi"/>
          <w:lang w:val="en-GB"/>
        </w:rPr>
        <w:t xml:space="preserve">here is an imperative to conduct trials with low risk of bias to assess the effectiveness and safety </w:t>
      </w:r>
      <w:r w:rsidR="007F1C25">
        <w:rPr>
          <w:rFonts w:asciiTheme="minorHAnsi" w:hAnsiTheme="minorHAnsi"/>
          <w:lang w:val="en-GB"/>
        </w:rPr>
        <w:t xml:space="preserve">of strategies aiming at reducing the effects of </w:t>
      </w:r>
      <w:proofErr w:type="spellStart"/>
      <w:r w:rsidR="007F1C25">
        <w:rPr>
          <w:rFonts w:asciiTheme="minorHAnsi" w:hAnsiTheme="minorHAnsi"/>
          <w:lang w:val="en-GB"/>
        </w:rPr>
        <w:t>catecholamines</w:t>
      </w:r>
      <w:proofErr w:type="spellEnd"/>
      <w:r w:rsidRPr="007141B1">
        <w:rPr>
          <w:rFonts w:asciiTheme="minorHAnsi" w:hAnsiTheme="minorHAnsi"/>
          <w:lang w:val="en-GB"/>
        </w:rPr>
        <w:t xml:space="preserve"> in septic shock</w:t>
      </w:r>
      <w:r w:rsidR="00482D71">
        <w:rPr>
          <w:rFonts w:asciiTheme="minorHAnsi" w:hAnsiTheme="minorHAnsi"/>
          <w:lang w:val="en-GB"/>
        </w:rPr>
        <w:t>. These</w:t>
      </w:r>
      <w:r w:rsidR="007F1C25">
        <w:rPr>
          <w:rFonts w:asciiTheme="minorHAnsi" w:hAnsiTheme="minorHAnsi"/>
          <w:lang w:val="en-GB"/>
        </w:rPr>
        <w:t xml:space="preserve"> includ</w:t>
      </w:r>
      <w:r w:rsidR="00482D71">
        <w:rPr>
          <w:rFonts w:asciiTheme="minorHAnsi" w:hAnsiTheme="minorHAnsi"/>
          <w:lang w:val="en-GB"/>
        </w:rPr>
        <w:t>e</w:t>
      </w:r>
      <w:r w:rsidR="007F1C25">
        <w:rPr>
          <w:rFonts w:asciiTheme="minorHAnsi" w:hAnsiTheme="minorHAnsi"/>
          <w:lang w:val="en-GB"/>
        </w:rPr>
        <w:t xml:space="preserve"> </w:t>
      </w:r>
      <w:r w:rsidR="00371B80">
        <w:rPr>
          <w:rFonts w:asciiTheme="minorHAnsi" w:hAnsiTheme="minorHAnsi"/>
          <w:lang w:val="en-GB"/>
        </w:rPr>
        <w:t>lowering doses of noradrenaline</w:t>
      </w:r>
      <w:r w:rsidR="00531DD6">
        <w:rPr>
          <w:rFonts w:asciiTheme="minorHAnsi" w:hAnsiTheme="minorHAnsi"/>
          <w:lang w:val="en-GB"/>
        </w:rPr>
        <w:t xml:space="preserve"> and</w:t>
      </w:r>
      <w:r w:rsidR="00371B80">
        <w:rPr>
          <w:rFonts w:asciiTheme="minorHAnsi" w:hAnsiTheme="minorHAnsi"/>
          <w:lang w:val="en-GB"/>
        </w:rPr>
        <w:t xml:space="preserve"> </w:t>
      </w:r>
      <w:r w:rsidR="00531DD6">
        <w:rPr>
          <w:rFonts w:asciiTheme="minorHAnsi" w:hAnsiTheme="minorHAnsi"/>
          <w:lang w:val="en-GB"/>
        </w:rPr>
        <w:t xml:space="preserve">adjunctive </w:t>
      </w:r>
      <w:r w:rsidR="007F1C25">
        <w:rPr>
          <w:rFonts w:asciiTheme="minorHAnsi" w:hAnsiTheme="minorHAnsi"/>
          <w:lang w:val="en-GB"/>
        </w:rPr>
        <w:t>vasopressin analog</w:t>
      </w:r>
      <w:r w:rsidR="00371B80">
        <w:rPr>
          <w:rFonts w:asciiTheme="minorHAnsi" w:hAnsiTheme="minorHAnsi"/>
          <w:lang w:val="en-GB"/>
        </w:rPr>
        <w:t>ues</w:t>
      </w:r>
      <w:r w:rsidR="00531DD6">
        <w:rPr>
          <w:rFonts w:asciiTheme="minorHAnsi" w:hAnsiTheme="minorHAnsi"/>
          <w:lang w:val="en-GB"/>
        </w:rPr>
        <w:t>,</w:t>
      </w:r>
      <w:r w:rsidR="00371B80">
        <w:rPr>
          <w:rFonts w:asciiTheme="minorHAnsi" w:hAnsiTheme="minorHAnsi"/>
          <w:lang w:val="en-GB"/>
        </w:rPr>
        <w:t xml:space="preserve"> </w:t>
      </w:r>
      <w:r w:rsidR="000A2F5D">
        <w:rPr>
          <w:rFonts w:asciiTheme="minorHAnsi" w:hAnsiTheme="minorHAnsi"/>
          <w:lang w:val="en-GB"/>
        </w:rPr>
        <w:t xml:space="preserve">angiotensin-II and/or </w:t>
      </w:r>
      <w:r w:rsidR="00371B80">
        <w:rPr>
          <w:rFonts w:asciiTheme="minorHAnsi" w:hAnsiTheme="minorHAnsi"/>
          <w:lang w:val="en-GB"/>
        </w:rPr>
        <w:t>beta-blocking agents</w:t>
      </w:r>
      <w:r w:rsidRPr="007141B1">
        <w:rPr>
          <w:rFonts w:asciiTheme="minorHAnsi" w:hAnsiTheme="minorHAnsi"/>
          <w:lang w:val="en-GB"/>
        </w:rPr>
        <w:t xml:space="preserve">. </w:t>
      </w:r>
      <w:r w:rsidR="00371B80">
        <w:rPr>
          <w:rFonts w:asciiTheme="minorHAnsi" w:hAnsiTheme="minorHAnsi"/>
          <w:lang w:val="en-GB"/>
        </w:rPr>
        <w:t xml:space="preserve">For these strategies </w:t>
      </w:r>
      <w:r w:rsidR="000A2F5D">
        <w:rPr>
          <w:rFonts w:asciiTheme="minorHAnsi" w:hAnsiTheme="minorHAnsi"/>
          <w:lang w:val="en-GB"/>
        </w:rPr>
        <w:t xml:space="preserve">to be </w:t>
      </w:r>
      <w:proofErr w:type="gramStart"/>
      <w:r w:rsidR="000A2F5D">
        <w:rPr>
          <w:rFonts w:asciiTheme="minorHAnsi" w:hAnsiTheme="minorHAnsi"/>
          <w:lang w:val="en-GB"/>
        </w:rPr>
        <w:t>effective,</w:t>
      </w:r>
      <w:proofErr w:type="gramEnd"/>
      <w:r w:rsidR="000A2F5D">
        <w:rPr>
          <w:rFonts w:asciiTheme="minorHAnsi" w:hAnsiTheme="minorHAnsi"/>
          <w:lang w:val="en-GB"/>
        </w:rPr>
        <w:t xml:space="preserve"> </w:t>
      </w:r>
      <w:r w:rsidR="00371B80">
        <w:rPr>
          <w:rFonts w:asciiTheme="minorHAnsi" w:hAnsiTheme="minorHAnsi"/>
          <w:lang w:val="en-GB"/>
        </w:rPr>
        <w:t xml:space="preserve">more work </w:t>
      </w:r>
      <w:r w:rsidR="00482D71">
        <w:rPr>
          <w:rFonts w:asciiTheme="minorHAnsi" w:hAnsiTheme="minorHAnsi"/>
          <w:lang w:val="en-GB"/>
        </w:rPr>
        <w:t>should</w:t>
      </w:r>
      <w:r w:rsidR="00371B80">
        <w:rPr>
          <w:rFonts w:asciiTheme="minorHAnsi" w:hAnsiTheme="minorHAnsi"/>
          <w:lang w:val="en-GB"/>
        </w:rPr>
        <w:t xml:space="preserve"> be done on</w:t>
      </w:r>
      <w:r w:rsidRPr="007141B1">
        <w:rPr>
          <w:rFonts w:asciiTheme="minorHAnsi" w:hAnsiTheme="minorHAnsi"/>
          <w:lang w:val="en-GB"/>
        </w:rPr>
        <w:t xml:space="preserve"> the target population</w:t>
      </w:r>
      <w:r w:rsidR="00371B80">
        <w:rPr>
          <w:rFonts w:asciiTheme="minorHAnsi" w:hAnsiTheme="minorHAnsi"/>
          <w:lang w:val="en-GB"/>
        </w:rPr>
        <w:t>s</w:t>
      </w:r>
      <w:r w:rsidR="00482D71">
        <w:rPr>
          <w:rFonts w:asciiTheme="minorHAnsi" w:hAnsiTheme="minorHAnsi"/>
          <w:lang w:val="en-GB"/>
        </w:rPr>
        <w:t>; s</w:t>
      </w:r>
      <w:r w:rsidR="00371B80">
        <w:rPr>
          <w:rFonts w:asciiTheme="minorHAnsi" w:hAnsiTheme="minorHAnsi"/>
          <w:lang w:val="en-GB"/>
        </w:rPr>
        <w:t>ome patients may be harmed by broad application of these interventions</w:t>
      </w:r>
      <w:r w:rsidR="000A2F5D">
        <w:rPr>
          <w:rFonts w:asciiTheme="minorHAnsi" w:hAnsiTheme="minorHAnsi"/>
          <w:lang w:val="en-GB"/>
        </w:rPr>
        <w:t xml:space="preserve"> to unselected populations</w:t>
      </w:r>
      <w:r w:rsidRPr="007141B1">
        <w:rPr>
          <w:rFonts w:asciiTheme="minorHAnsi" w:hAnsiTheme="minorHAnsi"/>
          <w:lang w:val="en-GB"/>
        </w:rPr>
        <w:t>.</w:t>
      </w:r>
      <w:r w:rsidR="000A2F5D">
        <w:rPr>
          <w:rFonts w:asciiTheme="minorHAnsi" w:hAnsiTheme="minorHAnsi"/>
          <w:lang w:val="en-GB"/>
        </w:rPr>
        <w:t xml:space="preserve"> </w:t>
      </w:r>
      <w:r w:rsidR="00531DD6">
        <w:rPr>
          <w:rFonts w:asciiTheme="minorHAnsi" w:hAnsiTheme="minorHAnsi"/>
          <w:lang w:val="en-GB"/>
        </w:rPr>
        <w:t>Such work</w:t>
      </w:r>
      <w:r w:rsidR="000A2F5D">
        <w:rPr>
          <w:rFonts w:asciiTheme="minorHAnsi" w:hAnsiTheme="minorHAnsi"/>
          <w:lang w:val="en-GB"/>
        </w:rPr>
        <w:t xml:space="preserve"> should also include </w:t>
      </w:r>
      <w:proofErr w:type="spellStart"/>
      <w:r w:rsidR="000A2F5D">
        <w:rPr>
          <w:rFonts w:asciiTheme="minorHAnsi" w:hAnsiTheme="minorHAnsi"/>
          <w:lang w:val="en-GB"/>
        </w:rPr>
        <w:t>pharmacogenomic</w:t>
      </w:r>
      <w:proofErr w:type="spellEnd"/>
      <w:r w:rsidR="000A2F5D">
        <w:rPr>
          <w:rFonts w:asciiTheme="minorHAnsi" w:hAnsiTheme="minorHAnsi"/>
          <w:lang w:val="en-GB"/>
        </w:rPr>
        <w:t xml:space="preserve"> studies as t</w:t>
      </w:r>
      <w:r w:rsidR="000A2F5D" w:rsidRPr="007141B1">
        <w:rPr>
          <w:rFonts w:asciiTheme="minorHAnsi" w:hAnsiTheme="minorHAnsi"/>
          <w:lang w:val="en-GB"/>
        </w:rPr>
        <w:t xml:space="preserve">here are functional polymorphisms </w:t>
      </w:r>
      <w:r w:rsidR="000A2F5D">
        <w:rPr>
          <w:rFonts w:asciiTheme="minorHAnsi" w:hAnsiTheme="minorHAnsi"/>
          <w:lang w:val="en-GB"/>
        </w:rPr>
        <w:t>of</w:t>
      </w:r>
      <w:r w:rsidR="000A2F5D" w:rsidRPr="007141B1">
        <w:rPr>
          <w:rFonts w:asciiTheme="minorHAnsi" w:hAnsiTheme="minorHAnsi"/>
          <w:lang w:val="en-GB"/>
        </w:rPr>
        <w:t xml:space="preserve"> both alpha and beta </w:t>
      </w:r>
      <w:proofErr w:type="spellStart"/>
      <w:r w:rsidR="000A2F5D" w:rsidRPr="007141B1">
        <w:rPr>
          <w:rFonts w:asciiTheme="minorHAnsi" w:hAnsiTheme="minorHAnsi"/>
          <w:lang w:val="en-GB"/>
        </w:rPr>
        <w:t>adrenoreceptor</w:t>
      </w:r>
      <w:proofErr w:type="spellEnd"/>
      <w:r w:rsidR="000A2F5D" w:rsidRPr="007141B1">
        <w:rPr>
          <w:rFonts w:asciiTheme="minorHAnsi" w:hAnsiTheme="minorHAnsi"/>
          <w:lang w:val="en-GB"/>
        </w:rPr>
        <w:t xml:space="preserve"> genes that </w:t>
      </w:r>
      <w:r w:rsidR="00482D71">
        <w:rPr>
          <w:rFonts w:asciiTheme="minorHAnsi" w:hAnsiTheme="minorHAnsi"/>
          <w:lang w:val="en-GB"/>
        </w:rPr>
        <w:t>a</w:t>
      </w:r>
      <w:r w:rsidR="000A2F5D" w:rsidRPr="007141B1">
        <w:rPr>
          <w:rFonts w:asciiTheme="minorHAnsi" w:hAnsiTheme="minorHAnsi"/>
          <w:lang w:val="en-GB"/>
        </w:rPr>
        <w:t xml:space="preserve">ffect vascular reactivity, response to </w:t>
      </w:r>
      <w:proofErr w:type="spellStart"/>
      <w:r w:rsidR="000A2F5D" w:rsidRPr="007141B1">
        <w:rPr>
          <w:rFonts w:asciiTheme="minorHAnsi" w:hAnsiTheme="minorHAnsi"/>
          <w:lang w:val="en-GB"/>
        </w:rPr>
        <w:t>catecholamines</w:t>
      </w:r>
      <w:proofErr w:type="spellEnd"/>
      <w:r w:rsidR="000A2F5D" w:rsidRPr="007141B1">
        <w:rPr>
          <w:rFonts w:asciiTheme="minorHAnsi" w:hAnsiTheme="minorHAnsi"/>
          <w:lang w:val="en-GB"/>
        </w:rPr>
        <w:t xml:space="preserve">, and risk of sudden death </w:t>
      </w:r>
      <w:r w:rsidR="000A2F5D" w:rsidRPr="007141B1">
        <w:rPr>
          <w:rFonts w:asciiTheme="minorHAnsi" w:hAnsiTheme="minorHAnsi"/>
          <w:lang w:val="en-GB"/>
        </w:rPr>
        <w:fldChar w:fldCharType="begin"/>
      </w:r>
      <w:r w:rsidR="007E7E7B">
        <w:rPr>
          <w:rFonts w:asciiTheme="minorHAnsi" w:hAnsiTheme="minorHAnsi"/>
          <w:lang w:val="en-GB"/>
        </w:rPr>
        <w:instrText xml:space="preserve"> ADDIN ZOTERO_ITEM CSL_CITATION {"citationID":"3n64dg2r5","properties":{"formattedCitation":"[84, 85]","plainCitation":"[84, 85]"},"citationItems":[{"id":158,"uris":["http://zotero.org/users/local/ZaW79YVG/items/PV5JNRNU"],"uri":["http://zotero.org/users/local/ZaW79YVG/items/PV5JNRNU"],"itemData":{"id":158,"type":"article-journal","title":"The effect of common polymorphisms of the beta2-adrenergic receptor on agonist-mediated vascular desensitization","container-title":"The New England Journal of Medicine","page":"1030-1035","volume":"345","issue":"14","source":"PubMed","abstract":"BACKGROUND: With continuous exposure to beta2-adrenergic agonists, vascular tissue becomes desensitized to agonist-mediated vasodilatation. We studied the effects of two common polymorphisms of the beta2-adrenergic receptor, one at codon 16 and one at codon 27, on agonist-mediated vasodilatation and desensitization in the vascular bed.\nMETHODS: We studied 26 healthy subjects who were selected to represent three genotypes: 7 were homozygous for the alleles encoding Arg16 and Gln27, 8 were homozygous for the alleles encoding Gly16 and Gln27, and 11 were homozygous for the alleles encoding Gly16 and Glu27. Vascular responses were assessed by measuring changes in the diameter of a dorsal hand vein. A dose-response curve of the effect of the beta2-adrenergic-receptor agonist isoproterenol was constructed (dose range, 4 to 480 ng per minute). Desensitization was then induced by a 2-hour continuous infusion of isoproterenol, and venodilatation was measured 30, 60, 90, and 120 minutes after the start of the infusion.\nRESULTS: Subjects who were homozygous for Arg16 had almost complete desensitization; venodilatation in response to isoproterenol in this group decreased from a mean (+/-SE) of 44+/-11 percent to 8+/-4 percent (P=0.006). In contrast, subjects who were homozygous for Gly16 did not have significant desensitization, irrespective of the amino acid encoded by codon 27. Subjects who were homozygous for Glu27 had higher maximal venodilatation in response to isoproterenol than those who were homozygous for Gln27 (86+/-13 percent vs. 54+/-8 percent, P=0.03).\nCONCLUSIONS: The Arg16 polymorphism of the beta2-adrenergic receptor is associated with enhanced agonist-mediated desensitization in the vasculature, and the Glu27 polymorphism is associated with increased agonist-mediated responsiveness. Therefore, polymorphisms of the beta2-adrenergic receptor are potentially important determinants of the vascular response to stress.","DOI":"10.1056/NEJMoa010819","ISSN":"0028-4793","note":"PMID: 11586955","journalAbbreviation":"N. Engl. J. Med.","language":"eng","author":[{"family":"Dishy","given":"V."},{"family":"Sofowora","given":"G. G."},{"family":"Xie","given":"H. G."},{"family":"Kim","given":"R. B."},{"family":"Byrne","given":"D. W."},{"family":"Stein","given":"C. M."},{"family":"Wood","given":"A. J."}],"issued":{"date-parts":[["2001",10,4]]},"PMID":"11586955"}},{"id":160,"uris":["http://zotero.org/users/local/ZaW79YVG/items/BV5GWB8D"],"uri":["http://zotero.org/users/local/ZaW79YVG/items/BV5GWB8D"],"itemData":{"id":160,"type":"article-journal","title":"Insertion/deletion polymorphism in alpha2-adrenergic receptor gene is a genetic risk factor for sudden cardiac death","container-title":"American Heart Journal","page":"615-621","volume":"158","issue":"4","source":"PubMed","abstract":"BACKGROUND: Adrenoceptors mediate contraction of vascular smooth muscle and induce coronary vasoconstriction in humans. A deletion variant of the human alpha(2B)-adrenoreseptor of glutamic acid residues has been associated with impaired receptor desensitization. This receptor variant could, therefore, be involved in cardiovascular diseases associated with enhanced vasoconstriction. Our aim was to study whether an insertion/deletion (I/D) polymorphism in the alpha(2B)-adrenoceptor gene is associated with the risk for sudden cardiac death.\nMETHODS: This was a prospective population-based study investigating risk factors for cardiovascular diseases in middle-aged men from 42 to 60 years from eastern Finland. The study is based on 1,606 men with complete data on DNA observed for an average time of 17 years.\nRESULTS: In this study population, 338 men (21%) had the D/D genotype, 467 (29%) had the I/I genotype, and 801 (50%) had a heterozygous genotype. There were 76 sudden cardiac deaths during follow-up (0.81 deaths/1,000 persons per year). In a Cox model adjusting for other coronary risk factors (age, systolic blood pressure, smoking, diabetes, serum low-density lipoprotein and high-density lipoprotein cholesterol, body mass index, and exercise-induced myocardial ischemia), men with the D/D or I/D genotype had 1.97 times (95% CI 1.08-3.59, P = .026) higher risk to experience sudden cardiac death (20 events for D/D genotype, 13 events for I/I genotype, and 43 events for I/D genotype) compared with men carrying the I/I genotype. In addition, the alpha(2B)-adrenoceptor D/D genotype was associated with the risk of coronary heart disease death and acute coronary events, after adjusting for risk factors.\nCONCLUSIONS: The genetic polymorphism of the alpha(2B)-adrenoreceptor is genetic risk predictor for sudden cardiac death.","DOI":"10.1016/j.ahj.2009.07.023","ISSN":"1097-6744","note":"PMID: 19781422","journalAbbreviation":"Am. Heart J.","language":"eng","author":[{"family":"Laukkanen","given":"Jari A."},{"family":"Mäkikallio","given":"Timo H."},{"family":"Kauhanen","given":"Jussi"},{"family":"Kurl","given":"Sudhir"}],"issued":{"date-parts":[["2009",10]]},"PMID":"19781422"}}],"schema":"https://github.com/citation-style-language/schema/raw/master/csl-citation.json"} </w:instrText>
      </w:r>
      <w:r w:rsidR="000A2F5D" w:rsidRPr="007141B1">
        <w:rPr>
          <w:rFonts w:asciiTheme="minorHAnsi" w:hAnsiTheme="minorHAnsi"/>
          <w:lang w:val="en-GB"/>
        </w:rPr>
        <w:fldChar w:fldCharType="separate"/>
      </w:r>
      <w:r w:rsidR="007E7E7B" w:rsidRPr="000F5B05">
        <w:rPr>
          <w:rFonts w:ascii="Calibri" w:hAnsi="Calibri" w:cs="Calibri"/>
          <w:lang w:val="en-US"/>
        </w:rPr>
        <w:t>[84, 85]</w:t>
      </w:r>
      <w:r w:rsidR="000A2F5D" w:rsidRPr="007141B1">
        <w:rPr>
          <w:rFonts w:asciiTheme="minorHAnsi" w:hAnsiTheme="minorHAnsi"/>
          <w:lang w:val="en-GB"/>
        </w:rPr>
        <w:fldChar w:fldCharType="end"/>
      </w:r>
      <w:r w:rsidR="000A2F5D" w:rsidRPr="007141B1">
        <w:rPr>
          <w:rFonts w:asciiTheme="minorHAnsi" w:hAnsiTheme="minorHAnsi"/>
          <w:lang w:val="en-GB"/>
        </w:rPr>
        <w:t xml:space="preserve">. These and other polymorphisms in </w:t>
      </w:r>
      <w:r w:rsidR="000A2F5D">
        <w:rPr>
          <w:rFonts w:asciiTheme="minorHAnsi" w:hAnsiTheme="minorHAnsi"/>
          <w:lang w:val="en-GB"/>
        </w:rPr>
        <w:t>vasopressor pathway</w:t>
      </w:r>
      <w:r w:rsidR="000A2F5D" w:rsidRPr="007141B1">
        <w:rPr>
          <w:rFonts w:asciiTheme="minorHAnsi" w:hAnsiTheme="minorHAnsi"/>
          <w:lang w:val="en-GB"/>
        </w:rPr>
        <w:t xml:space="preserve"> genes may be associated with vasopressor treatment response, serious adverse events and mortality </w:t>
      </w:r>
      <w:r w:rsidR="000A2F5D" w:rsidRPr="007141B1">
        <w:rPr>
          <w:rFonts w:asciiTheme="minorHAnsi" w:hAnsiTheme="minorHAnsi"/>
          <w:lang w:val="en-GB"/>
        </w:rPr>
        <w:fldChar w:fldCharType="begin"/>
      </w:r>
      <w:r w:rsidR="007E7E7B">
        <w:rPr>
          <w:rFonts w:asciiTheme="minorHAnsi" w:hAnsiTheme="minorHAnsi"/>
          <w:lang w:val="en-GB"/>
        </w:rPr>
        <w:instrText xml:space="preserve"> ADDIN ZOTERO_ITEM CSL_CITATION {"citationID":"28ktm55ept","properties":{"formattedCitation":"[86]","plainCitation":"[86]"},"citationItems":[{"id":162,"uris":["http://zotero.org/users/local/ZaW79YVG/items/4TJ99HGC"],"uri":["http://zotero.org/users/local/ZaW79YVG/items/4TJ99HGC"],"itemData":{"id":162,"type":"article-journal","title":"beta2-Adrenergic receptor gene polymorphism is associated with mortality in septic shock","container-title":"American Journal of Respiratory and Critical Care Medicine","page":"143-149","volume":"181","issue":"2","source":"PubMed","abstract":"RATIONALE: The CysGlyGln haplotype of the beta(2)-adrenergic receptor gene (ADRB2) is functional and associated with altered responses to adrenergic agonists in patients with asthma. Whether this functional haplotype alters outcome in patients receiving adrenergic agonists in septic shock is unknown.\nOBJECTIVES: To determine whether genetic variation of ADRB2 influences outcome in septic shock.\nMETHODS: Two cohorts of patients with septic shock were studied: a single center (St. Paul's Hospital [SPH]) cohort (n = 589) and the Vasopressin and Septic Shock Trial (VASST) cohort (n = 616). The A allele of the rs1042717 G/A polymorphism is in complete linkage disequilibrium with the CysGlyGln haplotype of ADRB2; therefore, rs1042717 was genotyped. Modulation by norepinephrine and salbutamol of IL-6 production by stimulated in vitro lymphoblastoid cells was measured by genotype.\nMEASUREMENTS AND MAIN RESULTS: Patients who had the AA genotype of rs1042717 displayed increased 28-day mortality in SPH (adjusted hazard ratio, 2.23; 95% confidence interval, 1.33-3.72; P = 0.0022), and this result was replicated in VASST (adjusted hazard ratio 2.82; 95% confidence interval, 1.56-5.09; P = 0.0006). This genotypic effect was eliminated in patients treated with acute low-dose corticosteroids. In all patients, the AA genotype was associated with more organ dysfunction. Patients with the AA genotype had a higher heart rate (SPH; P &lt; 0.05; VASST; P &lt; 0.05) and required a higher norepinephrine dose over Days 1 through 3 (VASST; P &lt; 0.05). The AA genotype was associated with decreased norepinephrine and salbutamol inhibition of IL-6 production by stimulated lymphoblastoid cells in vitro (P &lt; 0.05).\nCONCLUSIONS: The AA genotype of ADRB2 rs1042717, identifying homozygotes for the CysGlyGln haplotype, was associated with increased mortality and more organ dysfunction in septic shock.","DOI":"10.1164/rccm.200903-0332OC","ISSN":"1535-4970","note":"PMID: 19850944","journalAbbreviation":"Am. J. Respir. Crit. Care Med.","language":"eng","author":[{"family":"Nakada","given":"Taka-Aki"},{"family":"Russell","given":"James A."},{"family":"Boyd","given":"John H."},{"family":"Aguirre-Hernandez","given":"Rosalia"},{"family":"Thain","given":"Katherine R."},{"family":"Thair","given":"Simone A."},{"family":"Nakada","given":"Emiri"},{"family":"McConechy","given":"Melissa"},{"family":"Walley","given":"Keith R."}],"issued":{"date-parts":[["2010",1,15]]},"PMID":"19850944"}}],"schema":"https://github.com/citation-style-language/schema/raw/master/csl-citation.json"} </w:instrText>
      </w:r>
      <w:r w:rsidR="000A2F5D" w:rsidRPr="007141B1">
        <w:rPr>
          <w:rFonts w:asciiTheme="minorHAnsi" w:hAnsiTheme="minorHAnsi"/>
          <w:lang w:val="en-GB"/>
        </w:rPr>
        <w:fldChar w:fldCharType="separate"/>
      </w:r>
      <w:r w:rsidR="007E7E7B" w:rsidRPr="000F5B05">
        <w:rPr>
          <w:rFonts w:ascii="Calibri" w:hAnsi="Calibri" w:cs="Calibri"/>
          <w:lang w:val="en-US"/>
        </w:rPr>
        <w:t>[86]</w:t>
      </w:r>
      <w:r w:rsidR="000A2F5D" w:rsidRPr="007141B1">
        <w:rPr>
          <w:rFonts w:asciiTheme="minorHAnsi" w:hAnsiTheme="minorHAnsi"/>
          <w:lang w:val="en-GB"/>
        </w:rPr>
        <w:fldChar w:fldCharType="end"/>
      </w:r>
      <w:r w:rsidR="000A2F5D" w:rsidRPr="007141B1">
        <w:rPr>
          <w:rFonts w:asciiTheme="minorHAnsi" w:hAnsiTheme="minorHAnsi"/>
          <w:lang w:val="en-GB"/>
        </w:rPr>
        <w:t>.</w:t>
      </w:r>
    </w:p>
    <w:p w:rsidR="00815272" w:rsidRDefault="00815272" w:rsidP="00275009">
      <w:pPr>
        <w:spacing w:line="360" w:lineRule="auto"/>
        <w:rPr>
          <w:rFonts w:asciiTheme="minorHAnsi" w:hAnsiTheme="minorHAnsi"/>
          <w:lang w:val="en-GB"/>
        </w:rPr>
      </w:pPr>
    </w:p>
    <w:p w:rsidR="00815272" w:rsidRPr="00815272" w:rsidRDefault="00815272" w:rsidP="00275009">
      <w:pPr>
        <w:spacing w:line="360" w:lineRule="auto"/>
        <w:rPr>
          <w:rFonts w:asciiTheme="minorHAnsi" w:hAnsiTheme="minorHAnsi"/>
          <w:b/>
          <w:lang w:val="en-GB"/>
        </w:rPr>
      </w:pPr>
      <w:r w:rsidRPr="00815272">
        <w:rPr>
          <w:rFonts w:asciiTheme="minorHAnsi" w:hAnsiTheme="minorHAnsi"/>
          <w:b/>
          <w:lang w:val="en-GB"/>
        </w:rPr>
        <w:t xml:space="preserve">4. </w:t>
      </w:r>
      <w:r>
        <w:rPr>
          <w:rFonts w:asciiTheme="minorHAnsi" w:hAnsiTheme="minorHAnsi"/>
          <w:b/>
          <w:lang w:val="en-GB"/>
        </w:rPr>
        <w:t>Counteracting endocrine</w:t>
      </w:r>
      <w:r w:rsidR="004B184E">
        <w:rPr>
          <w:rFonts w:asciiTheme="minorHAnsi" w:hAnsiTheme="minorHAnsi"/>
          <w:b/>
          <w:lang w:val="en-GB"/>
        </w:rPr>
        <w:t xml:space="preserve">, </w:t>
      </w:r>
      <w:r>
        <w:rPr>
          <w:rFonts w:asciiTheme="minorHAnsi" w:hAnsiTheme="minorHAnsi"/>
          <w:b/>
          <w:lang w:val="en-GB"/>
        </w:rPr>
        <w:t>metabolic</w:t>
      </w:r>
      <w:r w:rsidR="004B184E">
        <w:rPr>
          <w:rFonts w:asciiTheme="minorHAnsi" w:hAnsiTheme="minorHAnsi"/>
          <w:b/>
          <w:lang w:val="en-GB"/>
        </w:rPr>
        <w:t xml:space="preserve"> and </w:t>
      </w:r>
      <w:proofErr w:type="spellStart"/>
      <w:r w:rsidR="004B184E">
        <w:rPr>
          <w:rFonts w:asciiTheme="minorHAnsi" w:hAnsiTheme="minorHAnsi"/>
          <w:b/>
          <w:lang w:val="en-GB"/>
        </w:rPr>
        <w:t>bioenergetic</w:t>
      </w:r>
      <w:proofErr w:type="spellEnd"/>
      <w:r>
        <w:rPr>
          <w:rFonts w:asciiTheme="minorHAnsi" w:hAnsiTheme="minorHAnsi"/>
          <w:b/>
          <w:lang w:val="en-GB"/>
        </w:rPr>
        <w:t xml:space="preserve"> failure</w:t>
      </w:r>
    </w:p>
    <w:p w:rsidR="004B184E" w:rsidRPr="004B5525" w:rsidRDefault="00531DD6" w:rsidP="00851E20">
      <w:pPr>
        <w:spacing w:line="360" w:lineRule="auto"/>
        <w:rPr>
          <w:rFonts w:asciiTheme="minorHAnsi" w:hAnsiTheme="minorHAnsi"/>
          <w:szCs w:val="22"/>
          <w:lang w:val="en-US"/>
        </w:rPr>
      </w:pPr>
      <w:r w:rsidRPr="004B5525">
        <w:rPr>
          <w:rFonts w:asciiTheme="minorHAnsi" w:hAnsiTheme="minorHAnsi"/>
          <w:iCs/>
          <w:szCs w:val="22"/>
          <w:lang w:val="en-US"/>
        </w:rPr>
        <w:lastRenderedPageBreak/>
        <w:t>The ADRENAL trial on hydrocortisone vs. placebo will provide important information about the use of steroids in the total population of septic shock</w:t>
      </w:r>
      <w:r w:rsidR="00CF6CEC" w:rsidRPr="004B5525">
        <w:rPr>
          <w:rFonts w:asciiTheme="minorHAnsi" w:hAnsiTheme="minorHAnsi"/>
          <w:iCs/>
          <w:szCs w:val="22"/>
          <w:lang w:val="en-US"/>
        </w:rPr>
        <w:t xml:space="preserve"> </w:t>
      </w:r>
      <w:r w:rsidR="00807B82" w:rsidRPr="004B5525">
        <w:rPr>
          <w:rFonts w:asciiTheme="minorHAnsi" w:hAnsiTheme="minorHAnsi"/>
          <w:iCs/>
          <w:szCs w:val="22"/>
          <w:lang w:val="en-US"/>
        </w:rPr>
        <w:fldChar w:fldCharType="begin"/>
      </w:r>
      <w:r w:rsidR="007E7E7B">
        <w:rPr>
          <w:rFonts w:asciiTheme="minorHAnsi" w:hAnsiTheme="minorHAnsi"/>
          <w:iCs/>
          <w:szCs w:val="22"/>
          <w:lang w:val="en-US"/>
        </w:rPr>
        <w:instrText xml:space="preserve"> ADDIN ZOTERO_ITEM CSL_CITATION {"citationID":"2g5stg6o3s","properties":{"formattedCitation":"[87]","plainCitation":"[87]"},"citationItems":[{"id":160,"uris":["http://zotero.org/users/local/tmXAZSH1/items/7FP8D997"],"uri":["http://zotero.org/users/local/tmXAZSH1/items/7FP8D997"],"itemData":{"id":160,"type":"article-journal","title":"The ADRENAL study protocol: adjunctive corticosteroid treatment in critically ill patients with septic shock","container-title":"Critical Care and Resuscitation: Journal of the Australasian Academy of Critical Care Medicine","page":"83-88","volume":"15","issue":"2","source":"PubMed","abstract":"BACKGROUND: There is considerable global uncertainty on the role of low-dose corticosteroids in septic shock, which translates into variations in prescribing practices.\nOBJECTIVE: To describe the protocol for a large-scale multicentre randomised controlled trial in critically ill patients with septic shock, comparing the effects of hydrocortisone and placebo (in addition to standard treatment) on 90-day mortality and other outcomes such as shock reversal, duration of mechanical ventilation and quality of life.\nMETHODS: We will recruit 3800 critically ill patients with septic shock treated in an intensive care unit, to concealed, randomised, parallel assignment of hydrocortisone or placebo. The primary outcome will be all-cause mortality at 90 days postrandomisation. Secondary outcomes will include ICU and hospital mortality, length of ICU stay and quality of life at 6 months. Subgroup analyses will be conducted in two predefined subgroups. All analyses will be conducted on an intention-to-treat basis.\nRESULTS AND CONCLUSIONS: The run-in phase has been completed and the main trial commenced in February 2013. The trial should generate results that will inform and influence prescribing of corticosteroids in septic shock.","ISSN":"1441-2772","note":"PMID: 23931038","shortTitle":"The ADRENAL study protocol","journalAbbreviation":"Crit Care Resusc","language":"eng","author":[{"family":"Venkatesh","given":"Bala"},{"family":"Myburgh","given":"John"},{"family":"Finfer","given":"Simon"},{"family":"Webb","given":"Steve A. R."},{"family":"Cohen","given":"Jeremy"},{"family":"Bellomo","given":"Rinaldo"},{"family":"McArthur","given":"Colin"},{"family":"Joyce","given":"Christopher J."},{"family":"Rajbhandari","given":"Dorrilyn"},{"family":"Glass","given":"Parisa"},{"family":"Harward","given":"Meg"},{"literal":"ANZICS CTG investigators"}],"issued":{"date-parts":[["2013",6]]},"PMID":"23931038"}}],"schema":"https://github.com/citation-style-language/schema/raw/master/csl-citation.json"} </w:instrText>
      </w:r>
      <w:r w:rsidR="00807B82" w:rsidRPr="004B5525">
        <w:rPr>
          <w:rFonts w:asciiTheme="minorHAnsi" w:hAnsiTheme="minorHAnsi"/>
          <w:iCs/>
          <w:szCs w:val="22"/>
          <w:lang w:val="en-US"/>
        </w:rPr>
        <w:fldChar w:fldCharType="separate"/>
      </w:r>
      <w:r w:rsidR="007E7E7B" w:rsidRPr="000F5B05">
        <w:rPr>
          <w:rFonts w:ascii="Calibri" w:hAnsi="Calibri" w:cs="Calibri"/>
          <w:lang w:val="en-US"/>
        </w:rPr>
        <w:t>[87]</w:t>
      </w:r>
      <w:r w:rsidR="00807B82" w:rsidRPr="004B5525">
        <w:rPr>
          <w:rFonts w:asciiTheme="minorHAnsi" w:hAnsiTheme="minorHAnsi"/>
          <w:iCs/>
          <w:szCs w:val="22"/>
          <w:lang w:val="en-US"/>
        </w:rPr>
        <w:fldChar w:fldCharType="end"/>
      </w:r>
      <w:r w:rsidR="00482D71">
        <w:rPr>
          <w:rFonts w:asciiTheme="minorHAnsi" w:hAnsiTheme="minorHAnsi"/>
          <w:iCs/>
          <w:szCs w:val="22"/>
          <w:lang w:val="en-US"/>
        </w:rPr>
        <w:t>. However,</w:t>
      </w:r>
      <w:r w:rsidRPr="004B5525">
        <w:rPr>
          <w:rFonts w:asciiTheme="minorHAnsi" w:hAnsiTheme="minorHAnsi"/>
          <w:iCs/>
          <w:szCs w:val="22"/>
          <w:lang w:val="en-US"/>
        </w:rPr>
        <w:t xml:space="preserve"> trials of steroids in potentially treatment-responsive subgroups</w:t>
      </w:r>
      <w:r w:rsidR="00807B82" w:rsidRPr="004B5525">
        <w:rPr>
          <w:rFonts w:asciiTheme="minorHAnsi" w:hAnsiTheme="minorHAnsi"/>
          <w:iCs/>
          <w:szCs w:val="22"/>
          <w:lang w:val="en-US"/>
        </w:rPr>
        <w:t xml:space="preserve"> </w:t>
      </w:r>
      <w:r w:rsidR="004554A5" w:rsidRPr="004B5525">
        <w:rPr>
          <w:rFonts w:asciiTheme="minorHAnsi" w:hAnsiTheme="minorHAnsi"/>
          <w:iCs/>
          <w:szCs w:val="22"/>
          <w:lang w:val="en-US"/>
        </w:rPr>
        <w:fldChar w:fldCharType="begin"/>
      </w:r>
      <w:r w:rsidR="007E7E7B">
        <w:rPr>
          <w:rFonts w:asciiTheme="minorHAnsi" w:hAnsiTheme="minorHAnsi"/>
          <w:iCs/>
          <w:szCs w:val="22"/>
          <w:lang w:val="en-US"/>
        </w:rPr>
        <w:instrText xml:space="preserve"> ADDIN ZOTERO_ITEM CSL_CITATION {"citationID":"27dfmcc5j1","properties":{"formattedCitation":"[88]","plainCitation":"[88]"},"citationItems":[{"id":150,"uris":["http://zotero.org/users/local/ZaW79YVG/items/RKXN5A4Q"],"uri":["http://zotero.org/users/local/ZaW79YVG/items/RKXN5A4Q"],"itemData":{"id":150,"type":"article-journal","title":"Plasma cytokine levels predict response to corticosteroids in septic shock","container-title":"Intensive Care Medicine","page":"1970-1979","volume":"42","issue":"12","source":"PubMed","abstract":"PURPOSE: To investigate if plasma cytokine concentrations predict a beneficial response to corticosteroid treatment in septic shock patients.\nMETHODS: A cohort of septic shock patients in whom a panel of 39 cytokines had been measured at baseline (n = 363) was included. Patients who received corticosteroids were propensity score matched to non-corticosteroid-treated patients. An optimal threshold to identify responders to corticosteroid treatment for each cytokine was defined as the concentration above which the odds ratio for 28-day survival between corticosteroid- and non-corticosteroid-treated patients was highest.\nRESULTS: Propensity score matching partitioned 165 patients into 61 sets; each set contained matched corticosteroid- and non-corticosteroid-treated patients. For 13 plasma cytokines threshold concentrations were found where the odds ratio for survival between corticosteroid- and non-corticosteroid-treated patients was significant (P &lt; 0.05). CD40 ligand was associated with the highest odds ratio and identified 21 % of the patients in the propensity score matched cohort as responders to corticosteroid treatment. Combinations of triplets of cytokines with a significant odds ratio, using the thresholds identified above, were tested to find a higher proportion of responders. IL3, IL6, and CCL4 identified 50 % of the patients in the propensity score matched cohort as responders to corticosteroid treatment. The odds ratio for 28-day survival was 19 (95 % CI 3.5-140, P = 0.02) with a concentration above threshold for a least one of these cytokines.\nCONCLUSION: Plasma concentration of selected cytokines is a potential predictive biomarker to identify septic shock patients that may benefit from treatment with corticosteroids.","DOI":"10.1007/s00134-016-4338-z","ISSN":"1432-1238","note":"PMID: 27071387","journalAbbreviation":"Intensive Care Med","language":"eng","author":[{"family":"Bentzer","given":"Peter"},{"family":"Fjell","given":"Chris"},{"family":"Walley","given":"Keith R."},{"family":"Boyd","given":"John"},{"family":"Russell","given":"James A."}],"issued":{"date-parts":[["2016",12]]},"PMID":"27071387"}}],"schema":"https://github.com/citation-style-language/schema/raw/master/csl-citation.json"} </w:instrText>
      </w:r>
      <w:r w:rsidR="004554A5" w:rsidRPr="004B5525">
        <w:rPr>
          <w:rFonts w:asciiTheme="minorHAnsi" w:hAnsiTheme="minorHAnsi"/>
          <w:iCs/>
          <w:szCs w:val="22"/>
          <w:lang w:val="en-US"/>
        </w:rPr>
        <w:fldChar w:fldCharType="separate"/>
      </w:r>
      <w:r w:rsidR="007E7E7B" w:rsidRPr="000F5B05">
        <w:rPr>
          <w:rFonts w:ascii="Calibri" w:hAnsi="Calibri" w:cs="Calibri"/>
          <w:lang w:val="en-US"/>
        </w:rPr>
        <w:t>[88]</w:t>
      </w:r>
      <w:r w:rsidR="004554A5" w:rsidRPr="004B5525">
        <w:rPr>
          <w:rFonts w:asciiTheme="minorHAnsi" w:hAnsiTheme="minorHAnsi"/>
          <w:iCs/>
          <w:szCs w:val="22"/>
          <w:lang w:val="en-US"/>
        </w:rPr>
        <w:fldChar w:fldCharType="end"/>
      </w:r>
      <w:r w:rsidRPr="004B5525">
        <w:rPr>
          <w:rFonts w:asciiTheme="minorHAnsi" w:hAnsiTheme="minorHAnsi"/>
          <w:iCs/>
          <w:szCs w:val="22"/>
          <w:lang w:val="en-US"/>
        </w:rPr>
        <w:t xml:space="preserve"> are also required</w:t>
      </w:r>
      <w:r w:rsidR="00482D71">
        <w:rPr>
          <w:rFonts w:asciiTheme="minorHAnsi" w:hAnsiTheme="minorHAnsi"/>
          <w:iCs/>
          <w:szCs w:val="22"/>
          <w:lang w:val="en-US"/>
        </w:rPr>
        <w:t>.</w:t>
      </w:r>
      <w:r w:rsidRPr="004B5525">
        <w:rPr>
          <w:rFonts w:asciiTheme="minorHAnsi" w:hAnsiTheme="minorHAnsi"/>
          <w:iCs/>
          <w:szCs w:val="22"/>
          <w:lang w:val="en-US"/>
        </w:rPr>
        <w:t xml:space="preserve"> </w:t>
      </w:r>
      <w:r w:rsidR="00482D71">
        <w:rPr>
          <w:rFonts w:asciiTheme="minorHAnsi" w:hAnsiTheme="minorHAnsi"/>
          <w:iCs/>
          <w:szCs w:val="22"/>
          <w:lang w:val="en-US"/>
        </w:rPr>
        <w:t>P</w:t>
      </w:r>
      <w:r w:rsidRPr="004B5525">
        <w:rPr>
          <w:rFonts w:asciiTheme="minorHAnsi" w:hAnsiTheme="minorHAnsi"/>
          <w:iCs/>
          <w:szCs w:val="22"/>
          <w:lang w:val="en-US"/>
        </w:rPr>
        <w:t>otential interactions with vitamin C and thiamine need further investigation</w:t>
      </w:r>
      <w:r w:rsidR="004554A5" w:rsidRPr="004B5525">
        <w:rPr>
          <w:rFonts w:asciiTheme="minorHAnsi" w:hAnsiTheme="minorHAnsi"/>
          <w:iCs/>
          <w:szCs w:val="22"/>
          <w:lang w:val="en-US"/>
        </w:rPr>
        <w:t xml:space="preserve"> </w:t>
      </w:r>
      <w:r w:rsidR="004554A5" w:rsidRPr="004B5525">
        <w:rPr>
          <w:rFonts w:asciiTheme="minorHAnsi" w:hAnsiTheme="minorHAnsi"/>
          <w:iCs/>
          <w:szCs w:val="22"/>
          <w:lang w:val="en-US"/>
        </w:rPr>
        <w:fldChar w:fldCharType="begin"/>
      </w:r>
      <w:r w:rsidR="007E7E7B">
        <w:rPr>
          <w:rFonts w:asciiTheme="minorHAnsi" w:hAnsiTheme="minorHAnsi"/>
          <w:iCs/>
          <w:szCs w:val="22"/>
          <w:lang w:val="en-US"/>
        </w:rPr>
        <w:instrText xml:space="preserve"> ADDIN ZOTERO_ITEM CSL_CITATION {"citationID":"1n10tc0oeg","properties":{"formattedCitation":"[89]","plainCitation":"[89]"},"citationItems":[{"id":164,"uris":["http://zotero.org/users/local/tmXAZSH1/items/JIE8PACU"],"uri":["http://zotero.org/users/local/tmXAZSH1/items/JIE8PACU"],"itemData":{"id":164,"type":"article-journal","title":"Hydrocortisone, Vitamin C and Thiamine for the Treatment of Severe Sepsis and Septic Shock: A Retrospective Before-After Study","container-title":"Chest","source":"PubMed","abstract":"BACKGROUND: The global burden of sepsis is estimated as 15 to 19 million cases annually with a mortality rate approaching 60% in low income countries.\nMETHODS: In this retrospective before-after clinical study, we compared the outcome and clinical course of consecutive septic patients treated with intravenous vitamin C, hydrocortisone and thiamine during a 7-month period (treatment group) compared to a control group treated in our ICU during the preceding 7 months. The primary outcome was hospital survival. A propensity score was generated to adjust the primary outcome.\nFINDINGS: There were 47 patients in both treatment and control groups with no significant differences in baseline characteristics between the two groups. The hospital mortality was 8.5% (4 of 47) in the treatment group compared to 40.4% (19 of 47) in the control group (p &lt; 0.001). The propensity adjusted odds of mortality in the patients treated with the vitamin C protocol was 0.13 (95% CI 0.04-0.48, p=002). The SOFA score decreased in all patients in the treatment group with none developing progressive organ failure. Vasopressors were weaned off all patients in the treatment group, a mean of 18.3 ± 9.8 hours after starting treatment with vitamin C protocol. The mean duration of vasopressor use was 54.9 ± 28.4 hours in the control group (p&lt;0.001).\nCONCLUSION: Our results suggest that the early use of intravenous vitamin C, together with corticosteroids and thiamine may prove to be effective in preventing progressive organ dysfunction including acute kidney injury and reducing the mortality of patients with severe sepsis and septic shock. Additional studies are required to confirm these preliminary findings.","DOI":"10.1016/j.chest.2016.11.036","ISSN":"1931-3543","note":"PMID: 27940189","shortTitle":"Hydrocortisone, Vitamin C and Thiamine for the Treatment of Severe Sepsis and Septic Shock","journalAbbreviation":"Chest","language":"eng","author":[{"family":"Marik","given":"Paul E."},{"family":"Khangoora","given":"Vikramjit"},{"family":"Rivera","given":"Racquel"},{"family":"Hooper","given":"Michael H."},{"family":"Catravas","given":"John"}],"issued":{"date-parts":[["2016",12,6]]},"PMID":"27940189"}}],"schema":"https://github.com/citation-style-language/schema/raw/master/csl-citation.json"} </w:instrText>
      </w:r>
      <w:r w:rsidR="004554A5" w:rsidRPr="004B5525">
        <w:rPr>
          <w:rFonts w:asciiTheme="minorHAnsi" w:hAnsiTheme="minorHAnsi"/>
          <w:iCs/>
          <w:szCs w:val="22"/>
          <w:lang w:val="en-US"/>
        </w:rPr>
        <w:fldChar w:fldCharType="separate"/>
      </w:r>
      <w:r w:rsidR="007E7E7B" w:rsidRPr="000F5B05">
        <w:rPr>
          <w:rFonts w:ascii="Calibri" w:hAnsi="Calibri" w:cs="Calibri"/>
          <w:lang w:val="en-US"/>
        </w:rPr>
        <w:t>[89]</w:t>
      </w:r>
      <w:r w:rsidR="004554A5" w:rsidRPr="004B5525">
        <w:rPr>
          <w:rFonts w:asciiTheme="minorHAnsi" w:hAnsiTheme="minorHAnsi"/>
          <w:iCs/>
          <w:szCs w:val="22"/>
          <w:lang w:val="en-US"/>
        </w:rPr>
        <w:fldChar w:fldCharType="end"/>
      </w:r>
      <w:r w:rsidRPr="004B5525">
        <w:rPr>
          <w:rFonts w:asciiTheme="minorHAnsi" w:hAnsiTheme="minorHAnsi"/>
          <w:iCs/>
          <w:szCs w:val="22"/>
          <w:lang w:val="en-US"/>
        </w:rPr>
        <w:t>.</w:t>
      </w:r>
      <w:r w:rsidR="00134A43">
        <w:rPr>
          <w:rFonts w:asciiTheme="minorHAnsi" w:hAnsiTheme="minorHAnsi"/>
          <w:iCs/>
          <w:szCs w:val="22"/>
          <w:lang w:val="en-US"/>
        </w:rPr>
        <w:t xml:space="preserve"> </w:t>
      </w:r>
      <w:r w:rsidR="004B184E">
        <w:rPr>
          <w:rFonts w:asciiTheme="minorHAnsi" w:hAnsiTheme="minorHAnsi"/>
          <w:iCs/>
          <w:szCs w:val="22"/>
          <w:lang w:val="en-US"/>
        </w:rPr>
        <w:t>There is a general shift in energy substrate towards fat metabolism in sepsis; whether this is beneficial or should be modulated by, for instance, ultra-high-dose insulin or ketones warrants study.</w:t>
      </w:r>
      <w:r w:rsidR="00134A43">
        <w:rPr>
          <w:rFonts w:asciiTheme="minorHAnsi" w:hAnsiTheme="minorHAnsi"/>
          <w:iCs/>
          <w:szCs w:val="22"/>
          <w:lang w:val="en-US"/>
        </w:rPr>
        <w:t xml:space="preserve"> M</w:t>
      </w:r>
      <w:r w:rsidR="004B184E">
        <w:rPr>
          <w:rFonts w:asciiTheme="minorHAnsi" w:hAnsiTheme="minorHAnsi"/>
          <w:iCs/>
          <w:szCs w:val="22"/>
          <w:lang w:val="en-US"/>
        </w:rPr>
        <w:t xml:space="preserve">itochondrial dysfunction is well recognized in human </w:t>
      </w:r>
      <w:r w:rsidR="004B184E" w:rsidRPr="00134A43">
        <w:rPr>
          <w:rFonts w:asciiTheme="minorHAnsi" w:hAnsiTheme="minorHAnsi"/>
          <w:iCs/>
          <w:lang w:val="en-US"/>
        </w:rPr>
        <w:t>sepsis</w:t>
      </w:r>
      <w:r w:rsidR="00D93B3B">
        <w:rPr>
          <w:rFonts w:asciiTheme="minorHAnsi" w:hAnsiTheme="minorHAnsi"/>
          <w:iCs/>
          <w:lang w:val="en-US"/>
        </w:rPr>
        <w:t xml:space="preserve"> </w:t>
      </w:r>
      <w:r w:rsidR="00D93B3B">
        <w:rPr>
          <w:rFonts w:asciiTheme="minorHAnsi" w:hAnsiTheme="minorHAnsi"/>
          <w:iCs/>
          <w:lang w:val="en-US"/>
        </w:rPr>
        <w:fldChar w:fldCharType="begin"/>
      </w:r>
      <w:r w:rsidR="007E7E7B">
        <w:rPr>
          <w:rFonts w:asciiTheme="minorHAnsi" w:hAnsiTheme="minorHAnsi"/>
          <w:iCs/>
          <w:lang w:val="en-US"/>
        </w:rPr>
        <w:instrText xml:space="preserve"> ADDIN ZOTERO_ITEM CSL_CITATION {"citationID":"1sbp177vnq","properties":{"formattedCitation":"[90]","plainCitation":"[90]"},"citationItems":[{"id":185,"uris":["http://zotero.org/users/local/ZaW79YVG/items/9TBWKAE5"],"uri":["http://zotero.org/users/local/ZaW79YVG/items/9TBWKAE5"],"itemData":{"id":185,"type":"article-journal","title":"Association between mitochondrial dysfunction and severity and outcome of septic shock","container-title":"Lancet (London, England)","page":"219-223","volume":"360","issue":"9328","source":"PubMed","abstract":"BACKGROUND: Sepsis-induced multiple organ failure is the major cause of mortality and morbidity in critically ill patients. However, the precise mechanisms by which this dysfunction is caused remain to be elucidated. We and others have shown raised tissue oxygen tensions in septic animals and human beings, suggesting reduced ability of the organs to use oxygen. Because ATP production by mitochondrial oxidative phosphorylation accounts for more than 90% of total oxygen consumption, we postulated that mitochondrial dysfunction results in organ failure, possibly due to nitric oxide, which is known to inhibit mitochondrial respiration in vitro and is produced in excess in sepsis.\nMETHODS: We did skeletal muscle biopsies on 28 critically ill septic patients within 24 h of admission to intensive care, and on nine control patients undergoing elective hip surgery. The biopsy samples were analysed for respiratory-chain activity (complexes I-IV), ATP concentration, reduced glutathione (an intracellular antioxidant) concentration, and nitrite/nitrate concentrations (a marker of nitric oxide production).\nFINDINGS: Skeletal muscle ATP concentrations were significantly lower in the 12 patients with sepsis who subsequently died than in the 16 septic patients who survived (p=0.0003) and in controls (p=0.05). Complex I activity had a significant inverse correlation with norepinephrine requirements (a proxy for shock severity, p=0.0003) and nitrite/nitrate concentrations (p=0.0004), and a significant positive correlation with concentrations of reduced glutathione (p=0.006) and ATP (p=0.03).\nINTERPRETATION: In septic patients, we found an association between nitric oxide overproduction, antioxidant depletion, mitochondrial dysfunction, and decreased ATP concentrations that relate to organ failure and eventual outcome. These data implicate bioenergetic failure as an important pathophysiological mechanism underlying multiorgan dysfunction.","DOI":"10.1016/S0140-6736(02)09459-X","ISSN":"0140-6736","note":"PMID: 12133657","journalAbbreviation":"Lancet","language":"eng","author":[{"family":"Brealey","given":"David"},{"family":"Brand","given":"Michael"},{"family":"Hargreaves","given":"Iain"},{"family":"Heales","given":"Simon"},{"family":"Land","given":"John"},{"family":"Smolenski","given":"Ryszard"},{"family":"Davies","given":"Nathan A."},{"family":"Cooper","given":"Chris E."},{"family":"Singer","given":"Mervyn"}],"issued":{"date-parts":[["2002",7,20]]},"PMID":"12133657"}}],"schema":"https://github.com/citation-style-language/schema/raw/master/csl-citation.json"} </w:instrText>
      </w:r>
      <w:r w:rsidR="00D93B3B">
        <w:rPr>
          <w:rFonts w:asciiTheme="minorHAnsi" w:hAnsiTheme="minorHAnsi"/>
          <w:iCs/>
          <w:lang w:val="en-US"/>
        </w:rPr>
        <w:fldChar w:fldCharType="separate"/>
      </w:r>
      <w:r w:rsidR="007E7E7B" w:rsidRPr="000F5B05">
        <w:rPr>
          <w:rFonts w:ascii="Calibri" w:hAnsi="Calibri" w:cs="Calibri"/>
          <w:lang w:val="en-US"/>
        </w:rPr>
        <w:t>[90]</w:t>
      </w:r>
      <w:r w:rsidR="00D93B3B">
        <w:rPr>
          <w:rFonts w:asciiTheme="minorHAnsi" w:hAnsiTheme="minorHAnsi"/>
          <w:iCs/>
          <w:lang w:val="en-US"/>
        </w:rPr>
        <w:fldChar w:fldCharType="end"/>
      </w:r>
      <w:r w:rsidR="004B184E" w:rsidRPr="00134A43">
        <w:rPr>
          <w:rFonts w:asciiTheme="minorHAnsi" w:hAnsiTheme="minorHAnsi"/>
          <w:iCs/>
          <w:lang w:val="en-US"/>
        </w:rPr>
        <w:t xml:space="preserve"> as well as</w:t>
      </w:r>
      <w:r w:rsidR="004B184E">
        <w:rPr>
          <w:rFonts w:asciiTheme="minorHAnsi" w:hAnsiTheme="minorHAnsi"/>
          <w:iCs/>
          <w:szCs w:val="22"/>
          <w:lang w:val="en-US"/>
        </w:rPr>
        <w:t xml:space="preserve"> multiple animal models. </w:t>
      </w:r>
      <w:proofErr w:type="spellStart"/>
      <w:r w:rsidR="004B184E">
        <w:rPr>
          <w:rFonts w:asciiTheme="minorHAnsi" w:hAnsiTheme="minorHAnsi"/>
          <w:iCs/>
          <w:szCs w:val="22"/>
          <w:lang w:val="en-US"/>
        </w:rPr>
        <w:t>Bioenergetic</w:t>
      </w:r>
      <w:proofErr w:type="spellEnd"/>
      <w:r w:rsidR="004B184E">
        <w:rPr>
          <w:rFonts w:asciiTheme="minorHAnsi" w:hAnsiTheme="minorHAnsi"/>
          <w:iCs/>
          <w:szCs w:val="22"/>
          <w:lang w:val="en-US"/>
        </w:rPr>
        <w:t xml:space="preserve"> failure is increasingly recognized as an important </w:t>
      </w:r>
      <w:proofErr w:type="spellStart"/>
      <w:r w:rsidR="004B184E">
        <w:rPr>
          <w:rFonts w:asciiTheme="minorHAnsi" w:hAnsiTheme="minorHAnsi"/>
          <w:iCs/>
          <w:szCs w:val="22"/>
          <w:lang w:val="en-US"/>
        </w:rPr>
        <w:t>aetiology</w:t>
      </w:r>
      <w:proofErr w:type="spellEnd"/>
      <w:r w:rsidR="004B184E">
        <w:rPr>
          <w:rFonts w:asciiTheme="minorHAnsi" w:hAnsiTheme="minorHAnsi"/>
          <w:iCs/>
          <w:szCs w:val="22"/>
          <w:lang w:val="en-US"/>
        </w:rPr>
        <w:t xml:space="preserve"> of immune dysfunction. Protecting mitochondria (e.g. with targeted antioxidants </w:t>
      </w:r>
      <w:r w:rsidR="00D93B3B">
        <w:rPr>
          <w:rFonts w:asciiTheme="minorHAnsi" w:hAnsiTheme="minorHAnsi"/>
          <w:iCs/>
          <w:szCs w:val="22"/>
          <w:lang w:val="en-US"/>
        </w:rPr>
        <w:fldChar w:fldCharType="begin"/>
      </w:r>
      <w:r w:rsidR="007E7E7B">
        <w:rPr>
          <w:rFonts w:asciiTheme="minorHAnsi" w:hAnsiTheme="minorHAnsi"/>
          <w:iCs/>
          <w:szCs w:val="22"/>
          <w:lang w:val="en-US"/>
        </w:rPr>
        <w:instrText xml:space="preserve"> ADDIN ZOTERO_ITEM CSL_CITATION {"citationID":"5vf4jtk1o","properties":{"formattedCitation":"[91]","plainCitation":"[91]"},"citationItems":[{"id":187,"uris":["http://zotero.org/users/local/ZaW79YVG/items/HTBU3UWJ"],"uri":["http://zotero.org/users/local/ZaW79YVG/items/HTBU3UWJ"],"itemData":{"id":187,"type":"article-journal","title":"Antioxidants that protect mitochondria reduce interleukin-6 and oxidative stress, improve mitochondrial function, and reduce biochemical markers of organ dysfunction in a rat model of acute sepsis","container-title":"British Journal of Anaesthesia","page":"472-480","volume":"110","issue":"3","source":"PubMed","abstract":"BACKGROUND: Sepsis-induced organ failure is the major cause of death in critical care units, and is characterized by a massive dysregulated inflammatory response and oxidative stress. We investigated the effects of treatment with antioxidants that protect mitochondria (MitoQ, MitoE, or melatonin) in a rat model of lipopolysaccharide (LPS) plus peptidoglycan (PepG)-induced acute sepsis, characterized by inflammation, mitochondrial dysfunction and early organ damage.\nMETHODS: Anaesthetized and ventilated rats received an i.v. bolus of LPS and PepG followed by an i.v. infusion of MitoQ, MitoE, melatonin, or saline for 5 h. Organs and blood were then removed for determination of mitochondrial and organ function, oxidative stress, and key cytokines.\nRESULTS: MitoQ, MitoE, or melatonin had broadly similar protective effects with improved mitochondrial respiration (P&lt;0.002), reduced oxidative stress (P&lt;0.02), and decreased interleukin-6 levels (P=0.0001). Compared with control rats, antioxidant-treated rats had lower levels of biochemical markers of organ dysfunction, including plasma alanine amino-transferase activity (P=0.02) and creatinine concentrations (P&lt;0.0001).\nCONCLUSIONS: Antioxidants that act preferentially in mitochondria reduce mitochondrial damage and organ dysfunction and decrease inflammatory responses in a rat model of acute sepsis.","DOI":"10.1093/bja/aes577","ISSN":"1471-6771","note":"PMID: 23381720\nPMCID: PMC3570068","journalAbbreviation":"Br J Anaesth","language":"eng","author":[{"family":"Lowes","given":"D. A."},{"family":"Webster","given":"N. R."},{"family":"Murphy","given":"M. P."},{"family":"Galley","given":"H. F."}],"issued":{"date-parts":[["2013",3]]},"PMID":"23381720","PMCID":"PMC3570068"}}],"schema":"https://github.com/citation-style-language/schema/raw/master/csl-citation.json"} </w:instrText>
      </w:r>
      <w:r w:rsidR="00D93B3B">
        <w:rPr>
          <w:rFonts w:asciiTheme="minorHAnsi" w:hAnsiTheme="minorHAnsi"/>
          <w:iCs/>
          <w:szCs w:val="22"/>
          <w:lang w:val="en-US"/>
        </w:rPr>
        <w:fldChar w:fldCharType="separate"/>
      </w:r>
      <w:r w:rsidR="007E7E7B" w:rsidRPr="000F5B05">
        <w:rPr>
          <w:rFonts w:ascii="Calibri" w:hAnsi="Calibri" w:cs="Calibri"/>
          <w:lang w:val="en-US"/>
        </w:rPr>
        <w:t>[91]</w:t>
      </w:r>
      <w:r w:rsidR="00D93B3B">
        <w:rPr>
          <w:rFonts w:asciiTheme="minorHAnsi" w:hAnsiTheme="minorHAnsi"/>
          <w:iCs/>
          <w:szCs w:val="22"/>
          <w:lang w:val="en-US"/>
        </w:rPr>
        <w:fldChar w:fldCharType="end"/>
      </w:r>
      <w:r w:rsidR="004B184E">
        <w:rPr>
          <w:rFonts w:asciiTheme="minorHAnsi" w:hAnsiTheme="minorHAnsi"/>
          <w:iCs/>
          <w:szCs w:val="22"/>
          <w:lang w:val="en-US"/>
        </w:rPr>
        <w:t>) or stimulating mitochondrial biogenesis</w:t>
      </w:r>
      <w:r w:rsidR="00D93B3B">
        <w:rPr>
          <w:rFonts w:asciiTheme="minorHAnsi" w:hAnsiTheme="minorHAnsi"/>
          <w:iCs/>
          <w:szCs w:val="22"/>
          <w:lang w:val="en-US"/>
        </w:rPr>
        <w:t xml:space="preserve"> </w:t>
      </w:r>
      <w:r w:rsidR="00D93B3B">
        <w:rPr>
          <w:rFonts w:asciiTheme="minorHAnsi" w:hAnsiTheme="minorHAnsi"/>
          <w:iCs/>
          <w:szCs w:val="22"/>
          <w:lang w:val="en-US"/>
        </w:rPr>
        <w:fldChar w:fldCharType="begin"/>
      </w:r>
      <w:r w:rsidR="007E7E7B">
        <w:rPr>
          <w:rFonts w:asciiTheme="minorHAnsi" w:hAnsiTheme="minorHAnsi"/>
          <w:iCs/>
          <w:szCs w:val="22"/>
          <w:lang w:val="en-US"/>
        </w:rPr>
        <w:instrText xml:space="preserve"> ADDIN ZOTERO_ITEM CSL_CITATION {"citationID":"1d11796nmv","properties":{"formattedCitation":"[92]","plainCitation":"[92]"},"citationItems":[{"id":189,"uris":["http://zotero.org/users/local/ZaW79YVG/items/EPK4RZPK"],"uri":["http://zotero.org/users/local/ZaW79YVG/items/EPK4RZPK"],"itemData":{"id":189,"type":"article-journal","title":"Carbon monoxide rescues mice from lethal sepsis by supporting mitochondrial energetic metabolism and activating mitochondrial biogenesis","container-title":"The Journal of Pharmacology and Experimental Therapeutics","page":"641-648","volume":"329","issue":"2","source":"PubMed","abstract":"Use of metal carbonyl-based compounds capable of releasing carbon monoxide (CO) in biological systems have emerged as a potential adjunctive therapy for sepsis via their antioxidant, anti-inflammatory, and antiapoptotic effects. The role of CO in regulation of mitochondrial dysfunction and biogenesis associated with sepsis has not been investigated. In the present study, we employed a ruthenium-based water-soluble CO carrier, tricarbonylchoro(glycinato)ruthenium (II) (CORM-3), one of the novel CO-releasing molecules (CO-RMs), to test whether CO can improve cardiac mitochondrial dysfunction and survival in peritonitis-induced sepsis. Peritonitis was performed in mice by cecal ligation and perforation. Tumor necrosis factor-alpha, interleukin-10, and nitrite/nitrate plasma levels were tested to evaluate the systemic inflammatory response. Functional mitochondrial studies included determination of membrane potential, respiration, and redox status. Oxidative stress was evaluated by measurements of mitochondrial hydrogen peroxide, carbonyl protein and GSH levels. Mitochondrial biogenesis was assessed by peroxisome proliferator-activated receptor gamma coactivator (PGC)-1alpha protein expression and mitochondrial DNA (mtDNA) copy number. The systemic inflammatory response elicited by peritonitis was accompanied by mitochondrial energetic metabolism deterioration and reduced PGC-1alpha protein expression. CORM-3 treatment in septic mice restored the deleterious effects of sepsis on mitochondrial membrane potential, respiratory control ratio, and energetics. It is interesting that administration of CORM-3 during sepsis elicited a mild oxidative stress response that stimulated mitochondrial biogenesis with PGC-1alpha protein expression and mtDNA copy number increases. Our results reveal that delivery of controlled amounts of CO dramatically reduced mortality in septic mice, indicating that CO-RMs could be used therapeutically to prevent organ dysfunction and death in sepsis.","DOI":"10.1124/jpet.108.148049","ISSN":"1521-0103","note":"PMID: 19190234","journalAbbreviation":"J. Pharmacol. Exp. Ther.","language":"eng","author":[{"family":"Lancel","given":"Steve"},{"family":"Hassoun","given":"Sidi Mohamed"},{"family":"Favory","given":"Raphael"},{"family":"Decoster","given":"Brigitte"},{"family":"Motterlini","given":"Roberto"},{"family":"Neviere","given":"Remi"}],"issued":{"date-parts":[["2009",5]]},"PMID":"19190234"}}],"schema":"https://github.com/citation-style-language/schema/raw/master/csl-citation.json"} </w:instrText>
      </w:r>
      <w:r w:rsidR="00D93B3B">
        <w:rPr>
          <w:rFonts w:asciiTheme="minorHAnsi" w:hAnsiTheme="minorHAnsi"/>
          <w:iCs/>
          <w:szCs w:val="22"/>
          <w:lang w:val="en-US"/>
        </w:rPr>
        <w:fldChar w:fldCharType="separate"/>
      </w:r>
      <w:r w:rsidR="007E7E7B" w:rsidRPr="000F5B05">
        <w:rPr>
          <w:rFonts w:ascii="Calibri" w:hAnsi="Calibri" w:cs="Calibri"/>
          <w:lang w:val="en-US"/>
        </w:rPr>
        <w:t>[92]</w:t>
      </w:r>
      <w:r w:rsidR="00D93B3B">
        <w:rPr>
          <w:rFonts w:asciiTheme="minorHAnsi" w:hAnsiTheme="minorHAnsi"/>
          <w:iCs/>
          <w:szCs w:val="22"/>
          <w:lang w:val="en-US"/>
        </w:rPr>
        <w:fldChar w:fldCharType="end"/>
      </w:r>
      <w:r w:rsidR="00B0471A" w:rsidRPr="00B0471A">
        <w:rPr>
          <w:rFonts w:asciiTheme="minorHAnsi" w:hAnsiTheme="minorHAnsi"/>
          <w:lang w:val="en-GB"/>
        </w:rPr>
        <w:t> </w:t>
      </w:r>
      <w:r w:rsidR="004B184E">
        <w:rPr>
          <w:rFonts w:asciiTheme="minorHAnsi" w:hAnsiTheme="minorHAnsi"/>
          <w:iCs/>
          <w:szCs w:val="22"/>
          <w:lang w:val="en-US"/>
        </w:rPr>
        <w:t xml:space="preserve">with regeneration of new, functioning mitochondria are strategies that may prove efficacious. </w:t>
      </w:r>
    </w:p>
    <w:p w:rsidR="00B0471A" w:rsidRPr="007141B1" w:rsidRDefault="00B0471A" w:rsidP="00851E20">
      <w:pPr>
        <w:spacing w:line="360" w:lineRule="auto"/>
        <w:rPr>
          <w:rFonts w:asciiTheme="minorHAnsi" w:hAnsiTheme="minorHAnsi"/>
          <w:lang w:val="en-GB"/>
        </w:rPr>
      </w:pPr>
    </w:p>
    <w:p w:rsidR="00A35BC1" w:rsidRPr="007141B1" w:rsidRDefault="00815272" w:rsidP="00851E20">
      <w:pPr>
        <w:spacing w:line="360" w:lineRule="auto"/>
        <w:rPr>
          <w:rFonts w:asciiTheme="minorHAnsi" w:hAnsiTheme="minorHAnsi"/>
          <w:b/>
          <w:lang w:val="en-GB"/>
        </w:rPr>
      </w:pPr>
      <w:r>
        <w:rPr>
          <w:rFonts w:asciiTheme="minorHAnsi" w:hAnsiTheme="minorHAnsi"/>
          <w:b/>
          <w:lang w:val="en-GB"/>
        </w:rPr>
        <w:t>5</w:t>
      </w:r>
      <w:r w:rsidR="00A35BC1" w:rsidRPr="007141B1">
        <w:rPr>
          <w:rFonts w:asciiTheme="minorHAnsi" w:hAnsiTheme="minorHAnsi"/>
          <w:b/>
          <w:lang w:val="en-GB"/>
        </w:rPr>
        <w:t>. Stem cell therapies</w:t>
      </w:r>
    </w:p>
    <w:p w:rsidR="00A35BC1" w:rsidRDefault="00A35BC1" w:rsidP="00851E20">
      <w:pPr>
        <w:widowControl w:val="0"/>
        <w:autoSpaceDE w:val="0"/>
        <w:autoSpaceDN w:val="0"/>
        <w:adjustRightInd w:val="0"/>
        <w:spacing w:after="240" w:line="360" w:lineRule="auto"/>
        <w:rPr>
          <w:rFonts w:asciiTheme="minorHAnsi" w:hAnsiTheme="minorHAnsi" w:cs="Arial"/>
          <w:lang w:val="en-GB"/>
        </w:rPr>
      </w:pPr>
      <w:r w:rsidRPr="007141B1">
        <w:rPr>
          <w:rFonts w:asciiTheme="minorHAnsi" w:hAnsiTheme="minorHAnsi"/>
          <w:lang w:val="en-GB"/>
        </w:rPr>
        <w:t>Past attempts to modulate the immune response have been unsuccessful</w:t>
      </w:r>
      <w:r w:rsidR="004B184E">
        <w:rPr>
          <w:rFonts w:asciiTheme="minorHAnsi" w:hAnsiTheme="minorHAnsi"/>
          <w:lang w:val="en-GB"/>
        </w:rPr>
        <w:t>,</w:t>
      </w:r>
      <w:r w:rsidRPr="007141B1">
        <w:rPr>
          <w:rFonts w:asciiTheme="minorHAnsi" w:hAnsiTheme="minorHAnsi"/>
          <w:lang w:val="en-GB"/>
        </w:rPr>
        <w:t xml:space="preserve"> perhaps because of the multiple redundant pathways in multiple cell types that are activated in any individual septic patient. </w:t>
      </w:r>
      <w:r w:rsidRPr="007141B1">
        <w:rPr>
          <w:rFonts w:asciiTheme="minorHAnsi" w:hAnsiTheme="minorHAnsi" w:cs="Arial"/>
          <w:lang w:val="en-GB"/>
        </w:rPr>
        <w:t>Mesenchymal stromal stem cells target multiple pathways, interact with multiple cell types, and may be appropriately responsive to the inflammatory environment. Experimental and early clinical studies show promising results and now need to be tested in larger RCTs</w:t>
      </w:r>
      <w:r w:rsidR="00977389" w:rsidRPr="007141B1">
        <w:rPr>
          <w:rFonts w:asciiTheme="minorHAnsi" w:hAnsiTheme="minorHAnsi" w:cs="Arial"/>
          <w:lang w:val="en-GB"/>
        </w:rPr>
        <w:t xml:space="preserve"> </w:t>
      </w:r>
      <w:r w:rsidR="00977389" w:rsidRPr="007141B1">
        <w:rPr>
          <w:rFonts w:asciiTheme="minorHAnsi" w:hAnsiTheme="minorHAnsi" w:cs="Arial"/>
          <w:lang w:val="en-GB"/>
        </w:rPr>
        <w:fldChar w:fldCharType="begin"/>
      </w:r>
      <w:r w:rsidR="007E7E7B">
        <w:rPr>
          <w:rFonts w:asciiTheme="minorHAnsi" w:hAnsiTheme="minorHAnsi" w:cs="Arial"/>
          <w:lang w:val="en-GB"/>
        </w:rPr>
        <w:instrText xml:space="preserve"> ADDIN ZOTERO_ITEM CSL_CITATION {"citationID":"250cp24l1l","properties":{"formattedCitation":"[93]","plainCitation":"[93]"},"citationItems":[{"id":144,"uris":["http://zotero.org/users/local/ZaW79YVG/items/D4IX3ISN"],"uri":["http://zotero.org/users/local/ZaW79YVG/items/D4IX3ISN"],"itemData":{"id":144,"type":"article-journal","title":"Mesenchymal stem cells: mechanisms of potential therapeutic benefit in ARDS and sepsis","container-title":"The Lancet. Respiratory Medicine","page":"1016-1026","volume":"2","issue":"12","source":"PubMed","abstract":"Multipotent mesenchymal stem (stromal) cells (MSCs) have shown promising therapeutic effects in preclinical models of both acute respiratory distress syndrome (ARDS) and sepsis. Although initial research focused on the ability of MSCs to engraft at sites of tissue injury, increasing evidence suggests that MSCs have their therapeutic effects through mechanisms unrelated to long-term incorporation into host tissue. One of the most compelling of these pathways is the ability of MSCs to interact with injured tissue through the release of soluble bioactive factors. This Review provides an overview of the general properties of MSCs, and then outlines ways in which the paracrine effects of MSCs might reduce lung injury and enhance lung repair in ARDS and sepsis. Finally, we summarise ongoing challenges in MSC research and identify areas in which the discipline might progress in the coming years.","DOI":"10.1016/S2213-2600(14)70217-6","ISSN":"2213-2619","note":"PMID: 25465643","shortTitle":"Mesenchymal stem cells","journalAbbreviation":"Lancet Respir Med","language":"eng","author":[{"family":"Walter","given":"James"},{"family":"Ware","given":"Lorraine B."},{"family":"Matthay","given":"Michael A."}],"issued":{"date-parts":[["2014",12]]},"PMID":"25465643"}}],"schema":"https://github.com/citation-style-language/schema/raw/master/csl-citation.json"} </w:instrText>
      </w:r>
      <w:r w:rsidR="00977389" w:rsidRPr="007141B1">
        <w:rPr>
          <w:rFonts w:asciiTheme="minorHAnsi" w:hAnsiTheme="minorHAnsi" w:cs="Arial"/>
          <w:lang w:val="en-GB"/>
        </w:rPr>
        <w:fldChar w:fldCharType="separate"/>
      </w:r>
      <w:r w:rsidR="007E7E7B" w:rsidRPr="000F5B05">
        <w:rPr>
          <w:rFonts w:ascii="Calibri" w:hAnsi="Calibri" w:cs="Calibri"/>
          <w:lang w:val="en-US"/>
        </w:rPr>
        <w:t>[93]</w:t>
      </w:r>
      <w:r w:rsidR="00977389" w:rsidRPr="007141B1">
        <w:rPr>
          <w:rFonts w:asciiTheme="minorHAnsi" w:hAnsiTheme="minorHAnsi" w:cs="Arial"/>
          <w:lang w:val="en-GB"/>
        </w:rPr>
        <w:fldChar w:fldCharType="end"/>
      </w:r>
      <w:r w:rsidR="00310854">
        <w:rPr>
          <w:rFonts w:asciiTheme="minorHAnsi" w:hAnsiTheme="minorHAnsi" w:cs="Arial"/>
          <w:lang w:val="en-GB"/>
        </w:rPr>
        <w:t>.</w:t>
      </w:r>
    </w:p>
    <w:p w:rsidR="00134A43" w:rsidRDefault="00134A43" w:rsidP="00851E20">
      <w:pPr>
        <w:widowControl w:val="0"/>
        <w:autoSpaceDE w:val="0"/>
        <w:autoSpaceDN w:val="0"/>
        <w:adjustRightInd w:val="0"/>
        <w:spacing w:after="240" w:line="360" w:lineRule="auto"/>
        <w:rPr>
          <w:rFonts w:asciiTheme="minorHAnsi" w:hAnsiTheme="minorHAnsi" w:cs="Arial"/>
          <w:lang w:val="en-GB"/>
        </w:rPr>
      </w:pPr>
    </w:p>
    <w:p w:rsidR="00A35BC1" w:rsidRPr="007141B1" w:rsidRDefault="00815272" w:rsidP="00851E20">
      <w:pPr>
        <w:widowControl w:val="0"/>
        <w:autoSpaceDE w:val="0"/>
        <w:autoSpaceDN w:val="0"/>
        <w:adjustRightInd w:val="0"/>
        <w:spacing w:line="360" w:lineRule="auto"/>
        <w:rPr>
          <w:rFonts w:asciiTheme="minorHAnsi" w:hAnsiTheme="minorHAnsi" w:cs="Times"/>
          <w:b/>
          <w:lang w:val="en-GB"/>
        </w:rPr>
      </w:pPr>
      <w:r>
        <w:rPr>
          <w:rFonts w:asciiTheme="minorHAnsi" w:hAnsiTheme="minorHAnsi"/>
          <w:b/>
          <w:lang w:val="en-GB"/>
        </w:rPr>
        <w:t>6</w:t>
      </w:r>
      <w:r w:rsidR="00A35BC1" w:rsidRPr="007141B1">
        <w:rPr>
          <w:rFonts w:asciiTheme="minorHAnsi" w:hAnsiTheme="minorHAnsi"/>
          <w:b/>
          <w:lang w:val="en-GB"/>
        </w:rPr>
        <w:t>. Biomarker-guided trials</w:t>
      </w:r>
    </w:p>
    <w:p w:rsidR="00A35BC1" w:rsidRPr="007141B1" w:rsidRDefault="00A35BC1" w:rsidP="00851E20">
      <w:pPr>
        <w:spacing w:line="360" w:lineRule="auto"/>
        <w:rPr>
          <w:rFonts w:asciiTheme="minorHAnsi" w:hAnsiTheme="minorHAnsi"/>
          <w:lang w:val="en-GB"/>
        </w:rPr>
      </w:pPr>
      <w:r w:rsidRPr="007141B1">
        <w:rPr>
          <w:rFonts w:asciiTheme="minorHAnsi" w:hAnsiTheme="minorHAnsi"/>
          <w:lang w:val="en-GB"/>
        </w:rPr>
        <w:t>Attempts to inhibit the systemic inflammatory response in sepsis have failed to reduce mortality and</w:t>
      </w:r>
      <w:r w:rsidR="004B184E">
        <w:rPr>
          <w:rFonts w:asciiTheme="minorHAnsi" w:hAnsiTheme="minorHAnsi"/>
          <w:lang w:val="en-GB"/>
        </w:rPr>
        <w:t>,</w:t>
      </w:r>
      <w:r w:rsidRPr="007141B1">
        <w:rPr>
          <w:rFonts w:asciiTheme="minorHAnsi" w:hAnsiTheme="minorHAnsi"/>
          <w:lang w:val="en-GB"/>
        </w:rPr>
        <w:t xml:space="preserve"> in some cases</w:t>
      </w:r>
      <w:r w:rsidR="004B184E">
        <w:rPr>
          <w:rFonts w:asciiTheme="minorHAnsi" w:hAnsiTheme="minorHAnsi"/>
          <w:lang w:val="en-GB"/>
        </w:rPr>
        <w:t>,</w:t>
      </w:r>
      <w:r w:rsidRPr="007141B1">
        <w:rPr>
          <w:rFonts w:asciiTheme="minorHAnsi" w:hAnsiTheme="minorHAnsi"/>
          <w:lang w:val="en-GB"/>
        </w:rPr>
        <w:t xml:space="preserve"> increased mortality</w:t>
      </w:r>
      <w:r w:rsidR="00977389" w:rsidRPr="007141B1">
        <w:rPr>
          <w:rFonts w:asciiTheme="minorHAnsi" w:hAnsiTheme="minorHAnsi"/>
          <w:lang w:val="en-GB"/>
        </w:rPr>
        <w:t xml:space="preserve"> </w:t>
      </w:r>
      <w:r w:rsidR="00977389" w:rsidRPr="007141B1">
        <w:rPr>
          <w:rFonts w:asciiTheme="minorHAnsi" w:hAnsiTheme="minorHAnsi"/>
          <w:lang w:val="en-GB"/>
        </w:rPr>
        <w:fldChar w:fldCharType="begin"/>
      </w:r>
      <w:r w:rsidR="007E7E7B">
        <w:rPr>
          <w:rFonts w:asciiTheme="minorHAnsi" w:hAnsiTheme="minorHAnsi"/>
          <w:lang w:val="en-GB"/>
        </w:rPr>
        <w:instrText xml:space="preserve"> ADDIN ZOTERO_ITEM CSL_CITATION {"citationID":"jjthhouga","properties":{"formattedCitation":"[94]","plainCitation":"[94]"},"citationItems":[{"id":146,"uris":["http://zotero.org/users/local/ZaW79YVG/items/WG46XI4U"],"uri":["http://zotero.org/users/local/ZaW79YVG/items/WG46XI4U"],"itemData":{"id":146,"type":"article-journal","title":"Treatment of septic shock with the tumor necrosis factor receptor:Fc fusion protein. The Soluble TNF Receptor Sepsis Study Group","container-title":"The New England Journal of Medicine","page":"1697-1702","volume":"334","issue":"26","source":"PubMed","abstract":"BACKGROUND: A recombinant, soluble fusion protein that is a dimer of an extracellular portion of the human tumor necrosis factor (TNF) receptor and the Fc portion of IgG1 (TNFR:Fc) binds and neutralizes TNF-alpha and prevents death in animal models of bacteremia and endotoxemia.\nMETHODS: To evaluate the safety and efficacy of TNFR:Fc in the treatment of septic shock, we conducted a randomized, double-blind, placebo-controlled, multicenter trial. A total of 141 patients were randomly assigned to receive either placebo or a single intravenous infusion of one of three doses of TNFR:Fc (0.15, 0.45, or 1.5 mg per kilogram of body weight). The primary end point was mortality from all causes at 28 days.\nRESULTS: There were 10 deaths among the 33 patients in the placebo group (30 percent mortality), 9 deaths among the 30 patients receiving the low dose of TNFR:Fc (30 percent mortality), 14 deaths among the 29 receiving the middle dose (48 percent mortality), and 26 deaths among the 49 receiving the high dose (53 percent mortality) (P = 0.02 for the dose-response relation). Baseline differences in the severity of illness did not account for the increased mortality in the groups receiving the higher doses of TNFR:Fc.\nCONCLUSIONS: In patients with septic shock, treatment with the TNFR:Fc fusion protein does not reduce mortality, and higher doses appear to be associated with increased mortality.","DOI":"10.1056/NEJM199606273342603","ISSN":"0028-4793","note":"PMID: 8637514","shortTitle":"Treatment of septic shock with the tumor necrosis factor receptor","journalAbbreviation":"N. Engl. J. Med.","language":"eng","author":[{"family":"Fisher","given":"C. J."},{"family":"Agosti","given":"J. M."},{"family":"Opal","given":"S. M."},{"family":"Lowry","given":"S. F."},{"family":"Balk","given":"R. A."},{"family":"Sadoff","given":"J. C."},{"family":"Abraham","given":"E."},{"family":"Schein","given":"R. M."},{"family":"Benjamin","given":"E."}],"issued":{"date-parts":[["1996",6,27]]},"PMID":"8637514"}}],"schema":"https://github.com/citation-style-language/schema/raw/master/csl-citation.json"} </w:instrText>
      </w:r>
      <w:r w:rsidR="00977389" w:rsidRPr="007141B1">
        <w:rPr>
          <w:rFonts w:asciiTheme="minorHAnsi" w:hAnsiTheme="minorHAnsi"/>
          <w:lang w:val="en-GB"/>
        </w:rPr>
        <w:fldChar w:fldCharType="separate"/>
      </w:r>
      <w:r w:rsidR="007E7E7B" w:rsidRPr="000F5B05">
        <w:rPr>
          <w:rFonts w:ascii="Calibri" w:hAnsi="Calibri" w:cs="Calibri"/>
          <w:lang w:val="en-US"/>
        </w:rPr>
        <w:t>[94]</w:t>
      </w:r>
      <w:r w:rsidR="00977389" w:rsidRPr="007141B1">
        <w:rPr>
          <w:rFonts w:asciiTheme="minorHAnsi" w:hAnsiTheme="minorHAnsi"/>
          <w:lang w:val="en-GB"/>
        </w:rPr>
        <w:fldChar w:fldCharType="end"/>
      </w:r>
      <w:r w:rsidRPr="007141B1">
        <w:rPr>
          <w:rFonts w:asciiTheme="minorHAnsi" w:hAnsiTheme="minorHAnsi"/>
          <w:lang w:val="en-GB"/>
        </w:rPr>
        <w:t>. Although the inflammatory response has important protective effects</w:t>
      </w:r>
      <w:r w:rsidR="004B184E">
        <w:rPr>
          <w:rFonts w:asciiTheme="minorHAnsi" w:hAnsiTheme="minorHAnsi"/>
          <w:lang w:val="en-GB"/>
        </w:rPr>
        <w:t>,</w:t>
      </w:r>
      <w:r w:rsidRPr="007141B1">
        <w:rPr>
          <w:rFonts w:asciiTheme="minorHAnsi" w:hAnsiTheme="minorHAnsi"/>
          <w:lang w:val="en-GB"/>
        </w:rPr>
        <w:t xml:space="preserve"> an anti-inflammatory intervention likely only works if there is excessive inflammation. Initial attempts to target the most severely inflamed patients using a general marker of inflammation failed to improve outcomes</w:t>
      </w:r>
      <w:r w:rsidR="00977389" w:rsidRPr="007141B1">
        <w:rPr>
          <w:rFonts w:asciiTheme="minorHAnsi" w:hAnsiTheme="minorHAnsi"/>
          <w:lang w:val="en-GB"/>
        </w:rPr>
        <w:t xml:space="preserve"> </w:t>
      </w:r>
      <w:r w:rsidR="00977389" w:rsidRPr="007141B1">
        <w:rPr>
          <w:rFonts w:asciiTheme="minorHAnsi" w:hAnsiTheme="minorHAnsi"/>
          <w:lang w:val="en-GB"/>
        </w:rPr>
        <w:fldChar w:fldCharType="begin"/>
      </w:r>
      <w:r w:rsidR="007E7E7B">
        <w:rPr>
          <w:rFonts w:asciiTheme="minorHAnsi" w:hAnsiTheme="minorHAnsi"/>
          <w:lang w:val="en-GB"/>
        </w:rPr>
        <w:instrText xml:space="preserve"> ADDIN ZOTERO_ITEM CSL_CITATION {"citationID":"1l1cpmgav3","properties":{"formattedCitation":"[95]","plainCitation":"[95]"},"citationItems":[{"id":148,"uris":["http://zotero.org/users/local/ZaW79YVG/items/GJV8WA7K"],"uri":["http://zotero.org/users/local/ZaW79YVG/items/GJV8WA7K"],"itemData":{"id":148,"type":"article-journal","title":"Randomized, placebo-controlled trial of the anti-tumor necrosis factor antibody fragment afelimomab in hyperinflammatory response during severe sepsis: The RAMSES Study","container-title":"Critical Care Medicine","page":"765-769","volume":"29","issue":"4","source":"PubMed","abstract":"OBJECTIVE: This study investigated whether treatment with the anti-tumor necrosis factor-alpha monoclonal antibody afelimomab would improve survival in septic patients with serum interleukin (IL)-6 concentrations of &gt;1000 pg/mL.\nDESIGN: Multicenter, double-blind, randomized, placebo-controlled study.\nSETTING: Eighty-four intensive care units in academic medical centers in Europe and Israel.\nPATIENTS: A total of 944 septic patients were screened and stratified by the results of a rapid qualitative immunostrip test for serum IL-6 concentrations. Patients with a positive test kit result indicating IL-6 concentrations of &gt;1000 pg/mL were randomized to receive either afelimomab (n = 224) or placebo (n = 222). Patients with a negative IL-6 test (n = 498) were not randomized and were followed up for 28 days.\nINTERVENTIONS: Treatment consisted of 15-min infusions of 1 mg/kg afelimomab or matching placebo every 8 hrs for 3 days. Standard surgical and intensive care therapy was otherwise delivered.\nMEASUREMENTS AND MAIN RESULTS: The study was terminated prematurely after an interim analysis estimated that the primary efficacy end points would not be met. The 28-day mortality rate in the nonrandomized patients (39.6%, 197 of 498) was significantly lower (p &lt;.001) than that found in the randomized patients (55.8%, 249 of 446). The mortality rates in the IL-6 test kit positive patients randomized to afelimomab and placebo were similar, 54.0% (121 of 224) vs. 57.7% (128 of 222), respectively. Treatment with afelimomab was not associated with any particular adverse events.\nCONCLUSIONS: The IL-6 immunostrip test identified two distinct sepsis populations with significantly different mortality rates. A small (3.7%) absolute reduction in mortality rate was found in the afelimomab-treated patients. The treatment difference did not reach statistical significance.","ISSN":"0090-3493","note":"PMID: 11373466","shortTitle":"Randomized, placebo-controlled trial of the anti-tumor necrosis factor antibody fragment afelimomab in hyperinflammatory response during severe sepsis","journalAbbreviation":"Crit. Care Med.","language":"eng","author":[{"family":"Reinhart","given":"K."},{"family":"Menges","given":"T."},{"family":"Gardlund","given":"B."},{"family":"Harm Zwaveling","given":"J."},{"family":"Smithes","given":"M."},{"family":"Vincent","given":"J. L."},{"family":"Tellado","given":"J. M."},{"family":"Salgado-Remigio","given":"A."},{"family":"Zimlichman","given":"R."},{"family":"Withington","given":"S."},{"family":"Tschaikowsky","given":"K."},{"family":"Brase","given":"R."},{"family":"Damas","given":"P."},{"family":"Kupper","given":"H."},{"family":"Kempeni","given":"J."},{"family":"Eiselstein","given":"J."},{"family":"Kaul","given":"M."}],"issued":{"date-parts":[["2001",4]]},"PMID":"11373466"}}],"schema":"https://github.com/citation-style-language/schema/raw/master/csl-citation.json"} </w:instrText>
      </w:r>
      <w:r w:rsidR="00977389" w:rsidRPr="007141B1">
        <w:rPr>
          <w:rFonts w:asciiTheme="minorHAnsi" w:hAnsiTheme="minorHAnsi"/>
          <w:lang w:val="en-GB"/>
        </w:rPr>
        <w:fldChar w:fldCharType="separate"/>
      </w:r>
      <w:r w:rsidR="007E7E7B" w:rsidRPr="000F5B05">
        <w:rPr>
          <w:rFonts w:ascii="Calibri" w:hAnsi="Calibri" w:cs="Calibri"/>
          <w:lang w:val="en-US"/>
        </w:rPr>
        <w:t>[95]</w:t>
      </w:r>
      <w:r w:rsidR="00977389" w:rsidRPr="007141B1">
        <w:rPr>
          <w:rFonts w:asciiTheme="minorHAnsi" w:hAnsiTheme="minorHAnsi"/>
          <w:lang w:val="en-GB"/>
        </w:rPr>
        <w:fldChar w:fldCharType="end"/>
      </w:r>
      <w:r w:rsidRPr="007141B1">
        <w:rPr>
          <w:rFonts w:asciiTheme="minorHAnsi" w:hAnsiTheme="minorHAnsi"/>
          <w:lang w:val="en-GB"/>
        </w:rPr>
        <w:t>. Future RCTs that use specific predictive biomarkers</w:t>
      </w:r>
      <w:r w:rsidR="00977389" w:rsidRPr="007141B1">
        <w:rPr>
          <w:rFonts w:asciiTheme="minorHAnsi" w:hAnsiTheme="minorHAnsi"/>
          <w:lang w:val="en-GB"/>
        </w:rPr>
        <w:t xml:space="preserve"> </w:t>
      </w:r>
      <w:r w:rsidR="00977389" w:rsidRPr="007141B1">
        <w:rPr>
          <w:rFonts w:asciiTheme="minorHAnsi" w:hAnsiTheme="minorHAnsi"/>
          <w:lang w:val="en-GB"/>
        </w:rPr>
        <w:fldChar w:fldCharType="begin"/>
      </w:r>
      <w:r w:rsidR="007E7E7B">
        <w:rPr>
          <w:rFonts w:asciiTheme="minorHAnsi" w:hAnsiTheme="minorHAnsi"/>
          <w:lang w:val="en-GB"/>
        </w:rPr>
        <w:instrText xml:space="preserve"> ADDIN ZOTERO_ITEM CSL_CITATION {"citationID":"1b1ocja7l8","properties":{"formattedCitation":"[88]","plainCitation":"[88]"},"citationItems":[{"id":150,"uris":["http://zotero.org/users/local/ZaW79YVG/items/RKXN5A4Q"],"uri":["http://zotero.org/users/local/ZaW79YVG/items/RKXN5A4Q"],"itemData":{"id":150,"type":"article-journal","title":"Plasma cytokine levels predict response to corticosteroids in septic shock","container-title":"Intensive Care Medicine","page":"1970-1979","volume":"42","issue":"12","source":"PubMed","abstract":"PURPOSE: To investigate if plasma cytokine concentrations predict a beneficial response to corticosteroid treatment in septic shock patients.\nMETHODS: A cohort of septic shock patients in whom a panel of 39 cytokines had been measured at baseline (n = 363) was included. Patients who received corticosteroids were propensity score matched to non-corticosteroid-treated patients. An optimal threshold to identify responders to corticosteroid treatment for each cytokine was defined as the concentration above which the odds ratio for 28-day survival between corticosteroid- and non-corticosteroid-treated patients was highest.\nRESULTS: Propensity score matching partitioned 165 patients into 61 sets; each set contained matched corticosteroid- and non-corticosteroid-treated patients. For 13 plasma cytokines threshold concentrations were found where the odds ratio for survival between corticosteroid- and non-corticosteroid-treated patients was significant (P &lt; 0.05). CD40 ligand was associated with the highest odds ratio and identified 21 % of the patients in the propensity score matched cohort as responders to corticosteroid treatment. Combinations of triplets of cytokines with a significant odds ratio, using the thresholds identified above, were tested to find a higher proportion of responders. IL3, IL6, and CCL4 identified 50 % of the patients in the propensity score matched cohort as responders to corticosteroid treatment. The odds ratio for 28-day survival was 19 (95 % CI 3.5-140, P = 0.02) with a concentration above threshold for a least one of these cytokines.\nCONCLUSION: Plasma concentration of selected cytokines is a potential predictive biomarker to identify septic shock patients that may benefit from treatment with corticosteroids.","DOI":"10.1007/s00134-016-4338-z","ISSN":"1432-1238","note":"PMID: 27071387","journalAbbreviation":"Intensive Care Med","language":"eng","author":[{"family":"Bentzer","given":"Peter"},{"family":"Fjell","given":"Chris"},{"family":"Walley","given":"Keith R."},{"family":"Boyd","given":"John"},{"family":"Russell","given":"James A."}],"issued":{"date-parts":[["2016",12]]},"PMID":"27071387"}}],"schema":"https://github.com/citation-style-language/schema/raw/master/csl-citation.json"} </w:instrText>
      </w:r>
      <w:r w:rsidR="00977389" w:rsidRPr="007141B1">
        <w:rPr>
          <w:rFonts w:asciiTheme="minorHAnsi" w:hAnsiTheme="minorHAnsi"/>
          <w:lang w:val="en-GB"/>
        </w:rPr>
        <w:fldChar w:fldCharType="separate"/>
      </w:r>
      <w:r w:rsidR="007E7E7B" w:rsidRPr="000F5B05">
        <w:rPr>
          <w:rFonts w:ascii="Calibri" w:hAnsi="Calibri" w:cs="Calibri"/>
          <w:lang w:val="en-US"/>
        </w:rPr>
        <w:t>[88]</w:t>
      </w:r>
      <w:r w:rsidR="00977389" w:rsidRPr="007141B1">
        <w:rPr>
          <w:rFonts w:asciiTheme="minorHAnsi" w:hAnsiTheme="minorHAnsi"/>
          <w:lang w:val="en-GB"/>
        </w:rPr>
        <w:fldChar w:fldCharType="end"/>
      </w:r>
      <w:r w:rsidRPr="007141B1">
        <w:rPr>
          <w:rFonts w:asciiTheme="minorHAnsi" w:hAnsiTheme="minorHAnsi"/>
          <w:lang w:val="en-GB"/>
        </w:rPr>
        <w:t xml:space="preserve"> </w:t>
      </w:r>
      <w:r w:rsidR="000A2F5D">
        <w:rPr>
          <w:rFonts w:asciiTheme="minorHAnsi" w:hAnsiTheme="minorHAnsi"/>
          <w:lang w:val="en-GB"/>
        </w:rPr>
        <w:t xml:space="preserve">and </w:t>
      </w:r>
      <w:proofErr w:type="spellStart"/>
      <w:r w:rsidR="000A2F5D">
        <w:rPr>
          <w:rFonts w:asciiTheme="minorHAnsi" w:hAnsiTheme="minorHAnsi"/>
          <w:lang w:val="en-GB"/>
        </w:rPr>
        <w:t>pharmacogenomic</w:t>
      </w:r>
      <w:proofErr w:type="spellEnd"/>
      <w:r w:rsidR="000A2F5D">
        <w:rPr>
          <w:rFonts w:asciiTheme="minorHAnsi" w:hAnsiTheme="minorHAnsi"/>
          <w:lang w:val="en-GB"/>
        </w:rPr>
        <w:t xml:space="preserve"> biomarkers of response to drug(s) </w:t>
      </w:r>
      <w:r w:rsidRPr="007141B1">
        <w:rPr>
          <w:rFonts w:asciiTheme="minorHAnsi" w:hAnsiTheme="minorHAnsi"/>
          <w:lang w:val="en-GB"/>
        </w:rPr>
        <w:t xml:space="preserve">that are the target for the intervention, </w:t>
      </w:r>
      <w:r w:rsidR="002A5112">
        <w:rPr>
          <w:rFonts w:asciiTheme="minorHAnsi" w:hAnsiTheme="minorHAnsi"/>
          <w:lang w:val="en-GB"/>
        </w:rPr>
        <w:t xml:space="preserve">should be used </w:t>
      </w:r>
      <w:r w:rsidRPr="007141B1">
        <w:rPr>
          <w:rFonts w:asciiTheme="minorHAnsi" w:hAnsiTheme="minorHAnsi"/>
          <w:lang w:val="en-GB"/>
        </w:rPr>
        <w:t xml:space="preserve">to select patients for inclusion </w:t>
      </w:r>
      <w:r w:rsidR="002A5112">
        <w:rPr>
          <w:rFonts w:asciiTheme="minorHAnsi" w:hAnsiTheme="minorHAnsi"/>
          <w:lang w:val="en-GB"/>
        </w:rPr>
        <w:t>in many future trials</w:t>
      </w:r>
      <w:r w:rsidRPr="007141B1">
        <w:rPr>
          <w:rFonts w:asciiTheme="minorHAnsi" w:hAnsiTheme="minorHAnsi"/>
          <w:lang w:val="en-GB"/>
        </w:rPr>
        <w:t>.</w:t>
      </w:r>
    </w:p>
    <w:p w:rsidR="00A35BC1" w:rsidRPr="007141B1" w:rsidRDefault="00A35BC1" w:rsidP="00851E20">
      <w:pPr>
        <w:spacing w:line="360" w:lineRule="auto"/>
        <w:rPr>
          <w:rFonts w:asciiTheme="minorHAnsi" w:hAnsiTheme="minorHAnsi"/>
          <w:lang w:val="en-GB"/>
        </w:rPr>
      </w:pPr>
    </w:p>
    <w:p w:rsidR="00A35BC1" w:rsidRPr="007141B1" w:rsidRDefault="00815272" w:rsidP="00851E20">
      <w:pPr>
        <w:spacing w:line="360" w:lineRule="auto"/>
        <w:rPr>
          <w:rFonts w:asciiTheme="minorHAnsi" w:hAnsiTheme="minorHAnsi"/>
          <w:b/>
          <w:lang w:val="en-GB"/>
        </w:rPr>
      </w:pPr>
      <w:r>
        <w:rPr>
          <w:rFonts w:asciiTheme="minorHAnsi" w:hAnsiTheme="minorHAnsi"/>
          <w:b/>
          <w:lang w:val="en-GB"/>
        </w:rPr>
        <w:t>7</w:t>
      </w:r>
      <w:r w:rsidR="00A35BC1" w:rsidRPr="007141B1">
        <w:rPr>
          <w:rFonts w:asciiTheme="minorHAnsi" w:hAnsiTheme="minorHAnsi"/>
          <w:b/>
          <w:lang w:val="en-GB"/>
        </w:rPr>
        <w:t>. Novel anti-inflammatory therapies</w:t>
      </w:r>
    </w:p>
    <w:p w:rsidR="00A35BC1" w:rsidRPr="007141B1" w:rsidRDefault="00A35BC1" w:rsidP="00851E20">
      <w:pPr>
        <w:spacing w:line="360" w:lineRule="auto"/>
        <w:rPr>
          <w:rFonts w:asciiTheme="minorHAnsi" w:eastAsia="Times New Roman" w:hAnsiTheme="minorHAnsi"/>
          <w:lang w:val="en-GB"/>
        </w:rPr>
      </w:pPr>
      <w:r w:rsidRPr="007141B1">
        <w:rPr>
          <w:rFonts w:asciiTheme="minorHAnsi" w:hAnsiTheme="minorHAnsi"/>
          <w:lang w:val="en-GB"/>
        </w:rPr>
        <w:lastRenderedPageBreak/>
        <w:t xml:space="preserve">As detailed above, therapies targeting the host inflammatory response to sepsis have failed. An interesting alternative is to target the organism to reduce inflammation. </w:t>
      </w:r>
      <w:proofErr w:type="spellStart"/>
      <w:r w:rsidRPr="007141B1">
        <w:rPr>
          <w:rFonts w:asciiTheme="minorHAnsi" w:eastAsia="Times New Roman" w:hAnsiTheme="minorHAnsi"/>
          <w:lang w:val="en-GB"/>
        </w:rPr>
        <w:t>Proprotein</w:t>
      </w:r>
      <w:proofErr w:type="spellEnd"/>
      <w:r w:rsidRPr="007141B1">
        <w:rPr>
          <w:rFonts w:asciiTheme="minorHAnsi" w:eastAsia="Times New Roman" w:hAnsiTheme="minorHAnsi"/>
          <w:lang w:val="en-GB"/>
        </w:rPr>
        <w:t xml:space="preserve"> convertase </w:t>
      </w:r>
      <w:proofErr w:type="spellStart"/>
      <w:r w:rsidRPr="007141B1">
        <w:rPr>
          <w:rFonts w:asciiTheme="minorHAnsi" w:eastAsia="Times New Roman" w:hAnsiTheme="minorHAnsi"/>
          <w:lang w:val="en-GB"/>
        </w:rPr>
        <w:t>subtilisin</w:t>
      </w:r>
      <w:proofErr w:type="spellEnd"/>
      <w:r w:rsidRPr="007141B1">
        <w:rPr>
          <w:rFonts w:asciiTheme="minorHAnsi" w:eastAsia="Times New Roman" w:hAnsiTheme="minorHAnsi"/>
          <w:lang w:val="en-GB"/>
        </w:rPr>
        <w:t>/</w:t>
      </w:r>
      <w:proofErr w:type="spellStart"/>
      <w:r w:rsidRPr="007141B1">
        <w:rPr>
          <w:rFonts w:asciiTheme="minorHAnsi" w:eastAsia="Times New Roman" w:hAnsiTheme="minorHAnsi"/>
          <w:lang w:val="en-GB"/>
        </w:rPr>
        <w:t>kexin</w:t>
      </w:r>
      <w:proofErr w:type="spellEnd"/>
      <w:r w:rsidRPr="007141B1">
        <w:rPr>
          <w:rFonts w:asciiTheme="minorHAnsi" w:eastAsia="Times New Roman" w:hAnsiTheme="minorHAnsi"/>
          <w:lang w:val="en-GB"/>
        </w:rPr>
        <w:t xml:space="preserve"> type-9 (PCSK9) inhibitors lower low density lipoprotein (LDL) levels and may also increase clearance of pathogen lipids, such as LPS, transported in LDL</w:t>
      </w:r>
      <w:r w:rsidR="00BF5F73" w:rsidRPr="007141B1">
        <w:rPr>
          <w:rFonts w:asciiTheme="minorHAnsi" w:eastAsia="Times New Roman" w:hAnsiTheme="minorHAnsi"/>
          <w:lang w:val="en-GB"/>
        </w:rPr>
        <w:t xml:space="preserve"> </w:t>
      </w:r>
      <w:r w:rsidR="00BF5F73" w:rsidRPr="007141B1">
        <w:rPr>
          <w:rFonts w:asciiTheme="minorHAnsi" w:eastAsia="Times New Roman" w:hAnsiTheme="minorHAnsi"/>
          <w:lang w:val="en-GB"/>
        </w:rPr>
        <w:fldChar w:fldCharType="begin"/>
      </w:r>
      <w:r w:rsidR="007E7E7B">
        <w:rPr>
          <w:rFonts w:asciiTheme="minorHAnsi" w:eastAsia="Times New Roman" w:hAnsiTheme="minorHAnsi"/>
          <w:lang w:val="en-GB"/>
        </w:rPr>
        <w:instrText xml:space="preserve"> ADDIN ZOTERO_ITEM CSL_CITATION {"citationID":"610a2svea","properties":{"formattedCitation":"[96]","plainCitation":"[96]"},"citationItems":[{"id":152,"uris":["http://zotero.org/users/local/ZaW79YVG/items/QUTR5CNJ"],"uri":["http://zotero.org/users/local/ZaW79YVG/items/QUTR5CNJ"],"itemData":{"id":152,"type":"article-journal","title":"PCSK9 is a critical regulator of the innate immune response and septic shock outcome","container-title":"Science Translational Medicine","page":"258ra143","volume":"6","issue":"258","source":"PubMed","abstract":"A decrease in the activity of proprotein convertase subtilisin/kexin type 9 (PCSK9) increases the amount of low-density lipoprotein (LDL) receptors on liver cells and, therefore, LDL clearance. The clearance of lipids from pathogens is related to endogenous lipid clearance; thus, PCSK9 may also regulate removal of pathogen lipids such as lipopolysaccharide (LPS). Compared to controls, Pcsk9 knockout mice displayed decreases in inflammatory cytokine production and in other physiological responses to LPS. In human liver cells, PCSK9 inhibited LPS uptake, a necessary step in systemic clearance and detoxification. Pharmacological inhibition of PCSK9 improved survival and inflammation in murine polymicrobial peritonitis. Human PCSK9 loss-of-function genetic variants were associated with improved survival in septic shock patients and a decrease in inflammatory cytokine response both in septic shock patients and in healthy volunteers after LPS administration. The PCSK9 effect was abrogated in LDL receptor (LDLR) knockout mice and in humans who are homozygous for an LDLR variant that is resistant to PCSK9. Together, our results show that reduced PCSK9 function is associated with increased pathogen lipid clearance via the LDLR, a decreased inflammatory response, and improved septic shock outcome.","DOI":"10.1126/scitranslmed.3008782","ISSN":"1946-6242","note":"PMID: 25320235\nPMCID: PMC4342147","journalAbbreviation":"Sci Transl Med","language":"eng","author":[{"family":"Walley","given":"Keith R."},{"family":"Thain","given":"Katherine R."},{"family":"Russell","given":"James A."},{"family":"Reilly","given":"Muredach P."},{"family":"Meyer","given":"Nuala J."},{"family":"Ferguson","given":"Jane F."},{"family":"Christie","given":"Jason D."},{"family":"Nakada","given":"Taka-aki"},{"family":"Fjell","given":"Chris D."},{"family":"Thair","given":"Simone A."},{"family":"Cirstea","given":"Mihai S."},{"family":"Boyd","given":"John H."}],"issued":{"date-parts":[["2014",10,15]]},"PMID":"25320235","PMCID":"PMC4342147"}}],"schema":"https://github.com/citation-style-language/schema/raw/master/csl-citation.json"} </w:instrText>
      </w:r>
      <w:r w:rsidR="00BF5F73" w:rsidRPr="007141B1">
        <w:rPr>
          <w:rFonts w:asciiTheme="minorHAnsi" w:eastAsia="Times New Roman" w:hAnsiTheme="minorHAnsi"/>
          <w:lang w:val="en-GB"/>
        </w:rPr>
        <w:fldChar w:fldCharType="separate"/>
      </w:r>
      <w:r w:rsidR="007E7E7B" w:rsidRPr="000F5B05">
        <w:rPr>
          <w:rFonts w:ascii="Calibri" w:hAnsi="Calibri" w:cs="Calibri"/>
          <w:lang w:val="en-US"/>
        </w:rPr>
        <w:t>[96]</w:t>
      </w:r>
      <w:r w:rsidR="00BF5F73" w:rsidRPr="007141B1">
        <w:rPr>
          <w:rFonts w:asciiTheme="minorHAnsi" w:eastAsia="Times New Roman" w:hAnsiTheme="minorHAnsi"/>
          <w:lang w:val="en-GB"/>
        </w:rPr>
        <w:fldChar w:fldCharType="end"/>
      </w:r>
      <w:r w:rsidR="00473BB6" w:rsidRPr="007141B1">
        <w:rPr>
          <w:rFonts w:asciiTheme="minorHAnsi" w:hAnsiTheme="minorHAnsi"/>
          <w:noProof/>
          <w:lang w:val="en-GB"/>
        </w:rPr>
        <w:t>.</w:t>
      </w:r>
      <w:r w:rsidRPr="007141B1">
        <w:rPr>
          <w:rFonts w:asciiTheme="minorHAnsi" w:eastAsia="Times New Roman" w:hAnsiTheme="minorHAnsi"/>
          <w:lang w:val="en-GB"/>
        </w:rPr>
        <w:t xml:space="preserve"> This novel therapeutic strategy requires further</w:t>
      </w:r>
      <w:r w:rsidR="002A5112" w:rsidRPr="002A5112">
        <w:rPr>
          <w:rFonts w:asciiTheme="minorHAnsi" w:eastAsia="Times New Roman" w:hAnsiTheme="minorHAnsi"/>
          <w:lang w:val="en-GB"/>
        </w:rPr>
        <w:t xml:space="preserve"> </w:t>
      </w:r>
      <w:r w:rsidR="002A5112">
        <w:rPr>
          <w:rFonts w:asciiTheme="minorHAnsi" w:eastAsia="Times New Roman" w:hAnsiTheme="minorHAnsi"/>
          <w:lang w:val="en-GB"/>
        </w:rPr>
        <w:t>basic and clinical trial</w:t>
      </w:r>
      <w:r w:rsidRPr="007141B1">
        <w:rPr>
          <w:rFonts w:asciiTheme="minorHAnsi" w:eastAsia="Times New Roman" w:hAnsiTheme="minorHAnsi"/>
          <w:lang w:val="en-GB"/>
        </w:rPr>
        <w:t xml:space="preserve"> investigation</w:t>
      </w:r>
      <w:r w:rsidR="002A5112">
        <w:rPr>
          <w:rFonts w:asciiTheme="minorHAnsi" w:eastAsia="Times New Roman" w:hAnsiTheme="minorHAnsi"/>
          <w:lang w:val="en-GB"/>
        </w:rPr>
        <w:t>s</w:t>
      </w:r>
      <w:r w:rsidRPr="007141B1">
        <w:rPr>
          <w:rFonts w:asciiTheme="minorHAnsi" w:eastAsia="Times New Roman" w:hAnsiTheme="minorHAnsi"/>
          <w:lang w:val="en-GB"/>
        </w:rPr>
        <w:t xml:space="preserve">. As genetic </w:t>
      </w:r>
      <w:r w:rsidR="002A5112">
        <w:rPr>
          <w:rFonts w:asciiTheme="minorHAnsi" w:eastAsia="Times New Roman" w:hAnsiTheme="minorHAnsi"/>
          <w:lang w:val="en-GB"/>
        </w:rPr>
        <w:t xml:space="preserve">PCSK9 </w:t>
      </w:r>
      <w:r w:rsidRPr="007141B1">
        <w:rPr>
          <w:rFonts w:asciiTheme="minorHAnsi" w:eastAsia="Times New Roman" w:hAnsiTheme="minorHAnsi"/>
          <w:lang w:val="en-GB"/>
        </w:rPr>
        <w:t xml:space="preserve">variants affect PCSK9 function, a predictive </w:t>
      </w:r>
      <w:proofErr w:type="spellStart"/>
      <w:r w:rsidRPr="007141B1">
        <w:rPr>
          <w:rFonts w:asciiTheme="minorHAnsi" w:eastAsia="Times New Roman" w:hAnsiTheme="minorHAnsi"/>
          <w:lang w:val="en-GB"/>
        </w:rPr>
        <w:t>pharmacogenetic</w:t>
      </w:r>
      <w:proofErr w:type="spellEnd"/>
      <w:r w:rsidRPr="007141B1">
        <w:rPr>
          <w:rFonts w:asciiTheme="minorHAnsi" w:eastAsia="Times New Roman" w:hAnsiTheme="minorHAnsi"/>
          <w:lang w:val="en-GB"/>
        </w:rPr>
        <w:t xml:space="preserve"> strategy should be investigated in these trials.</w:t>
      </w:r>
    </w:p>
    <w:p w:rsidR="00A35BC1" w:rsidRPr="007141B1" w:rsidRDefault="00A35BC1" w:rsidP="00851E20">
      <w:pPr>
        <w:spacing w:line="360" w:lineRule="auto"/>
        <w:rPr>
          <w:rFonts w:asciiTheme="minorHAnsi" w:hAnsiTheme="minorHAnsi"/>
          <w:lang w:val="en-GB"/>
        </w:rPr>
      </w:pPr>
    </w:p>
    <w:p w:rsidR="00A35BC1" w:rsidRPr="007141B1" w:rsidRDefault="00815272" w:rsidP="00851E20">
      <w:pPr>
        <w:spacing w:line="360" w:lineRule="auto"/>
        <w:rPr>
          <w:rFonts w:asciiTheme="minorHAnsi" w:hAnsiTheme="minorHAnsi"/>
          <w:b/>
          <w:lang w:val="en-GB"/>
        </w:rPr>
      </w:pPr>
      <w:r>
        <w:rPr>
          <w:rFonts w:asciiTheme="minorHAnsi" w:hAnsiTheme="minorHAnsi"/>
          <w:b/>
          <w:lang w:val="en-GB"/>
        </w:rPr>
        <w:t>8</w:t>
      </w:r>
      <w:r w:rsidR="00A35BC1" w:rsidRPr="007141B1">
        <w:rPr>
          <w:rFonts w:asciiTheme="minorHAnsi" w:hAnsiTheme="minorHAnsi"/>
          <w:b/>
          <w:lang w:val="en-GB"/>
        </w:rPr>
        <w:t>. Biomarker-guided immune stimulation trial</w:t>
      </w:r>
    </w:p>
    <w:p w:rsidR="00A35BC1" w:rsidRPr="007141B1" w:rsidRDefault="00A35BC1" w:rsidP="00851E20">
      <w:pPr>
        <w:spacing w:line="360" w:lineRule="auto"/>
        <w:rPr>
          <w:rFonts w:asciiTheme="minorHAnsi" w:hAnsiTheme="minorHAnsi"/>
          <w:lang w:val="en-GB"/>
        </w:rPr>
      </w:pPr>
      <w:r w:rsidRPr="007141B1">
        <w:rPr>
          <w:rFonts w:asciiTheme="minorHAnsi" w:hAnsiTheme="minorHAnsi"/>
          <w:lang w:val="en-GB"/>
        </w:rPr>
        <w:t xml:space="preserve">There is also an important anti-inflammatory host response in sepsis </w:t>
      </w:r>
      <w:r w:rsidR="004B184E">
        <w:rPr>
          <w:rFonts w:asciiTheme="minorHAnsi" w:hAnsiTheme="minorHAnsi"/>
          <w:lang w:val="en-GB"/>
        </w:rPr>
        <w:t>that</w:t>
      </w:r>
      <w:r w:rsidRPr="007141B1">
        <w:rPr>
          <w:rFonts w:asciiTheme="minorHAnsi" w:hAnsiTheme="minorHAnsi"/>
          <w:lang w:val="en-GB"/>
        </w:rPr>
        <w:t xml:space="preserve"> </w:t>
      </w:r>
      <w:r w:rsidR="004B184E">
        <w:rPr>
          <w:rFonts w:asciiTheme="minorHAnsi" w:hAnsiTheme="minorHAnsi"/>
          <w:lang w:val="en-GB"/>
        </w:rPr>
        <w:t>may</w:t>
      </w:r>
      <w:r w:rsidR="004B184E" w:rsidRPr="007141B1">
        <w:rPr>
          <w:rFonts w:asciiTheme="minorHAnsi" w:hAnsiTheme="minorHAnsi"/>
          <w:lang w:val="en-GB"/>
        </w:rPr>
        <w:t xml:space="preserve"> </w:t>
      </w:r>
      <w:r w:rsidRPr="007141B1">
        <w:rPr>
          <w:rFonts w:asciiTheme="minorHAnsi" w:hAnsiTheme="minorHAnsi"/>
          <w:lang w:val="en-GB"/>
        </w:rPr>
        <w:t>lead to secondary infection and poor outcomes. A recent study in patients with community</w:t>
      </w:r>
      <w:r w:rsidR="004B184E">
        <w:rPr>
          <w:rFonts w:asciiTheme="minorHAnsi" w:hAnsiTheme="minorHAnsi"/>
          <w:lang w:val="en-GB"/>
        </w:rPr>
        <w:t>-</w:t>
      </w:r>
      <w:r w:rsidRPr="007141B1">
        <w:rPr>
          <w:rFonts w:asciiTheme="minorHAnsi" w:hAnsiTheme="minorHAnsi"/>
          <w:lang w:val="en-GB"/>
        </w:rPr>
        <w:t>acquired pneumonia examining gene-expression profiles identified a subgroup of patients who had an immune-suppressed phenotype and higher mortality rate than patients without the immuno-suppression</w:t>
      </w:r>
      <w:r w:rsidR="00BF5F73" w:rsidRPr="007141B1">
        <w:rPr>
          <w:rFonts w:asciiTheme="minorHAnsi" w:hAnsiTheme="minorHAnsi"/>
          <w:lang w:val="en-GB"/>
        </w:rPr>
        <w:t xml:space="preserve"> </w:t>
      </w:r>
      <w:r w:rsidR="00BF5F73" w:rsidRPr="007141B1">
        <w:rPr>
          <w:rFonts w:asciiTheme="minorHAnsi" w:hAnsiTheme="minorHAnsi"/>
          <w:lang w:val="en-GB"/>
        </w:rPr>
        <w:fldChar w:fldCharType="begin"/>
      </w:r>
      <w:r w:rsidR="007E7E7B">
        <w:rPr>
          <w:rFonts w:asciiTheme="minorHAnsi" w:hAnsiTheme="minorHAnsi"/>
          <w:lang w:val="en-GB"/>
        </w:rPr>
        <w:instrText xml:space="preserve"> ADDIN ZOTERO_ITEM CSL_CITATION {"citationID":"u2529jd2u","properties":{"formattedCitation":"[97]","plainCitation":"[97]"},"citationItems":[{"id":154,"uris":["http://zotero.org/users/local/ZaW79YVG/items/MP2FCEEM"],"uri":["http://zotero.org/users/local/ZaW79YVG/items/MP2FCEEM"],"itemData":{"id":154,"type":"article-journal","title":"Genomic landscape of the individual host response and outcomes in sepsis: a prospective cohort study","container-title":"The Lancet. Respiratory Medicine","page":"259-271","volume":"4","issue":"4","source":"PubMed","abstract":"BACKGROUND: Effective targeted therapy for sepsis requires an understanding of the heterogeneity in the individual host response to infection. We investigated this heterogeneity by defining interindividual variation in the transcriptome of patients with sepsis and related this to outcome and genetic diversity.\nMETHODS: We assayed peripheral blood leucocyte global gene expression for a prospective discovery cohort of 265 adult patients admitted to UK intensive care units with sepsis due to community-acquired pneumonia and evidence of organ dysfunction. We then validated our findings in a replication cohort consisting of a further 106 patients. We mapped genomic determinants of variation in gene transcription between patients as expression quantitative trait loci (eQTL).\nFINDINGS: We discovered that following admission to intensive care, transcriptomic analysis of peripheral blood leucocytes defines two distinct sepsis response signatures (SRS1 and SRS2). The presence of SRS1 (detected in 108 [41%] patients in discovery cohort) identifies individuals with an immunosuppressed phenotype that included features of endotoxin tolerance, T-cell exhaustion, and downregulation of human leucocyte antigen (HLA) class II. SRS1 was associated with higher 14 day mortality than was SRS2 (discovery cohort hazard ratio (HR) 2·4, 95% CI 1·3-4·5, p=0·005; validation cohort HR 2·8, 95% CI 1·5-5·1, p=0·0007). We found that a predictive set of seven genes enabled the classification of patients as SRS1 or SRS2. We identified cis-acting and trans-acting eQTL for key immune and metabolic response genes and sepsis response networks. Sepsis eQTL were enriched in endotoxin-induced epigenetic marks and modulated the individual host response to sepsis, including effects specific to SRS group. We identified regulatory genetic variants involving key mediators of gene networks implicated in the hypoxic response and the switch to glycolysis that occurs in sepsis, including HIF1α and mTOR, and mediators of endotoxin tolerance, T-cell activation, and viral defence.\nINTERPRETATION: Our integrated genomics approach advances understanding of heterogeneity in sepsis by defining subgroups of patients with different immune response states and prognoses, as well as revealing the role of underlying genetic variation. Our findings provide new insights into the pathogenesis of sepsis and create opportunities for a precision medicine approach to enable targeted therapeutic intervention to improve sepsis outcomes.\nFUNDING: European Commission, Medical Research Council (UK), and the Wellcome Trust.","DOI":"10.1016/S2213-2600(16)00046-1","ISSN":"2213-2619","note":"PMID: 26917434\nPMCID: PMC4820667","shortTitle":"Genomic landscape of the individual host response and outcomes in sepsis","journalAbbreviation":"Lancet Respir Med","language":"eng","author":[{"family":"Davenport","given":"Emma E."},{"family":"Burnham","given":"Katie L."},{"family":"Radhakrishnan","given":"Jayachandran"},{"family":"Humburg","given":"Peter"},{"family":"Hutton","given":"Paula"},{"family":"Mills","given":"Tara C."},{"family":"Rautanen","given":"Anna"},{"family":"Gordon","given":"Anthony C."},{"family":"Garrard","given":"Christopher"},{"family":"Hill","given":"Adrian V. S."},{"family":"Hinds","given":"Charles J."},{"family":"Knight","given":"Julian C."}],"issued":{"date-parts":[["2016",4]]},"PMID":"26917434","PMCID":"PMC4820667"}}],"schema":"https://github.com/citation-style-language/schema/raw/master/csl-citation.json"} </w:instrText>
      </w:r>
      <w:r w:rsidR="00BF5F73" w:rsidRPr="007141B1">
        <w:rPr>
          <w:rFonts w:asciiTheme="minorHAnsi" w:hAnsiTheme="minorHAnsi"/>
          <w:lang w:val="en-GB"/>
        </w:rPr>
        <w:fldChar w:fldCharType="separate"/>
      </w:r>
      <w:r w:rsidR="007E7E7B" w:rsidRPr="000F5B05">
        <w:rPr>
          <w:rFonts w:ascii="Calibri" w:hAnsi="Calibri" w:cs="Calibri"/>
          <w:lang w:val="en-US"/>
        </w:rPr>
        <w:t>[97]</w:t>
      </w:r>
      <w:r w:rsidR="00BF5F73" w:rsidRPr="007141B1">
        <w:rPr>
          <w:rFonts w:asciiTheme="minorHAnsi" w:hAnsiTheme="minorHAnsi"/>
          <w:lang w:val="en-GB"/>
        </w:rPr>
        <w:fldChar w:fldCharType="end"/>
      </w:r>
      <w:r w:rsidRPr="007141B1">
        <w:rPr>
          <w:rFonts w:asciiTheme="minorHAnsi" w:hAnsiTheme="minorHAnsi"/>
          <w:lang w:val="en-GB"/>
        </w:rPr>
        <w:t xml:space="preserve">. </w:t>
      </w:r>
      <w:r w:rsidR="00B0471A">
        <w:rPr>
          <w:rFonts w:asciiTheme="minorHAnsi" w:hAnsiTheme="minorHAnsi"/>
          <w:lang w:val="en-GB"/>
        </w:rPr>
        <w:t>S</w:t>
      </w:r>
      <w:r w:rsidRPr="007141B1">
        <w:rPr>
          <w:rFonts w:asciiTheme="minorHAnsi" w:hAnsiTheme="minorHAnsi"/>
          <w:lang w:val="en-GB"/>
        </w:rPr>
        <w:t xml:space="preserve">uch immunosuppressed patients </w:t>
      </w:r>
      <w:r w:rsidR="00B0471A">
        <w:rPr>
          <w:rFonts w:asciiTheme="minorHAnsi" w:hAnsiTheme="minorHAnsi"/>
          <w:lang w:val="en-GB"/>
        </w:rPr>
        <w:t>may benefit from</w:t>
      </w:r>
      <w:r w:rsidRPr="007141B1">
        <w:rPr>
          <w:rFonts w:asciiTheme="minorHAnsi" w:hAnsiTheme="minorHAnsi"/>
          <w:lang w:val="en-GB"/>
        </w:rPr>
        <w:t xml:space="preserve"> treat</w:t>
      </w:r>
      <w:r w:rsidR="00B0471A">
        <w:rPr>
          <w:rFonts w:asciiTheme="minorHAnsi" w:hAnsiTheme="minorHAnsi"/>
          <w:lang w:val="en-GB"/>
        </w:rPr>
        <w:t>ment</w:t>
      </w:r>
      <w:r w:rsidRPr="007141B1">
        <w:rPr>
          <w:rFonts w:asciiTheme="minorHAnsi" w:hAnsiTheme="minorHAnsi"/>
          <w:lang w:val="en-GB"/>
        </w:rPr>
        <w:t xml:space="preserve"> with </w:t>
      </w:r>
      <w:proofErr w:type="spellStart"/>
      <w:r w:rsidRPr="007141B1">
        <w:rPr>
          <w:rFonts w:asciiTheme="minorHAnsi" w:hAnsiTheme="minorHAnsi"/>
          <w:lang w:val="en-GB"/>
        </w:rPr>
        <w:t>immunostimulant</w:t>
      </w:r>
      <w:proofErr w:type="spellEnd"/>
      <w:r w:rsidRPr="007141B1">
        <w:rPr>
          <w:rFonts w:asciiTheme="minorHAnsi" w:hAnsiTheme="minorHAnsi"/>
          <w:lang w:val="en-GB"/>
        </w:rPr>
        <w:t xml:space="preserve"> therapies such as IL-7 (NCT02640807), anti-PDL1 and other immuno-stimulating interventions</w:t>
      </w:r>
      <w:r w:rsidR="00BF5F73" w:rsidRPr="007141B1">
        <w:rPr>
          <w:rFonts w:asciiTheme="minorHAnsi" w:hAnsiTheme="minorHAnsi"/>
          <w:lang w:val="en-GB"/>
        </w:rPr>
        <w:t xml:space="preserve"> </w:t>
      </w:r>
      <w:r w:rsidR="00BF5F73" w:rsidRPr="007141B1">
        <w:rPr>
          <w:rFonts w:asciiTheme="minorHAnsi" w:hAnsiTheme="minorHAnsi"/>
          <w:lang w:val="en-GB"/>
        </w:rPr>
        <w:fldChar w:fldCharType="begin"/>
      </w:r>
      <w:r w:rsidR="007E7E7B">
        <w:rPr>
          <w:rFonts w:asciiTheme="minorHAnsi" w:hAnsiTheme="minorHAnsi"/>
          <w:lang w:val="en-GB"/>
        </w:rPr>
        <w:instrText xml:space="preserve"> ADDIN ZOTERO_ITEM CSL_CITATION {"citationID":"4g0sphknd","properties":{"formattedCitation":"[98]","plainCitation":"[98]"},"citationItems":[{"id":156,"uris":["http://zotero.org/users/local/ZaW79YVG/items/5PFF3PFF"],"uri":["http://zotero.org/users/local/ZaW79YVG/items/5PFF3PFF"],"itemData":{"id":156,"type":"article-journal","title":"Immunosuppression in sepsis: a novel understanding of the disorder and a new therapeutic approach","container-title":"The Lancet. Infectious Diseases","page":"260-268","volume":"13","issue":"3","source":"PubMed","abstract":"Failures of highly touted trials have caused experts to call for re-evaluation of the current approach toward sepsis. New research has revealed key pathogenic mechanisms; autopsy results have shown that most patients admitted to intensive care units for treatment of sepsis had unresolved septic foci at post mortem, suggesting that patients were unable to eradicate invading pathogens and were more susceptible to nosocomial organisms, or both. These results suggest that therapies that improve host immunity might increase survival. Additional work showed that cytokine production by splenocytes taken post mortem from patients who died of sepsis is profoundly suppressed, possibly because of so-called T-cell exhaustion-a newly recognised immunosuppressive mechanism that occurs with chronic antigenic stimulation. Results from two clinical trials of biomarker-guided therapeutic drugs that boosted immunity showed promising findings in sepsis. Collectively, these studies emphasise the degree of immunosuppression that occurs in sepsis, and explain why many previous sepsis trials which were directed at blocking inflammatory mediators or pathogen recognition signalling pathways failed. Finally, highly encouraging results from use of the new immunomodulatory molecules interleukin 7 and anti-programmed cell death 1 in infectious disease point the way for possible use in sepsis. We hypothesise that immunoadjuvant therapy represents the next major advance in sepsis.","DOI":"10.1016/S1473-3099(13)70001-X","ISSN":"1474-4457","note":"PMID: 23427891\nPMCID: PMC3798159","shortTitle":"Immunosuppression in sepsis","journalAbbreviation":"Lancet Infect Dis","language":"eng","author":[{"family":"Hotchkiss","given":"Richard S."},{"family":"Monneret","given":"Guillaume"},{"family":"Payen","given":"Didier"}],"issued":{"date-parts":[["2013",3]]},"PMID":"23427891","PMCID":"PMC3798159"}}],"schema":"https://github.com/citation-style-language/schema/raw/master/csl-citation.json"} </w:instrText>
      </w:r>
      <w:r w:rsidR="00BF5F73" w:rsidRPr="007141B1">
        <w:rPr>
          <w:rFonts w:asciiTheme="minorHAnsi" w:hAnsiTheme="minorHAnsi"/>
          <w:lang w:val="en-GB"/>
        </w:rPr>
        <w:fldChar w:fldCharType="separate"/>
      </w:r>
      <w:r w:rsidR="007E7E7B" w:rsidRPr="000F5B05">
        <w:rPr>
          <w:rFonts w:ascii="Calibri" w:hAnsi="Calibri" w:cs="Calibri"/>
          <w:lang w:val="en-US"/>
        </w:rPr>
        <w:t>[98]</w:t>
      </w:r>
      <w:r w:rsidR="00BF5F73" w:rsidRPr="007141B1">
        <w:rPr>
          <w:rFonts w:asciiTheme="minorHAnsi" w:hAnsiTheme="minorHAnsi"/>
          <w:lang w:val="en-GB"/>
        </w:rPr>
        <w:fldChar w:fldCharType="end"/>
      </w:r>
      <w:r w:rsidRPr="007141B1">
        <w:rPr>
          <w:rFonts w:asciiTheme="minorHAnsi" w:hAnsiTheme="minorHAnsi"/>
          <w:lang w:val="en-GB"/>
        </w:rPr>
        <w:t>.</w:t>
      </w:r>
    </w:p>
    <w:p w:rsidR="00A35BC1" w:rsidRPr="007141B1" w:rsidRDefault="00A35BC1" w:rsidP="00851E20">
      <w:pPr>
        <w:spacing w:line="360" w:lineRule="auto"/>
        <w:rPr>
          <w:rFonts w:asciiTheme="minorHAnsi" w:hAnsiTheme="minorHAnsi"/>
          <w:lang w:val="en-GB"/>
        </w:rPr>
      </w:pPr>
      <w:r w:rsidRPr="007141B1">
        <w:rPr>
          <w:rFonts w:asciiTheme="minorHAnsi" w:hAnsiTheme="minorHAnsi"/>
          <w:lang w:val="en-GB"/>
        </w:rPr>
        <w:t xml:space="preserve"> </w:t>
      </w:r>
    </w:p>
    <w:p w:rsidR="00A35BC1" w:rsidRPr="007141B1" w:rsidRDefault="00877B94" w:rsidP="00851E20">
      <w:pPr>
        <w:spacing w:line="360" w:lineRule="auto"/>
        <w:rPr>
          <w:rFonts w:asciiTheme="minorHAnsi" w:hAnsiTheme="minorHAnsi"/>
          <w:b/>
          <w:lang w:val="en-GB"/>
        </w:rPr>
      </w:pPr>
      <w:r w:rsidRPr="007141B1">
        <w:rPr>
          <w:rFonts w:asciiTheme="minorHAnsi" w:hAnsiTheme="minorHAnsi"/>
          <w:b/>
          <w:lang w:val="en-GB"/>
        </w:rPr>
        <w:t>9</w:t>
      </w:r>
      <w:r w:rsidR="00A35BC1" w:rsidRPr="007141B1">
        <w:rPr>
          <w:rFonts w:asciiTheme="minorHAnsi" w:hAnsiTheme="minorHAnsi"/>
          <w:b/>
          <w:lang w:val="en-GB"/>
        </w:rPr>
        <w:t>. The use of machine learning algorithms / computer decision support systems</w:t>
      </w:r>
    </w:p>
    <w:p w:rsidR="00A35BC1" w:rsidRPr="007141B1" w:rsidRDefault="00A35BC1" w:rsidP="00851E20">
      <w:pPr>
        <w:spacing w:line="360" w:lineRule="auto"/>
        <w:rPr>
          <w:rFonts w:asciiTheme="minorHAnsi" w:hAnsiTheme="minorHAnsi"/>
          <w:lang w:val="en-GB"/>
        </w:rPr>
      </w:pPr>
      <w:r w:rsidRPr="007141B1">
        <w:rPr>
          <w:rFonts w:asciiTheme="minorHAnsi" w:hAnsiTheme="minorHAnsi"/>
          <w:lang w:val="en-GB"/>
        </w:rPr>
        <w:t xml:space="preserve">Growing use of electronic health records creates huge databases containing valuable information about </w:t>
      </w:r>
      <w:r w:rsidR="002A5112">
        <w:rPr>
          <w:rFonts w:asciiTheme="minorHAnsi" w:hAnsiTheme="minorHAnsi"/>
          <w:lang w:val="en-GB"/>
        </w:rPr>
        <w:t xml:space="preserve">demographics, altered </w:t>
      </w:r>
      <w:r w:rsidRPr="007141B1">
        <w:rPr>
          <w:rFonts w:asciiTheme="minorHAnsi" w:hAnsiTheme="minorHAnsi"/>
          <w:lang w:val="en-GB"/>
        </w:rPr>
        <w:t xml:space="preserve">pathophysiology and response to </w:t>
      </w:r>
      <w:r w:rsidR="002A5112">
        <w:rPr>
          <w:rFonts w:asciiTheme="minorHAnsi" w:hAnsiTheme="minorHAnsi"/>
          <w:lang w:val="en-GB"/>
        </w:rPr>
        <w:t xml:space="preserve">various </w:t>
      </w:r>
      <w:r w:rsidRPr="007141B1">
        <w:rPr>
          <w:rFonts w:asciiTheme="minorHAnsi" w:hAnsiTheme="minorHAnsi"/>
          <w:lang w:val="en-GB"/>
        </w:rPr>
        <w:t>treatment</w:t>
      </w:r>
      <w:r w:rsidR="002A5112">
        <w:rPr>
          <w:rFonts w:asciiTheme="minorHAnsi" w:hAnsiTheme="minorHAnsi"/>
          <w:lang w:val="en-GB"/>
        </w:rPr>
        <w:t>s</w:t>
      </w:r>
      <w:r w:rsidRPr="007141B1">
        <w:rPr>
          <w:rFonts w:asciiTheme="minorHAnsi" w:hAnsiTheme="minorHAnsi"/>
          <w:lang w:val="en-GB"/>
        </w:rPr>
        <w:t xml:space="preserve"> of sepsis. Machine learning techniques embedded in clinical decision support systems </w:t>
      </w:r>
      <w:r w:rsidR="002A5112">
        <w:rPr>
          <w:rFonts w:asciiTheme="minorHAnsi" w:hAnsiTheme="minorHAnsi"/>
          <w:lang w:val="en-GB"/>
        </w:rPr>
        <w:t>should</w:t>
      </w:r>
      <w:r w:rsidR="002A5112" w:rsidRPr="007141B1">
        <w:rPr>
          <w:rFonts w:asciiTheme="minorHAnsi" w:hAnsiTheme="minorHAnsi"/>
          <w:lang w:val="en-GB"/>
        </w:rPr>
        <w:t xml:space="preserve"> </w:t>
      </w:r>
      <w:r w:rsidRPr="007141B1">
        <w:rPr>
          <w:rFonts w:asciiTheme="minorHAnsi" w:hAnsiTheme="minorHAnsi"/>
          <w:lang w:val="en-GB"/>
        </w:rPr>
        <w:t>be developed and tested to select “optimal” treatments in sepsis using data</w:t>
      </w:r>
      <w:r w:rsidR="00B0471A">
        <w:rPr>
          <w:rFonts w:asciiTheme="minorHAnsi" w:hAnsiTheme="minorHAnsi"/>
          <w:lang w:val="en-GB"/>
        </w:rPr>
        <w:t>-</w:t>
      </w:r>
      <w:r w:rsidRPr="007141B1">
        <w:rPr>
          <w:rFonts w:asciiTheme="minorHAnsi" w:hAnsiTheme="minorHAnsi"/>
          <w:lang w:val="en-GB"/>
        </w:rPr>
        <w:t>driven models</w:t>
      </w:r>
      <w:r w:rsidR="00BF5F73" w:rsidRPr="007141B1">
        <w:rPr>
          <w:rFonts w:asciiTheme="minorHAnsi" w:hAnsiTheme="minorHAnsi"/>
          <w:lang w:val="en-GB"/>
        </w:rPr>
        <w:t xml:space="preserve"> </w:t>
      </w:r>
      <w:r w:rsidR="00BF5F73" w:rsidRPr="007141B1">
        <w:rPr>
          <w:rFonts w:asciiTheme="minorHAnsi" w:hAnsiTheme="minorHAnsi"/>
          <w:lang w:val="en-GB"/>
        </w:rPr>
        <w:fldChar w:fldCharType="begin"/>
      </w:r>
      <w:r w:rsidR="007E7E7B">
        <w:rPr>
          <w:rFonts w:asciiTheme="minorHAnsi" w:hAnsiTheme="minorHAnsi"/>
          <w:lang w:val="en-GB"/>
        </w:rPr>
        <w:instrText xml:space="preserve"> ADDIN ZOTERO_ITEM CSL_CITATION {"citationID":"hgf9b6o8p","properties":{"formattedCitation":"[99]","plainCitation":"[99]"},"citationItems":[{"id":164,"uris":["http://zotero.org/users/local/ZaW79YVG/items/NUNRS7DG"],"uri":["http://zotero.org/users/local/ZaW79YVG/items/NUNRS7DG"],"itemData":{"id":164,"type":"article-journal","title":"From data to optimal decision making: a data-driven, probabilistic machine learning approach to decision support for patients with sepsis","container-title":"JMIR medical informatics","page":"e11","volume":"3","issue":"1","source":"PubMed","abstract":"BACKGROUND: A tantalizing question in medical informatics is how to construct knowledge from heterogeneous datasets, and as an extension, inform clinical decisions. The emergence of large-scale data integration in electronic health records (EHR) presents tremendous opportunities. However, our ability to efficiently extract informed decision support is limited due to the complexity of the clinical states and decision process, missing data and lack of analytical tools to advice based on statistical relationships.\nOBJECTIVE: Development and assessment of a data-driven method that infers the probability distribution of the current state of patients with sepsis, likely trajectories, optimal actions related to antibiotic administration, prediction of mortality and length-of-stay.\nMETHODS: We present a data-driven, probabilistic framework for clinical decision support in sepsis-related cases. We first define states, actions, observations and rewards based on clinical practice, expert knowledge and data representations in an EHR dataset of 1492 patients. We then use Partially Observable Markov Decision Process (POMDP) model to derive the optimal policy based on individual patient trajectories and we evaluate the performance of the model-derived policies in a separate test set. Policy decisions were focused on the type of antibiotic combinations to administer. Multi-class and discriminative classifiers were used to predict mortality and length of stay.\nRESULTS: Data-derived antibiotic administration policies led to a favorable patient outcome in 49% of the cases, versus 37% when the alternative policies were followed (P=1.3e-13). Sensitivity analysis on the model parameters and missing data argue for a highly robust decision support tool that withstands parameter variation and data uncertainty. When the optimal policy was followed, 387 patients (25.9%) have 90% of their transitions to better states and 503 patients (33.7%) patients had 90% of their transitions to worse states (P=4.0e-06), while in the non-policy cases, these numbers are 192 (12.9%) and 764 (51.2%) patients (P=4.6e-117), respectively. Furthermore, the percentage of transitions within a trajectory that lead to a better or better/same state are significantly higher by following the policy than for non-policy cases (605 vs 344 patients, P=8.6e-25). Mortality was predicted with an AUC of 0.7 and 0.82 accuracy in the general case and similar performance was obtained for the inference of the length-of-stay (AUC of 0.69 to 0.73 with accuracies from 0.69 to 0.82).\nCONCLUSIONS: A data-driven model was able to suggest favorable actions, predict mortality and length of stay with high accuracy. This work provides a solid basis for a scalable probabilistic clinical decision support framework for sepsis treatment that can be expanded to other clinically relevant states and actions, as well as a data-driven model that can be adopted in other clinical areas with sufficient training data.","DOI":"10.2196/medinform.3445","note":"PMID: 25710907\nPMCID: PMC4376114","shortTitle":"From data to optimal decision making","journalAbbreviation":"JMIR Med Inform","language":"eng","author":[{"family":"Tsoukalas","given":"Athanasios"},{"family":"Albertson","given":"Timothy"},{"family":"Tagkopoulos","given":"Ilias"}],"issued":{"date-parts":[["2015",2,24]]},"PMID":"25710907","PMCID":"PMC4376114"}}],"schema":"https://github.com/citation-style-language/schema/raw/master/csl-citation.json"} </w:instrText>
      </w:r>
      <w:r w:rsidR="00BF5F73" w:rsidRPr="007141B1">
        <w:rPr>
          <w:rFonts w:asciiTheme="minorHAnsi" w:hAnsiTheme="minorHAnsi"/>
          <w:lang w:val="en-GB"/>
        </w:rPr>
        <w:fldChar w:fldCharType="separate"/>
      </w:r>
      <w:r w:rsidR="007E7E7B" w:rsidRPr="000F5B05">
        <w:rPr>
          <w:rFonts w:ascii="Calibri" w:hAnsi="Calibri" w:cs="Calibri"/>
          <w:lang w:val="en-US"/>
        </w:rPr>
        <w:t>[99]</w:t>
      </w:r>
      <w:r w:rsidR="00BF5F73" w:rsidRPr="007141B1">
        <w:rPr>
          <w:rFonts w:asciiTheme="minorHAnsi" w:hAnsiTheme="minorHAnsi"/>
          <w:lang w:val="en-GB"/>
        </w:rPr>
        <w:fldChar w:fldCharType="end"/>
      </w:r>
      <w:r w:rsidRPr="007141B1">
        <w:rPr>
          <w:rFonts w:asciiTheme="minorHAnsi" w:hAnsiTheme="minorHAnsi"/>
          <w:lang w:val="en-GB"/>
        </w:rPr>
        <w:t xml:space="preserve">. These offer the tantalising prospect of better precision-based decision making for the individual patient (characteristics and disease trajectories) </w:t>
      </w:r>
      <w:r w:rsidR="002A5112">
        <w:rPr>
          <w:rFonts w:asciiTheme="minorHAnsi" w:hAnsiTheme="minorHAnsi"/>
          <w:lang w:val="en-GB"/>
        </w:rPr>
        <w:t>to</w:t>
      </w:r>
      <w:r w:rsidRPr="007141B1">
        <w:rPr>
          <w:rFonts w:asciiTheme="minorHAnsi" w:hAnsiTheme="minorHAnsi"/>
          <w:lang w:val="en-GB"/>
        </w:rPr>
        <w:t xml:space="preserve"> improve outcome. </w:t>
      </w:r>
    </w:p>
    <w:p w:rsidR="00A35BC1" w:rsidRPr="007141B1" w:rsidRDefault="00A35BC1" w:rsidP="00851E20">
      <w:pPr>
        <w:spacing w:line="360" w:lineRule="auto"/>
        <w:rPr>
          <w:rFonts w:asciiTheme="minorHAnsi" w:hAnsiTheme="minorHAnsi"/>
          <w:lang w:val="en-GB"/>
        </w:rPr>
      </w:pPr>
    </w:p>
    <w:p w:rsidR="00A35BC1" w:rsidRPr="007141B1" w:rsidRDefault="00A35BC1" w:rsidP="00851E20">
      <w:pPr>
        <w:spacing w:line="360" w:lineRule="auto"/>
        <w:rPr>
          <w:rFonts w:asciiTheme="minorHAnsi" w:hAnsiTheme="minorHAnsi"/>
          <w:b/>
          <w:lang w:val="en-GB"/>
        </w:rPr>
      </w:pPr>
      <w:r w:rsidRPr="007141B1">
        <w:rPr>
          <w:rFonts w:asciiTheme="minorHAnsi" w:hAnsiTheme="minorHAnsi"/>
          <w:b/>
          <w:lang w:val="en-GB"/>
        </w:rPr>
        <w:t>10. Multi-arm, multi-stage trials of common sepsis therapies – “all in”</w:t>
      </w:r>
    </w:p>
    <w:p w:rsidR="00A35BC1" w:rsidRPr="00E63308" w:rsidRDefault="00A35BC1" w:rsidP="00851E20">
      <w:pPr>
        <w:spacing w:line="360" w:lineRule="auto"/>
        <w:rPr>
          <w:rFonts w:asciiTheme="minorHAnsi" w:hAnsiTheme="minorHAnsi"/>
          <w:lang w:val="en-GB"/>
        </w:rPr>
      </w:pPr>
      <w:r w:rsidRPr="007141B1">
        <w:rPr>
          <w:rFonts w:asciiTheme="minorHAnsi" w:hAnsiTheme="minorHAnsi"/>
          <w:lang w:val="en-GB"/>
        </w:rPr>
        <w:t>This review has highlighted several proposed trials of individual treatments in sepsis. Undoubtedly</w:t>
      </w:r>
      <w:r w:rsidR="00B0471A">
        <w:rPr>
          <w:rFonts w:asciiTheme="minorHAnsi" w:hAnsiTheme="minorHAnsi"/>
          <w:lang w:val="en-GB"/>
        </w:rPr>
        <w:t>,</w:t>
      </w:r>
      <w:r w:rsidRPr="007141B1">
        <w:rPr>
          <w:rFonts w:asciiTheme="minorHAnsi" w:hAnsiTheme="minorHAnsi"/>
          <w:lang w:val="en-GB"/>
        </w:rPr>
        <w:t xml:space="preserve"> there are other new therapies being developed. Furthermore, septic patients require multiple treatments in combination and these interactions also require testing. Running separate RCTs for each therapy and each combination is </w:t>
      </w:r>
      <w:r w:rsidR="003307A5">
        <w:rPr>
          <w:rFonts w:asciiTheme="minorHAnsi" w:hAnsiTheme="minorHAnsi"/>
          <w:lang w:val="en-GB"/>
        </w:rPr>
        <w:t>a massive investment</w:t>
      </w:r>
      <w:r w:rsidRPr="007141B1">
        <w:rPr>
          <w:rFonts w:asciiTheme="minorHAnsi" w:hAnsiTheme="minorHAnsi"/>
          <w:lang w:val="en-GB"/>
        </w:rPr>
        <w:t xml:space="preserve">. The advent of </w:t>
      </w:r>
      <w:r w:rsidRPr="001344F0">
        <w:rPr>
          <w:rFonts w:asciiTheme="minorHAnsi" w:hAnsiTheme="minorHAnsi"/>
          <w:lang w:val="en-GB"/>
        </w:rPr>
        <w:t>long-term platform trials</w:t>
      </w:r>
      <w:r w:rsidRPr="007141B1">
        <w:rPr>
          <w:rFonts w:asciiTheme="minorHAnsi" w:hAnsiTheme="minorHAnsi"/>
          <w:lang w:val="en-GB"/>
        </w:rPr>
        <w:t xml:space="preserve"> with multiple treatment arms and multiple stages, in which treatments may be dropped or </w:t>
      </w:r>
      <w:r w:rsidRPr="00E63308">
        <w:rPr>
          <w:rFonts w:asciiTheme="minorHAnsi" w:hAnsiTheme="minorHAnsi"/>
          <w:lang w:val="en-GB"/>
        </w:rPr>
        <w:lastRenderedPageBreak/>
        <w:t>added</w:t>
      </w:r>
      <w:r w:rsidR="002A5112" w:rsidRPr="00E63308">
        <w:rPr>
          <w:rFonts w:asciiTheme="minorHAnsi" w:hAnsiTheme="minorHAnsi"/>
          <w:lang w:val="en-GB"/>
        </w:rPr>
        <w:t xml:space="preserve"> (optimally by using adaptive trial design)</w:t>
      </w:r>
      <w:r w:rsidRPr="00E63308">
        <w:rPr>
          <w:rFonts w:asciiTheme="minorHAnsi" w:hAnsiTheme="minorHAnsi"/>
          <w:lang w:val="en-GB"/>
        </w:rPr>
        <w:t xml:space="preserve">, has provided </w:t>
      </w:r>
      <w:r w:rsidR="002A5112" w:rsidRPr="00E63308">
        <w:rPr>
          <w:rFonts w:asciiTheme="minorHAnsi" w:hAnsiTheme="minorHAnsi"/>
          <w:lang w:val="en-GB"/>
        </w:rPr>
        <w:t xml:space="preserve">multi-component successes </w:t>
      </w:r>
      <w:r w:rsidRPr="00E63308">
        <w:rPr>
          <w:rFonts w:asciiTheme="minorHAnsi" w:hAnsiTheme="minorHAnsi"/>
          <w:lang w:val="en-GB"/>
        </w:rPr>
        <w:t>within oncology</w:t>
      </w:r>
      <w:r w:rsidR="002A5112" w:rsidRPr="00E63308">
        <w:rPr>
          <w:rFonts w:asciiTheme="minorHAnsi" w:hAnsiTheme="minorHAnsi"/>
          <w:lang w:val="en-GB"/>
        </w:rPr>
        <w:t xml:space="preserve"> </w:t>
      </w:r>
      <w:r w:rsidR="004554A5" w:rsidRPr="00E63308">
        <w:rPr>
          <w:rFonts w:asciiTheme="minorHAnsi" w:hAnsiTheme="minorHAnsi"/>
          <w:lang w:val="en-GB"/>
        </w:rPr>
        <w:fldChar w:fldCharType="begin"/>
      </w:r>
      <w:r w:rsidR="007E7E7B">
        <w:rPr>
          <w:rFonts w:asciiTheme="minorHAnsi" w:hAnsiTheme="minorHAnsi"/>
          <w:lang w:val="en-GB"/>
        </w:rPr>
        <w:instrText xml:space="preserve"> ADDIN ZOTERO_ITEM CSL_CITATION {"citationID":"1u2farkkk3","properties":{"formattedCitation":"[100]","plainCitation":"[100]"},"citationItems":[{"id":166,"uris":["http://zotero.org/users/local/tmXAZSH1/items/F87INHP5"],"uri":["http://zotero.org/users/local/tmXAZSH1/items/F87INHP5"],"itemData":{"id":166,"type":"article-journal","title":"Addition of docetaxel, zoledronic acid, or both to first-line long-term hormone therapy in prostate cancer (STAMPEDE): survival results from an adaptive, multiarm, multistage, platform randomised controlled trial","container-title":"Lancet (London, England)","page":"1163-1177","volume":"387","issue":"10024","source":"PubMed","abstract":"BACKGROUND: Long-term hormone therapy has been the standard of care for advanced prostate cancer since the 1940s. STAMPEDE is a randomised controlled trial using a multiarm, multistage platform design. It recruits men with high-risk, locally advanced, metastatic or recurrent prostate cancer who are starting first-line long-term hormone therapy. We report primary survival results for three research comparisons testing the addition of zoledronic acid, docetaxel, or their combination to standard of care versus standard of care alone.\nMETHODS: Standard of care was hormone therapy for at least 2 years; radiotherapy was encouraged for men with N0M0 disease to November, 2011, then mandated; radiotherapy was optional for men with node-positive non-metastatic (N+M0) disease. Stratified randomisation (via minimisation) allocated men 2:1:1:1 to standard of care only (SOC-only; control), standard of care plus zoledronic acid (SOC + ZA), standard of care plus docetaxel (SOC + Doc), or standard of care with both zoledronic acid and docetaxel (SOC + ZA + Doc). Zoledronic acid (4 mg) was given for six 3-weekly cycles, then 4-weekly until 2 years, and docetaxel (75 mg/m(2)) for six 3-weekly cycles with prednisolone 10 mg daily. There was no blinding to treatment allocation. The primary outcome measure was overall survival. Pairwise comparisons of research versus control had 90% power at 2·5% one-sided α for hazard ratio (HR) 0·75, requiring roughly 400 control arm deaths. Statistical analyses were undertaken with standard log-rank-type methods for time-to-event data, with hazard ratios (HRs) and 95% CIs derived from adjusted Cox models. This trial is registered at ClinicalTrials.gov (NCT00268476) and ControlledTrials.com (ISRCTN78818544).\nFINDINGS: 2962 men were randomly assigned to four groups between Oct 5, 2005, and March 31, 2013. Median age was 65 years (IQR 60-71). 1817 (61%) men had M+ disease, 448 (15%) had N+/X M0, and 697 (24%) had N0M0. 165 (6%) men were previously treated with local therapy, and median prostate-specific antigen was 65 ng/mL (IQR 23-184). Median follow-up was 43 months (IQR 30-60). There were 415 deaths in the control group (347 [84%] prostate cancer). Median overall survival was 71 months (IQR 32 to not reached) for SOC-only, not reached (32 to not reached) for SOC + ZA (HR 0·94, 95% CI 0·79-1·11; p=0·450), 81 months (41 to not reached) for SOC + Doc (0·78, 0·66-0·93; p=0·006), and 76 months (39 to not reached) for SOC + ZA + Doc (0·82, 0·69-0·97; p=0·022). There was no evidence of heterogeneity in treatment effect (for any of the treatments) across prespecified subsets. Grade 3-5 adverse events were reported for 399 (32%) patients receiving SOC, 197 (32%) receiving SOC + ZA, 288 (52%) receiving SOC + Doc, and 269 (52%) receiving SOC + ZA + Doc.\nINTERPRETATION: Zoledronic acid showed no evidence of survival improvement and should not be part of standard of care for this population. Docetaxel chemotherapy, given at the time of long-term hormone therapy initiation, showed evidence of improved survival accompanied by an increase in adverse events. Docetaxel treatment should become part of standard of care for adequately fit men commencing long-term hormone therapy.\nFUNDING: Cancer Research UK, Medical Research Council, Novartis, Sanofi-Aventis, Pfizer, Janssen, Astellas, NIHR Clinical Research Network, Swiss Group for Clinical Cancer Research.","DOI":"10.1016/S0140-6736(15)01037-5","ISSN":"1474-547X","note":"PMID: 26719232\nPMCID: PMC4800035","shortTitle":"Addition of docetaxel, zoledronic acid, or both to first-line long-term hormone therapy in prostate cancer (STAMPEDE)","journalAbbreviation":"Lancet","language":"eng","author":[{"family":"James","given":"Nicholas D."},{"family":"Sydes","given":"Matthew R."},{"family":"Clarke","given":"Noel W."},{"family":"Mason","given":"Malcolm D."},{"family":"Dearnaley","given":"David P."},{"family":"Spears","given":"Melissa R."},{"family":"Ritchie","given":"Alastair W. S."},{"family":"Parker","given":"Christopher C."},{"family":"Russell","given":"J. Martin"},{"family":"Attard","given":"Gerhardt"},{"family":"Bono","given":"Johann","non-dropping-particle":"de"},{"family":"Cross","given":"William"},{"family":"Jones","given":"Rob J."},{"family":"Thalmann","given":"George"},{"family":"Amos","given":"Claire"},{"family":"Matheson","given":"David"},{"family":"Millman","given":"Robin"},{"family":"Alzouebi","given":"Mymoona"},{"family":"Beesley","given":"Sharon"},{"family":"Birtle","given":"Alison J."},{"family":"Brock","given":"Susannah"},{"family":"Cathomas","given":"Richard"},{"family":"Chakraborti","given":"Prabir"},{"family":"Chowdhury","given":"Simon"},{"family":"Cook","given":"Audrey"},{"family":"Elliott","given":"Tony"},{"family":"Gale","given":"Joanna"},{"family":"Gibbs","given":"Stephanie"},{"family":"Graham","given":"John D."},{"family":"Hetherington","given":"John"},{"family":"Hughes","given":"Robert"},{"family":"Laing","given":"Robert"},{"family":"McKinna","given":"Fiona"},{"family":"McLaren","given":"Duncan B."},{"family":"O'Sullivan","given":"Joe M."},{"family":"Parikh","given":"Omi"},{"family":"Peedell","given":"Clive"},{"family":"Protheroe","given":"Andrew"},{"family":"Robinson","given":"Angus J."},{"family":"Srihari","given":"Narayanan"},{"family":"Srinivasan","given":"Rajaguru"},{"family":"Staffurth","given":"John"},{"family":"Sundar","given":"Santhanam"},{"family":"Tolan","given":"Shaun"},{"family":"Tsang","given":"David"},{"family":"Wagstaff","given":"John"},{"family":"Parmar","given":"Mahesh K. B."},{"literal":"STAMPEDE investigators"}],"issued":{"date-parts":[["2016",3,19]]},"PMID":"26719232","PMCID":"PMC4800035"}}],"schema":"https://github.com/citation-style-language/schema/raw/master/csl-citation.json"} </w:instrText>
      </w:r>
      <w:r w:rsidR="004554A5" w:rsidRPr="00E63308">
        <w:rPr>
          <w:rFonts w:asciiTheme="minorHAnsi" w:hAnsiTheme="minorHAnsi"/>
          <w:lang w:val="en-GB"/>
        </w:rPr>
        <w:fldChar w:fldCharType="separate"/>
      </w:r>
      <w:r w:rsidR="007E7E7B" w:rsidRPr="000F5B05">
        <w:rPr>
          <w:rFonts w:ascii="Calibri" w:hAnsi="Calibri" w:cs="Calibri"/>
          <w:lang w:val="en-US"/>
        </w:rPr>
        <w:t>[100]</w:t>
      </w:r>
      <w:r w:rsidR="004554A5" w:rsidRPr="00E63308">
        <w:rPr>
          <w:rFonts w:asciiTheme="minorHAnsi" w:hAnsiTheme="minorHAnsi"/>
          <w:lang w:val="en-GB"/>
        </w:rPr>
        <w:fldChar w:fldCharType="end"/>
      </w:r>
      <w:r w:rsidRPr="00E63308">
        <w:rPr>
          <w:rFonts w:asciiTheme="minorHAnsi" w:hAnsiTheme="minorHAnsi"/>
          <w:lang w:val="en-GB"/>
        </w:rPr>
        <w:t>. Long-term platform trials</w:t>
      </w:r>
      <w:r w:rsidRPr="00E63308" w:rsidDel="00F12DD6">
        <w:rPr>
          <w:rFonts w:asciiTheme="minorHAnsi" w:hAnsiTheme="minorHAnsi"/>
          <w:lang w:val="en-GB"/>
        </w:rPr>
        <w:t xml:space="preserve"> </w:t>
      </w:r>
      <w:r w:rsidRPr="00E63308">
        <w:rPr>
          <w:rFonts w:asciiTheme="minorHAnsi" w:hAnsiTheme="minorHAnsi"/>
          <w:lang w:val="en-GB"/>
        </w:rPr>
        <w:t>should now be set-up for sepsis</w:t>
      </w:r>
      <w:r w:rsidR="003307A5" w:rsidRPr="00E63308">
        <w:rPr>
          <w:rFonts w:asciiTheme="minorHAnsi" w:hAnsiTheme="minorHAnsi"/>
          <w:lang w:val="en-GB"/>
        </w:rPr>
        <w:t xml:space="preserve"> </w:t>
      </w:r>
      <w:r w:rsidR="00D93B3B">
        <w:rPr>
          <w:rFonts w:asciiTheme="minorHAnsi" w:hAnsiTheme="minorHAnsi"/>
          <w:lang w:val="en-GB"/>
        </w:rPr>
        <w:fldChar w:fldCharType="begin"/>
      </w:r>
      <w:r w:rsidR="007E7E7B">
        <w:rPr>
          <w:rFonts w:asciiTheme="minorHAnsi" w:hAnsiTheme="minorHAnsi"/>
          <w:lang w:val="en-GB"/>
        </w:rPr>
        <w:instrText xml:space="preserve"> ADDIN ZOTERO_ITEM CSL_CITATION {"citationID":"fuqci2lme","properties":{"formattedCitation":"[101]","plainCitation":"[101]"},"citationItems":[{"id":191,"uris":["http://zotero.org/users/local/ZaW79YVG/items/QZTC6VNR"],"uri":["http://zotero.org/users/local/ZaW79YVG/items/QZTC6VNR"],"itemData":{"id":191,"type":"article-journal","title":"Fusing Randomized Trials With Big Data: The Key to Self-learning Health Care Systems?","container-title":"JAMA","page":"767-768","volume":"314","issue":"8","source":"PubMed","DOI":"10.1001/jama.2015.7762","ISSN":"1538-3598","note":"PMID: 26305643","shortTitle":"Fusing Randomized Trials With Big Data","journalAbbreviation":"JAMA","language":"eng","author":[{"family":"Angus","given":"Derek C."}],"issued":{"date-parts":[["2015",8,25]]},"PMID":"26305643"}}],"schema":"https://github.com/citation-style-language/schema/raw/master/csl-citation.json"} </w:instrText>
      </w:r>
      <w:r w:rsidR="00D93B3B">
        <w:rPr>
          <w:rFonts w:asciiTheme="minorHAnsi" w:hAnsiTheme="minorHAnsi"/>
          <w:lang w:val="en-GB"/>
        </w:rPr>
        <w:fldChar w:fldCharType="separate"/>
      </w:r>
      <w:r w:rsidR="007E7E7B" w:rsidRPr="000F5B05">
        <w:rPr>
          <w:rFonts w:ascii="Calibri" w:hAnsi="Calibri" w:cs="Calibri"/>
          <w:lang w:val="en-US"/>
        </w:rPr>
        <w:t>[101]</w:t>
      </w:r>
      <w:r w:rsidR="00D93B3B">
        <w:rPr>
          <w:rFonts w:asciiTheme="minorHAnsi" w:hAnsiTheme="minorHAnsi"/>
          <w:lang w:val="en-GB"/>
        </w:rPr>
        <w:fldChar w:fldCharType="end"/>
      </w:r>
      <w:r w:rsidR="00E63308" w:rsidRPr="00E63308">
        <w:rPr>
          <w:rFonts w:asciiTheme="minorHAnsi" w:hAnsiTheme="minorHAnsi"/>
          <w:color w:val="333333"/>
          <w:lang w:val="en-US"/>
        </w:rPr>
        <w:t xml:space="preserve"> </w:t>
      </w:r>
      <w:r w:rsidR="00E63308" w:rsidRPr="00E63308">
        <w:rPr>
          <w:rFonts w:asciiTheme="minorHAnsi" w:hAnsiTheme="minorHAnsi"/>
          <w:lang w:val="en-GB"/>
        </w:rPr>
        <w:t>(Fig. 2)</w:t>
      </w:r>
      <w:r w:rsidR="00E63308">
        <w:rPr>
          <w:rFonts w:asciiTheme="minorHAnsi" w:hAnsiTheme="minorHAnsi"/>
          <w:lang w:val="en-GB"/>
        </w:rPr>
        <w:t>.</w:t>
      </w:r>
    </w:p>
    <w:p w:rsidR="000C4992" w:rsidRPr="007141B1" w:rsidRDefault="000C4992" w:rsidP="00851E20">
      <w:pPr>
        <w:spacing w:after="200" w:line="360" w:lineRule="auto"/>
        <w:rPr>
          <w:rFonts w:asciiTheme="minorHAnsi" w:hAnsiTheme="minorHAnsi"/>
          <w:lang w:val="en-GB"/>
        </w:rPr>
      </w:pPr>
      <w:r w:rsidRPr="007141B1">
        <w:rPr>
          <w:rFonts w:asciiTheme="minorHAnsi" w:hAnsiTheme="minorHAnsi"/>
          <w:lang w:val="en-GB"/>
        </w:rPr>
        <w:br w:type="page"/>
      </w:r>
    </w:p>
    <w:p w:rsidR="000C4992" w:rsidRPr="007141B1" w:rsidRDefault="000C4992" w:rsidP="00851E20">
      <w:pPr>
        <w:spacing w:line="360" w:lineRule="auto"/>
        <w:rPr>
          <w:rFonts w:asciiTheme="minorHAnsi" w:hAnsiTheme="minorHAnsi" w:cs="Arial"/>
          <w:lang w:val="en-GB"/>
        </w:rPr>
      </w:pPr>
      <w:r w:rsidRPr="007141B1">
        <w:rPr>
          <w:rFonts w:asciiTheme="minorHAnsi" w:hAnsiTheme="minorHAnsi" w:cs="Arial"/>
          <w:b/>
          <w:lang w:val="en-GB"/>
        </w:rPr>
        <w:lastRenderedPageBreak/>
        <w:t>COI statement</w:t>
      </w:r>
    </w:p>
    <w:p w:rsidR="00A35BC1" w:rsidRPr="007141B1" w:rsidRDefault="00A35BC1" w:rsidP="00851E20">
      <w:pPr>
        <w:spacing w:line="360" w:lineRule="auto"/>
        <w:rPr>
          <w:rFonts w:asciiTheme="minorHAnsi" w:hAnsiTheme="minorHAnsi"/>
          <w:lang w:val="en-GB"/>
        </w:rPr>
      </w:pPr>
      <w:r w:rsidRPr="007141B1">
        <w:rPr>
          <w:rFonts w:asciiTheme="minorHAnsi" w:hAnsiTheme="minorHAnsi"/>
          <w:lang w:val="en-GB"/>
        </w:rPr>
        <w:t xml:space="preserve">AP is member of the steering committee and national investigator of a vasopressin trial in septic shock sponsored by </w:t>
      </w:r>
      <w:proofErr w:type="spellStart"/>
      <w:r w:rsidRPr="007141B1">
        <w:rPr>
          <w:rFonts w:asciiTheme="minorHAnsi" w:hAnsiTheme="minorHAnsi"/>
          <w:lang w:val="en-GB"/>
        </w:rPr>
        <w:t>Ferring</w:t>
      </w:r>
      <w:proofErr w:type="spellEnd"/>
      <w:r w:rsidRPr="007141B1">
        <w:rPr>
          <w:rFonts w:asciiTheme="minorHAnsi" w:hAnsiTheme="minorHAnsi"/>
          <w:lang w:val="en-GB"/>
        </w:rPr>
        <w:t xml:space="preserve"> Pharmaceuticals; his department is reimbursed for his time. The department also receives research funding from Fresenius </w:t>
      </w:r>
      <w:proofErr w:type="spellStart"/>
      <w:r w:rsidRPr="007141B1">
        <w:rPr>
          <w:rFonts w:asciiTheme="minorHAnsi" w:hAnsiTheme="minorHAnsi"/>
          <w:lang w:val="en-GB"/>
        </w:rPr>
        <w:t>Kabi</w:t>
      </w:r>
      <w:proofErr w:type="spellEnd"/>
      <w:r w:rsidRPr="007141B1">
        <w:rPr>
          <w:rFonts w:asciiTheme="minorHAnsi" w:hAnsiTheme="minorHAnsi"/>
          <w:lang w:val="en-GB"/>
        </w:rPr>
        <w:t xml:space="preserve"> and CSL Behring</w:t>
      </w:r>
      <w:r w:rsidRPr="007141B1">
        <w:rPr>
          <w:rFonts w:asciiTheme="minorHAnsi" w:hAnsiTheme="minorHAnsi" w:cs="Arial"/>
          <w:lang w:val="en-GB"/>
        </w:rPr>
        <w:t>.</w:t>
      </w:r>
    </w:p>
    <w:p w:rsidR="00675F6E" w:rsidRPr="007141B1" w:rsidRDefault="00675F6E" w:rsidP="00675F6E">
      <w:pPr>
        <w:spacing w:before="100" w:beforeAutospacing="1" w:after="100" w:afterAutospacing="1" w:line="360" w:lineRule="auto"/>
        <w:rPr>
          <w:rFonts w:asciiTheme="minorHAnsi" w:hAnsiTheme="minorHAnsi" w:cstheme="minorHAnsi"/>
          <w:bCs/>
          <w:color w:val="000000"/>
          <w:lang w:val="en-GB"/>
        </w:rPr>
      </w:pPr>
      <w:r w:rsidRPr="007141B1">
        <w:rPr>
          <w:rFonts w:asciiTheme="minorHAnsi" w:hAnsiTheme="minorHAnsi" w:cstheme="minorHAnsi"/>
          <w:bCs/>
          <w:color w:val="000000"/>
          <w:lang w:val="en-GB"/>
        </w:rPr>
        <w:t>ACG has received speaker fees from Orion Pharmaceuticals</w:t>
      </w:r>
      <w:r>
        <w:rPr>
          <w:rFonts w:asciiTheme="minorHAnsi" w:hAnsiTheme="minorHAnsi" w:cstheme="minorHAnsi"/>
          <w:bCs/>
          <w:color w:val="000000"/>
          <w:lang w:val="en-GB"/>
        </w:rPr>
        <w:t xml:space="preserve"> and </w:t>
      </w:r>
      <w:proofErr w:type="spellStart"/>
      <w:r>
        <w:rPr>
          <w:rFonts w:asciiTheme="minorHAnsi" w:hAnsiTheme="minorHAnsi" w:cstheme="minorHAnsi"/>
          <w:bCs/>
          <w:color w:val="000000"/>
          <w:lang w:val="en-GB"/>
        </w:rPr>
        <w:t>Amomed</w:t>
      </w:r>
      <w:proofErr w:type="spellEnd"/>
      <w:r w:rsidRPr="007141B1">
        <w:rPr>
          <w:rFonts w:asciiTheme="minorHAnsi" w:hAnsiTheme="minorHAnsi" w:cstheme="minorHAnsi"/>
          <w:bCs/>
          <w:color w:val="000000"/>
          <w:lang w:val="en-GB"/>
        </w:rPr>
        <w:t xml:space="preserve">. He has consulted for </w:t>
      </w:r>
      <w:proofErr w:type="spellStart"/>
      <w:r w:rsidRPr="007141B1">
        <w:rPr>
          <w:rFonts w:asciiTheme="minorHAnsi" w:hAnsiTheme="minorHAnsi" w:cstheme="minorHAnsi"/>
          <w:bCs/>
          <w:color w:val="000000"/>
          <w:lang w:val="en-GB"/>
        </w:rPr>
        <w:t>Ferring</w:t>
      </w:r>
      <w:proofErr w:type="spellEnd"/>
      <w:r w:rsidRPr="007141B1">
        <w:rPr>
          <w:rFonts w:asciiTheme="minorHAnsi" w:hAnsiTheme="minorHAnsi" w:cstheme="minorHAnsi"/>
          <w:bCs/>
          <w:color w:val="000000"/>
          <w:lang w:val="en-GB"/>
        </w:rPr>
        <w:t xml:space="preserve"> Pharmaceuticals, </w:t>
      </w:r>
      <w:proofErr w:type="spellStart"/>
      <w:r w:rsidRPr="007141B1">
        <w:rPr>
          <w:rFonts w:asciiTheme="minorHAnsi" w:hAnsiTheme="minorHAnsi" w:cstheme="minorHAnsi"/>
          <w:bCs/>
          <w:color w:val="000000"/>
          <w:lang w:val="en-GB"/>
        </w:rPr>
        <w:t>Tenax</w:t>
      </w:r>
      <w:proofErr w:type="spellEnd"/>
      <w:r w:rsidRPr="007141B1">
        <w:rPr>
          <w:rFonts w:asciiTheme="minorHAnsi" w:hAnsiTheme="minorHAnsi" w:cstheme="minorHAnsi"/>
          <w:bCs/>
          <w:color w:val="000000"/>
          <w:lang w:val="en-GB"/>
        </w:rPr>
        <w:t xml:space="preserve"> Therapeutics</w:t>
      </w:r>
      <w:r>
        <w:rPr>
          <w:rFonts w:asciiTheme="minorHAnsi" w:hAnsiTheme="minorHAnsi" w:cstheme="minorHAnsi"/>
          <w:bCs/>
          <w:color w:val="000000"/>
          <w:lang w:val="en-GB"/>
        </w:rPr>
        <w:t xml:space="preserve">, </w:t>
      </w:r>
      <w:proofErr w:type="gramStart"/>
      <w:r>
        <w:rPr>
          <w:rFonts w:asciiTheme="minorHAnsi" w:hAnsiTheme="minorHAnsi" w:cstheme="minorHAnsi"/>
          <w:bCs/>
          <w:color w:val="000000"/>
          <w:lang w:val="en-GB"/>
        </w:rPr>
        <w:t>GlaxoSmithKline</w:t>
      </w:r>
      <w:proofErr w:type="gramEnd"/>
      <w:r w:rsidRPr="007141B1">
        <w:rPr>
          <w:rFonts w:asciiTheme="minorHAnsi" w:hAnsiTheme="minorHAnsi" w:cstheme="minorHAnsi"/>
          <w:bCs/>
          <w:color w:val="000000"/>
          <w:lang w:val="en-GB"/>
        </w:rPr>
        <w:t xml:space="preserve"> and received grant support from Orion Pharmaceuticals, </w:t>
      </w:r>
      <w:proofErr w:type="spellStart"/>
      <w:r w:rsidRPr="007141B1">
        <w:rPr>
          <w:rFonts w:asciiTheme="minorHAnsi" w:hAnsiTheme="minorHAnsi" w:cstheme="minorHAnsi"/>
          <w:bCs/>
          <w:color w:val="000000"/>
          <w:lang w:val="en-GB"/>
        </w:rPr>
        <w:t>Tenax</w:t>
      </w:r>
      <w:proofErr w:type="spellEnd"/>
      <w:r w:rsidRPr="007141B1">
        <w:rPr>
          <w:rFonts w:asciiTheme="minorHAnsi" w:hAnsiTheme="minorHAnsi" w:cstheme="minorHAnsi"/>
          <w:bCs/>
          <w:color w:val="000000"/>
          <w:lang w:val="en-GB"/>
        </w:rPr>
        <w:t xml:space="preserve"> Therapeutics and HCA International with funds paid to his institution. He is the Chief Investigator for two NIHR funded trials in septic shock, VANISH – examining vasopressin and </w:t>
      </w:r>
      <w:proofErr w:type="spellStart"/>
      <w:r w:rsidRPr="007141B1">
        <w:rPr>
          <w:rFonts w:asciiTheme="minorHAnsi" w:hAnsiTheme="minorHAnsi" w:cstheme="minorHAnsi"/>
          <w:bCs/>
          <w:color w:val="000000"/>
          <w:lang w:val="en-GB"/>
        </w:rPr>
        <w:t>LeoPARDS</w:t>
      </w:r>
      <w:proofErr w:type="spellEnd"/>
      <w:r w:rsidRPr="007141B1">
        <w:rPr>
          <w:rFonts w:asciiTheme="minorHAnsi" w:hAnsiTheme="minorHAnsi" w:cstheme="minorHAnsi"/>
          <w:bCs/>
          <w:color w:val="000000"/>
          <w:lang w:val="en-GB"/>
        </w:rPr>
        <w:t xml:space="preserve"> – examining </w:t>
      </w:r>
      <w:proofErr w:type="spellStart"/>
      <w:r w:rsidRPr="007141B1">
        <w:rPr>
          <w:rFonts w:asciiTheme="minorHAnsi" w:hAnsiTheme="minorHAnsi" w:cstheme="minorHAnsi"/>
          <w:bCs/>
          <w:color w:val="000000"/>
          <w:lang w:val="en-GB"/>
        </w:rPr>
        <w:t>levosimendan</w:t>
      </w:r>
      <w:proofErr w:type="spellEnd"/>
      <w:r w:rsidRPr="007141B1">
        <w:rPr>
          <w:rFonts w:asciiTheme="minorHAnsi" w:hAnsiTheme="minorHAnsi" w:cstheme="minorHAnsi"/>
          <w:bCs/>
          <w:color w:val="000000"/>
          <w:lang w:val="en-GB"/>
        </w:rPr>
        <w:t>.</w:t>
      </w:r>
      <w:r>
        <w:rPr>
          <w:rFonts w:asciiTheme="minorHAnsi" w:hAnsiTheme="minorHAnsi" w:cstheme="minorHAnsi"/>
          <w:bCs/>
          <w:color w:val="000000"/>
          <w:lang w:val="en-GB"/>
        </w:rPr>
        <w:t xml:space="preserve"> He is supported by an NIHR Research Professorship award.</w:t>
      </w:r>
    </w:p>
    <w:p w:rsidR="004F59BB" w:rsidRPr="007141B1" w:rsidRDefault="004F59BB" w:rsidP="004F59BB">
      <w:pPr>
        <w:spacing w:line="360" w:lineRule="auto"/>
        <w:rPr>
          <w:rFonts w:asciiTheme="minorHAnsi" w:hAnsiTheme="minorHAnsi"/>
          <w:lang w:val="en-GB"/>
        </w:rPr>
      </w:pPr>
      <w:r w:rsidRPr="007141B1">
        <w:rPr>
          <w:rFonts w:asciiTheme="minorHAnsi" w:hAnsiTheme="minorHAnsi"/>
          <w:lang w:val="en-GB"/>
        </w:rPr>
        <w:t xml:space="preserve">DCA has received consulting fees from Abbott, Bayer, Beckman-Coulter, </w:t>
      </w:r>
      <w:proofErr w:type="spellStart"/>
      <w:r w:rsidRPr="007141B1">
        <w:rPr>
          <w:rFonts w:asciiTheme="minorHAnsi" w:hAnsiTheme="minorHAnsi"/>
          <w:lang w:val="en-GB"/>
        </w:rPr>
        <w:t>Biocartis</w:t>
      </w:r>
      <w:proofErr w:type="spellEnd"/>
      <w:r w:rsidRPr="007141B1">
        <w:rPr>
          <w:rFonts w:asciiTheme="minorHAnsi" w:hAnsiTheme="minorHAnsi"/>
          <w:lang w:val="en-GB"/>
        </w:rPr>
        <w:t xml:space="preserve">, </w:t>
      </w:r>
      <w:proofErr w:type="spellStart"/>
      <w:r w:rsidRPr="007141B1">
        <w:rPr>
          <w:rFonts w:asciiTheme="minorHAnsi" w:hAnsiTheme="minorHAnsi"/>
          <w:lang w:val="en-GB"/>
        </w:rPr>
        <w:t>GenMark</w:t>
      </w:r>
      <w:proofErr w:type="spellEnd"/>
      <w:r w:rsidRPr="007141B1">
        <w:rPr>
          <w:rFonts w:asciiTheme="minorHAnsi" w:hAnsiTheme="minorHAnsi"/>
          <w:lang w:val="en-GB"/>
        </w:rPr>
        <w:t xml:space="preserve">, GlaxoSmithKline, and </w:t>
      </w:r>
      <w:proofErr w:type="spellStart"/>
      <w:r w:rsidRPr="007141B1">
        <w:rPr>
          <w:rFonts w:asciiTheme="minorHAnsi" w:hAnsiTheme="minorHAnsi"/>
          <w:lang w:val="en-GB"/>
        </w:rPr>
        <w:t>Sobi</w:t>
      </w:r>
      <w:proofErr w:type="spellEnd"/>
      <w:r w:rsidRPr="007141B1">
        <w:rPr>
          <w:rFonts w:asciiTheme="minorHAnsi" w:hAnsiTheme="minorHAnsi"/>
          <w:lang w:val="en-GB"/>
        </w:rPr>
        <w:t xml:space="preserve"> for advice on sepsis trial design and is paid by </w:t>
      </w:r>
      <w:proofErr w:type="spellStart"/>
      <w:r w:rsidRPr="007141B1">
        <w:rPr>
          <w:rFonts w:asciiTheme="minorHAnsi" w:hAnsiTheme="minorHAnsi"/>
          <w:lang w:val="en-GB"/>
        </w:rPr>
        <w:t>Ferring</w:t>
      </w:r>
      <w:proofErr w:type="spellEnd"/>
      <w:r w:rsidRPr="007141B1">
        <w:rPr>
          <w:rFonts w:asciiTheme="minorHAnsi" w:hAnsiTheme="minorHAnsi"/>
          <w:lang w:val="en-GB"/>
        </w:rPr>
        <w:t xml:space="preserve"> for his participation on the Trial Steering Committee of the Sepsis-ACT </w:t>
      </w:r>
      <w:proofErr w:type="spellStart"/>
      <w:r w:rsidRPr="007141B1">
        <w:rPr>
          <w:rFonts w:asciiTheme="minorHAnsi" w:hAnsiTheme="minorHAnsi"/>
          <w:lang w:val="en-GB"/>
        </w:rPr>
        <w:t>multicenter</w:t>
      </w:r>
      <w:proofErr w:type="spellEnd"/>
      <w:r w:rsidRPr="007141B1">
        <w:rPr>
          <w:rFonts w:asciiTheme="minorHAnsi" w:hAnsiTheme="minorHAnsi"/>
          <w:lang w:val="en-GB"/>
        </w:rPr>
        <w:t xml:space="preserve"> trial of selepressin for septic shock.</w:t>
      </w:r>
    </w:p>
    <w:p w:rsidR="004F59BB" w:rsidRPr="007141B1" w:rsidRDefault="004F59BB" w:rsidP="004F59BB">
      <w:pPr>
        <w:spacing w:line="360" w:lineRule="auto"/>
        <w:rPr>
          <w:rFonts w:asciiTheme="minorHAnsi" w:hAnsiTheme="minorHAnsi"/>
          <w:lang w:val="en-GB"/>
        </w:rPr>
      </w:pPr>
    </w:p>
    <w:p w:rsidR="00E26721" w:rsidRPr="007141B1" w:rsidRDefault="00A35BC1" w:rsidP="004F59BB">
      <w:pPr>
        <w:spacing w:line="360" w:lineRule="auto"/>
        <w:rPr>
          <w:rFonts w:asciiTheme="minorHAnsi" w:hAnsiTheme="minorHAnsi" w:cs="Arial"/>
          <w:lang w:val="en-GB"/>
        </w:rPr>
      </w:pPr>
      <w:proofErr w:type="spellStart"/>
      <w:r w:rsidRPr="007141B1">
        <w:rPr>
          <w:rFonts w:asciiTheme="minorHAnsi" w:hAnsiTheme="minorHAnsi"/>
          <w:lang w:val="en-GB"/>
        </w:rPr>
        <w:t>JMa</w:t>
      </w:r>
      <w:proofErr w:type="spellEnd"/>
      <w:r w:rsidRPr="007141B1">
        <w:rPr>
          <w:rFonts w:asciiTheme="minorHAnsi" w:hAnsiTheme="minorHAnsi"/>
          <w:lang w:val="en-GB"/>
        </w:rPr>
        <w:t xml:space="preserve"> is the chair of </w:t>
      </w:r>
      <w:proofErr w:type="spellStart"/>
      <w:r w:rsidRPr="007141B1">
        <w:rPr>
          <w:rFonts w:asciiTheme="minorHAnsi" w:hAnsiTheme="minorHAnsi"/>
          <w:lang w:val="en-GB"/>
        </w:rPr>
        <w:t>InFACT</w:t>
      </w:r>
      <w:proofErr w:type="spellEnd"/>
      <w:r w:rsidRPr="007141B1">
        <w:rPr>
          <w:rFonts w:asciiTheme="minorHAnsi" w:hAnsiTheme="minorHAnsi"/>
          <w:lang w:val="en-GB"/>
        </w:rPr>
        <w:t>, a DSMB member for AK Pharma and a consultant for Regeneron Therapeutics</w:t>
      </w:r>
      <w:r w:rsidR="00E30963">
        <w:rPr>
          <w:rFonts w:asciiTheme="minorHAnsi" w:hAnsiTheme="minorHAnsi"/>
          <w:lang w:val="en-GB"/>
        </w:rPr>
        <w:t xml:space="preserve"> and Bristol-Myers Squibb.</w:t>
      </w:r>
    </w:p>
    <w:p w:rsidR="00E26721" w:rsidRPr="007141B1" w:rsidRDefault="00E26721" w:rsidP="00851E20">
      <w:pPr>
        <w:spacing w:line="360" w:lineRule="auto"/>
        <w:rPr>
          <w:rFonts w:asciiTheme="minorHAnsi" w:hAnsiTheme="minorHAnsi" w:cs="Arial"/>
          <w:lang w:val="en-GB"/>
        </w:rPr>
      </w:pPr>
    </w:p>
    <w:p w:rsidR="00254D65" w:rsidRPr="007141B1" w:rsidRDefault="000C4992" w:rsidP="00851E20">
      <w:pPr>
        <w:spacing w:line="360" w:lineRule="auto"/>
        <w:rPr>
          <w:rFonts w:asciiTheme="minorHAnsi" w:hAnsiTheme="minorHAnsi" w:cs="Arial"/>
          <w:lang w:val="en-GB"/>
        </w:rPr>
      </w:pPr>
      <w:proofErr w:type="spellStart"/>
      <w:r w:rsidRPr="007141B1">
        <w:rPr>
          <w:rFonts w:asciiTheme="minorHAnsi" w:hAnsiTheme="minorHAnsi" w:cs="Arial"/>
          <w:lang w:val="en-GB"/>
        </w:rPr>
        <w:t>JM</w:t>
      </w:r>
      <w:r w:rsidR="00A35BC1" w:rsidRPr="007141B1">
        <w:rPr>
          <w:rFonts w:asciiTheme="minorHAnsi" w:hAnsiTheme="minorHAnsi" w:cs="Arial"/>
          <w:lang w:val="en-GB"/>
        </w:rPr>
        <w:t>y</w:t>
      </w:r>
      <w:proofErr w:type="spellEnd"/>
      <w:r w:rsidRPr="007141B1">
        <w:rPr>
          <w:rFonts w:asciiTheme="minorHAnsi" w:hAnsiTheme="minorHAnsi" w:cs="Arial"/>
          <w:lang w:val="en-GB"/>
        </w:rPr>
        <w:t xml:space="preserve"> was the principal investigator of the CHEST trial; his institution, the George Institute for Global Health, has received unrestricted grant funding from Fresenius </w:t>
      </w:r>
      <w:proofErr w:type="spellStart"/>
      <w:r w:rsidRPr="007141B1">
        <w:rPr>
          <w:rFonts w:asciiTheme="minorHAnsi" w:hAnsiTheme="minorHAnsi" w:cs="Arial"/>
          <w:lang w:val="en-GB"/>
        </w:rPr>
        <w:t>Kabi</w:t>
      </w:r>
      <w:proofErr w:type="spellEnd"/>
      <w:r w:rsidRPr="007141B1">
        <w:rPr>
          <w:rFonts w:asciiTheme="minorHAnsi" w:hAnsiTheme="minorHAnsi" w:cs="Arial"/>
          <w:lang w:val="en-GB"/>
        </w:rPr>
        <w:t xml:space="preserve"> and Baxter Healthcare in relation to fluid resuscitation research; he is supported by a Practitioner Fellowship from the National Health and Medical Research Council of Australia.</w:t>
      </w:r>
    </w:p>
    <w:p w:rsidR="00EC239F" w:rsidRPr="007141B1" w:rsidRDefault="00EC239F" w:rsidP="00851E20">
      <w:pPr>
        <w:spacing w:line="360" w:lineRule="auto"/>
        <w:rPr>
          <w:rFonts w:asciiTheme="minorHAnsi" w:hAnsiTheme="minorHAnsi" w:cs="Arial"/>
          <w:lang w:val="en-GB"/>
        </w:rPr>
      </w:pPr>
    </w:p>
    <w:p w:rsidR="00E26721" w:rsidRDefault="00EC239F" w:rsidP="00E26721">
      <w:pPr>
        <w:spacing w:line="360" w:lineRule="auto"/>
        <w:rPr>
          <w:rFonts w:asciiTheme="minorHAnsi" w:hAnsiTheme="minorHAnsi"/>
          <w:lang w:val="en-GB"/>
        </w:rPr>
      </w:pPr>
      <w:r w:rsidRPr="007141B1">
        <w:rPr>
          <w:rFonts w:asciiTheme="minorHAnsi" w:hAnsiTheme="minorHAnsi" w:cstheme="minorHAnsi"/>
          <w:bCs/>
          <w:color w:val="000000"/>
          <w:lang w:val="en-GB"/>
        </w:rPr>
        <w:t>JR</w:t>
      </w:r>
      <w:r w:rsidRPr="007141B1">
        <w:rPr>
          <w:rFonts w:asciiTheme="minorHAnsi" w:hAnsiTheme="minorHAnsi"/>
          <w:lang w:val="en-GB"/>
        </w:rPr>
        <w:t xml:space="preserve"> reports patents owned by the University </w:t>
      </w:r>
      <w:proofErr w:type="gramStart"/>
      <w:r w:rsidRPr="007141B1">
        <w:rPr>
          <w:rFonts w:asciiTheme="minorHAnsi" w:hAnsiTheme="minorHAnsi"/>
          <w:lang w:val="en-GB"/>
        </w:rPr>
        <w:t>of</w:t>
      </w:r>
      <w:proofErr w:type="gramEnd"/>
      <w:r w:rsidRPr="007141B1">
        <w:rPr>
          <w:rFonts w:asciiTheme="minorHAnsi" w:hAnsiTheme="minorHAnsi"/>
          <w:lang w:val="en-GB"/>
        </w:rPr>
        <w:t xml:space="preserve"> British Columbia (UBC) that are related to PCSK9 inhibitor (s) and sepsis and related to the use of vasopressin in septic shock. JR is an inventor on these patents. JR is a founder, Director and shareholder in </w:t>
      </w:r>
      <w:proofErr w:type="spellStart"/>
      <w:r w:rsidRPr="007141B1">
        <w:rPr>
          <w:rFonts w:asciiTheme="minorHAnsi" w:hAnsiTheme="minorHAnsi"/>
          <w:lang w:val="en-GB"/>
        </w:rPr>
        <w:t>Cyon</w:t>
      </w:r>
      <w:proofErr w:type="spellEnd"/>
      <w:r w:rsidRPr="007141B1">
        <w:rPr>
          <w:rFonts w:asciiTheme="minorHAnsi" w:hAnsiTheme="minorHAnsi"/>
          <w:lang w:val="en-GB"/>
        </w:rPr>
        <w:t xml:space="preserve"> Therapeutics Inc. (developing a sepsis therapy). </w:t>
      </w:r>
      <w:proofErr w:type="spellStart"/>
      <w:r w:rsidRPr="007141B1">
        <w:rPr>
          <w:rFonts w:asciiTheme="minorHAnsi" w:hAnsiTheme="minorHAnsi"/>
          <w:lang w:val="en-GB"/>
        </w:rPr>
        <w:t>Dr.</w:t>
      </w:r>
      <w:proofErr w:type="spellEnd"/>
      <w:r w:rsidRPr="007141B1">
        <w:rPr>
          <w:rFonts w:asciiTheme="minorHAnsi" w:hAnsiTheme="minorHAnsi"/>
          <w:lang w:val="en-GB"/>
        </w:rPr>
        <w:t xml:space="preserve"> Russell has share options in Leading Biosciences Inc. JR is a shareholder in Molecular You Corp. JR reports receiving consulting fees from Cubist Pharmaceuticals (now owned by Merck; formerly was Trius Pharmaceuticals; developing antibiotics), </w:t>
      </w:r>
      <w:proofErr w:type="spellStart"/>
      <w:r w:rsidRPr="007141B1">
        <w:rPr>
          <w:rFonts w:asciiTheme="minorHAnsi" w:hAnsiTheme="minorHAnsi"/>
          <w:lang w:val="en-GB"/>
        </w:rPr>
        <w:t>Ferring</w:t>
      </w:r>
      <w:proofErr w:type="spellEnd"/>
      <w:r w:rsidRPr="007141B1">
        <w:rPr>
          <w:rFonts w:asciiTheme="minorHAnsi" w:hAnsiTheme="minorHAnsi"/>
          <w:lang w:val="en-GB"/>
        </w:rPr>
        <w:t xml:space="preserve"> Pharmaceuticals </w:t>
      </w:r>
      <w:r w:rsidRPr="007141B1">
        <w:rPr>
          <w:rFonts w:asciiTheme="minorHAnsi" w:hAnsiTheme="minorHAnsi"/>
          <w:lang w:val="en-GB"/>
        </w:rPr>
        <w:lastRenderedPageBreak/>
        <w:t xml:space="preserve">(manufactures vasopressin and is developing selepressin), </w:t>
      </w:r>
      <w:proofErr w:type="spellStart"/>
      <w:r w:rsidRPr="007141B1">
        <w:rPr>
          <w:rFonts w:asciiTheme="minorHAnsi" w:hAnsiTheme="minorHAnsi"/>
          <w:lang w:val="en-GB"/>
        </w:rPr>
        <w:t>Grifols</w:t>
      </w:r>
      <w:proofErr w:type="spellEnd"/>
      <w:r w:rsidRPr="007141B1">
        <w:rPr>
          <w:rFonts w:asciiTheme="minorHAnsi" w:hAnsiTheme="minorHAnsi"/>
          <w:lang w:val="en-GB"/>
        </w:rPr>
        <w:t xml:space="preserve"> (sells albumin), La Jolla Pharmaceuticals (developing angiotensin II; JR chairs the DSMB of a trial of angiotensin II), </w:t>
      </w:r>
      <w:proofErr w:type="spellStart"/>
      <w:r w:rsidRPr="007141B1">
        <w:rPr>
          <w:rFonts w:asciiTheme="minorHAnsi" w:hAnsiTheme="minorHAnsi"/>
          <w:lang w:val="en-GB"/>
        </w:rPr>
        <w:t>CytoVale</w:t>
      </w:r>
      <w:proofErr w:type="spellEnd"/>
      <w:r w:rsidRPr="007141B1">
        <w:rPr>
          <w:rFonts w:asciiTheme="minorHAnsi" w:hAnsiTheme="minorHAnsi"/>
          <w:lang w:val="en-GB"/>
        </w:rPr>
        <w:t xml:space="preserve"> Inc. (developing a sepsis diagnostic), and Asahi </w:t>
      </w:r>
      <w:proofErr w:type="spellStart"/>
      <w:r w:rsidRPr="007141B1">
        <w:rPr>
          <w:rFonts w:asciiTheme="minorHAnsi" w:hAnsiTheme="minorHAnsi"/>
          <w:lang w:val="en-GB"/>
        </w:rPr>
        <w:t>Kesai</w:t>
      </w:r>
      <w:proofErr w:type="spellEnd"/>
      <w:r w:rsidRPr="007141B1">
        <w:rPr>
          <w:rFonts w:asciiTheme="minorHAnsi" w:hAnsiTheme="minorHAnsi"/>
          <w:lang w:val="en-GB"/>
        </w:rPr>
        <w:t xml:space="preserve"> Pharmaceuticals of America (AKPA)(developing recombinant </w:t>
      </w:r>
      <w:proofErr w:type="spellStart"/>
      <w:r w:rsidRPr="007141B1">
        <w:rPr>
          <w:rFonts w:asciiTheme="minorHAnsi" w:hAnsiTheme="minorHAnsi"/>
          <w:lang w:val="en-GB"/>
        </w:rPr>
        <w:t>thrombomodulin</w:t>
      </w:r>
      <w:proofErr w:type="spellEnd"/>
      <w:r w:rsidRPr="007141B1">
        <w:rPr>
          <w:rFonts w:asciiTheme="minorHAnsi" w:hAnsiTheme="minorHAnsi"/>
          <w:lang w:val="en-GB"/>
        </w:rPr>
        <w:t xml:space="preserve">). JR reports having received grant support from </w:t>
      </w:r>
      <w:proofErr w:type="spellStart"/>
      <w:r w:rsidRPr="007141B1">
        <w:rPr>
          <w:rFonts w:asciiTheme="minorHAnsi" w:hAnsiTheme="minorHAnsi"/>
          <w:lang w:val="en-GB"/>
        </w:rPr>
        <w:t>Ferring</w:t>
      </w:r>
      <w:proofErr w:type="spellEnd"/>
      <w:r w:rsidRPr="007141B1">
        <w:rPr>
          <w:rFonts w:asciiTheme="minorHAnsi" w:hAnsiTheme="minorHAnsi"/>
          <w:lang w:val="en-GB"/>
        </w:rPr>
        <w:t xml:space="preserve"> Pharmaceuticals that was provided to and administered by UBC.</w:t>
      </w:r>
    </w:p>
    <w:p w:rsidR="0037580D" w:rsidRDefault="0037580D" w:rsidP="00E26721">
      <w:pPr>
        <w:spacing w:line="360" w:lineRule="auto"/>
        <w:rPr>
          <w:rFonts w:asciiTheme="minorHAnsi" w:hAnsiTheme="minorHAnsi"/>
          <w:lang w:val="en-GB"/>
        </w:rPr>
      </w:pPr>
    </w:p>
    <w:p w:rsidR="0037580D" w:rsidRPr="007141B1" w:rsidRDefault="0037580D" w:rsidP="00E26721">
      <w:pPr>
        <w:spacing w:line="360" w:lineRule="auto"/>
        <w:rPr>
          <w:rFonts w:asciiTheme="minorHAnsi" w:hAnsiTheme="minorHAnsi"/>
          <w:lang w:val="en-GB"/>
        </w:rPr>
      </w:pPr>
      <w:r>
        <w:rPr>
          <w:rFonts w:asciiTheme="minorHAnsi" w:hAnsiTheme="minorHAnsi"/>
          <w:lang w:val="en-GB"/>
        </w:rPr>
        <w:t xml:space="preserve">MSH acknowledges the support from </w:t>
      </w:r>
      <w:r w:rsidRPr="0063050D">
        <w:rPr>
          <w:rFonts w:asciiTheme="minorHAnsi" w:hAnsiTheme="minorHAnsi"/>
          <w:lang w:val="en-GB"/>
        </w:rPr>
        <w:t>National Institute for Health Research Clinician Scientist Award</w:t>
      </w:r>
      <w:r w:rsidR="00911CFB">
        <w:rPr>
          <w:rFonts w:asciiTheme="minorHAnsi" w:hAnsiTheme="minorHAnsi"/>
          <w:lang w:val="en-GB"/>
        </w:rPr>
        <w:t xml:space="preserve"> </w:t>
      </w:r>
      <w:r w:rsidR="00911CFB" w:rsidRPr="00E63308">
        <w:rPr>
          <w:rFonts w:asciiTheme="minorHAnsi" w:hAnsiTheme="minorHAnsi"/>
          <w:lang w:val="en-US"/>
        </w:rPr>
        <w:t>(CS-2016-16-011)</w:t>
      </w:r>
      <w:r w:rsidRPr="00E63308">
        <w:rPr>
          <w:rFonts w:asciiTheme="minorHAnsi" w:hAnsiTheme="minorHAnsi"/>
          <w:lang w:val="en-GB"/>
        </w:rPr>
        <w:t>.</w:t>
      </w:r>
      <w:r w:rsidRPr="0063050D">
        <w:rPr>
          <w:rFonts w:asciiTheme="minorHAnsi" w:hAnsiTheme="minorHAnsi"/>
          <w:lang w:val="en-GB"/>
        </w:rPr>
        <w:t xml:space="preserve"> The views expressed in this publication are those of the author(s) and not necessarily those of the NHS, the National Institute for Health Research or the Department of Health.</w:t>
      </w:r>
    </w:p>
    <w:p w:rsidR="00E26721" w:rsidRPr="007141B1" w:rsidRDefault="00E26721" w:rsidP="00E26721">
      <w:pPr>
        <w:spacing w:line="360" w:lineRule="auto"/>
        <w:rPr>
          <w:rFonts w:asciiTheme="minorHAnsi" w:hAnsiTheme="minorHAnsi"/>
          <w:lang w:val="en-GB"/>
        </w:rPr>
      </w:pPr>
    </w:p>
    <w:p w:rsidR="00E26721" w:rsidRPr="007141B1" w:rsidRDefault="00E26721" w:rsidP="00E26721">
      <w:pPr>
        <w:spacing w:line="360" w:lineRule="auto"/>
        <w:rPr>
          <w:rFonts w:asciiTheme="minorHAnsi" w:hAnsiTheme="minorHAnsi"/>
          <w:lang w:val="en-GB"/>
        </w:rPr>
      </w:pPr>
      <w:r w:rsidRPr="007141B1">
        <w:rPr>
          <w:rFonts w:asciiTheme="minorHAnsi" w:hAnsiTheme="minorHAnsi" w:cstheme="minorHAnsi"/>
          <w:bCs/>
          <w:color w:val="000000"/>
          <w:lang w:val="en-GB"/>
        </w:rPr>
        <w:t xml:space="preserve">MS is a co-investigator of the UK Department of Health-funded </w:t>
      </w:r>
      <w:proofErr w:type="spellStart"/>
      <w:r w:rsidRPr="007141B1">
        <w:rPr>
          <w:rFonts w:asciiTheme="minorHAnsi" w:hAnsiTheme="minorHAnsi" w:cstheme="minorHAnsi"/>
          <w:bCs/>
          <w:color w:val="000000"/>
          <w:lang w:val="en-GB"/>
        </w:rPr>
        <w:t>LeoPARDs</w:t>
      </w:r>
      <w:proofErr w:type="spellEnd"/>
      <w:r w:rsidRPr="007141B1">
        <w:rPr>
          <w:rFonts w:asciiTheme="minorHAnsi" w:hAnsiTheme="minorHAnsi" w:cstheme="minorHAnsi"/>
          <w:bCs/>
          <w:color w:val="000000"/>
          <w:lang w:val="en-GB"/>
        </w:rPr>
        <w:t xml:space="preserve"> trial </w:t>
      </w:r>
      <w:r w:rsidR="00904DDA">
        <w:rPr>
          <w:rFonts w:asciiTheme="minorHAnsi" w:hAnsiTheme="minorHAnsi" w:cstheme="minorHAnsi"/>
          <w:bCs/>
          <w:color w:val="000000"/>
          <w:lang w:val="en-GB"/>
        </w:rPr>
        <w:t>(</w:t>
      </w:r>
      <w:proofErr w:type="spellStart"/>
      <w:r w:rsidRPr="007141B1">
        <w:rPr>
          <w:rFonts w:asciiTheme="minorHAnsi" w:hAnsiTheme="minorHAnsi" w:cstheme="minorHAnsi"/>
          <w:bCs/>
          <w:color w:val="000000"/>
          <w:lang w:val="en-GB"/>
        </w:rPr>
        <w:t>levosimendan</w:t>
      </w:r>
      <w:proofErr w:type="spellEnd"/>
      <w:r w:rsidRPr="007141B1">
        <w:rPr>
          <w:rFonts w:asciiTheme="minorHAnsi" w:hAnsiTheme="minorHAnsi" w:cstheme="minorHAnsi"/>
          <w:bCs/>
          <w:color w:val="000000"/>
          <w:lang w:val="en-GB"/>
        </w:rPr>
        <w:t xml:space="preserve"> in septic shock</w:t>
      </w:r>
      <w:r w:rsidR="00904DDA">
        <w:rPr>
          <w:rFonts w:asciiTheme="minorHAnsi" w:hAnsiTheme="minorHAnsi" w:cstheme="minorHAnsi"/>
          <w:bCs/>
          <w:color w:val="000000"/>
          <w:lang w:val="en-GB"/>
        </w:rPr>
        <w:t>)</w:t>
      </w:r>
      <w:proofErr w:type="gramStart"/>
      <w:r w:rsidRPr="007141B1">
        <w:rPr>
          <w:rFonts w:asciiTheme="minorHAnsi" w:hAnsiTheme="minorHAnsi" w:cstheme="minorHAnsi"/>
          <w:bCs/>
          <w:color w:val="000000"/>
          <w:lang w:val="en-GB"/>
        </w:rPr>
        <w:t>,</w:t>
      </w:r>
      <w:proofErr w:type="gramEnd"/>
      <w:r w:rsidR="00B0471A">
        <w:rPr>
          <w:rFonts w:asciiTheme="minorHAnsi" w:hAnsiTheme="minorHAnsi" w:cstheme="minorHAnsi"/>
          <w:bCs/>
          <w:color w:val="000000"/>
          <w:lang w:val="en-GB"/>
        </w:rPr>
        <w:t xml:space="preserve"> ADAPT trial</w:t>
      </w:r>
      <w:r w:rsidRPr="007141B1">
        <w:rPr>
          <w:rFonts w:asciiTheme="minorHAnsi" w:hAnsiTheme="minorHAnsi" w:cstheme="minorHAnsi"/>
          <w:bCs/>
          <w:color w:val="000000"/>
          <w:lang w:val="en-GB"/>
        </w:rPr>
        <w:t xml:space="preserve"> </w:t>
      </w:r>
      <w:r w:rsidR="00B0471A">
        <w:rPr>
          <w:rFonts w:asciiTheme="minorHAnsi" w:hAnsiTheme="minorHAnsi" w:cstheme="minorHAnsi"/>
          <w:bCs/>
          <w:color w:val="000000"/>
          <w:lang w:val="en-GB"/>
        </w:rPr>
        <w:t>(comparing biomarkers) and STRESS-L (beta-blockade in septic shock). He is</w:t>
      </w:r>
      <w:r w:rsidR="00B0471A" w:rsidRPr="007141B1">
        <w:rPr>
          <w:rFonts w:asciiTheme="minorHAnsi" w:hAnsiTheme="minorHAnsi" w:cstheme="minorHAnsi"/>
          <w:bCs/>
          <w:color w:val="000000"/>
          <w:lang w:val="en-GB"/>
        </w:rPr>
        <w:t xml:space="preserve"> </w:t>
      </w:r>
      <w:r w:rsidRPr="007141B1">
        <w:rPr>
          <w:rFonts w:asciiTheme="minorHAnsi" w:hAnsiTheme="minorHAnsi" w:cstheme="minorHAnsi"/>
          <w:bCs/>
          <w:color w:val="000000"/>
          <w:lang w:val="en-GB"/>
        </w:rPr>
        <w:t>Clinical PI of a multicentre sepsis biomarker study conducted by the UK Ministry of Defence (DSTL)</w:t>
      </w:r>
      <w:r w:rsidR="00B0471A">
        <w:rPr>
          <w:rFonts w:asciiTheme="minorHAnsi" w:hAnsiTheme="minorHAnsi" w:cstheme="minorHAnsi"/>
          <w:bCs/>
          <w:color w:val="000000"/>
          <w:lang w:val="en-GB"/>
        </w:rPr>
        <w:t>,</w:t>
      </w:r>
      <w:r w:rsidR="00904DDA">
        <w:rPr>
          <w:rFonts w:asciiTheme="minorHAnsi" w:hAnsiTheme="minorHAnsi" w:cstheme="minorHAnsi"/>
          <w:bCs/>
          <w:color w:val="000000"/>
          <w:lang w:val="en-GB"/>
        </w:rPr>
        <w:t xml:space="preserve"> </w:t>
      </w:r>
      <w:r w:rsidR="008B3B97">
        <w:rPr>
          <w:rFonts w:asciiTheme="minorHAnsi" w:hAnsiTheme="minorHAnsi" w:cstheme="minorHAnsi"/>
          <w:bCs/>
          <w:color w:val="000000"/>
          <w:lang w:val="en-GB"/>
        </w:rPr>
        <w:t xml:space="preserve">and </w:t>
      </w:r>
      <w:r w:rsidR="00904DDA">
        <w:rPr>
          <w:rFonts w:asciiTheme="minorHAnsi" w:hAnsiTheme="minorHAnsi" w:cstheme="minorHAnsi"/>
          <w:bCs/>
          <w:color w:val="000000"/>
          <w:lang w:val="en-GB"/>
        </w:rPr>
        <w:t xml:space="preserve">a multiplex biomarker panel study with </w:t>
      </w:r>
      <w:proofErr w:type="spellStart"/>
      <w:r w:rsidR="00904DDA">
        <w:rPr>
          <w:rFonts w:asciiTheme="minorHAnsi" w:hAnsiTheme="minorHAnsi" w:cstheme="minorHAnsi"/>
          <w:bCs/>
          <w:color w:val="000000"/>
          <w:lang w:val="en-GB"/>
        </w:rPr>
        <w:t>Mologic</w:t>
      </w:r>
      <w:proofErr w:type="spellEnd"/>
      <w:r w:rsidR="00904DDA">
        <w:rPr>
          <w:rFonts w:asciiTheme="minorHAnsi" w:hAnsiTheme="minorHAnsi" w:cstheme="minorHAnsi"/>
          <w:bCs/>
          <w:color w:val="000000"/>
          <w:lang w:val="en-GB"/>
        </w:rPr>
        <w:t xml:space="preserve"> UK. He has grants from </w:t>
      </w:r>
      <w:proofErr w:type="spellStart"/>
      <w:r w:rsidR="00904DDA">
        <w:rPr>
          <w:rFonts w:asciiTheme="minorHAnsi" w:hAnsiTheme="minorHAnsi" w:cstheme="minorHAnsi"/>
          <w:bCs/>
          <w:color w:val="000000"/>
          <w:lang w:val="en-GB"/>
        </w:rPr>
        <w:t>MedCity</w:t>
      </w:r>
      <w:proofErr w:type="spellEnd"/>
      <w:r w:rsidR="00904DDA">
        <w:rPr>
          <w:rFonts w:asciiTheme="minorHAnsi" w:hAnsiTheme="minorHAnsi" w:cstheme="minorHAnsi"/>
          <w:bCs/>
          <w:color w:val="000000"/>
          <w:lang w:val="en-GB"/>
        </w:rPr>
        <w:t xml:space="preserve"> to develop an antibiotic monitoring with Probe Scientific</w:t>
      </w:r>
      <w:r w:rsidR="008B3B97">
        <w:rPr>
          <w:rFonts w:asciiTheme="minorHAnsi" w:hAnsiTheme="minorHAnsi" w:cstheme="minorHAnsi"/>
          <w:bCs/>
          <w:color w:val="000000"/>
          <w:lang w:val="en-GB"/>
        </w:rPr>
        <w:t>,</w:t>
      </w:r>
      <w:r w:rsidR="00904DDA">
        <w:rPr>
          <w:rFonts w:asciiTheme="minorHAnsi" w:hAnsiTheme="minorHAnsi" w:cstheme="minorHAnsi"/>
          <w:bCs/>
          <w:color w:val="000000"/>
          <w:lang w:val="en-GB"/>
        </w:rPr>
        <w:t xml:space="preserve"> and</w:t>
      </w:r>
      <w:r w:rsidR="008B3B97">
        <w:rPr>
          <w:rFonts w:asciiTheme="minorHAnsi" w:hAnsiTheme="minorHAnsi" w:cstheme="minorHAnsi"/>
          <w:bCs/>
          <w:color w:val="000000"/>
          <w:lang w:val="en-GB"/>
        </w:rPr>
        <w:t xml:space="preserve"> the </w:t>
      </w:r>
      <w:proofErr w:type="spellStart"/>
      <w:r w:rsidR="008B3B97">
        <w:rPr>
          <w:rFonts w:asciiTheme="minorHAnsi" w:hAnsiTheme="minorHAnsi" w:cstheme="minorHAnsi"/>
          <w:bCs/>
          <w:color w:val="000000"/>
          <w:lang w:val="en-GB"/>
        </w:rPr>
        <w:t>Wellcome</w:t>
      </w:r>
      <w:proofErr w:type="spellEnd"/>
      <w:r w:rsidR="008B3B97">
        <w:rPr>
          <w:rFonts w:asciiTheme="minorHAnsi" w:hAnsiTheme="minorHAnsi" w:cstheme="minorHAnsi"/>
          <w:bCs/>
          <w:color w:val="000000"/>
          <w:lang w:val="en-GB"/>
        </w:rPr>
        <w:t xml:space="preserve"> Trust/UK </w:t>
      </w:r>
      <w:proofErr w:type="spellStart"/>
      <w:r w:rsidR="008B3B97">
        <w:rPr>
          <w:rFonts w:asciiTheme="minorHAnsi" w:hAnsiTheme="minorHAnsi" w:cstheme="minorHAnsi"/>
          <w:bCs/>
          <w:color w:val="000000"/>
          <w:lang w:val="en-GB"/>
        </w:rPr>
        <w:t>Dept</w:t>
      </w:r>
      <w:proofErr w:type="spellEnd"/>
      <w:r w:rsidR="008B3B97">
        <w:rPr>
          <w:rFonts w:asciiTheme="minorHAnsi" w:hAnsiTheme="minorHAnsi" w:cstheme="minorHAnsi"/>
          <w:bCs/>
          <w:color w:val="000000"/>
          <w:lang w:val="en-GB"/>
        </w:rPr>
        <w:t xml:space="preserve"> of Health to investigate a novel tissue perfusion monitor with Oxford </w:t>
      </w:r>
      <w:proofErr w:type="spellStart"/>
      <w:r w:rsidR="008B3B97">
        <w:rPr>
          <w:rFonts w:asciiTheme="minorHAnsi" w:hAnsiTheme="minorHAnsi" w:cstheme="minorHAnsi"/>
          <w:bCs/>
          <w:color w:val="000000"/>
          <w:lang w:val="en-GB"/>
        </w:rPr>
        <w:t>Optronix</w:t>
      </w:r>
      <w:proofErr w:type="spellEnd"/>
      <w:r w:rsidR="008B3B97">
        <w:rPr>
          <w:rFonts w:asciiTheme="minorHAnsi" w:hAnsiTheme="minorHAnsi" w:cstheme="minorHAnsi"/>
          <w:bCs/>
          <w:color w:val="000000"/>
          <w:lang w:val="en-GB"/>
        </w:rPr>
        <w:t>. He is also</w:t>
      </w:r>
      <w:r w:rsidR="00904DDA">
        <w:rPr>
          <w:rFonts w:asciiTheme="minorHAnsi" w:hAnsiTheme="minorHAnsi" w:cstheme="minorHAnsi"/>
          <w:bCs/>
          <w:color w:val="000000"/>
          <w:lang w:val="en-GB"/>
        </w:rPr>
        <w:t xml:space="preserve"> </w:t>
      </w:r>
      <w:r w:rsidRPr="007141B1">
        <w:rPr>
          <w:rFonts w:asciiTheme="minorHAnsi" w:hAnsiTheme="minorHAnsi" w:cstheme="minorHAnsi"/>
          <w:bCs/>
          <w:color w:val="000000"/>
          <w:lang w:val="en-GB"/>
        </w:rPr>
        <w:t xml:space="preserve">Co-PI of a sub-study of the EU Innovative Medicines Initiative </w:t>
      </w:r>
      <w:proofErr w:type="spellStart"/>
      <w:r w:rsidRPr="007141B1">
        <w:rPr>
          <w:rFonts w:asciiTheme="minorHAnsi" w:hAnsiTheme="minorHAnsi" w:cstheme="minorHAnsi"/>
          <w:bCs/>
          <w:color w:val="000000"/>
          <w:lang w:val="en-GB"/>
        </w:rPr>
        <w:t>Combacte</w:t>
      </w:r>
      <w:proofErr w:type="spellEnd"/>
      <w:r w:rsidRPr="007141B1">
        <w:rPr>
          <w:rFonts w:asciiTheme="minorHAnsi" w:hAnsiTheme="minorHAnsi" w:cstheme="minorHAnsi"/>
          <w:bCs/>
          <w:color w:val="000000"/>
          <w:lang w:val="en-GB"/>
        </w:rPr>
        <w:t xml:space="preserve">-Magnet Program. He sits on advisory boards for </w:t>
      </w:r>
      <w:proofErr w:type="spellStart"/>
      <w:r w:rsidRPr="007141B1">
        <w:rPr>
          <w:rFonts w:asciiTheme="minorHAnsi" w:hAnsiTheme="minorHAnsi" w:cstheme="minorHAnsi"/>
          <w:bCs/>
          <w:color w:val="000000"/>
          <w:lang w:val="en-GB"/>
        </w:rPr>
        <w:t>Biotest</w:t>
      </w:r>
      <w:proofErr w:type="spellEnd"/>
      <w:r w:rsidRPr="007141B1">
        <w:rPr>
          <w:rFonts w:asciiTheme="minorHAnsi" w:hAnsiTheme="minorHAnsi" w:cstheme="minorHAnsi"/>
          <w:bCs/>
          <w:color w:val="000000"/>
          <w:lang w:val="en-GB"/>
        </w:rPr>
        <w:t>, Bayer</w:t>
      </w:r>
      <w:r w:rsidR="00B0471A">
        <w:rPr>
          <w:rFonts w:asciiTheme="minorHAnsi" w:hAnsiTheme="minorHAnsi" w:cstheme="minorHAnsi"/>
          <w:bCs/>
          <w:color w:val="000000"/>
          <w:lang w:val="en-GB"/>
        </w:rPr>
        <w:t xml:space="preserve">, </w:t>
      </w:r>
      <w:r w:rsidR="00904DDA">
        <w:rPr>
          <w:rFonts w:asciiTheme="minorHAnsi" w:hAnsiTheme="minorHAnsi" w:cstheme="minorHAnsi"/>
          <w:bCs/>
          <w:color w:val="000000"/>
          <w:lang w:val="en-GB"/>
        </w:rPr>
        <w:t xml:space="preserve">Bristol Myers Squibb, </w:t>
      </w:r>
      <w:proofErr w:type="spellStart"/>
      <w:r w:rsidR="00B0471A">
        <w:rPr>
          <w:rFonts w:asciiTheme="minorHAnsi" w:hAnsiTheme="minorHAnsi" w:cstheme="minorHAnsi"/>
          <w:bCs/>
          <w:color w:val="000000"/>
          <w:lang w:val="en-GB"/>
        </w:rPr>
        <w:t>Deltex</w:t>
      </w:r>
      <w:proofErr w:type="spellEnd"/>
      <w:r w:rsidR="00904DDA">
        <w:rPr>
          <w:rFonts w:asciiTheme="minorHAnsi" w:hAnsiTheme="minorHAnsi" w:cstheme="minorHAnsi"/>
          <w:bCs/>
          <w:color w:val="000000"/>
          <w:lang w:val="en-GB"/>
        </w:rPr>
        <w:t xml:space="preserve"> and</w:t>
      </w:r>
      <w:r w:rsidR="00B0471A" w:rsidRPr="00B0471A">
        <w:rPr>
          <w:rFonts w:asciiTheme="minorHAnsi" w:hAnsiTheme="minorHAnsi" w:cstheme="minorHAnsi"/>
          <w:bCs/>
          <w:color w:val="000000"/>
          <w:lang w:val="en-GB"/>
        </w:rPr>
        <w:t xml:space="preserve"> </w:t>
      </w:r>
      <w:r w:rsidR="00B0471A">
        <w:rPr>
          <w:rFonts w:asciiTheme="minorHAnsi" w:hAnsiTheme="minorHAnsi" w:cstheme="minorHAnsi"/>
          <w:bCs/>
          <w:color w:val="000000"/>
          <w:lang w:val="en-GB"/>
        </w:rPr>
        <w:t>La Jolla Pharmaceuticals</w:t>
      </w:r>
      <w:r w:rsidRPr="007141B1">
        <w:rPr>
          <w:rFonts w:asciiTheme="minorHAnsi" w:hAnsiTheme="minorHAnsi" w:cstheme="minorHAnsi"/>
          <w:bCs/>
          <w:color w:val="000000"/>
          <w:lang w:val="en-GB"/>
        </w:rPr>
        <w:t>. He chair</w:t>
      </w:r>
      <w:r w:rsidR="008B3B97">
        <w:rPr>
          <w:rFonts w:asciiTheme="minorHAnsi" w:hAnsiTheme="minorHAnsi" w:cstheme="minorHAnsi"/>
          <w:bCs/>
          <w:color w:val="000000"/>
          <w:lang w:val="en-GB"/>
        </w:rPr>
        <w:t>ed</w:t>
      </w:r>
      <w:r w:rsidRPr="007141B1">
        <w:rPr>
          <w:rFonts w:asciiTheme="minorHAnsi" w:hAnsiTheme="minorHAnsi" w:cstheme="minorHAnsi"/>
          <w:bCs/>
          <w:color w:val="000000"/>
          <w:lang w:val="en-GB"/>
        </w:rPr>
        <w:t xml:space="preserve"> the Data </w:t>
      </w:r>
      <w:r w:rsidR="008B3B97">
        <w:rPr>
          <w:rFonts w:asciiTheme="minorHAnsi" w:hAnsiTheme="minorHAnsi" w:cstheme="minorHAnsi"/>
          <w:bCs/>
          <w:color w:val="000000"/>
          <w:lang w:val="en-GB"/>
        </w:rPr>
        <w:t xml:space="preserve">Safety and </w:t>
      </w:r>
      <w:r w:rsidRPr="007141B1">
        <w:rPr>
          <w:rFonts w:asciiTheme="minorHAnsi" w:hAnsiTheme="minorHAnsi" w:cstheme="minorHAnsi"/>
          <w:bCs/>
          <w:color w:val="000000"/>
          <w:lang w:val="en-GB"/>
        </w:rPr>
        <w:t xml:space="preserve">Monitoring Committee for </w:t>
      </w:r>
      <w:proofErr w:type="spellStart"/>
      <w:r w:rsidRPr="007141B1">
        <w:rPr>
          <w:rFonts w:asciiTheme="minorHAnsi" w:hAnsiTheme="minorHAnsi" w:cstheme="minorHAnsi"/>
          <w:bCs/>
          <w:color w:val="000000"/>
          <w:lang w:val="en-GB"/>
        </w:rPr>
        <w:t>InflaRx’s</w:t>
      </w:r>
      <w:proofErr w:type="spellEnd"/>
      <w:r w:rsidRPr="007141B1">
        <w:rPr>
          <w:rFonts w:asciiTheme="minorHAnsi" w:hAnsiTheme="minorHAnsi" w:cstheme="minorHAnsi"/>
          <w:bCs/>
          <w:color w:val="000000"/>
          <w:lang w:val="en-GB"/>
        </w:rPr>
        <w:t xml:space="preserve"> Phase II trial of a novel C5a inhibitor. </w:t>
      </w:r>
    </w:p>
    <w:p w:rsidR="00E26721" w:rsidRPr="007141B1" w:rsidRDefault="00E26721" w:rsidP="00E26721">
      <w:pPr>
        <w:spacing w:after="200" w:line="360" w:lineRule="auto"/>
        <w:rPr>
          <w:rFonts w:asciiTheme="minorHAnsi" w:hAnsiTheme="minorHAnsi" w:cs="Arial"/>
          <w:b/>
          <w:lang w:val="en-GB"/>
        </w:rPr>
      </w:pPr>
      <w:r w:rsidRPr="007141B1">
        <w:rPr>
          <w:rFonts w:asciiTheme="minorHAnsi" w:hAnsiTheme="minorHAnsi" w:cs="Arial"/>
          <w:b/>
          <w:lang w:val="en-GB"/>
        </w:rPr>
        <w:br w:type="page"/>
      </w:r>
    </w:p>
    <w:p w:rsidR="00780907" w:rsidRPr="00F163A6" w:rsidRDefault="00F163A6" w:rsidP="00851E20">
      <w:pPr>
        <w:tabs>
          <w:tab w:val="right" w:pos="360"/>
          <w:tab w:val="left" w:pos="540"/>
        </w:tabs>
        <w:spacing w:line="360" w:lineRule="auto"/>
        <w:rPr>
          <w:rFonts w:asciiTheme="minorHAnsi" w:hAnsiTheme="minorHAnsi" w:cs="Arial"/>
          <w:b/>
          <w:sz w:val="28"/>
          <w:lang w:val="en-GB"/>
        </w:rPr>
      </w:pPr>
      <w:r w:rsidRPr="00F163A6">
        <w:rPr>
          <w:rFonts w:asciiTheme="minorHAnsi" w:hAnsiTheme="minorHAnsi" w:cs="Arial"/>
          <w:b/>
          <w:sz w:val="28"/>
          <w:lang w:val="en-GB"/>
        </w:rPr>
        <w:lastRenderedPageBreak/>
        <w:t>References</w:t>
      </w:r>
    </w:p>
    <w:p w:rsidR="007E7E7B" w:rsidRPr="00DE4685" w:rsidRDefault="002B0CDC" w:rsidP="007E7E7B">
      <w:pPr>
        <w:pStyle w:val="Bibliografi"/>
        <w:rPr>
          <w:rFonts w:asciiTheme="minorHAnsi" w:hAnsiTheme="minorHAnsi"/>
          <w:lang w:val="en-US"/>
        </w:rPr>
      </w:pPr>
      <w:r w:rsidRPr="00DE4685">
        <w:rPr>
          <w:rFonts w:asciiTheme="minorHAnsi" w:hAnsiTheme="minorHAnsi" w:cs="Arial"/>
          <w:b/>
          <w:lang w:val="en-GB"/>
        </w:rPr>
        <w:fldChar w:fldCharType="begin"/>
      </w:r>
      <w:r w:rsidR="007E7E7B" w:rsidRPr="00DE4685">
        <w:rPr>
          <w:rFonts w:asciiTheme="minorHAnsi" w:hAnsiTheme="minorHAnsi" w:cs="Arial"/>
          <w:b/>
          <w:lang w:val="en-GB"/>
        </w:rPr>
        <w:instrText xml:space="preserve"> ADDIN ZOTERO_BIBL {"custom":[]} CSL_BIBLIOGRAPHY </w:instrText>
      </w:r>
      <w:r w:rsidRPr="00DE4685">
        <w:rPr>
          <w:rFonts w:asciiTheme="minorHAnsi" w:hAnsiTheme="minorHAnsi" w:cs="Arial"/>
          <w:b/>
          <w:lang w:val="en-GB"/>
        </w:rPr>
        <w:fldChar w:fldCharType="separate"/>
      </w:r>
      <w:r w:rsidR="007E7E7B" w:rsidRPr="00DE4685">
        <w:rPr>
          <w:rFonts w:asciiTheme="minorHAnsi" w:hAnsiTheme="minorHAnsi"/>
          <w:lang w:val="en-US"/>
        </w:rPr>
        <w:t xml:space="preserve">1. </w:t>
      </w:r>
      <w:r w:rsidR="007E7E7B" w:rsidRPr="00DE4685">
        <w:rPr>
          <w:rFonts w:asciiTheme="minorHAnsi" w:hAnsiTheme="minorHAnsi"/>
          <w:lang w:val="en-US"/>
        </w:rPr>
        <w:tab/>
        <w:t xml:space="preserve">Bernard GR, Vincent JL, </w:t>
      </w:r>
      <w:proofErr w:type="spellStart"/>
      <w:r w:rsidR="007E7E7B" w:rsidRPr="00DE4685">
        <w:rPr>
          <w:rFonts w:asciiTheme="minorHAnsi" w:hAnsiTheme="minorHAnsi"/>
          <w:lang w:val="en-US"/>
        </w:rPr>
        <w:t>Laterre</w:t>
      </w:r>
      <w:proofErr w:type="spellEnd"/>
      <w:r w:rsidR="007E7E7B" w:rsidRPr="00DE4685">
        <w:rPr>
          <w:rFonts w:asciiTheme="minorHAnsi" w:hAnsiTheme="minorHAnsi"/>
          <w:lang w:val="en-US"/>
        </w:rPr>
        <w:t xml:space="preserve"> PF, et al (2001) Efficacy and safety of recombinant human activated protein C for severe sepsis. N </w:t>
      </w:r>
      <w:proofErr w:type="spellStart"/>
      <w:r w:rsidR="007E7E7B" w:rsidRPr="00DE4685">
        <w:rPr>
          <w:rFonts w:asciiTheme="minorHAnsi" w:hAnsiTheme="minorHAnsi"/>
          <w:lang w:val="en-US"/>
        </w:rPr>
        <w:t>Engl</w:t>
      </w:r>
      <w:proofErr w:type="spellEnd"/>
      <w:r w:rsidR="007E7E7B" w:rsidRPr="00DE4685">
        <w:rPr>
          <w:rFonts w:asciiTheme="minorHAnsi" w:hAnsiTheme="minorHAnsi"/>
          <w:lang w:val="en-US"/>
        </w:rPr>
        <w:t xml:space="preserve"> J Med 344:699–709. </w:t>
      </w:r>
      <w:proofErr w:type="spellStart"/>
      <w:proofErr w:type="gramStart"/>
      <w:r w:rsidR="007E7E7B" w:rsidRPr="00DE4685">
        <w:rPr>
          <w:rFonts w:asciiTheme="minorHAnsi" w:hAnsiTheme="minorHAnsi"/>
          <w:lang w:val="en-US"/>
        </w:rPr>
        <w:t>doi</w:t>
      </w:r>
      <w:proofErr w:type="spellEnd"/>
      <w:proofErr w:type="gramEnd"/>
      <w:r w:rsidR="007E7E7B" w:rsidRPr="00DE4685">
        <w:rPr>
          <w:rFonts w:asciiTheme="minorHAnsi" w:hAnsiTheme="minorHAnsi"/>
          <w:lang w:val="en-US"/>
        </w:rPr>
        <w:t>: 10.1056/NEJM200103083441001</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2. </w:t>
      </w:r>
      <w:r w:rsidRPr="00DE4685">
        <w:rPr>
          <w:rFonts w:asciiTheme="minorHAnsi" w:hAnsiTheme="minorHAnsi"/>
          <w:lang w:val="en-US"/>
        </w:rPr>
        <w:tab/>
      </w:r>
      <w:proofErr w:type="spellStart"/>
      <w:r w:rsidRPr="00DE4685">
        <w:rPr>
          <w:rFonts w:asciiTheme="minorHAnsi" w:hAnsiTheme="minorHAnsi"/>
          <w:lang w:val="en-US"/>
        </w:rPr>
        <w:t>Ranieri</w:t>
      </w:r>
      <w:proofErr w:type="spellEnd"/>
      <w:r w:rsidRPr="00DE4685">
        <w:rPr>
          <w:rFonts w:asciiTheme="minorHAnsi" w:hAnsiTheme="minorHAnsi"/>
          <w:lang w:val="en-US"/>
        </w:rPr>
        <w:t xml:space="preserve"> VM, Thompson BT, </w:t>
      </w:r>
      <w:proofErr w:type="spellStart"/>
      <w:r w:rsidRPr="00DE4685">
        <w:rPr>
          <w:rFonts w:asciiTheme="minorHAnsi" w:hAnsiTheme="minorHAnsi"/>
          <w:lang w:val="en-US"/>
        </w:rPr>
        <w:t>Barie</w:t>
      </w:r>
      <w:proofErr w:type="spellEnd"/>
      <w:r w:rsidRPr="00DE4685">
        <w:rPr>
          <w:rFonts w:asciiTheme="minorHAnsi" w:hAnsiTheme="minorHAnsi"/>
          <w:lang w:val="en-US"/>
        </w:rPr>
        <w:t xml:space="preserve"> PS, et al (2012) </w:t>
      </w:r>
      <w:proofErr w:type="spellStart"/>
      <w:r w:rsidRPr="00DE4685">
        <w:rPr>
          <w:rFonts w:asciiTheme="minorHAnsi" w:hAnsiTheme="minorHAnsi"/>
          <w:lang w:val="en-US"/>
        </w:rPr>
        <w:t>Drotrecogin</w:t>
      </w:r>
      <w:proofErr w:type="spellEnd"/>
      <w:r w:rsidRPr="00DE4685">
        <w:rPr>
          <w:rFonts w:asciiTheme="minorHAnsi" w:hAnsiTheme="minorHAnsi"/>
          <w:lang w:val="en-US"/>
        </w:rPr>
        <w:t xml:space="preserve"> alfa (activated) in adults with septic shock. N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J Med 366:2055–2064.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10.1056/NEJMoa1202290</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3. </w:t>
      </w:r>
      <w:r w:rsidRPr="00DE4685">
        <w:rPr>
          <w:rFonts w:asciiTheme="minorHAnsi" w:hAnsiTheme="minorHAnsi"/>
          <w:lang w:val="en-US"/>
        </w:rPr>
        <w:tab/>
        <w:t xml:space="preserve">Angus DC (2011) </w:t>
      </w:r>
      <w:proofErr w:type="gramStart"/>
      <w:r w:rsidRPr="00DE4685">
        <w:rPr>
          <w:rFonts w:asciiTheme="minorHAnsi" w:hAnsiTheme="minorHAnsi"/>
          <w:lang w:val="en-US"/>
        </w:rPr>
        <w:t>The</w:t>
      </w:r>
      <w:proofErr w:type="gramEnd"/>
      <w:r w:rsidRPr="00DE4685">
        <w:rPr>
          <w:rFonts w:asciiTheme="minorHAnsi" w:hAnsiTheme="minorHAnsi"/>
          <w:lang w:val="en-US"/>
        </w:rPr>
        <w:t xml:space="preserve"> search for effective therapy for sepsis: back to the drawing board? JAMA 306:2614–2615.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10.1001/jama.2011.1853</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4. </w:t>
      </w:r>
      <w:r w:rsidRPr="00DE4685">
        <w:rPr>
          <w:rFonts w:asciiTheme="minorHAnsi" w:hAnsiTheme="minorHAnsi"/>
          <w:lang w:val="en-US"/>
        </w:rPr>
        <w:tab/>
        <w:t xml:space="preserve">Singer M, </w:t>
      </w:r>
      <w:proofErr w:type="spellStart"/>
      <w:r w:rsidRPr="00DE4685">
        <w:rPr>
          <w:rFonts w:asciiTheme="minorHAnsi" w:hAnsiTheme="minorHAnsi"/>
          <w:lang w:val="en-US"/>
        </w:rPr>
        <w:t>Deutschman</w:t>
      </w:r>
      <w:proofErr w:type="spellEnd"/>
      <w:r w:rsidRPr="00DE4685">
        <w:rPr>
          <w:rFonts w:asciiTheme="minorHAnsi" w:hAnsiTheme="minorHAnsi"/>
          <w:lang w:val="en-US"/>
        </w:rPr>
        <w:t xml:space="preserve"> CS, Seymour CW, et al (2016) The Third International Consensus Definitions for Sepsis and Septic Shock (Sepsis-3). JAMA 315:801–810.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10.1001/jama.2016.0287</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5. </w:t>
      </w:r>
      <w:r w:rsidRPr="00DE4685">
        <w:rPr>
          <w:rFonts w:asciiTheme="minorHAnsi" w:hAnsiTheme="minorHAnsi"/>
          <w:lang w:val="en-US"/>
        </w:rPr>
        <w:tab/>
        <w:t xml:space="preserve">Rhodes A, Evans LE, </w:t>
      </w:r>
      <w:proofErr w:type="spellStart"/>
      <w:r w:rsidRPr="00DE4685">
        <w:rPr>
          <w:rFonts w:asciiTheme="minorHAnsi" w:hAnsiTheme="minorHAnsi"/>
          <w:lang w:val="en-US"/>
        </w:rPr>
        <w:t>Alhazzani</w:t>
      </w:r>
      <w:proofErr w:type="spellEnd"/>
      <w:r w:rsidRPr="00DE4685">
        <w:rPr>
          <w:rFonts w:asciiTheme="minorHAnsi" w:hAnsiTheme="minorHAnsi"/>
          <w:lang w:val="en-US"/>
        </w:rPr>
        <w:t xml:space="preserve"> W, et al (2017) Surviving Sepsis Campaign: International Guidelines for Management of Sepsis and Septic Shock: 2016. Intensive Care Med. </w:t>
      </w:r>
      <w:proofErr w:type="spellStart"/>
      <w:r w:rsidRPr="00DE4685">
        <w:rPr>
          <w:rFonts w:asciiTheme="minorHAnsi" w:hAnsiTheme="minorHAnsi"/>
          <w:lang w:val="en-US"/>
        </w:rPr>
        <w:t>doi</w:t>
      </w:r>
      <w:proofErr w:type="spellEnd"/>
      <w:r w:rsidRPr="00DE4685">
        <w:rPr>
          <w:rFonts w:asciiTheme="minorHAnsi" w:hAnsiTheme="minorHAnsi"/>
          <w:lang w:val="en-US"/>
        </w:rPr>
        <w:t>: 10.1007/s00134-017-4683-6</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6. </w:t>
      </w:r>
      <w:r w:rsidRPr="00DE4685">
        <w:rPr>
          <w:rFonts w:asciiTheme="minorHAnsi" w:hAnsiTheme="minorHAnsi"/>
          <w:lang w:val="en-US"/>
        </w:rPr>
        <w:tab/>
        <w:t xml:space="preserve">Levy MM, Rhodes A, Phillips GS, et al (2014) Surviving Sepsis Campaign: association between performance metrics and outcomes in a 7.5-year study. Intensive Care Med 40:1623–1633.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10.1007/s00134-014-3496-0</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7. </w:t>
      </w:r>
      <w:r w:rsidRPr="00DE4685">
        <w:rPr>
          <w:rFonts w:asciiTheme="minorHAnsi" w:hAnsiTheme="minorHAnsi"/>
          <w:lang w:val="en-US"/>
        </w:rPr>
        <w:tab/>
        <w:t xml:space="preserve">Aaronson EL, </w:t>
      </w:r>
      <w:proofErr w:type="spellStart"/>
      <w:r w:rsidRPr="00DE4685">
        <w:rPr>
          <w:rFonts w:asciiTheme="minorHAnsi" w:hAnsiTheme="minorHAnsi"/>
          <w:lang w:val="en-US"/>
        </w:rPr>
        <w:t>Filbin</w:t>
      </w:r>
      <w:proofErr w:type="spellEnd"/>
      <w:r w:rsidRPr="00DE4685">
        <w:rPr>
          <w:rFonts w:asciiTheme="minorHAnsi" w:hAnsiTheme="minorHAnsi"/>
          <w:lang w:val="en-US"/>
        </w:rPr>
        <w:t xml:space="preserve"> MR, Brown DFM, et al (2016) New Mandated Centers for Medicare and Medicaid Services Requirements for Sepsis Reporting: Caution from the Field. J </w:t>
      </w:r>
      <w:proofErr w:type="spellStart"/>
      <w:r w:rsidRPr="00DE4685">
        <w:rPr>
          <w:rFonts w:asciiTheme="minorHAnsi" w:hAnsiTheme="minorHAnsi"/>
          <w:lang w:val="en-US"/>
        </w:rPr>
        <w:t>Emerg</w:t>
      </w:r>
      <w:proofErr w:type="spellEnd"/>
      <w:r w:rsidRPr="00DE4685">
        <w:rPr>
          <w:rFonts w:asciiTheme="minorHAnsi" w:hAnsiTheme="minorHAnsi"/>
          <w:lang w:val="en-US"/>
        </w:rPr>
        <w:t xml:space="preserve"> Med. </w:t>
      </w:r>
      <w:proofErr w:type="spellStart"/>
      <w:r w:rsidRPr="00DE4685">
        <w:rPr>
          <w:rFonts w:asciiTheme="minorHAnsi" w:hAnsiTheme="minorHAnsi"/>
          <w:lang w:val="en-US"/>
        </w:rPr>
        <w:t>doi</w:t>
      </w:r>
      <w:proofErr w:type="spellEnd"/>
      <w:r w:rsidRPr="00DE4685">
        <w:rPr>
          <w:rFonts w:asciiTheme="minorHAnsi" w:hAnsiTheme="minorHAnsi"/>
          <w:lang w:val="en-US"/>
        </w:rPr>
        <w:t>: 10.1016/j.jemermed.2016.08.009</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8. </w:t>
      </w:r>
      <w:r w:rsidRPr="00DE4685">
        <w:rPr>
          <w:rFonts w:asciiTheme="minorHAnsi" w:hAnsiTheme="minorHAnsi"/>
          <w:lang w:val="en-US"/>
        </w:rPr>
        <w:tab/>
      </w:r>
      <w:proofErr w:type="spellStart"/>
      <w:r w:rsidRPr="00DE4685">
        <w:rPr>
          <w:rFonts w:asciiTheme="minorHAnsi" w:hAnsiTheme="minorHAnsi"/>
          <w:lang w:val="en-US"/>
        </w:rPr>
        <w:t>Phua</w:t>
      </w:r>
      <w:proofErr w:type="spellEnd"/>
      <w:r w:rsidRPr="00DE4685">
        <w:rPr>
          <w:rFonts w:asciiTheme="minorHAnsi" w:hAnsiTheme="minorHAnsi"/>
          <w:lang w:val="en-US"/>
        </w:rPr>
        <w:t xml:space="preserve"> J, Koh Y, Du B, et al (2011) Management of severe sepsis in patients admitted to Asian intensive care units: prospective cohort study. BMJ 342:d3245.</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9. </w:t>
      </w:r>
      <w:r w:rsidRPr="00DE4685">
        <w:rPr>
          <w:rFonts w:asciiTheme="minorHAnsi" w:hAnsiTheme="minorHAnsi"/>
          <w:lang w:val="en-US"/>
        </w:rPr>
        <w:tab/>
      </w:r>
      <w:proofErr w:type="spellStart"/>
      <w:r w:rsidRPr="00DE4685">
        <w:rPr>
          <w:rFonts w:asciiTheme="minorHAnsi" w:hAnsiTheme="minorHAnsi"/>
          <w:lang w:val="en-US"/>
        </w:rPr>
        <w:t>Noritomi</w:t>
      </w:r>
      <w:proofErr w:type="spellEnd"/>
      <w:r w:rsidRPr="00DE4685">
        <w:rPr>
          <w:rFonts w:asciiTheme="minorHAnsi" w:hAnsiTheme="minorHAnsi"/>
          <w:lang w:val="en-US"/>
        </w:rPr>
        <w:t xml:space="preserve"> DT, </w:t>
      </w:r>
      <w:proofErr w:type="spellStart"/>
      <w:r w:rsidRPr="00DE4685">
        <w:rPr>
          <w:rFonts w:asciiTheme="minorHAnsi" w:hAnsiTheme="minorHAnsi"/>
          <w:lang w:val="en-US"/>
        </w:rPr>
        <w:t>Ranzani</w:t>
      </w:r>
      <w:proofErr w:type="spellEnd"/>
      <w:r w:rsidRPr="00DE4685">
        <w:rPr>
          <w:rFonts w:asciiTheme="minorHAnsi" w:hAnsiTheme="minorHAnsi"/>
          <w:lang w:val="en-US"/>
        </w:rPr>
        <w:t xml:space="preserve"> OT, Monteiro MB, et al (2014) Implementation of a multifaceted sepsis education program in an emerging country setting: clinical outcomes and cost-effectiveness in a long-term follow-up study. Intensive Care Med 40:182–191.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10.1007/s00134-013-3131-5</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10. </w:t>
      </w:r>
      <w:r w:rsidRPr="00DE4685">
        <w:rPr>
          <w:rFonts w:asciiTheme="minorHAnsi" w:hAnsiTheme="minorHAnsi"/>
          <w:lang w:val="en-US"/>
        </w:rPr>
        <w:tab/>
        <w:t xml:space="preserve">Rhodes A, Phillips G, Beale R, et al (2015) The Surviving Sepsis Campaign bundles and outcome: results from the International </w:t>
      </w:r>
      <w:proofErr w:type="spellStart"/>
      <w:r w:rsidRPr="00DE4685">
        <w:rPr>
          <w:rFonts w:asciiTheme="minorHAnsi" w:hAnsiTheme="minorHAnsi"/>
          <w:lang w:val="en-US"/>
        </w:rPr>
        <w:t>Multicentre</w:t>
      </w:r>
      <w:proofErr w:type="spellEnd"/>
      <w:r w:rsidRPr="00DE4685">
        <w:rPr>
          <w:rFonts w:asciiTheme="minorHAnsi" w:hAnsiTheme="minorHAnsi"/>
          <w:lang w:val="en-US"/>
        </w:rPr>
        <w:t xml:space="preserve"> Prevalence Study on Sepsis (the </w:t>
      </w:r>
      <w:proofErr w:type="spellStart"/>
      <w:r w:rsidRPr="00DE4685">
        <w:rPr>
          <w:rFonts w:asciiTheme="minorHAnsi" w:hAnsiTheme="minorHAnsi"/>
          <w:lang w:val="en-US"/>
        </w:rPr>
        <w:t>IMPreSS</w:t>
      </w:r>
      <w:proofErr w:type="spellEnd"/>
      <w:r w:rsidRPr="00DE4685">
        <w:rPr>
          <w:rFonts w:asciiTheme="minorHAnsi" w:hAnsiTheme="minorHAnsi"/>
          <w:lang w:val="en-US"/>
        </w:rPr>
        <w:t xml:space="preserve"> study). Intensive Care Med 41:1620–1628.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10.1007/s00134-015-3906-y</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11. </w:t>
      </w:r>
      <w:r w:rsidRPr="00DE4685">
        <w:rPr>
          <w:rFonts w:asciiTheme="minorHAnsi" w:hAnsiTheme="minorHAnsi"/>
          <w:lang w:val="en-US"/>
        </w:rPr>
        <w:tab/>
        <w:t xml:space="preserve">Shin TG, Jo IJ, Choi DJ, et al (2013) </w:t>
      </w:r>
      <w:proofErr w:type="gramStart"/>
      <w:r w:rsidRPr="00DE4685">
        <w:rPr>
          <w:rFonts w:asciiTheme="minorHAnsi" w:hAnsiTheme="minorHAnsi"/>
          <w:lang w:val="en-US"/>
        </w:rPr>
        <w:t>The</w:t>
      </w:r>
      <w:proofErr w:type="gramEnd"/>
      <w:r w:rsidRPr="00DE4685">
        <w:rPr>
          <w:rFonts w:asciiTheme="minorHAnsi" w:hAnsiTheme="minorHAnsi"/>
          <w:lang w:val="en-US"/>
        </w:rPr>
        <w:t xml:space="preserve"> adverse effect of emergency department crowding on compliance with the resuscitation bundle in the management of severe sepsis and septic shock.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w:t>
      </w:r>
      <w:proofErr w:type="spellStart"/>
      <w:r w:rsidRPr="00DE4685">
        <w:rPr>
          <w:rFonts w:asciiTheme="minorHAnsi" w:hAnsiTheme="minorHAnsi"/>
          <w:lang w:val="en-US"/>
        </w:rPr>
        <w:t>Lond</w:t>
      </w:r>
      <w:proofErr w:type="spellEnd"/>
      <w:r w:rsidRPr="00DE4685">
        <w:rPr>
          <w:rFonts w:asciiTheme="minorHAnsi" w:hAnsiTheme="minorHAnsi"/>
          <w:lang w:val="en-US"/>
        </w:rPr>
        <w:t xml:space="preserve">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17:R224.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10.1186/cc13047</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12. </w:t>
      </w:r>
      <w:r w:rsidRPr="00DE4685">
        <w:rPr>
          <w:rFonts w:asciiTheme="minorHAnsi" w:hAnsiTheme="minorHAnsi"/>
          <w:lang w:val="en-US"/>
        </w:rPr>
        <w:tab/>
        <w:t xml:space="preserve">Almeida M, Ribeiro O, </w:t>
      </w:r>
      <w:proofErr w:type="spellStart"/>
      <w:r w:rsidRPr="00DE4685">
        <w:rPr>
          <w:rFonts w:asciiTheme="minorHAnsi" w:hAnsiTheme="minorHAnsi"/>
          <w:lang w:val="en-US"/>
        </w:rPr>
        <w:t>Aragão</w:t>
      </w:r>
      <w:proofErr w:type="spellEnd"/>
      <w:r w:rsidRPr="00DE4685">
        <w:rPr>
          <w:rFonts w:asciiTheme="minorHAnsi" w:hAnsiTheme="minorHAnsi"/>
          <w:lang w:val="en-US"/>
        </w:rPr>
        <w:t xml:space="preserve"> I, et al (2013) Differences in compliance with Surviving Sepsis Campaign recommendations according to hospital entrance time: day versus night.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w:t>
      </w:r>
      <w:proofErr w:type="spellStart"/>
      <w:r w:rsidRPr="00DE4685">
        <w:rPr>
          <w:rFonts w:asciiTheme="minorHAnsi" w:hAnsiTheme="minorHAnsi"/>
          <w:lang w:val="en-US"/>
        </w:rPr>
        <w:t>Lond</w:t>
      </w:r>
      <w:proofErr w:type="spellEnd"/>
      <w:r w:rsidRPr="00DE4685">
        <w:rPr>
          <w:rFonts w:asciiTheme="minorHAnsi" w:hAnsiTheme="minorHAnsi"/>
          <w:lang w:val="en-US"/>
        </w:rPr>
        <w:t xml:space="preserve">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17:R79.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10.1186/cc12689</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lastRenderedPageBreak/>
        <w:t xml:space="preserve">13. </w:t>
      </w:r>
      <w:r w:rsidRPr="00DE4685">
        <w:rPr>
          <w:rFonts w:asciiTheme="minorHAnsi" w:hAnsiTheme="minorHAnsi"/>
          <w:lang w:val="en-US"/>
        </w:rPr>
        <w:tab/>
      </w:r>
      <w:proofErr w:type="spellStart"/>
      <w:r w:rsidRPr="00DE4685">
        <w:rPr>
          <w:rFonts w:asciiTheme="minorHAnsi" w:hAnsiTheme="minorHAnsi"/>
          <w:lang w:val="en-US"/>
        </w:rPr>
        <w:t>Borgert</w:t>
      </w:r>
      <w:proofErr w:type="spellEnd"/>
      <w:r w:rsidRPr="00DE4685">
        <w:rPr>
          <w:rFonts w:asciiTheme="minorHAnsi" w:hAnsiTheme="minorHAnsi"/>
          <w:lang w:val="en-US"/>
        </w:rPr>
        <w:t xml:space="preserve"> MJ, </w:t>
      </w:r>
      <w:proofErr w:type="spellStart"/>
      <w:r w:rsidRPr="00DE4685">
        <w:rPr>
          <w:rFonts w:asciiTheme="minorHAnsi" w:hAnsiTheme="minorHAnsi"/>
          <w:lang w:val="en-US"/>
        </w:rPr>
        <w:t>Goossens</w:t>
      </w:r>
      <w:proofErr w:type="spellEnd"/>
      <w:r w:rsidRPr="00DE4685">
        <w:rPr>
          <w:rFonts w:asciiTheme="minorHAnsi" w:hAnsiTheme="minorHAnsi"/>
          <w:lang w:val="en-US"/>
        </w:rPr>
        <w:t xml:space="preserve"> A, </w:t>
      </w:r>
      <w:proofErr w:type="spellStart"/>
      <w:r w:rsidRPr="00DE4685">
        <w:rPr>
          <w:rFonts w:asciiTheme="minorHAnsi" w:hAnsiTheme="minorHAnsi"/>
          <w:lang w:val="en-US"/>
        </w:rPr>
        <w:t>Dongelmans</w:t>
      </w:r>
      <w:proofErr w:type="spellEnd"/>
      <w:r w:rsidRPr="00DE4685">
        <w:rPr>
          <w:rFonts w:asciiTheme="minorHAnsi" w:hAnsiTheme="minorHAnsi"/>
          <w:lang w:val="en-US"/>
        </w:rPr>
        <w:t xml:space="preserve"> DA (2015) </w:t>
      </w:r>
      <w:proofErr w:type="gramStart"/>
      <w:r w:rsidRPr="00DE4685">
        <w:rPr>
          <w:rFonts w:asciiTheme="minorHAnsi" w:hAnsiTheme="minorHAnsi"/>
          <w:lang w:val="en-US"/>
        </w:rPr>
        <w:t>What</w:t>
      </w:r>
      <w:proofErr w:type="gramEnd"/>
      <w:r w:rsidRPr="00DE4685">
        <w:rPr>
          <w:rFonts w:asciiTheme="minorHAnsi" w:hAnsiTheme="minorHAnsi"/>
          <w:lang w:val="en-US"/>
        </w:rPr>
        <w:t xml:space="preserve"> are effective strategies for the implementation of care bundles on ICUs: a systematic review. Implement </w:t>
      </w:r>
      <w:proofErr w:type="spellStart"/>
      <w:r w:rsidRPr="00DE4685">
        <w:rPr>
          <w:rFonts w:asciiTheme="minorHAnsi" w:hAnsiTheme="minorHAnsi"/>
          <w:lang w:val="en-US"/>
        </w:rPr>
        <w:t>Sci</w:t>
      </w:r>
      <w:proofErr w:type="spellEnd"/>
      <w:r w:rsidRPr="00DE4685">
        <w:rPr>
          <w:rFonts w:asciiTheme="minorHAnsi" w:hAnsiTheme="minorHAnsi"/>
          <w:lang w:val="en-US"/>
        </w:rPr>
        <w:t xml:space="preserve"> IS 10:119.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10.1186/s13012-015-0306-1</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14. </w:t>
      </w:r>
      <w:r w:rsidRPr="00DE4685">
        <w:rPr>
          <w:rFonts w:asciiTheme="minorHAnsi" w:hAnsiTheme="minorHAnsi"/>
          <w:lang w:val="en-US"/>
        </w:rPr>
        <w:tab/>
      </w:r>
      <w:proofErr w:type="spellStart"/>
      <w:r w:rsidRPr="00DE4685">
        <w:rPr>
          <w:rFonts w:asciiTheme="minorHAnsi" w:hAnsiTheme="minorHAnsi"/>
          <w:lang w:val="en-US"/>
        </w:rPr>
        <w:t>Pocock</w:t>
      </w:r>
      <w:proofErr w:type="spellEnd"/>
      <w:r w:rsidRPr="00DE4685">
        <w:rPr>
          <w:rFonts w:asciiTheme="minorHAnsi" w:hAnsiTheme="minorHAnsi"/>
          <w:lang w:val="en-US"/>
        </w:rPr>
        <w:t xml:space="preserve"> SJ, Stone GW (2016) The Primary Outcome Is Positive - Is That Good Enough? N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J Med 375:971–979.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10.1056/NEJMra1601511</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15. </w:t>
      </w:r>
      <w:r w:rsidRPr="00DE4685">
        <w:rPr>
          <w:rFonts w:asciiTheme="minorHAnsi" w:hAnsiTheme="minorHAnsi"/>
          <w:lang w:val="en-US"/>
        </w:rPr>
        <w:tab/>
      </w:r>
      <w:proofErr w:type="spellStart"/>
      <w:r w:rsidRPr="00DE4685">
        <w:rPr>
          <w:rFonts w:asciiTheme="minorHAnsi" w:hAnsiTheme="minorHAnsi"/>
          <w:lang w:val="en-US"/>
        </w:rPr>
        <w:t>Pocock</w:t>
      </w:r>
      <w:proofErr w:type="spellEnd"/>
      <w:r w:rsidRPr="00DE4685">
        <w:rPr>
          <w:rFonts w:asciiTheme="minorHAnsi" w:hAnsiTheme="minorHAnsi"/>
          <w:lang w:val="en-US"/>
        </w:rPr>
        <w:t xml:space="preserve"> SJ, Stone GW (2016) </w:t>
      </w:r>
      <w:proofErr w:type="gramStart"/>
      <w:r w:rsidRPr="00DE4685">
        <w:rPr>
          <w:rFonts w:asciiTheme="minorHAnsi" w:hAnsiTheme="minorHAnsi"/>
          <w:lang w:val="en-US"/>
        </w:rPr>
        <w:t>The</w:t>
      </w:r>
      <w:proofErr w:type="gramEnd"/>
      <w:r w:rsidRPr="00DE4685">
        <w:rPr>
          <w:rFonts w:asciiTheme="minorHAnsi" w:hAnsiTheme="minorHAnsi"/>
          <w:lang w:val="en-US"/>
        </w:rPr>
        <w:t xml:space="preserve"> Primary Outcome Fails - What Next? N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J Med 375:861–870.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10.1056/NEJMra1510064</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16. </w:t>
      </w:r>
      <w:r w:rsidRPr="00DE4685">
        <w:rPr>
          <w:rFonts w:asciiTheme="minorHAnsi" w:hAnsiTheme="minorHAnsi"/>
          <w:lang w:val="en-US"/>
        </w:rPr>
        <w:tab/>
      </w:r>
      <w:proofErr w:type="spellStart"/>
      <w:r w:rsidRPr="00DE4685">
        <w:rPr>
          <w:rFonts w:asciiTheme="minorHAnsi" w:hAnsiTheme="minorHAnsi"/>
          <w:lang w:val="en-US"/>
        </w:rPr>
        <w:t>Harhay</w:t>
      </w:r>
      <w:proofErr w:type="spellEnd"/>
      <w:r w:rsidRPr="00DE4685">
        <w:rPr>
          <w:rFonts w:asciiTheme="minorHAnsi" w:hAnsiTheme="minorHAnsi"/>
          <w:lang w:val="en-US"/>
        </w:rPr>
        <w:t xml:space="preserve"> MO, Wagner J, </w:t>
      </w:r>
      <w:proofErr w:type="spellStart"/>
      <w:r w:rsidRPr="00DE4685">
        <w:rPr>
          <w:rFonts w:asciiTheme="minorHAnsi" w:hAnsiTheme="minorHAnsi"/>
          <w:lang w:val="en-US"/>
        </w:rPr>
        <w:t>Ratcliffe</w:t>
      </w:r>
      <w:proofErr w:type="spellEnd"/>
      <w:r w:rsidRPr="00DE4685">
        <w:rPr>
          <w:rFonts w:asciiTheme="minorHAnsi" w:hAnsiTheme="minorHAnsi"/>
          <w:lang w:val="en-US"/>
        </w:rPr>
        <w:t xml:space="preserve"> SJ, et al (2014) Outcomes and statistical power in adult critical care randomized trials. </w:t>
      </w:r>
      <w:proofErr w:type="gramStart"/>
      <w:r w:rsidRPr="00DE4685">
        <w:rPr>
          <w:rFonts w:asciiTheme="minorHAnsi" w:hAnsiTheme="minorHAnsi"/>
          <w:lang w:val="en-US"/>
        </w:rPr>
        <w:t>Am</w:t>
      </w:r>
      <w:proofErr w:type="gramEnd"/>
      <w:r w:rsidRPr="00DE4685">
        <w:rPr>
          <w:rFonts w:asciiTheme="minorHAnsi" w:hAnsiTheme="minorHAnsi"/>
          <w:lang w:val="en-US"/>
        </w:rPr>
        <w:t xml:space="preserve"> J </w:t>
      </w:r>
      <w:proofErr w:type="spellStart"/>
      <w:r w:rsidRPr="00DE4685">
        <w:rPr>
          <w:rFonts w:asciiTheme="minorHAnsi" w:hAnsiTheme="minorHAnsi"/>
          <w:lang w:val="en-US"/>
        </w:rPr>
        <w:t>Respir</w:t>
      </w:r>
      <w:proofErr w:type="spellEnd"/>
      <w:r w:rsidRPr="00DE4685">
        <w:rPr>
          <w:rFonts w:asciiTheme="minorHAnsi" w:hAnsiTheme="minorHAnsi"/>
          <w:lang w:val="en-US"/>
        </w:rPr>
        <w:t xml:space="preserve">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Med 189:1469–1478.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10.1164/rccm.201401-0056CP</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17. </w:t>
      </w:r>
      <w:r w:rsidRPr="00DE4685">
        <w:rPr>
          <w:rFonts w:asciiTheme="minorHAnsi" w:hAnsiTheme="minorHAnsi"/>
          <w:lang w:val="en-US"/>
        </w:rPr>
        <w:tab/>
      </w:r>
      <w:proofErr w:type="spellStart"/>
      <w:r w:rsidRPr="00DE4685">
        <w:rPr>
          <w:rFonts w:asciiTheme="minorHAnsi" w:hAnsiTheme="minorHAnsi"/>
          <w:lang w:val="en-US"/>
        </w:rPr>
        <w:t>Zarychanski</w:t>
      </w:r>
      <w:proofErr w:type="spellEnd"/>
      <w:r w:rsidRPr="00DE4685">
        <w:rPr>
          <w:rFonts w:asciiTheme="minorHAnsi" w:hAnsiTheme="minorHAnsi"/>
          <w:lang w:val="en-US"/>
        </w:rPr>
        <w:t xml:space="preserve"> R, </w:t>
      </w:r>
      <w:proofErr w:type="spellStart"/>
      <w:r w:rsidRPr="00DE4685">
        <w:rPr>
          <w:rFonts w:asciiTheme="minorHAnsi" w:hAnsiTheme="minorHAnsi"/>
          <w:lang w:val="en-US"/>
        </w:rPr>
        <w:t>Abou-Setta</w:t>
      </w:r>
      <w:proofErr w:type="spellEnd"/>
      <w:r w:rsidRPr="00DE4685">
        <w:rPr>
          <w:rFonts w:asciiTheme="minorHAnsi" w:hAnsiTheme="minorHAnsi"/>
          <w:lang w:val="en-US"/>
        </w:rPr>
        <w:t xml:space="preserve"> AM, Turgeon AF, et al (2013) Association of hydroxyethyl starch administration with mortality and acute kidney injury in critically ill patients requiring volume resuscitation: a systematic review and meta-analysis. JAMA 309:678–688.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10.1001/jama.2013.430</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18. </w:t>
      </w:r>
      <w:r w:rsidRPr="00DE4685">
        <w:rPr>
          <w:rFonts w:asciiTheme="minorHAnsi" w:hAnsiTheme="minorHAnsi"/>
          <w:lang w:val="en-US"/>
        </w:rPr>
        <w:tab/>
        <w:t xml:space="preserve">Iwashyna TJ, Burke JF, </w:t>
      </w:r>
      <w:proofErr w:type="spellStart"/>
      <w:r w:rsidRPr="00DE4685">
        <w:rPr>
          <w:rFonts w:asciiTheme="minorHAnsi" w:hAnsiTheme="minorHAnsi"/>
          <w:lang w:val="en-US"/>
        </w:rPr>
        <w:t>Sussman</w:t>
      </w:r>
      <w:proofErr w:type="spellEnd"/>
      <w:r w:rsidRPr="00DE4685">
        <w:rPr>
          <w:rFonts w:asciiTheme="minorHAnsi" w:hAnsiTheme="minorHAnsi"/>
          <w:lang w:val="en-US"/>
        </w:rPr>
        <w:t xml:space="preserve"> JB, et al (2015) Implications of Heterogeneity of Treatment Effect for Reporting and Analysis of Randomized Trials in Critical Care. </w:t>
      </w:r>
      <w:proofErr w:type="gramStart"/>
      <w:r w:rsidRPr="00DE4685">
        <w:rPr>
          <w:rFonts w:asciiTheme="minorHAnsi" w:hAnsiTheme="minorHAnsi"/>
          <w:lang w:val="en-US"/>
        </w:rPr>
        <w:t>Am</w:t>
      </w:r>
      <w:proofErr w:type="gramEnd"/>
      <w:r w:rsidRPr="00DE4685">
        <w:rPr>
          <w:rFonts w:asciiTheme="minorHAnsi" w:hAnsiTheme="minorHAnsi"/>
          <w:lang w:val="en-US"/>
        </w:rPr>
        <w:t xml:space="preserve"> J </w:t>
      </w:r>
      <w:proofErr w:type="spellStart"/>
      <w:r w:rsidRPr="00DE4685">
        <w:rPr>
          <w:rFonts w:asciiTheme="minorHAnsi" w:hAnsiTheme="minorHAnsi"/>
          <w:lang w:val="en-US"/>
        </w:rPr>
        <w:t>Respir</w:t>
      </w:r>
      <w:proofErr w:type="spellEnd"/>
      <w:r w:rsidRPr="00DE4685">
        <w:rPr>
          <w:rFonts w:asciiTheme="minorHAnsi" w:hAnsiTheme="minorHAnsi"/>
          <w:lang w:val="en-US"/>
        </w:rPr>
        <w:t xml:space="preserve">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Med 192:1045–1051.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10.1164/rccm.201411-2125CP</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19. </w:t>
      </w:r>
      <w:r w:rsidRPr="00DE4685">
        <w:rPr>
          <w:rFonts w:asciiTheme="minorHAnsi" w:hAnsiTheme="minorHAnsi"/>
          <w:lang w:val="en-US"/>
        </w:rPr>
        <w:tab/>
        <w:t xml:space="preserve">Rivers E, Nguyen B, </w:t>
      </w:r>
      <w:proofErr w:type="spellStart"/>
      <w:r w:rsidRPr="00DE4685">
        <w:rPr>
          <w:rFonts w:asciiTheme="minorHAnsi" w:hAnsiTheme="minorHAnsi"/>
          <w:lang w:val="en-US"/>
        </w:rPr>
        <w:t>Havstad</w:t>
      </w:r>
      <w:proofErr w:type="spellEnd"/>
      <w:r w:rsidRPr="00DE4685">
        <w:rPr>
          <w:rFonts w:asciiTheme="minorHAnsi" w:hAnsiTheme="minorHAnsi"/>
          <w:lang w:val="en-US"/>
        </w:rPr>
        <w:t xml:space="preserve"> S, et al (2001) Early goal-directed therapy in the treatment of severe sepsis and septic shock. N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J Med 345:1368–1377.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10.1056/NEJMoa010307</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20. </w:t>
      </w:r>
      <w:r w:rsidRPr="00DE4685">
        <w:rPr>
          <w:rFonts w:asciiTheme="minorHAnsi" w:hAnsiTheme="minorHAnsi"/>
          <w:lang w:val="en-US"/>
        </w:rPr>
        <w:tab/>
      </w:r>
      <w:proofErr w:type="spellStart"/>
      <w:r w:rsidRPr="00DE4685">
        <w:rPr>
          <w:rFonts w:asciiTheme="minorHAnsi" w:hAnsiTheme="minorHAnsi"/>
          <w:lang w:val="en-US"/>
        </w:rPr>
        <w:t>ProCESS</w:t>
      </w:r>
      <w:proofErr w:type="spellEnd"/>
      <w:r w:rsidRPr="00DE4685">
        <w:rPr>
          <w:rFonts w:asciiTheme="minorHAnsi" w:hAnsiTheme="minorHAnsi"/>
          <w:lang w:val="en-US"/>
        </w:rPr>
        <w:t xml:space="preserve"> Investigators, </w:t>
      </w:r>
      <w:proofErr w:type="spellStart"/>
      <w:r w:rsidRPr="00DE4685">
        <w:rPr>
          <w:rFonts w:asciiTheme="minorHAnsi" w:hAnsiTheme="minorHAnsi"/>
          <w:lang w:val="en-US"/>
        </w:rPr>
        <w:t>Yealy</w:t>
      </w:r>
      <w:proofErr w:type="spellEnd"/>
      <w:r w:rsidRPr="00DE4685">
        <w:rPr>
          <w:rFonts w:asciiTheme="minorHAnsi" w:hAnsiTheme="minorHAnsi"/>
          <w:lang w:val="en-US"/>
        </w:rPr>
        <w:t xml:space="preserve"> DM, </w:t>
      </w:r>
      <w:proofErr w:type="spellStart"/>
      <w:r w:rsidRPr="00DE4685">
        <w:rPr>
          <w:rFonts w:asciiTheme="minorHAnsi" w:hAnsiTheme="minorHAnsi"/>
          <w:lang w:val="en-US"/>
        </w:rPr>
        <w:t>Kellum</w:t>
      </w:r>
      <w:proofErr w:type="spellEnd"/>
      <w:r w:rsidRPr="00DE4685">
        <w:rPr>
          <w:rFonts w:asciiTheme="minorHAnsi" w:hAnsiTheme="minorHAnsi"/>
          <w:lang w:val="en-US"/>
        </w:rPr>
        <w:t xml:space="preserve"> JA, et al (2014) </w:t>
      </w:r>
      <w:proofErr w:type="gramStart"/>
      <w:r w:rsidRPr="00DE4685">
        <w:rPr>
          <w:rFonts w:asciiTheme="minorHAnsi" w:hAnsiTheme="minorHAnsi"/>
          <w:lang w:val="en-US"/>
        </w:rPr>
        <w:t>A</w:t>
      </w:r>
      <w:proofErr w:type="gramEnd"/>
      <w:r w:rsidRPr="00DE4685">
        <w:rPr>
          <w:rFonts w:asciiTheme="minorHAnsi" w:hAnsiTheme="minorHAnsi"/>
          <w:lang w:val="en-US"/>
        </w:rPr>
        <w:t xml:space="preserve"> randomized trial of protocol-based care for early septic shock. N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J Med 370:1683–1693.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10.1056/NEJMoa1401602</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21. </w:t>
      </w:r>
      <w:r w:rsidRPr="00DE4685">
        <w:rPr>
          <w:rFonts w:asciiTheme="minorHAnsi" w:hAnsiTheme="minorHAnsi"/>
          <w:lang w:val="en-US"/>
        </w:rPr>
        <w:tab/>
        <w:t xml:space="preserve">ARISE Investigators, ANZICS Clinical Trials Group, Peake SL, et al (2014) Goal-directed resuscitation for patients with early septic shock. N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J Med 371:1496–1506.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10.1056/NEJMoa1404380</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22. </w:t>
      </w:r>
      <w:r w:rsidRPr="00DE4685">
        <w:rPr>
          <w:rFonts w:asciiTheme="minorHAnsi" w:hAnsiTheme="minorHAnsi"/>
          <w:lang w:val="en-US"/>
        </w:rPr>
        <w:tab/>
      </w:r>
      <w:proofErr w:type="spellStart"/>
      <w:r w:rsidRPr="00DE4685">
        <w:rPr>
          <w:rFonts w:asciiTheme="minorHAnsi" w:hAnsiTheme="minorHAnsi"/>
          <w:lang w:val="en-US"/>
        </w:rPr>
        <w:t>Mouncey</w:t>
      </w:r>
      <w:proofErr w:type="spellEnd"/>
      <w:r w:rsidRPr="00DE4685">
        <w:rPr>
          <w:rFonts w:asciiTheme="minorHAnsi" w:hAnsiTheme="minorHAnsi"/>
          <w:lang w:val="en-US"/>
        </w:rPr>
        <w:t xml:space="preserve"> PR, Osborn TM, Power GS, et al (2015) Trial of early, goal-directed resuscitation for septic shock. N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J Med 372:1301–1311.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10.1056/NEJMoa1500896</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23. </w:t>
      </w:r>
      <w:r w:rsidRPr="00DE4685">
        <w:rPr>
          <w:rFonts w:asciiTheme="minorHAnsi" w:hAnsiTheme="minorHAnsi"/>
          <w:lang w:val="en-US"/>
        </w:rPr>
        <w:tab/>
      </w:r>
      <w:proofErr w:type="spellStart"/>
      <w:r w:rsidRPr="00DE4685">
        <w:rPr>
          <w:rFonts w:asciiTheme="minorHAnsi" w:hAnsiTheme="minorHAnsi"/>
          <w:lang w:val="en-US"/>
        </w:rPr>
        <w:t>ProCESS</w:t>
      </w:r>
      <w:proofErr w:type="spellEnd"/>
      <w:r w:rsidRPr="00DE4685">
        <w:rPr>
          <w:rFonts w:asciiTheme="minorHAnsi" w:hAnsiTheme="minorHAnsi"/>
          <w:lang w:val="en-US"/>
        </w:rPr>
        <w:t>/ARISE/</w:t>
      </w:r>
      <w:proofErr w:type="spellStart"/>
      <w:r w:rsidRPr="00DE4685">
        <w:rPr>
          <w:rFonts w:asciiTheme="minorHAnsi" w:hAnsiTheme="minorHAnsi"/>
          <w:lang w:val="en-US"/>
        </w:rPr>
        <w:t>ProMISe</w:t>
      </w:r>
      <w:proofErr w:type="spellEnd"/>
      <w:r w:rsidRPr="00DE4685">
        <w:rPr>
          <w:rFonts w:asciiTheme="minorHAnsi" w:hAnsiTheme="minorHAnsi"/>
          <w:lang w:val="en-US"/>
        </w:rPr>
        <w:t xml:space="preserve"> Methodology Writing Committee, Huang DT, Angus DC, et al (2013) Harmonizing international trials of early goal-directed resuscitation for severe sepsis and septic shock: methodology of </w:t>
      </w:r>
      <w:proofErr w:type="spellStart"/>
      <w:r w:rsidRPr="00DE4685">
        <w:rPr>
          <w:rFonts w:asciiTheme="minorHAnsi" w:hAnsiTheme="minorHAnsi"/>
          <w:lang w:val="en-US"/>
        </w:rPr>
        <w:t>ProCESS</w:t>
      </w:r>
      <w:proofErr w:type="spellEnd"/>
      <w:r w:rsidRPr="00DE4685">
        <w:rPr>
          <w:rFonts w:asciiTheme="minorHAnsi" w:hAnsiTheme="minorHAnsi"/>
          <w:lang w:val="en-US"/>
        </w:rPr>
        <w:t xml:space="preserve">, ARISE, and </w:t>
      </w:r>
      <w:proofErr w:type="spellStart"/>
      <w:r w:rsidRPr="00DE4685">
        <w:rPr>
          <w:rFonts w:asciiTheme="minorHAnsi" w:hAnsiTheme="minorHAnsi"/>
          <w:lang w:val="en-US"/>
        </w:rPr>
        <w:t>ProMISe</w:t>
      </w:r>
      <w:proofErr w:type="spellEnd"/>
      <w:r w:rsidRPr="00DE4685">
        <w:rPr>
          <w:rFonts w:asciiTheme="minorHAnsi" w:hAnsiTheme="minorHAnsi"/>
          <w:lang w:val="en-US"/>
        </w:rPr>
        <w:t xml:space="preserve">. Intensive Care Med 39:1760–1775.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10.1007/s00134-013-3024-7</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24. </w:t>
      </w:r>
      <w:r w:rsidRPr="00DE4685">
        <w:rPr>
          <w:rFonts w:asciiTheme="minorHAnsi" w:hAnsiTheme="minorHAnsi"/>
          <w:lang w:val="en-US"/>
        </w:rPr>
        <w:tab/>
        <w:t xml:space="preserve">PRISM Investigators (2017) Early, Goal-Directed Therapy for Septic Shock - A Patient-Level Meta-Analysis. N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J Med. </w:t>
      </w:r>
      <w:proofErr w:type="spellStart"/>
      <w:r w:rsidRPr="00DE4685">
        <w:rPr>
          <w:rFonts w:asciiTheme="minorHAnsi" w:hAnsiTheme="minorHAnsi"/>
          <w:lang w:val="en-US"/>
        </w:rPr>
        <w:t>doi</w:t>
      </w:r>
      <w:proofErr w:type="spellEnd"/>
      <w:r w:rsidRPr="00DE4685">
        <w:rPr>
          <w:rFonts w:asciiTheme="minorHAnsi" w:hAnsiTheme="minorHAnsi"/>
          <w:lang w:val="en-US"/>
        </w:rPr>
        <w:t>: 10.1056/NEJMoa1701380</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25. </w:t>
      </w:r>
      <w:r w:rsidRPr="00DE4685">
        <w:rPr>
          <w:rFonts w:asciiTheme="minorHAnsi" w:hAnsiTheme="minorHAnsi"/>
          <w:lang w:val="en-US"/>
        </w:rPr>
        <w:tab/>
        <w:t xml:space="preserve">Maitland K, </w:t>
      </w:r>
      <w:proofErr w:type="spellStart"/>
      <w:r w:rsidRPr="00DE4685">
        <w:rPr>
          <w:rFonts w:asciiTheme="minorHAnsi" w:hAnsiTheme="minorHAnsi"/>
          <w:lang w:val="en-US"/>
        </w:rPr>
        <w:t>Kiguli</w:t>
      </w:r>
      <w:proofErr w:type="spellEnd"/>
      <w:r w:rsidRPr="00DE4685">
        <w:rPr>
          <w:rFonts w:asciiTheme="minorHAnsi" w:hAnsiTheme="minorHAnsi"/>
          <w:lang w:val="en-US"/>
        </w:rPr>
        <w:t xml:space="preserve"> S, </w:t>
      </w:r>
      <w:proofErr w:type="spellStart"/>
      <w:r w:rsidRPr="00DE4685">
        <w:rPr>
          <w:rFonts w:asciiTheme="minorHAnsi" w:hAnsiTheme="minorHAnsi"/>
          <w:lang w:val="en-US"/>
        </w:rPr>
        <w:t>Opoka</w:t>
      </w:r>
      <w:proofErr w:type="spellEnd"/>
      <w:r w:rsidRPr="00DE4685">
        <w:rPr>
          <w:rFonts w:asciiTheme="minorHAnsi" w:hAnsiTheme="minorHAnsi"/>
          <w:lang w:val="en-US"/>
        </w:rPr>
        <w:t xml:space="preserve"> RO, et al (2011) Mortality after fluid bolus in African children with severe infection. N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J Med 364:2483–2495.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10.1056/NEJMoa1101549</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lastRenderedPageBreak/>
        <w:t xml:space="preserve">26. </w:t>
      </w:r>
      <w:r w:rsidRPr="00DE4685">
        <w:rPr>
          <w:rFonts w:asciiTheme="minorHAnsi" w:hAnsiTheme="minorHAnsi"/>
          <w:lang w:val="en-US"/>
        </w:rPr>
        <w:tab/>
        <w:t xml:space="preserve">Hjortrup PB, Haase N, </w:t>
      </w:r>
      <w:proofErr w:type="gramStart"/>
      <w:r w:rsidRPr="00DE4685">
        <w:rPr>
          <w:rFonts w:asciiTheme="minorHAnsi" w:hAnsiTheme="minorHAnsi"/>
          <w:lang w:val="en-US"/>
        </w:rPr>
        <w:t>Bundgaard</w:t>
      </w:r>
      <w:proofErr w:type="gramEnd"/>
      <w:r w:rsidRPr="00DE4685">
        <w:rPr>
          <w:rFonts w:asciiTheme="minorHAnsi" w:hAnsiTheme="minorHAnsi"/>
          <w:lang w:val="en-US"/>
        </w:rPr>
        <w:t xml:space="preserve"> H, et al (2016) Restricting volumes of resuscitation fluid in adults with septic shock after initial management: the CLASSIC </w:t>
      </w:r>
      <w:proofErr w:type="spellStart"/>
      <w:r w:rsidRPr="00DE4685">
        <w:rPr>
          <w:rFonts w:asciiTheme="minorHAnsi" w:hAnsiTheme="minorHAnsi"/>
          <w:lang w:val="en-US"/>
        </w:rPr>
        <w:t>randomised</w:t>
      </w:r>
      <w:proofErr w:type="spellEnd"/>
      <w:r w:rsidRPr="00DE4685">
        <w:rPr>
          <w:rFonts w:asciiTheme="minorHAnsi" w:hAnsiTheme="minorHAnsi"/>
          <w:lang w:val="en-US"/>
        </w:rPr>
        <w:t xml:space="preserve">, parallel-group, </w:t>
      </w:r>
      <w:proofErr w:type="spellStart"/>
      <w:r w:rsidRPr="00DE4685">
        <w:rPr>
          <w:rFonts w:asciiTheme="minorHAnsi" w:hAnsiTheme="minorHAnsi"/>
          <w:lang w:val="en-US"/>
        </w:rPr>
        <w:t>multicentre</w:t>
      </w:r>
      <w:proofErr w:type="spellEnd"/>
      <w:r w:rsidRPr="00DE4685">
        <w:rPr>
          <w:rFonts w:asciiTheme="minorHAnsi" w:hAnsiTheme="minorHAnsi"/>
          <w:lang w:val="en-US"/>
        </w:rPr>
        <w:t xml:space="preserve"> feasibility trial. Intensive Care Med 42:1695–1705.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10.1007/s00134-016-4500-7</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27. </w:t>
      </w:r>
      <w:r w:rsidRPr="00DE4685">
        <w:rPr>
          <w:rFonts w:asciiTheme="minorHAnsi" w:hAnsiTheme="minorHAnsi"/>
          <w:lang w:val="en-US"/>
        </w:rPr>
        <w:tab/>
      </w:r>
      <w:proofErr w:type="spellStart"/>
      <w:r w:rsidRPr="00DE4685">
        <w:rPr>
          <w:rFonts w:asciiTheme="minorHAnsi" w:hAnsiTheme="minorHAnsi"/>
          <w:lang w:val="en-US"/>
        </w:rPr>
        <w:t>Girardis</w:t>
      </w:r>
      <w:proofErr w:type="spellEnd"/>
      <w:r w:rsidRPr="00DE4685">
        <w:rPr>
          <w:rFonts w:asciiTheme="minorHAnsi" w:hAnsiTheme="minorHAnsi"/>
          <w:lang w:val="en-US"/>
        </w:rPr>
        <w:t xml:space="preserve"> M, </w:t>
      </w:r>
      <w:proofErr w:type="spellStart"/>
      <w:r w:rsidRPr="00DE4685">
        <w:rPr>
          <w:rFonts w:asciiTheme="minorHAnsi" w:hAnsiTheme="minorHAnsi"/>
          <w:lang w:val="en-US"/>
        </w:rPr>
        <w:t>Busani</w:t>
      </w:r>
      <w:proofErr w:type="spellEnd"/>
      <w:r w:rsidRPr="00DE4685">
        <w:rPr>
          <w:rFonts w:asciiTheme="minorHAnsi" w:hAnsiTheme="minorHAnsi"/>
          <w:lang w:val="en-US"/>
        </w:rPr>
        <w:t xml:space="preserve"> S, </w:t>
      </w:r>
      <w:proofErr w:type="spellStart"/>
      <w:r w:rsidRPr="00DE4685">
        <w:rPr>
          <w:rFonts w:asciiTheme="minorHAnsi" w:hAnsiTheme="minorHAnsi"/>
          <w:lang w:val="en-US"/>
        </w:rPr>
        <w:t>Damiani</w:t>
      </w:r>
      <w:proofErr w:type="spellEnd"/>
      <w:r w:rsidRPr="00DE4685">
        <w:rPr>
          <w:rFonts w:asciiTheme="minorHAnsi" w:hAnsiTheme="minorHAnsi"/>
          <w:lang w:val="en-US"/>
        </w:rPr>
        <w:t xml:space="preserve"> E, et al (2016) Effect of Conservative vs Conventional Oxygen Therapy on Mortality Among Patients in an Intensive Care Unit: The Oxygen-ICU Randomized Clinical Trial. JAMA 316:1583–1589.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10.1001/jama.2016.11993</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28. </w:t>
      </w:r>
      <w:r w:rsidRPr="00DE4685">
        <w:rPr>
          <w:rFonts w:asciiTheme="minorHAnsi" w:hAnsiTheme="minorHAnsi"/>
          <w:lang w:val="en-US"/>
        </w:rPr>
        <w:tab/>
        <w:t>Angus DC, Linde-</w:t>
      </w:r>
      <w:proofErr w:type="spellStart"/>
      <w:r w:rsidRPr="00DE4685">
        <w:rPr>
          <w:rFonts w:asciiTheme="minorHAnsi" w:hAnsiTheme="minorHAnsi"/>
          <w:lang w:val="en-US"/>
        </w:rPr>
        <w:t>Zwirble</w:t>
      </w:r>
      <w:proofErr w:type="spellEnd"/>
      <w:r w:rsidRPr="00DE4685">
        <w:rPr>
          <w:rFonts w:asciiTheme="minorHAnsi" w:hAnsiTheme="minorHAnsi"/>
          <w:lang w:val="en-US"/>
        </w:rPr>
        <w:t xml:space="preserve"> WT, </w:t>
      </w:r>
      <w:proofErr w:type="spellStart"/>
      <w:r w:rsidRPr="00DE4685">
        <w:rPr>
          <w:rFonts w:asciiTheme="minorHAnsi" w:hAnsiTheme="minorHAnsi"/>
          <w:lang w:val="en-US"/>
        </w:rPr>
        <w:t>Lidicker</w:t>
      </w:r>
      <w:proofErr w:type="spellEnd"/>
      <w:r w:rsidRPr="00DE4685">
        <w:rPr>
          <w:rFonts w:asciiTheme="minorHAnsi" w:hAnsiTheme="minorHAnsi"/>
          <w:lang w:val="en-US"/>
        </w:rPr>
        <w:t xml:space="preserve"> J, et al (2001) Epidemiology of severe sepsis in the United States: analysis of incidence, outcome, and associated costs of care.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Med 29:1303–1310.</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29. </w:t>
      </w:r>
      <w:r w:rsidRPr="00DE4685">
        <w:rPr>
          <w:rFonts w:asciiTheme="minorHAnsi" w:hAnsiTheme="minorHAnsi"/>
          <w:lang w:val="en-US"/>
        </w:rPr>
        <w:tab/>
        <w:t xml:space="preserve">Perner A, Haase N, Winkel P, et al (2014) Long-term outcomes in patients with severe sepsis </w:t>
      </w:r>
      <w:proofErr w:type="spellStart"/>
      <w:r w:rsidRPr="00DE4685">
        <w:rPr>
          <w:rFonts w:asciiTheme="minorHAnsi" w:hAnsiTheme="minorHAnsi"/>
          <w:lang w:val="en-US"/>
        </w:rPr>
        <w:t>randomised</w:t>
      </w:r>
      <w:proofErr w:type="spellEnd"/>
      <w:r w:rsidRPr="00DE4685">
        <w:rPr>
          <w:rFonts w:asciiTheme="minorHAnsi" w:hAnsiTheme="minorHAnsi"/>
          <w:lang w:val="en-US"/>
        </w:rPr>
        <w:t xml:space="preserve"> to resuscitation with hydroxyethyl starch 130/0.42 or Ringer’s acetate. Intensive Care Med 40:927–934.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10.1007/s00134-014-3311-y</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30. </w:t>
      </w:r>
      <w:r w:rsidRPr="00DE4685">
        <w:rPr>
          <w:rFonts w:asciiTheme="minorHAnsi" w:hAnsiTheme="minorHAnsi"/>
          <w:lang w:val="en-US"/>
        </w:rPr>
        <w:tab/>
      </w:r>
      <w:proofErr w:type="spellStart"/>
      <w:r w:rsidRPr="00DE4685">
        <w:rPr>
          <w:rFonts w:asciiTheme="minorHAnsi" w:hAnsiTheme="minorHAnsi"/>
          <w:lang w:val="en-US"/>
        </w:rPr>
        <w:t>Mayr</w:t>
      </w:r>
      <w:proofErr w:type="spellEnd"/>
      <w:r w:rsidRPr="00DE4685">
        <w:rPr>
          <w:rFonts w:asciiTheme="minorHAnsi" w:hAnsiTheme="minorHAnsi"/>
          <w:lang w:val="en-US"/>
        </w:rPr>
        <w:t xml:space="preserve"> FB, Talisa VB, </w:t>
      </w:r>
      <w:proofErr w:type="spellStart"/>
      <w:r w:rsidRPr="00DE4685">
        <w:rPr>
          <w:rFonts w:asciiTheme="minorHAnsi" w:hAnsiTheme="minorHAnsi"/>
          <w:lang w:val="en-US"/>
        </w:rPr>
        <w:t>Balakumar</w:t>
      </w:r>
      <w:proofErr w:type="spellEnd"/>
      <w:r w:rsidRPr="00DE4685">
        <w:rPr>
          <w:rFonts w:asciiTheme="minorHAnsi" w:hAnsiTheme="minorHAnsi"/>
          <w:lang w:val="en-US"/>
        </w:rPr>
        <w:t xml:space="preserve"> V, et al (2017) Proportion and Cost of Unplanned 30-Day Readmissions After Sepsis Compared With Other Medical Conditions. JAMA 317:530–531.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10.1001/jama.2016.20468</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31. </w:t>
      </w:r>
      <w:r w:rsidRPr="00DE4685">
        <w:rPr>
          <w:rFonts w:asciiTheme="minorHAnsi" w:hAnsiTheme="minorHAnsi"/>
          <w:lang w:val="en-US"/>
        </w:rPr>
        <w:tab/>
        <w:t xml:space="preserve">Herridge MS, Chu LM, Matte A, et al (2016) The RECOVER Program: Disability Risk Groups and 1-Year Outcome after 7 or More Days of Mechanical Ventilation. </w:t>
      </w:r>
      <w:proofErr w:type="gramStart"/>
      <w:r w:rsidRPr="00DE4685">
        <w:rPr>
          <w:rFonts w:asciiTheme="minorHAnsi" w:hAnsiTheme="minorHAnsi"/>
          <w:lang w:val="en-US"/>
        </w:rPr>
        <w:t>Am</w:t>
      </w:r>
      <w:proofErr w:type="gramEnd"/>
      <w:r w:rsidRPr="00DE4685">
        <w:rPr>
          <w:rFonts w:asciiTheme="minorHAnsi" w:hAnsiTheme="minorHAnsi"/>
          <w:lang w:val="en-US"/>
        </w:rPr>
        <w:t xml:space="preserve"> J </w:t>
      </w:r>
      <w:proofErr w:type="spellStart"/>
      <w:r w:rsidRPr="00DE4685">
        <w:rPr>
          <w:rFonts w:asciiTheme="minorHAnsi" w:hAnsiTheme="minorHAnsi"/>
          <w:lang w:val="en-US"/>
        </w:rPr>
        <w:t>Respir</w:t>
      </w:r>
      <w:proofErr w:type="spellEnd"/>
      <w:r w:rsidRPr="00DE4685">
        <w:rPr>
          <w:rFonts w:asciiTheme="minorHAnsi" w:hAnsiTheme="minorHAnsi"/>
          <w:lang w:val="en-US"/>
        </w:rPr>
        <w:t xml:space="preserve">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Med 194:831–844.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10.1164/rccm.201512-2343OC</w:t>
      </w:r>
    </w:p>
    <w:p w:rsidR="007E7E7B" w:rsidRPr="00DE4685" w:rsidRDefault="007E7E7B" w:rsidP="007E7E7B">
      <w:pPr>
        <w:pStyle w:val="Bibliografi"/>
        <w:rPr>
          <w:rFonts w:asciiTheme="minorHAnsi" w:hAnsiTheme="minorHAnsi"/>
          <w:lang w:val="en-US"/>
        </w:rPr>
      </w:pPr>
      <w:proofErr w:type="gramStart"/>
      <w:r w:rsidRPr="00DE4685">
        <w:rPr>
          <w:rFonts w:asciiTheme="minorHAnsi" w:hAnsiTheme="minorHAnsi"/>
          <w:lang w:val="en-US"/>
        </w:rPr>
        <w:t xml:space="preserve">32. </w:t>
      </w:r>
      <w:r w:rsidRPr="00DE4685">
        <w:rPr>
          <w:rFonts w:asciiTheme="minorHAnsi" w:hAnsiTheme="minorHAnsi"/>
          <w:lang w:val="en-US"/>
        </w:rPr>
        <w:tab/>
        <w:t>Cameron JI, Wittenberg E, Prosser LA (2016) Caregivers and Families of Critically Ill Patients.</w:t>
      </w:r>
      <w:proofErr w:type="gramEnd"/>
      <w:r w:rsidRPr="00DE4685">
        <w:rPr>
          <w:rFonts w:asciiTheme="minorHAnsi" w:hAnsiTheme="minorHAnsi"/>
          <w:lang w:val="en-US"/>
        </w:rPr>
        <w:t xml:space="preserve"> N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J Med 375:1000–1002.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10.1056/NEJMc1608225</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33. </w:t>
      </w:r>
      <w:r w:rsidRPr="00DE4685">
        <w:rPr>
          <w:rFonts w:asciiTheme="minorHAnsi" w:hAnsiTheme="minorHAnsi"/>
          <w:lang w:val="en-US"/>
        </w:rPr>
        <w:tab/>
      </w:r>
      <w:proofErr w:type="spellStart"/>
      <w:r w:rsidRPr="00DE4685">
        <w:rPr>
          <w:rFonts w:asciiTheme="minorHAnsi" w:hAnsiTheme="minorHAnsi"/>
          <w:lang w:val="en-US"/>
        </w:rPr>
        <w:t>Lamontagne</w:t>
      </w:r>
      <w:proofErr w:type="spellEnd"/>
      <w:r w:rsidRPr="00DE4685">
        <w:rPr>
          <w:rFonts w:asciiTheme="minorHAnsi" w:hAnsiTheme="minorHAnsi"/>
          <w:lang w:val="en-US"/>
        </w:rPr>
        <w:t xml:space="preserve"> F, Cohen D, Herridge M (2016) Understanding patient-</w:t>
      </w:r>
      <w:proofErr w:type="spellStart"/>
      <w:r w:rsidRPr="00DE4685">
        <w:rPr>
          <w:rFonts w:asciiTheme="minorHAnsi" w:hAnsiTheme="minorHAnsi"/>
          <w:lang w:val="en-US"/>
        </w:rPr>
        <w:t>centredness</w:t>
      </w:r>
      <w:proofErr w:type="spellEnd"/>
      <w:r w:rsidRPr="00DE4685">
        <w:rPr>
          <w:rFonts w:asciiTheme="minorHAnsi" w:hAnsiTheme="minorHAnsi"/>
          <w:lang w:val="en-US"/>
        </w:rPr>
        <w:t xml:space="preserve">: contrasting expert versus patient perspectives on vasopressor therapy for shock. Intensive Care Med. </w:t>
      </w:r>
      <w:proofErr w:type="spellStart"/>
      <w:r w:rsidRPr="00DE4685">
        <w:rPr>
          <w:rFonts w:asciiTheme="minorHAnsi" w:hAnsiTheme="minorHAnsi"/>
          <w:lang w:val="en-US"/>
        </w:rPr>
        <w:t>doi</w:t>
      </w:r>
      <w:proofErr w:type="spellEnd"/>
      <w:r w:rsidRPr="00DE4685">
        <w:rPr>
          <w:rFonts w:asciiTheme="minorHAnsi" w:hAnsiTheme="minorHAnsi"/>
          <w:lang w:val="en-US"/>
        </w:rPr>
        <w:t>: 10.1007/s00134-016-4518-x</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34. </w:t>
      </w:r>
      <w:r w:rsidRPr="00DE4685">
        <w:rPr>
          <w:rFonts w:asciiTheme="minorHAnsi" w:hAnsiTheme="minorHAnsi"/>
          <w:lang w:val="en-US"/>
        </w:rPr>
        <w:tab/>
        <w:t xml:space="preserve">Selby JV, Forsythe L, Sox HC (2015) Stakeholder-Driven Comparative Effectiveness Research: An Update </w:t>
      </w:r>
      <w:proofErr w:type="gramStart"/>
      <w:r w:rsidRPr="00DE4685">
        <w:rPr>
          <w:rFonts w:asciiTheme="minorHAnsi" w:hAnsiTheme="minorHAnsi"/>
          <w:lang w:val="en-US"/>
        </w:rPr>
        <w:t>From</w:t>
      </w:r>
      <w:proofErr w:type="gramEnd"/>
      <w:r w:rsidRPr="00DE4685">
        <w:rPr>
          <w:rFonts w:asciiTheme="minorHAnsi" w:hAnsiTheme="minorHAnsi"/>
          <w:lang w:val="en-US"/>
        </w:rPr>
        <w:t xml:space="preserve"> PCORI. JAMA 314:2235–2236.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10.1001/jama.2015.15139</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35. </w:t>
      </w:r>
      <w:r w:rsidRPr="00DE4685">
        <w:rPr>
          <w:rFonts w:asciiTheme="minorHAnsi" w:hAnsiTheme="minorHAnsi"/>
          <w:lang w:val="en-US"/>
        </w:rPr>
        <w:tab/>
      </w:r>
      <w:proofErr w:type="spellStart"/>
      <w:r w:rsidRPr="00DE4685">
        <w:rPr>
          <w:rFonts w:asciiTheme="minorHAnsi" w:hAnsiTheme="minorHAnsi"/>
          <w:lang w:val="en-US"/>
        </w:rPr>
        <w:t>Bafeta</w:t>
      </w:r>
      <w:proofErr w:type="spellEnd"/>
      <w:r w:rsidRPr="00DE4685">
        <w:rPr>
          <w:rFonts w:asciiTheme="minorHAnsi" w:hAnsiTheme="minorHAnsi"/>
          <w:lang w:val="en-US"/>
        </w:rPr>
        <w:t xml:space="preserve"> A, </w:t>
      </w:r>
      <w:proofErr w:type="spellStart"/>
      <w:r w:rsidRPr="00DE4685">
        <w:rPr>
          <w:rFonts w:asciiTheme="minorHAnsi" w:hAnsiTheme="minorHAnsi"/>
          <w:lang w:val="en-US"/>
        </w:rPr>
        <w:t>Dechartres</w:t>
      </w:r>
      <w:proofErr w:type="spellEnd"/>
      <w:r w:rsidRPr="00DE4685">
        <w:rPr>
          <w:rFonts w:asciiTheme="minorHAnsi" w:hAnsiTheme="minorHAnsi"/>
          <w:lang w:val="en-US"/>
        </w:rPr>
        <w:t xml:space="preserve"> A, </w:t>
      </w:r>
      <w:proofErr w:type="spellStart"/>
      <w:r w:rsidRPr="00DE4685">
        <w:rPr>
          <w:rFonts w:asciiTheme="minorHAnsi" w:hAnsiTheme="minorHAnsi"/>
          <w:lang w:val="en-US"/>
        </w:rPr>
        <w:t>Trinquart</w:t>
      </w:r>
      <w:proofErr w:type="spellEnd"/>
      <w:r w:rsidRPr="00DE4685">
        <w:rPr>
          <w:rFonts w:asciiTheme="minorHAnsi" w:hAnsiTheme="minorHAnsi"/>
          <w:lang w:val="en-US"/>
        </w:rPr>
        <w:t xml:space="preserve"> L, et al (2012) Impact of single </w:t>
      </w:r>
      <w:proofErr w:type="spellStart"/>
      <w:r w:rsidRPr="00DE4685">
        <w:rPr>
          <w:rFonts w:asciiTheme="minorHAnsi" w:hAnsiTheme="minorHAnsi"/>
          <w:lang w:val="en-US"/>
        </w:rPr>
        <w:t>centre</w:t>
      </w:r>
      <w:proofErr w:type="spellEnd"/>
      <w:r w:rsidRPr="00DE4685">
        <w:rPr>
          <w:rFonts w:asciiTheme="minorHAnsi" w:hAnsiTheme="minorHAnsi"/>
          <w:lang w:val="en-US"/>
        </w:rPr>
        <w:t xml:space="preserve"> status on estimates of intervention effects in trials with continuous outcomes: meta-epidemiological study. BMJ 344:e813.</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36. </w:t>
      </w:r>
      <w:r w:rsidRPr="00DE4685">
        <w:rPr>
          <w:rFonts w:asciiTheme="minorHAnsi" w:hAnsiTheme="minorHAnsi"/>
          <w:lang w:val="en-US"/>
        </w:rPr>
        <w:tab/>
      </w:r>
      <w:proofErr w:type="spellStart"/>
      <w:r w:rsidRPr="00DE4685">
        <w:rPr>
          <w:rFonts w:asciiTheme="minorHAnsi" w:hAnsiTheme="minorHAnsi"/>
          <w:lang w:val="en-US"/>
        </w:rPr>
        <w:t>Wiedermann</w:t>
      </w:r>
      <w:proofErr w:type="spellEnd"/>
      <w:r w:rsidRPr="00DE4685">
        <w:rPr>
          <w:rFonts w:asciiTheme="minorHAnsi" w:hAnsiTheme="minorHAnsi"/>
          <w:lang w:val="en-US"/>
        </w:rPr>
        <w:t xml:space="preserve"> CJ, </w:t>
      </w:r>
      <w:proofErr w:type="spellStart"/>
      <w:r w:rsidRPr="00DE4685">
        <w:rPr>
          <w:rFonts w:asciiTheme="minorHAnsi" w:hAnsiTheme="minorHAnsi"/>
          <w:lang w:val="en-US"/>
        </w:rPr>
        <w:t>Bellomo</w:t>
      </w:r>
      <w:proofErr w:type="spellEnd"/>
      <w:r w:rsidRPr="00DE4685">
        <w:rPr>
          <w:rFonts w:asciiTheme="minorHAnsi" w:hAnsiTheme="minorHAnsi"/>
          <w:lang w:val="en-US"/>
        </w:rPr>
        <w:t xml:space="preserve"> R, Perner A (2016) </w:t>
      </w:r>
      <w:proofErr w:type="gramStart"/>
      <w:r w:rsidRPr="00DE4685">
        <w:rPr>
          <w:rFonts w:asciiTheme="minorHAnsi" w:hAnsiTheme="minorHAnsi"/>
          <w:lang w:val="en-US"/>
        </w:rPr>
        <w:t>Is</w:t>
      </w:r>
      <w:proofErr w:type="gramEnd"/>
      <w:r w:rsidRPr="00DE4685">
        <w:rPr>
          <w:rFonts w:asciiTheme="minorHAnsi" w:hAnsiTheme="minorHAnsi"/>
          <w:lang w:val="en-US"/>
        </w:rPr>
        <w:t xml:space="preserve"> the literature inconclusive about the harm from HES? No. Intensive Care Med. </w:t>
      </w:r>
      <w:proofErr w:type="spellStart"/>
      <w:r w:rsidRPr="00DE4685">
        <w:rPr>
          <w:rFonts w:asciiTheme="minorHAnsi" w:hAnsiTheme="minorHAnsi"/>
          <w:lang w:val="en-US"/>
        </w:rPr>
        <w:t>doi</w:t>
      </w:r>
      <w:proofErr w:type="spellEnd"/>
      <w:r w:rsidRPr="00DE4685">
        <w:rPr>
          <w:rFonts w:asciiTheme="minorHAnsi" w:hAnsiTheme="minorHAnsi"/>
          <w:lang w:val="en-US"/>
        </w:rPr>
        <w:t>: 10.1007/s00134-016-4275-x</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37. </w:t>
      </w:r>
      <w:r w:rsidRPr="00DE4685">
        <w:rPr>
          <w:rFonts w:asciiTheme="minorHAnsi" w:hAnsiTheme="minorHAnsi"/>
          <w:lang w:val="en-US"/>
        </w:rPr>
        <w:tab/>
      </w:r>
      <w:proofErr w:type="spellStart"/>
      <w:r w:rsidRPr="00DE4685">
        <w:rPr>
          <w:rFonts w:asciiTheme="minorHAnsi" w:hAnsiTheme="minorHAnsi"/>
          <w:lang w:val="en-US"/>
        </w:rPr>
        <w:t>Landoni</w:t>
      </w:r>
      <w:proofErr w:type="spellEnd"/>
      <w:r w:rsidRPr="00DE4685">
        <w:rPr>
          <w:rFonts w:asciiTheme="minorHAnsi" w:hAnsiTheme="minorHAnsi"/>
          <w:lang w:val="en-US"/>
        </w:rPr>
        <w:t xml:space="preserve"> G, </w:t>
      </w:r>
      <w:proofErr w:type="spellStart"/>
      <w:r w:rsidRPr="00DE4685">
        <w:rPr>
          <w:rFonts w:asciiTheme="minorHAnsi" w:hAnsiTheme="minorHAnsi"/>
          <w:lang w:val="en-US"/>
        </w:rPr>
        <w:t>Comis</w:t>
      </w:r>
      <w:proofErr w:type="spellEnd"/>
      <w:r w:rsidRPr="00DE4685">
        <w:rPr>
          <w:rFonts w:asciiTheme="minorHAnsi" w:hAnsiTheme="minorHAnsi"/>
          <w:lang w:val="en-US"/>
        </w:rPr>
        <w:t xml:space="preserve"> M, Conte M, et al (2015) Mortality in Multicenter Critical Care Trials: An Analysis of Interventions With a Significant Effect.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Med 43:1559–1568.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10.1097/CCM.0000000000000974</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lastRenderedPageBreak/>
        <w:t xml:space="preserve">38. </w:t>
      </w:r>
      <w:r w:rsidRPr="00DE4685">
        <w:rPr>
          <w:rFonts w:asciiTheme="minorHAnsi" w:hAnsiTheme="minorHAnsi"/>
          <w:lang w:val="en-US"/>
        </w:rPr>
        <w:tab/>
        <w:t xml:space="preserve">Angus DC, </w:t>
      </w:r>
      <w:proofErr w:type="spellStart"/>
      <w:r w:rsidRPr="00DE4685">
        <w:rPr>
          <w:rFonts w:asciiTheme="minorHAnsi" w:hAnsiTheme="minorHAnsi"/>
          <w:lang w:val="en-US"/>
        </w:rPr>
        <w:t>Barnato</w:t>
      </w:r>
      <w:proofErr w:type="spellEnd"/>
      <w:r w:rsidRPr="00DE4685">
        <w:rPr>
          <w:rFonts w:asciiTheme="minorHAnsi" w:hAnsiTheme="minorHAnsi"/>
          <w:lang w:val="en-US"/>
        </w:rPr>
        <w:t xml:space="preserve"> AE, Bell D, et al (2015) A systematic review and meta-analysis of early goal-directed therapy for septic shock: the ARISE, </w:t>
      </w:r>
      <w:proofErr w:type="spellStart"/>
      <w:r w:rsidRPr="00DE4685">
        <w:rPr>
          <w:rFonts w:asciiTheme="minorHAnsi" w:hAnsiTheme="minorHAnsi"/>
          <w:lang w:val="en-US"/>
        </w:rPr>
        <w:t>ProCESS</w:t>
      </w:r>
      <w:proofErr w:type="spellEnd"/>
      <w:r w:rsidRPr="00DE4685">
        <w:rPr>
          <w:rFonts w:asciiTheme="minorHAnsi" w:hAnsiTheme="minorHAnsi"/>
          <w:lang w:val="en-US"/>
        </w:rPr>
        <w:t xml:space="preserve"> and </w:t>
      </w:r>
      <w:proofErr w:type="spellStart"/>
      <w:r w:rsidRPr="00DE4685">
        <w:rPr>
          <w:rFonts w:asciiTheme="minorHAnsi" w:hAnsiTheme="minorHAnsi"/>
          <w:lang w:val="en-US"/>
        </w:rPr>
        <w:t>ProMISe</w:t>
      </w:r>
      <w:proofErr w:type="spellEnd"/>
      <w:r w:rsidRPr="00DE4685">
        <w:rPr>
          <w:rFonts w:asciiTheme="minorHAnsi" w:hAnsiTheme="minorHAnsi"/>
          <w:lang w:val="en-US"/>
        </w:rPr>
        <w:t xml:space="preserve"> Investigators. Intensive Care Med 41:1549–1560.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10.1007/s00134-015-3822-1</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39. </w:t>
      </w:r>
      <w:r w:rsidRPr="00DE4685">
        <w:rPr>
          <w:rFonts w:asciiTheme="minorHAnsi" w:hAnsiTheme="minorHAnsi"/>
          <w:lang w:val="en-US"/>
        </w:rPr>
        <w:tab/>
      </w:r>
      <w:proofErr w:type="spellStart"/>
      <w:r w:rsidRPr="00DE4685">
        <w:rPr>
          <w:rFonts w:asciiTheme="minorHAnsi" w:hAnsiTheme="minorHAnsi"/>
          <w:lang w:val="en-US"/>
        </w:rPr>
        <w:t>Ranieri</w:t>
      </w:r>
      <w:proofErr w:type="spellEnd"/>
      <w:r w:rsidRPr="00DE4685">
        <w:rPr>
          <w:rFonts w:asciiTheme="minorHAnsi" w:hAnsiTheme="minorHAnsi"/>
          <w:lang w:val="en-US"/>
        </w:rPr>
        <w:t xml:space="preserve"> VM, Thompson BT, Finfer S, et al (2011) </w:t>
      </w:r>
      <w:proofErr w:type="spellStart"/>
      <w:r w:rsidRPr="00DE4685">
        <w:rPr>
          <w:rFonts w:asciiTheme="minorHAnsi" w:hAnsiTheme="minorHAnsi"/>
          <w:lang w:val="en-US"/>
        </w:rPr>
        <w:t>Unblinding</w:t>
      </w:r>
      <w:proofErr w:type="spellEnd"/>
      <w:r w:rsidRPr="00DE4685">
        <w:rPr>
          <w:rFonts w:asciiTheme="minorHAnsi" w:hAnsiTheme="minorHAnsi"/>
          <w:lang w:val="en-US"/>
        </w:rPr>
        <w:t xml:space="preserve"> plan of PROWESS-SHOCK trial. Intensive Care Med 37:1384–1385.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10.1007/s00134-011-2272-7</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40. </w:t>
      </w:r>
      <w:r w:rsidRPr="00DE4685">
        <w:rPr>
          <w:rFonts w:asciiTheme="minorHAnsi" w:hAnsiTheme="minorHAnsi"/>
          <w:lang w:val="en-US"/>
        </w:rPr>
        <w:tab/>
        <w:t xml:space="preserve">Perner A, Haase N, Guttormsen AB, et al (2012) Hydroxyethyl starch 130/0.42 versus Ringer’s acetate in severe sepsis. N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J Med 367:124–134.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10.1056/NEJMoa1204242</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41. </w:t>
      </w:r>
      <w:r w:rsidRPr="00DE4685">
        <w:rPr>
          <w:rFonts w:asciiTheme="minorHAnsi" w:hAnsiTheme="minorHAnsi"/>
          <w:lang w:val="en-US"/>
        </w:rPr>
        <w:tab/>
        <w:t xml:space="preserve">Myburgh JA, Finfer S, </w:t>
      </w:r>
      <w:proofErr w:type="spellStart"/>
      <w:r w:rsidRPr="00DE4685">
        <w:rPr>
          <w:rFonts w:asciiTheme="minorHAnsi" w:hAnsiTheme="minorHAnsi"/>
          <w:lang w:val="en-US"/>
        </w:rPr>
        <w:t>Bellomo</w:t>
      </w:r>
      <w:proofErr w:type="spellEnd"/>
      <w:r w:rsidRPr="00DE4685">
        <w:rPr>
          <w:rFonts w:asciiTheme="minorHAnsi" w:hAnsiTheme="minorHAnsi"/>
          <w:lang w:val="en-US"/>
        </w:rPr>
        <w:t xml:space="preserve"> R, et al (2012) Hydroxyethyl starch or saline for fluid resuscitation in intensive care. N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J Med 367:1901–1911.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10.1056/NEJMoa1209759</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42. </w:t>
      </w:r>
      <w:r w:rsidRPr="00DE4685">
        <w:rPr>
          <w:rFonts w:asciiTheme="minorHAnsi" w:hAnsiTheme="minorHAnsi"/>
          <w:lang w:val="en-US"/>
        </w:rPr>
        <w:tab/>
        <w:t xml:space="preserve">Haase N, Wetterslev J, Winkel P, Perner </w:t>
      </w:r>
      <w:proofErr w:type="gramStart"/>
      <w:r w:rsidRPr="00DE4685">
        <w:rPr>
          <w:rFonts w:asciiTheme="minorHAnsi" w:hAnsiTheme="minorHAnsi"/>
          <w:lang w:val="en-US"/>
        </w:rPr>
        <w:t>A</w:t>
      </w:r>
      <w:proofErr w:type="gramEnd"/>
      <w:r w:rsidRPr="00DE4685">
        <w:rPr>
          <w:rFonts w:asciiTheme="minorHAnsi" w:hAnsiTheme="minorHAnsi"/>
          <w:lang w:val="en-US"/>
        </w:rPr>
        <w:t xml:space="preserve"> (2013) Bleeding and risk of death with hydroxyethyl starch in severe sepsis: post hoc analyses of a randomized clinical trial. Intensive Care Med 39:2126–2134.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10.1007/s00134-013-3111-9</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43. </w:t>
      </w:r>
      <w:r w:rsidRPr="00DE4685">
        <w:rPr>
          <w:rFonts w:asciiTheme="minorHAnsi" w:hAnsiTheme="minorHAnsi"/>
          <w:lang w:val="en-US"/>
        </w:rPr>
        <w:tab/>
        <w:t xml:space="preserve">Bion J, </w:t>
      </w:r>
      <w:proofErr w:type="spellStart"/>
      <w:r w:rsidRPr="00DE4685">
        <w:rPr>
          <w:rFonts w:asciiTheme="minorHAnsi" w:hAnsiTheme="minorHAnsi"/>
          <w:lang w:val="en-US"/>
        </w:rPr>
        <w:t>Bellomo</w:t>
      </w:r>
      <w:proofErr w:type="spellEnd"/>
      <w:r w:rsidRPr="00DE4685">
        <w:rPr>
          <w:rFonts w:asciiTheme="minorHAnsi" w:hAnsiTheme="minorHAnsi"/>
          <w:lang w:val="en-US"/>
        </w:rPr>
        <w:t xml:space="preserve"> R, Myburgh J, et al (2014) Hydroxyethyl starch: putting patient safety first. Intensive Care Med 40:256–259.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10.1007/s00134-013-3167-6</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44. </w:t>
      </w:r>
      <w:r w:rsidRPr="00DE4685">
        <w:rPr>
          <w:rFonts w:asciiTheme="minorHAnsi" w:hAnsiTheme="minorHAnsi"/>
          <w:lang w:val="en-US"/>
        </w:rPr>
        <w:tab/>
        <w:t xml:space="preserve">Hébert PC, Wells G, </w:t>
      </w:r>
      <w:proofErr w:type="spellStart"/>
      <w:r w:rsidRPr="00DE4685">
        <w:rPr>
          <w:rFonts w:asciiTheme="minorHAnsi" w:hAnsiTheme="minorHAnsi"/>
          <w:lang w:val="en-US"/>
        </w:rPr>
        <w:t>Blajchman</w:t>
      </w:r>
      <w:proofErr w:type="spellEnd"/>
      <w:r w:rsidRPr="00DE4685">
        <w:rPr>
          <w:rFonts w:asciiTheme="minorHAnsi" w:hAnsiTheme="minorHAnsi"/>
          <w:lang w:val="en-US"/>
        </w:rPr>
        <w:t xml:space="preserve"> MA, et al (1999) A multicenter, randomized, controlled clinical trial of transfusion requirements in critical care. </w:t>
      </w:r>
      <w:proofErr w:type="gramStart"/>
      <w:r w:rsidRPr="00DE4685">
        <w:rPr>
          <w:rFonts w:asciiTheme="minorHAnsi" w:hAnsiTheme="minorHAnsi"/>
          <w:lang w:val="en-US"/>
        </w:rPr>
        <w:t>Transfusion Requirements in Critical Care Investigators, Canadian Critical Care Trials Group.</w:t>
      </w:r>
      <w:proofErr w:type="gramEnd"/>
      <w:r w:rsidRPr="00DE4685">
        <w:rPr>
          <w:rFonts w:asciiTheme="minorHAnsi" w:hAnsiTheme="minorHAnsi"/>
          <w:lang w:val="en-US"/>
        </w:rPr>
        <w:t xml:space="preserve"> N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J Med 340:409–417.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10.1056/NEJM199902113400601</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45. </w:t>
      </w:r>
      <w:r w:rsidRPr="00DE4685">
        <w:rPr>
          <w:rFonts w:asciiTheme="minorHAnsi" w:hAnsiTheme="minorHAnsi"/>
          <w:lang w:val="en-US"/>
        </w:rPr>
        <w:tab/>
        <w:t xml:space="preserve">Holst LB, Haase N, Wetterslev J, et al (2014) Lower versus higher hemoglobin threshold for transfusion in septic shock. N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J Med 371:1381–1391.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10.1056/NEJMoa1406617</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46. </w:t>
      </w:r>
      <w:r w:rsidRPr="00DE4685">
        <w:rPr>
          <w:rFonts w:asciiTheme="minorHAnsi" w:hAnsiTheme="minorHAnsi"/>
          <w:lang w:val="en-US"/>
        </w:rPr>
        <w:tab/>
        <w:t xml:space="preserve">Rygård SL, Holst LB, Wetterslev J, et al (2016) Long-term outcomes in patients with septic shock transfused at a lower versus a higher </w:t>
      </w:r>
      <w:proofErr w:type="spellStart"/>
      <w:r w:rsidRPr="00DE4685">
        <w:rPr>
          <w:rFonts w:asciiTheme="minorHAnsi" w:hAnsiTheme="minorHAnsi"/>
          <w:lang w:val="en-US"/>
        </w:rPr>
        <w:t>haemoglobin</w:t>
      </w:r>
      <w:proofErr w:type="spellEnd"/>
      <w:r w:rsidRPr="00DE4685">
        <w:rPr>
          <w:rFonts w:asciiTheme="minorHAnsi" w:hAnsiTheme="minorHAnsi"/>
          <w:lang w:val="en-US"/>
        </w:rPr>
        <w:t xml:space="preserve"> threshold: the TRISS </w:t>
      </w:r>
      <w:proofErr w:type="spellStart"/>
      <w:r w:rsidRPr="00DE4685">
        <w:rPr>
          <w:rFonts w:asciiTheme="minorHAnsi" w:hAnsiTheme="minorHAnsi"/>
          <w:lang w:val="en-US"/>
        </w:rPr>
        <w:t>randomised</w:t>
      </w:r>
      <w:proofErr w:type="spellEnd"/>
      <w:r w:rsidRPr="00DE4685">
        <w:rPr>
          <w:rFonts w:asciiTheme="minorHAnsi" w:hAnsiTheme="minorHAnsi"/>
          <w:lang w:val="en-US"/>
        </w:rPr>
        <w:t xml:space="preserve">, </w:t>
      </w:r>
      <w:proofErr w:type="spellStart"/>
      <w:r w:rsidRPr="00DE4685">
        <w:rPr>
          <w:rFonts w:asciiTheme="minorHAnsi" w:hAnsiTheme="minorHAnsi"/>
          <w:lang w:val="en-US"/>
        </w:rPr>
        <w:t>multicentre</w:t>
      </w:r>
      <w:proofErr w:type="spellEnd"/>
      <w:r w:rsidRPr="00DE4685">
        <w:rPr>
          <w:rFonts w:asciiTheme="minorHAnsi" w:hAnsiTheme="minorHAnsi"/>
          <w:lang w:val="en-US"/>
        </w:rPr>
        <w:t xml:space="preserve"> clinical trial. Intensive Care Med 42:1685–1694.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10.1007/s00134-016-4437-x</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47. </w:t>
      </w:r>
      <w:r w:rsidRPr="00DE4685">
        <w:rPr>
          <w:rFonts w:asciiTheme="minorHAnsi" w:hAnsiTheme="minorHAnsi"/>
          <w:lang w:val="en-US"/>
        </w:rPr>
        <w:tab/>
      </w:r>
      <w:proofErr w:type="spellStart"/>
      <w:r w:rsidRPr="00DE4685">
        <w:rPr>
          <w:rFonts w:asciiTheme="minorHAnsi" w:hAnsiTheme="minorHAnsi"/>
          <w:lang w:val="en-US"/>
        </w:rPr>
        <w:t>Lundh</w:t>
      </w:r>
      <w:proofErr w:type="spellEnd"/>
      <w:r w:rsidRPr="00DE4685">
        <w:rPr>
          <w:rFonts w:asciiTheme="minorHAnsi" w:hAnsiTheme="minorHAnsi"/>
          <w:lang w:val="en-US"/>
        </w:rPr>
        <w:t xml:space="preserve"> A, </w:t>
      </w:r>
      <w:proofErr w:type="spellStart"/>
      <w:r w:rsidRPr="00DE4685">
        <w:rPr>
          <w:rFonts w:asciiTheme="minorHAnsi" w:hAnsiTheme="minorHAnsi"/>
          <w:lang w:val="en-US"/>
        </w:rPr>
        <w:t>Sismondo</w:t>
      </w:r>
      <w:proofErr w:type="spellEnd"/>
      <w:r w:rsidRPr="00DE4685">
        <w:rPr>
          <w:rFonts w:asciiTheme="minorHAnsi" w:hAnsiTheme="minorHAnsi"/>
          <w:lang w:val="en-US"/>
        </w:rPr>
        <w:t xml:space="preserve"> S, </w:t>
      </w:r>
      <w:proofErr w:type="spellStart"/>
      <w:r w:rsidRPr="00DE4685">
        <w:rPr>
          <w:rFonts w:asciiTheme="minorHAnsi" w:hAnsiTheme="minorHAnsi"/>
          <w:lang w:val="en-US"/>
        </w:rPr>
        <w:t>Lexchin</w:t>
      </w:r>
      <w:proofErr w:type="spellEnd"/>
      <w:r w:rsidRPr="00DE4685">
        <w:rPr>
          <w:rFonts w:asciiTheme="minorHAnsi" w:hAnsiTheme="minorHAnsi"/>
          <w:lang w:val="en-US"/>
        </w:rPr>
        <w:t xml:space="preserve"> J, et al (2012) Industry sponsorship and research outcome. Cochrane Database </w:t>
      </w:r>
      <w:proofErr w:type="spellStart"/>
      <w:r w:rsidRPr="00DE4685">
        <w:rPr>
          <w:rFonts w:asciiTheme="minorHAnsi" w:hAnsiTheme="minorHAnsi"/>
          <w:lang w:val="en-US"/>
        </w:rPr>
        <w:t>Syst</w:t>
      </w:r>
      <w:proofErr w:type="spellEnd"/>
      <w:r w:rsidRPr="00DE4685">
        <w:rPr>
          <w:rFonts w:asciiTheme="minorHAnsi" w:hAnsiTheme="minorHAnsi"/>
          <w:lang w:val="en-US"/>
        </w:rPr>
        <w:t xml:space="preserve"> Rev 12:MR000033.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10.1002/14651858.MR000033.pub2</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48. </w:t>
      </w:r>
      <w:r w:rsidRPr="00DE4685">
        <w:rPr>
          <w:rFonts w:asciiTheme="minorHAnsi" w:hAnsiTheme="minorHAnsi"/>
          <w:lang w:val="en-US"/>
        </w:rPr>
        <w:tab/>
      </w:r>
      <w:proofErr w:type="spellStart"/>
      <w:r w:rsidRPr="00DE4685">
        <w:rPr>
          <w:rFonts w:asciiTheme="minorHAnsi" w:hAnsiTheme="minorHAnsi"/>
          <w:lang w:val="en-US"/>
        </w:rPr>
        <w:t>Savović</w:t>
      </w:r>
      <w:proofErr w:type="spellEnd"/>
      <w:r w:rsidRPr="00DE4685">
        <w:rPr>
          <w:rFonts w:asciiTheme="minorHAnsi" w:hAnsiTheme="minorHAnsi"/>
          <w:lang w:val="en-US"/>
        </w:rPr>
        <w:t xml:space="preserve"> J, Jones HE, Altman DG, et al (2012) Influence of reported study design characteristics on intervention effect estimates from randomized, controlled trials. Ann Intern Med 157:429–438.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10.7326/0003-4819-157-6-201209180-00537</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49. </w:t>
      </w:r>
      <w:r w:rsidRPr="00DE4685">
        <w:rPr>
          <w:rFonts w:asciiTheme="minorHAnsi" w:hAnsiTheme="minorHAnsi"/>
          <w:lang w:val="en-US"/>
        </w:rPr>
        <w:tab/>
        <w:t xml:space="preserve">Ziff OJ, Lane DA, </w:t>
      </w:r>
      <w:proofErr w:type="spellStart"/>
      <w:r w:rsidRPr="00DE4685">
        <w:rPr>
          <w:rFonts w:asciiTheme="minorHAnsi" w:hAnsiTheme="minorHAnsi"/>
          <w:lang w:val="en-US"/>
        </w:rPr>
        <w:t>Samra</w:t>
      </w:r>
      <w:proofErr w:type="spellEnd"/>
      <w:r w:rsidRPr="00DE4685">
        <w:rPr>
          <w:rFonts w:asciiTheme="minorHAnsi" w:hAnsiTheme="minorHAnsi"/>
          <w:lang w:val="en-US"/>
        </w:rPr>
        <w:t xml:space="preserve"> M, et al (2015) Safety and efficacy of digoxin: systematic review and meta-analysis of observational and controlled trial data. BMJ 351:h4451.</w:t>
      </w:r>
    </w:p>
    <w:p w:rsidR="007E7E7B" w:rsidRPr="00DE4685" w:rsidRDefault="007E7E7B" w:rsidP="007E7E7B">
      <w:pPr>
        <w:pStyle w:val="Bibliografi"/>
        <w:rPr>
          <w:rFonts w:asciiTheme="minorHAnsi" w:hAnsiTheme="minorHAnsi"/>
          <w:lang w:val="en-US"/>
        </w:rPr>
      </w:pPr>
      <w:proofErr w:type="gramStart"/>
      <w:r w:rsidRPr="00DE4685">
        <w:rPr>
          <w:rFonts w:asciiTheme="minorHAnsi" w:hAnsiTheme="minorHAnsi"/>
          <w:lang w:val="en-US"/>
        </w:rPr>
        <w:t xml:space="preserve">50. </w:t>
      </w:r>
      <w:r w:rsidRPr="00DE4685">
        <w:rPr>
          <w:rFonts w:asciiTheme="minorHAnsi" w:hAnsiTheme="minorHAnsi"/>
          <w:lang w:val="en-US"/>
        </w:rPr>
        <w:tab/>
        <w:t>Dellinger RP, Levy MM, Rhodes A, et al (2013) Surviving Sepsis Campaign: international guidelines for management of severe sepsis and septic shock, 2012.</w:t>
      </w:r>
      <w:proofErr w:type="gramEnd"/>
      <w:r w:rsidRPr="00DE4685">
        <w:rPr>
          <w:rFonts w:asciiTheme="minorHAnsi" w:hAnsiTheme="minorHAnsi"/>
          <w:lang w:val="en-US"/>
        </w:rPr>
        <w:t xml:space="preserve"> Intensive Care Med 39:165–228.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10.1007/s00134-012-2769-8</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lastRenderedPageBreak/>
        <w:t xml:space="preserve">51. </w:t>
      </w:r>
      <w:r w:rsidRPr="00DE4685">
        <w:rPr>
          <w:rFonts w:asciiTheme="minorHAnsi" w:hAnsiTheme="minorHAnsi"/>
          <w:lang w:val="en-US"/>
        </w:rPr>
        <w:tab/>
      </w:r>
      <w:proofErr w:type="spellStart"/>
      <w:r w:rsidRPr="00DE4685">
        <w:rPr>
          <w:rFonts w:asciiTheme="minorHAnsi" w:hAnsiTheme="minorHAnsi"/>
          <w:lang w:val="en-US"/>
        </w:rPr>
        <w:t>Guyatt</w:t>
      </w:r>
      <w:proofErr w:type="spellEnd"/>
      <w:r w:rsidRPr="00DE4685">
        <w:rPr>
          <w:rFonts w:asciiTheme="minorHAnsi" w:hAnsiTheme="minorHAnsi"/>
          <w:lang w:val="en-US"/>
        </w:rPr>
        <w:t xml:space="preserve"> GH, </w:t>
      </w:r>
      <w:proofErr w:type="spellStart"/>
      <w:r w:rsidRPr="00DE4685">
        <w:rPr>
          <w:rFonts w:asciiTheme="minorHAnsi" w:hAnsiTheme="minorHAnsi"/>
          <w:lang w:val="en-US"/>
        </w:rPr>
        <w:t>Oxman</w:t>
      </w:r>
      <w:proofErr w:type="spellEnd"/>
      <w:r w:rsidRPr="00DE4685">
        <w:rPr>
          <w:rFonts w:asciiTheme="minorHAnsi" w:hAnsiTheme="minorHAnsi"/>
          <w:lang w:val="en-US"/>
        </w:rPr>
        <w:t xml:space="preserve"> AD, </w:t>
      </w:r>
      <w:proofErr w:type="spellStart"/>
      <w:r w:rsidRPr="00DE4685">
        <w:rPr>
          <w:rFonts w:asciiTheme="minorHAnsi" w:hAnsiTheme="minorHAnsi"/>
          <w:lang w:val="en-US"/>
        </w:rPr>
        <w:t>Vist</w:t>
      </w:r>
      <w:proofErr w:type="spellEnd"/>
      <w:r w:rsidRPr="00DE4685">
        <w:rPr>
          <w:rFonts w:asciiTheme="minorHAnsi" w:hAnsiTheme="minorHAnsi"/>
          <w:lang w:val="en-US"/>
        </w:rPr>
        <w:t xml:space="preserve"> GE, et al (2008) GRADE: an emerging consensus on rating quality of evidence and strength of recommendations. BMJ 336:924–926.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10.1136/bmj.39489.470347.AD</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52. </w:t>
      </w:r>
      <w:r w:rsidRPr="00DE4685">
        <w:rPr>
          <w:rFonts w:asciiTheme="minorHAnsi" w:hAnsiTheme="minorHAnsi"/>
          <w:lang w:val="en-US"/>
        </w:rPr>
        <w:tab/>
        <w:t xml:space="preserve">Shankar-Hari M, Phillips GS, Levy ML, et al (2016) Developing a New Definition and Assessing New Clinical Criteria for Septic Shock: For the Third International Consensus Definitions for Sepsis and Septic Shock (Sepsis-3). JAMA 315:775–787.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10.1001/jama.2016.0289</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53. </w:t>
      </w:r>
      <w:r w:rsidRPr="00DE4685">
        <w:rPr>
          <w:rFonts w:asciiTheme="minorHAnsi" w:hAnsiTheme="minorHAnsi"/>
          <w:lang w:val="en-US"/>
        </w:rPr>
        <w:tab/>
        <w:t xml:space="preserve">Sterling SA, Miller WR, Pryor J, et al (2015) The Impact of Timing of Antibiotics on Outcomes in Severe Sepsis and Septic Shock: A Systematic Review and Meta-Analysis.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Med 43:1907–1915.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10.1097/CCM.0000000000001142</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54. </w:t>
      </w:r>
      <w:r w:rsidRPr="00DE4685">
        <w:rPr>
          <w:rFonts w:asciiTheme="minorHAnsi" w:hAnsiTheme="minorHAnsi"/>
          <w:lang w:val="en-US"/>
        </w:rPr>
        <w:tab/>
        <w:t xml:space="preserve">de Groot B, </w:t>
      </w:r>
      <w:proofErr w:type="spellStart"/>
      <w:r w:rsidRPr="00DE4685">
        <w:rPr>
          <w:rFonts w:asciiTheme="minorHAnsi" w:hAnsiTheme="minorHAnsi"/>
          <w:lang w:val="en-US"/>
        </w:rPr>
        <w:t>Ansems</w:t>
      </w:r>
      <w:proofErr w:type="spellEnd"/>
      <w:r w:rsidRPr="00DE4685">
        <w:rPr>
          <w:rFonts w:asciiTheme="minorHAnsi" w:hAnsiTheme="minorHAnsi"/>
          <w:lang w:val="en-US"/>
        </w:rPr>
        <w:t xml:space="preserve"> A, </w:t>
      </w:r>
      <w:proofErr w:type="spellStart"/>
      <w:r w:rsidRPr="00DE4685">
        <w:rPr>
          <w:rFonts w:asciiTheme="minorHAnsi" w:hAnsiTheme="minorHAnsi"/>
          <w:lang w:val="en-US"/>
        </w:rPr>
        <w:t>Gerling</w:t>
      </w:r>
      <w:proofErr w:type="spellEnd"/>
      <w:r w:rsidRPr="00DE4685">
        <w:rPr>
          <w:rFonts w:asciiTheme="minorHAnsi" w:hAnsiTheme="minorHAnsi"/>
          <w:lang w:val="en-US"/>
        </w:rPr>
        <w:t xml:space="preserve"> DH, et al (2015) </w:t>
      </w:r>
      <w:proofErr w:type="gramStart"/>
      <w:r w:rsidRPr="00DE4685">
        <w:rPr>
          <w:rFonts w:asciiTheme="minorHAnsi" w:hAnsiTheme="minorHAnsi"/>
          <w:lang w:val="en-US"/>
        </w:rPr>
        <w:t>The</w:t>
      </w:r>
      <w:proofErr w:type="gramEnd"/>
      <w:r w:rsidRPr="00DE4685">
        <w:rPr>
          <w:rFonts w:asciiTheme="minorHAnsi" w:hAnsiTheme="minorHAnsi"/>
          <w:lang w:val="en-US"/>
        </w:rPr>
        <w:t xml:space="preserve"> association between time to antibiotics and relevant clinical outcomes in emergency department patients with various stages of sepsis: a prospective multi-center study.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w:t>
      </w:r>
      <w:proofErr w:type="spellStart"/>
      <w:r w:rsidRPr="00DE4685">
        <w:rPr>
          <w:rFonts w:asciiTheme="minorHAnsi" w:hAnsiTheme="minorHAnsi"/>
          <w:lang w:val="en-US"/>
        </w:rPr>
        <w:t>Lond</w:t>
      </w:r>
      <w:proofErr w:type="spellEnd"/>
      <w:r w:rsidRPr="00DE4685">
        <w:rPr>
          <w:rFonts w:asciiTheme="minorHAnsi" w:hAnsiTheme="minorHAnsi"/>
          <w:lang w:val="en-US"/>
        </w:rPr>
        <w:t xml:space="preserve">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19:194.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10.1186/s13054-015-0936-3</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55. </w:t>
      </w:r>
      <w:r w:rsidRPr="00DE4685">
        <w:rPr>
          <w:rFonts w:asciiTheme="minorHAnsi" w:hAnsiTheme="minorHAnsi"/>
          <w:lang w:val="en-US"/>
        </w:rPr>
        <w:tab/>
        <w:t xml:space="preserve">McGregor JC, Rich SE, Harris AD, et al (2007) </w:t>
      </w:r>
      <w:proofErr w:type="gramStart"/>
      <w:r w:rsidRPr="00DE4685">
        <w:rPr>
          <w:rFonts w:asciiTheme="minorHAnsi" w:hAnsiTheme="minorHAnsi"/>
          <w:lang w:val="en-US"/>
        </w:rPr>
        <w:t>A</w:t>
      </w:r>
      <w:proofErr w:type="gramEnd"/>
      <w:r w:rsidRPr="00DE4685">
        <w:rPr>
          <w:rFonts w:asciiTheme="minorHAnsi" w:hAnsiTheme="minorHAnsi"/>
          <w:lang w:val="en-US"/>
        </w:rPr>
        <w:t xml:space="preserve"> systematic review of the methods used to assess the association between appropriate antibiotic therapy and mortality in </w:t>
      </w:r>
      <w:proofErr w:type="spellStart"/>
      <w:r w:rsidRPr="00DE4685">
        <w:rPr>
          <w:rFonts w:asciiTheme="minorHAnsi" w:hAnsiTheme="minorHAnsi"/>
          <w:lang w:val="en-US"/>
        </w:rPr>
        <w:t>bacteremic</w:t>
      </w:r>
      <w:proofErr w:type="spellEnd"/>
      <w:r w:rsidRPr="00DE4685">
        <w:rPr>
          <w:rFonts w:asciiTheme="minorHAnsi" w:hAnsiTheme="minorHAnsi"/>
          <w:lang w:val="en-US"/>
        </w:rPr>
        <w:t xml:space="preserve"> patients. </w:t>
      </w:r>
      <w:proofErr w:type="spellStart"/>
      <w:r w:rsidRPr="00DE4685">
        <w:rPr>
          <w:rFonts w:asciiTheme="minorHAnsi" w:hAnsiTheme="minorHAnsi"/>
          <w:lang w:val="en-US"/>
        </w:rPr>
        <w:t>Clin</w:t>
      </w:r>
      <w:proofErr w:type="spellEnd"/>
      <w:r w:rsidRPr="00DE4685">
        <w:rPr>
          <w:rFonts w:asciiTheme="minorHAnsi" w:hAnsiTheme="minorHAnsi"/>
          <w:lang w:val="en-US"/>
        </w:rPr>
        <w:t xml:space="preserve"> Infect Dis </w:t>
      </w:r>
      <w:proofErr w:type="gramStart"/>
      <w:r w:rsidRPr="00DE4685">
        <w:rPr>
          <w:rFonts w:asciiTheme="minorHAnsi" w:hAnsiTheme="minorHAnsi"/>
          <w:lang w:val="en-US"/>
        </w:rPr>
        <w:t>Off</w:t>
      </w:r>
      <w:proofErr w:type="gramEnd"/>
      <w:r w:rsidRPr="00DE4685">
        <w:rPr>
          <w:rFonts w:asciiTheme="minorHAnsi" w:hAnsiTheme="minorHAnsi"/>
          <w:lang w:val="en-US"/>
        </w:rPr>
        <w:t xml:space="preserve"> </w:t>
      </w:r>
      <w:proofErr w:type="spellStart"/>
      <w:r w:rsidRPr="00DE4685">
        <w:rPr>
          <w:rFonts w:asciiTheme="minorHAnsi" w:hAnsiTheme="minorHAnsi"/>
          <w:lang w:val="en-US"/>
        </w:rPr>
        <w:t>Publ</w:t>
      </w:r>
      <w:proofErr w:type="spellEnd"/>
      <w:r w:rsidRPr="00DE4685">
        <w:rPr>
          <w:rFonts w:asciiTheme="minorHAnsi" w:hAnsiTheme="minorHAnsi"/>
          <w:lang w:val="en-US"/>
        </w:rPr>
        <w:t xml:space="preserve"> Infect Dis </w:t>
      </w:r>
      <w:proofErr w:type="spellStart"/>
      <w:r w:rsidRPr="00DE4685">
        <w:rPr>
          <w:rFonts w:asciiTheme="minorHAnsi" w:hAnsiTheme="minorHAnsi"/>
          <w:lang w:val="en-US"/>
        </w:rPr>
        <w:t>Soc</w:t>
      </w:r>
      <w:proofErr w:type="spellEnd"/>
      <w:r w:rsidRPr="00DE4685">
        <w:rPr>
          <w:rFonts w:asciiTheme="minorHAnsi" w:hAnsiTheme="minorHAnsi"/>
          <w:lang w:val="en-US"/>
        </w:rPr>
        <w:t xml:space="preserve"> Am 45:329–337.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10.1086/519283</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56. </w:t>
      </w:r>
      <w:r w:rsidRPr="00DE4685">
        <w:rPr>
          <w:rFonts w:asciiTheme="minorHAnsi" w:hAnsiTheme="minorHAnsi"/>
          <w:lang w:val="en-US"/>
        </w:rPr>
        <w:tab/>
      </w:r>
      <w:proofErr w:type="spellStart"/>
      <w:r w:rsidRPr="00DE4685">
        <w:rPr>
          <w:rFonts w:asciiTheme="minorHAnsi" w:hAnsiTheme="minorHAnsi"/>
          <w:lang w:val="en-US"/>
        </w:rPr>
        <w:t>Eyler</w:t>
      </w:r>
      <w:proofErr w:type="spellEnd"/>
      <w:r w:rsidRPr="00DE4685">
        <w:rPr>
          <w:rFonts w:asciiTheme="minorHAnsi" w:hAnsiTheme="minorHAnsi"/>
          <w:lang w:val="en-US"/>
        </w:rPr>
        <w:t xml:space="preserve"> RF, Mueller BA, Medscape (2011) Antibiotic dosing in critically ill patients with acute kidney injury. Nat Rev </w:t>
      </w:r>
      <w:proofErr w:type="spellStart"/>
      <w:r w:rsidRPr="00DE4685">
        <w:rPr>
          <w:rFonts w:asciiTheme="minorHAnsi" w:hAnsiTheme="minorHAnsi"/>
          <w:lang w:val="en-US"/>
        </w:rPr>
        <w:t>Nephrol</w:t>
      </w:r>
      <w:proofErr w:type="spellEnd"/>
      <w:r w:rsidRPr="00DE4685">
        <w:rPr>
          <w:rFonts w:asciiTheme="minorHAnsi" w:hAnsiTheme="minorHAnsi"/>
          <w:lang w:val="en-US"/>
        </w:rPr>
        <w:t xml:space="preserve"> 7:226–235.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10.1038/nrneph.2011.12</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57. </w:t>
      </w:r>
      <w:r w:rsidRPr="00DE4685">
        <w:rPr>
          <w:rFonts w:asciiTheme="minorHAnsi" w:hAnsiTheme="minorHAnsi"/>
          <w:lang w:val="en-US"/>
        </w:rPr>
        <w:tab/>
        <w:t xml:space="preserve">Abdul-Aziz MH, </w:t>
      </w:r>
      <w:proofErr w:type="spellStart"/>
      <w:r w:rsidRPr="00DE4685">
        <w:rPr>
          <w:rFonts w:asciiTheme="minorHAnsi" w:hAnsiTheme="minorHAnsi"/>
          <w:lang w:val="en-US"/>
        </w:rPr>
        <w:t>Sulaiman</w:t>
      </w:r>
      <w:proofErr w:type="spellEnd"/>
      <w:r w:rsidRPr="00DE4685">
        <w:rPr>
          <w:rFonts w:asciiTheme="minorHAnsi" w:hAnsiTheme="minorHAnsi"/>
          <w:lang w:val="en-US"/>
        </w:rPr>
        <w:t xml:space="preserve"> H, Mat-Nor M-B, et al (2016) Beta-Lactam Infusion in Severe Sepsis (BLISS): a prospective, two-</w:t>
      </w:r>
      <w:proofErr w:type="spellStart"/>
      <w:r w:rsidRPr="00DE4685">
        <w:rPr>
          <w:rFonts w:asciiTheme="minorHAnsi" w:hAnsiTheme="minorHAnsi"/>
          <w:lang w:val="en-US"/>
        </w:rPr>
        <w:t>centre</w:t>
      </w:r>
      <w:proofErr w:type="spellEnd"/>
      <w:r w:rsidRPr="00DE4685">
        <w:rPr>
          <w:rFonts w:asciiTheme="minorHAnsi" w:hAnsiTheme="minorHAnsi"/>
          <w:lang w:val="en-US"/>
        </w:rPr>
        <w:t xml:space="preserve">, open-labelled </w:t>
      </w:r>
      <w:proofErr w:type="spellStart"/>
      <w:r w:rsidRPr="00DE4685">
        <w:rPr>
          <w:rFonts w:asciiTheme="minorHAnsi" w:hAnsiTheme="minorHAnsi"/>
          <w:lang w:val="en-US"/>
        </w:rPr>
        <w:t>randomised</w:t>
      </w:r>
      <w:proofErr w:type="spellEnd"/>
      <w:r w:rsidRPr="00DE4685">
        <w:rPr>
          <w:rFonts w:asciiTheme="minorHAnsi" w:hAnsiTheme="minorHAnsi"/>
          <w:lang w:val="en-US"/>
        </w:rPr>
        <w:t xml:space="preserve"> controlled trial of continuous versus intermittent beta-lactam infusion in critically ill patients with severe sepsis. Intensive Care Med 42:1535–1545.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10.1007/s00134-015-4188-0</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58. </w:t>
      </w:r>
      <w:r w:rsidRPr="00DE4685">
        <w:rPr>
          <w:rFonts w:asciiTheme="minorHAnsi" w:hAnsiTheme="minorHAnsi"/>
          <w:lang w:val="en-US"/>
        </w:rPr>
        <w:tab/>
        <w:t xml:space="preserve">Roberts JA, Taccone FS, Lipman J (2016) Understanding PK/PD. Intensive Care Med 42:1797–1800.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10.1007/s00134-015-4032-6</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59. </w:t>
      </w:r>
      <w:r w:rsidRPr="00DE4685">
        <w:rPr>
          <w:rFonts w:asciiTheme="minorHAnsi" w:hAnsiTheme="minorHAnsi"/>
          <w:lang w:val="en-US"/>
        </w:rPr>
        <w:tab/>
        <w:t xml:space="preserve">Shankar-Hari M, Harrison DA, Rowan KM (2016) Differences in Impact of Definitional Elements on Mortality Precludes International Comparisons of Sepsis Epidemiology-A Cohort Study Illustrating the Need for Standardized Reporting.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Med 44:2223–2230.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10.1097/CCM.0000000000001876</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60. </w:t>
      </w:r>
      <w:r w:rsidRPr="00DE4685">
        <w:rPr>
          <w:rFonts w:asciiTheme="minorHAnsi" w:hAnsiTheme="minorHAnsi"/>
          <w:lang w:val="en-US"/>
        </w:rPr>
        <w:tab/>
        <w:t xml:space="preserve">Kaukonen K-M, Bailey M, Suzuki S, et al (2014) Mortality related to severe sepsis and septic shock among critically ill patients in Australia and New Zealand, 2000-2012. JAMA 311:1308–1316.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10.1001/jama.2014.2637</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61. </w:t>
      </w:r>
      <w:r w:rsidRPr="00DE4685">
        <w:rPr>
          <w:rFonts w:asciiTheme="minorHAnsi" w:hAnsiTheme="minorHAnsi"/>
          <w:lang w:val="en-US"/>
        </w:rPr>
        <w:tab/>
      </w:r>
      <w:proofErr w:type="spellStart"/>
      <w:r w:rsidRPr="00DE4685">
        <w:rPr>
          <w:rFonts w:asciiTheme="minorHAnsi" w:hAnsiTheme="minorHAnsi"/>
          <w:lang w:val="en-US"/>
        </w:rPr>
        <w:t>Spellberg</w:t>
      </w:r>
      <w:proofErr w:type="spellEnd"/>
      <w:r w:rsidRPr="00DE4685">
        <w:rPr>
          <w:rFonts w:asciiTheme="minorHAnsi" w:hAnsiTheme="minorHAnsi"/>
          <w:lang w:val="en-US"/>
        </w:rPr>
        <w:t xml:space="preserve"> B, Bartlett JG, Gilbert DN (2013) </w:t>
      </w:r>
      <w:proofErr w:type="gramStart"/>
      <w:r w:rsidRPr="00DE4685">
        <w:rPr>
          <w:rFonts w:asciiTheme="minorHAnsi" w:hAnsiTheme="minorHAnsi"/>
          <w:lang w:val="en-US"/>
        </w:rPr>
        <w:t>The</w:t>
      </w:r>
      <w:proofErr w:type="gramEnd"/>
      <w:r w:rsidRPr="00DE4685">
        <w:rPr>
          <w:rFonts w:asciiTheme="minorHAnsi" w:hAnsiTheme="minorHAnsi"/>
          <w:lang w:val="en-US"/>
        </w:rPr>
        <w:t xml:space="preserve"> future of antibiotics and resistance. N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J Med 368:299–302.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10.1056/NEJMp1215093</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62. </w:t>
      </w:r>
      <w:r w:rsidRPr="00DE4685">
        <w:rPr>
          <w:rFonts w:asciiTheme="minorHAnsi" w:hAnsiTheme="minorHAnsi"/>
          <w:lang w:val="en-US"/>
        </w:rPr>
        <w:tab/>
        <w:t xml:space="preserve">Perner A, Gordon AC, De Backer D, et al (2016) Sepsis: frontiers in diagnosis, resuscitation and antibiotic therapy. Intensive Care Med 42:1958–1969.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10.1007/s00134-016-4577-z</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lastRenderedPageBreak/>
        <w:t xml:space="preserve">63. </w:t>
      </w:r>
      <w:r w:rsidRPr="00DE4685">
        <w:rPr>
          <w:rFonts w:asciiTheme="minorHAnsi" w:hAnsiTheme="minorHAnsi"/>
          <w:lang w:val="en-US"/>
        </w:rPr>
        <w:tab/>
        <w:t xml:space="preserve">Asfar P, </w:t>
      </w:r>
      <w:proofErr w:type="spellStart"/>
      <w:r w:rsidRPr="00DE4685">
        <w:rPr>
          <w:rFonts w:asciiTheme="minorHAnsi" w:hAnsiTheme="minorHAnsi"/>
          <w:lang w:val="en-US"/>
        </w:rPr>
        <w:t>Meziani</w:t>
      </w:r>
      <w:proofErr w:type="spellEnd"/>
      <w:r w:rsidRPr="00DE4685">
        <w:rPr>
          <w:rFonts w:asciiTheme="minorHAnsi" w:hAnsiTheme="minorHAnsi"/>
          <w:lang w:val="en-US"/>
        </w:rPr>
        <w:t xml:space="preserve"> F, Hamel J-F, et al (2014) High versus low blood-pressure target in patients with septic shock. N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J Med 370:1583–1593.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10.1056/NEJMoa1312173</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64. </w:t>
      </w:r>
      <w:r w:rsidRPr="00DE4685">
        <w:rPr>
          <w:rFonts w:asciiTheme="minorHAnsi" w:hAnsiTheme="minorHAnsi"/>
          <w:lang w:val="en-US"/>
        </w:rPr>
        <w:tab/>
        <w:t xml:space="preserve">Rygård SL, Holst LB, Wetterslev J, et al (2017) Higher vs. lower </w:t>
      </w:r>
      <w:proofErr w:type="spellStart"/>
      <w:r w:rsidRPr="00DE4685">
        <w:rPr>
          <w:rFonts w:asciiTheme="minorHAnsi" w:hAnsiTheme="minorHAnsi"/>
          <w:lang w:val="en-US"/>
        </w:rPr>
        <w:t>haemoglobin</w:t>
      </w:r>
      <w:proofErr w:type="spellEnd"/>
      <w:r w:rsidRPr="00DE4685">
        <w:rPr>
          <w:rFonts w:asciiTheme="minorHAnsi" w:hAnsiTheme="minorHAnsi"/>
          <w:lang w:val="en-US"/>
        </w:rPr>
        <w:t xml:space="preserve"> threshold for transfusion in septic shock: subgroup analyses of the TRISS trial. </w:t>
      </w:r>
      <w:proofErr w:type="spellStart"/>
      <w:r w:rsidRPr="00DE4685">
        <w:rPr>
          <w:rFonts w:asciiTheme="minorHAnsi" w:hAnsiTheme="minorHAnsi"/>
          <w:lang w:val="en-US"/>
        </w:rPr>
        <w:t>Acta</w:t>
      </w:r>
      <w:proofErr w:type="spellEnd"/>
      <w:r w:rsidRPr="00DE4685">
        <w:rPr>
          <w:rFonts w:asciiTheme="minorHAnsi" w:hAnsiTheme="minorHAnsi"/>
          <w:lang w:val="en-US"/>
        </w:rPr>
        <w:t xml:space="preserve"> </w:t>
      </w:r>
      <w:proofErr w:type="spellStart"/>
      <w:r w:rsidRPr="00DE4685">
        <w:rPr>
          <w:rFonts w:asciiTheme="minorHAnsi" w:hAnsiTheme="minorHAnsi"/>
          <w:lang w:val="en-US"/>
        </w:rPr>
        <w:t>Anaesthesiol</w:t>
      </w:r>
      <w:proofErr w:type="spellEnd"/>
      <w:r w:rsidRPr="00DE4685">
        <w:rPr>
          <w:rFonts w:asciiTheme="minorHAnsi" w:hAnsiTheme="minorHAnsi"/>
          <w:lang w:val="en-US"/>
        </w:rPr>
        <w:t xml:space="preserve"> </w:t>
      </w:r>
      <w:proofErr w:type="spellStart"/>
      <w:r w:rsidRPr="00DE4685">
        <w:rPr>
          <w:rFonts w:asciiTheme="minorHAnsi" w:hAnsiTheme="minorHAnsi"/>
          <w:lang w:val="en-US"/>
        </w:rPr>
        <w:t>Scand</w:t>
      </w:r>
      <w:proofErr w:type="spellEnd"/>
      <w:r w:rsidRPr="00DE4685">
        <w:rPr>
          <w:rFonts w:asciiTheme="minorHAnsi" w:hAnsiTheme="minorHAnsi"/>
          <w:lang w:val="en-US"/>
        </w:rPr>
        <w:t xml:space="preserve"> 61:166–175.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10.1111/aas.12837</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65. </w:t>
      </w:r>
      <w:r w:rsidRPr="00DE4685">
        <w:rPr>
          <w:rFonts w:asciiTheme="minorHAnsi" w:hAnsiTheme="minorHAnsi"/>
          <w:lang w:val="en-US"/>
        </w:rPr>
        <w:tab/>
        <w:t xml:space="preserve">Russell JA, Lee T, Singer J, et al (2017) The Septic Shock 3.0 Definition and Trials: A Vasopressin and Septic Shock Trial Experience.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Med. </w:t>
      </w:r>
      <w:proofErr w:type="spellStart"/>
      <w:r w:rsidRPr="00DE4685">
        <w:rPr>
          <w:rFonts w:asciiTheme="minorHAnsi" w:hAnsiTheme="minorHAnsi"/>
          <w:lang w:val="en-US"/>
        </w:rPr>
        <w:t>doi</w:t>
      </w:r>
      <w:proofErr w:type="spellEnd"/>
      <w:r w:rsidRPr="00DE4685">
        <w:rPr>
          <w:rFonts w:asciiTheme="minorHAnsi" w:hAnsiTheme="minorHAnsi"/>
          <w:lang w:val="en-US"/>
        </w:rPr>
        <w:t>: 10.1097/CCM.0000000000002323</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66. </w:t>
      </w:r>
      <w:r w:rsidRPr="00DE4685">
        <w:rPr>
          <w:rFonts w:asciiTheme="minorHAnsi" w:hAnsiTheme="minorHAnsi"/>
          <w:lang w:val="en-US"/>
        </w:rPr>
        <w:tab/>
        <w:t xml:space="preserve">Seymour CW, Liu VX, Iwashyna TJ, et al (2016) Assessment of Clinical Criteria for Sepsis: For the Third International Consensus Definitions for Sepsis and Septic Shock (Sepsis-3). JAMA 315:762–774.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10.1001/jama.2016.0288</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67. </w:t>
      </w:r>
      <w:r w:rsidRPr="00DE4685">
        <w:rPr>
          <w:rFonts w:asciiTheme="minorHAnsi" w:hAnsiTheme="minorHAnsi"/>
          <w:lang w:val="en-US"/>
        </w:rPr>
        <w:tab/>
      </w:r>
      <w:proofErr w:type="spellStart"/>
      <w:r w:rsidRPr="00DE4685">
        <w:rPr>
          <w:rFonts w:asciiTheme="minorHAnsi" w:hAnsiTheme="minorHAnsi"/>
          <w:lang w:val="en-US"/>
        </w:rPr>
        <w:t>Bhattacharjee</w:t>
      </w:r>
      <w:proofErr w:type="spellEnd"/>
      <w:r w:rsidRPr="00DE4685">
        <w:rPr>
          <w:rFonts w:asciiTheme="minorHAnsi" w:hAnsiTheme="minorHAnsi"/>
          <w:lang w:val="en-US"/>
        </w:rPr>
        <w:t xml:space="preserve"> P, </w:t>
      </w:r>
      <w:proofErr w:type="spellStart"/>
      <w:r w:rsidRPr="00DE4685">
        <w:rPr>
          <w:rFonts w:asciiTheme="minorHAnsi" w:hAnsiTheme="minorHAnsi"/>
          <w:lang w:val="en-US"/>
        </w:rPr>
        <w:t>Edelson</w:t>
      </w:r>
      <w:proofErr w:type="spellEnd"/>
      <w:r w:rsidRPr="00DE4685">
        <w:rPr>
          <w:rFonts w:asciiTheme="minorHAnsi" w:hAnsiTheme="minorHAnsi"/>
          <w:lang w:val="en-US"/>
        </w:rPr>
        <w:t xml:space="preserve"> DP, </w:t>
      </w:r>
      <w:proofErr w:type="spellStart"/>
      <w:r w:rsidRPr="00DE4685">
        <w:rPr>
          <w:rFonts w:asciiTheme="minorHAnsi" w:hAnsiTheme="minorHAnsi"/>
          <w:lang w:val="en-US"/>
        </w:rPr>
        <w:t>Churpek</w:t>
      </w:r>
      <w:proofErr w:type="spellEnd"/>
      <w:r w:rsidRPr="00DE4685">
        <w:rPr>
          <w:rFonts w:asciiTheme="minorHAnsi" w:hAnsiTheme="minorHAnsi"/>
          <w:lang w:val="en-US"/>
        </w:rPr>
        <w:t xml:space="preserve"> MM (2016) Identifying Patients with Sepsis on the Hospital Wards. </w:t>
      </w:r>
      <w:proofErr w:type="gramStart"/>
      <w:r w:rsidRPr="00DE4685">
        <w:rPr>
          <w:rFonts w:asciiTheme="minorHAnsi" w:hAnsiTheme="minorHAnsi"/>
          <w:lang w:val="en-US"/>
        </w:rPr>
        <w:t>Chest.</w:t>
      </w:r>
      <w:proofErr w:type="gramEnd"/>
      <w:r w:rsidRPr="00DE4685">
        <w:rPr>
          <w:rFonts w:asciiTheme="minorHAnsi" w:hAnsiTheme="minorHAnsi"/>
          <w:lang w:val="en-US"/>
        </w:rPr>
        <w:t xml:space="preserve">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10.1016/j.chest.2016.06.020</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68. </w:t>
      </w:r>
      <w:r w:rsidRPr="00DE4685">
        <w:rPr>
          <w:rFonts w:asciiTheme="minorHAnsi" w:hAnsiTheme="minorHAnsi"/>
          <w:lang w:val="en-US"/>
        </w:rPr>
        <w:tab/>
        <w:t xml:space="preserve">Cohen J, Vincent J-L, </w:t>
      </w:r>
      <w:proofErr w:type="spellStart"/>
      <w:r w:rsidRPr="00DE4685">
        <w:rPr>
          <w:rFonts w:asciiTheme="minorHAnsi" w:hAnsiTheme="minorHAnsi"/>
          <w:lang w:val="en-US"/>
        </w:rPr>
        <w:t>Adhikari</w:t>
      </w:r>
      <w:proofErr w:type="spellEnd"/>
      <w:r w:rsidRPr="00DE4685">
        <w:rPr>
          <w:rFonts w:asciiTheme="minorHAnsi" w:hAnsiTheme="minorHAnsi"/>
          <w:lang w:val="en-US"/>
        </w:rPr>
        <w:t xml:space="preserve"> NKJ, et al (2015) Sepsis: a roadmap for future research. Lancet Infect Dis 15:581–614.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10.1016/S1473-3099(15)70112-X</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69. </w:t>
      </w:r>
      <w:r w:rsidRPr="00DE4685">
        <w:rPr>
          <w:rFonts w:asciiTheme="minorHAnsi" w:hAnsiTheme="minorHAnsi"/>
          <w:lang w:val="en-US"/>
        </w:rPr>
        <w:tab/>
        <w:t xml:space="preserve">Prescott HC, Calfee CS, Thompson BT, et al (2016) Toward Smarter Lumping and Smarter Splitting: Rethinking Strategies for Sepsis and Acute Respiratory Distress Syndrome Clinical Trial Design. </w:t>
      </w:r>
      <w:proofErr w:type="gramStart"/>
      <w:r w:rsidRPr="00DE4685">
        <w:rPr>
          <w:rFonts w:asciiTheme="minorHAnsi" w:hAnsiTheme="minorHAnsi"/>
          <w:lang w:val="en-US"/>
        </w:rPr>
        <w:t>Am</w:t>
      </w:r>
      <w:proofErr w:type="gramEnd"/>
      <w:r w:rsidRPr="00DE4685">
        <w:rPr>
          <w:rFonts w:asciiTheme="minorHAnsi" w:hAnsiTheme="minorHAnsi"/>
          <w:lang w:val="en-US"/>
        </w:rPr>
        <w:t xml:space="preserve"> J </w:t>
      </w:r>
      <w:proofErr w:type="spellStart"/>
      <w:r w:rsidRPr="00DE4685">
        <w:rPr>
          <w:rFonts w:asciiTheme="minorHAnsi" w:hAnsiTheme="minorHAnsi"/>
          <w:lang w:val="en-US"/>
        </w:rPr>
        <w:t>Respir</w:t>
      </w:r>
      <w:proofErr w:type="spellEnd"/>
      <w:r w:rsidRPr="00DE4685">
        <w:rPr>
          <w:rFonts w:asciiTheme="minorHAnsi" w:hAnsiTheme="minorHAnsi"/>
          <w:lang w:val="en-US"/>
        </w:rPr>
        <w:t xml:space="preserve">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Med 194:147–155.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10.1164/rccm.201512-2544CP</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70. </w:t>
      </w:r>
      <w:r w:rsidRPr="00DE4685">
        <w:rPr>
          <w:rFonts w:asciiTheme="minorHAnsi" w:hAnsiTheme="minorHAnsi"/>
          <w:lang w:val="en-US"/>
        </w:rPr>
        <w:tab/>
        <w:t xml:space="preserve">Famous KR, </w:t>
      </w:r>
      <w:proofErr w:type="spellStart"/>
      <w:r w:rsidRPr="00DE4685">
        <w:rPr>
          <w:rFonts w:asciiTheme="minorHAnsi" w:hAnsiTheme="minorHAnsi"/>
          <w:lang w:val="en-US"/>
        </w:rPr>
        <w:t>Delucchi</w:t>
      </w:r>
      <w:proofErr w:type="spellEnd"/>
      <w:r w:rsidRPr="00DE4685">
        <w:rPr>
          <w:rFonts w:asciiTheme="minorHAnsi" w:hAnsiTheme="minorHAnsi"/>
          <w:lang w:val="en-US"/>
        </w:rPr>
        <w:t xml:space="preserve"> K, Ware LB, et al (2016) ARDS </w:t>
      </w:r>
      <w:proofErr w:type="spellStart"/>
      <w:r w:rsidRPr="00DE4685">
        <w:rPr>
          <w:rFonts w:asciiTheme="minorHAnsi" w:hAnsiTheme="minorHAnsi"/>
          <w:lang w:val="en-US"/>
        </w:rPr>
        <w:t>Subphenotypes</w:t>
      </w:r>
      <w:proofErr w:type="spellEnd"/>
      <w:r w:rsidRPr="00DE4685">
        <w:rPr>
          <w:rFonts w:asciiTheme="minorHAnsi" w:hAnsiTheme="minorHAnsi"/>
          <w:lang w:val="en-US"/>
        </w:rPr>
        <w:t xml:space="preserve"> Respond Differently to Randomized Fluid Management Strategy. Am J </w:t>
      </w:r>
      <w:proofErr w:type="spellStart"/>
      <w:r w:rsidRPr="00DE4685">
        <w:rPr>
          <w:rFonts w:asciiTheme="minorHAnsi" w:hAnsiTheme="minorHAnsi"/>
          <w:lang w:val="en-US"/>
        </w:rPr>
        <w:t>Respir</w:t>
      </w:r>
      <w:proofErr w:type="spellEnd"/>
      <w:r w:rsidRPr="00DE4685">
        <w:rPr>
          <w:rFonts w:asciiTheme="minorHAnsi" w:hAnsiTheme="minorHAnsi"/>
          <w:lang w:val="en-US"/>
        </w:rPr>
        <w:t xml:space="preserve">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Med. </w:t>
      </w:r>
      <w:proofErr w:type="spellStart"/>
      <w:r w:rsidRPr="00DE4685">
        <w:rPr>
          <w:rFonts w:asciiTheme="minorHAnsi" w:hAnsiTheme="minorHAnsi"/>
          <w:lang w:val="en-US"/>
        </w:rPr>
        <w:t>doi</w:t>
      </w:r>
      <w:proofErr w:type="spellEnd"/>
      <w:r w:rsidRPr="00DE4685">
        <w:rPr>
          <w:rFonts w:asciiTheme="minorHAnsi" w:hAnsiTheme="minorHAnsi"/>
          <w:lang w:val="en-US"/>
        </w:rPr>
        <w:t>: 10.1164/rccm.201603-0645OC</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71. </w:t>
      </w:r>
      <w:r w:rsidRPr="00DE4685">
        <w:rPr>
          <w:rFonts w:asciiTheme="minorHAnsi" w:hAnsiTheme="minorHAnsi"/>
          <w:lang w:val="en-US"/>
        </w:rPr>
        <w:tab/>
        <w:t xml:space="preserve">Wong HR, </w:t>
      </w:r>
      <w:proofErr w:type="spellStart"/>
      <w:r w:rsidRPr="00DE4685">
        <w:rPr>
          <w:rFonts w:asciiTheme="minorHAnsi" w:hAnsiTheme="minorHAnsi"/>
          <w:lang w:val="en-US"/>
        </w:rPr>
        <w:t>Cvijanovich</w:t>
      </w:r>
      <w:proofErr w:type="spellEnd"/>
      <w:r w:rsidRPr="00DE4685">
        <w:rPr>
          <w:rFonts w:asciiTheme="minorHAnsi" w:hAnsiTheme="minorHAnsi"/>
          <w:lang w:val="en-US"/>
        </w:rPr>
        <w:t xml:space="preserve"> NZ, </w:t>
      </w:r>
      <w:proofErr w:type="spellStart"/>
      <w:r w:rsidRPr="00DE4685">
        <w:rPr>
          <w:rFonts w:asciiTheme="minorHAnsi" w:hAnsiTheme="minorHAnsi"/>
          <w:lang w:val="en-US"/>
        </w:rPr>
        <w:t>Anas</w:t>
      </w:r>
      <w:proofErr w:type="spellEnd"/>
      <w:r w:rsidRPr="00DE4685">
        <w:rPr>
          <w:rFonts w:asciiTheme="minorHAnsi" w:hAnsiTheme="minorHAnsi"/>
          <w:lang w:val="en-US"/>
        </w:rPr>
        <w:t xml:space="preserve"> N, et al (2015) Developing a clinically feasible personalized medicine approach to pediatric septic shock. </w:t>
      </w:r>
      <w:proofErr w:type="gramStart"/>
      <w:r w:rsidRPr="00DE4685">
        <w:rPr>
          <w:rFonts w:asciiTheme="minorHAnsi" w:hAnsiTheme="minorHAnsi"/>
          <w:lang w:val="en-US"/>
        </w:rPr>
        <w:t>Am</w:t>
      </w:r>
      <w:proofErr w:type="gramEnd"/>
      <w:r w:rsidRPr="00DE4685">
        <w:rPr>
          <w:rFonts w:asciiTheme="minorHAnsi" w:hAnsiTheme="minorHAnsi"/>
          <w:lang w:val="en-US"/>
        </w:rPr>
        <w:t xml:space="preserve"> J </w:t>
      </w:r>
      <w:proofErr w:type="spellStart"/>
      <w:r w:rsidRPr="00DE4685">
        <w:rPr>
          <w:rFonts w:asciiTheme="minorHAnsi" w:hAnsiTheme="minorHAnsi"/>
          <w:lang w:val="en-US"/>
        </w:rPr>
        <w:t>Respir</w:t>
      </w:r>
      <w:proofErr w:type="spellEnd"/>
      <w:r w:rsidRPr="00DE4685">
        <w:rPr>
          <w:rFonts w:asciiTheme="minorHAnsi" w:hAnsiTheme="minorHAnsi"/>
          <w:lang w:val="en-US"/>
        </w:rPr>
        <w:t xml:space="preserve">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Med 191:309–315.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10.1164/rccm.201410-1864OC</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72. </w:t>
      </w:r>
      <w:r w:rsidRPr="00DE4685">
        <w:rPr>
          <w:rFonts w:asciiTheme="minorHAnsi" w:hAnsiTheme="minorHAnsi"/>
          <w:lang w:val="en-US"/>
        </w:rPr>
        <w:tab/>
        <w:t xml:space="preserve">Hotchkiss RS, Sherwood ER (2015) Immunology. </w:t>
      </w:r>
      <w:proofErr w:type="gramStart"/>
      <w:r w:rsidRPr="00DE4685">
        <w:rPr>
          <w:rFonts w:asciiTheme="minorHAnsi" w:hAnsiTheme="minorHAnsi"/>
          <w:lang w:val="en-US"/>
        </w:rPr>
        <w:t>Getting sepsis therapy right.</w:t>
      </w:r>
      <w:proofErr w:type="gramEnd"/>
      <w:r w:rsidRPr="00DE4685">
        <w:rPr>
          <w:rFonts w:asciiTheme="minorHAnsi" w:hAnsiTheme="minorHAnsi"/>
          <w:lang w:val="en-US"/>
        </w:rPr>
        <w:t xml:space="preserve"> Science 347:1201–1202.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10.1126/science.aaa8334</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73. </w:t>
      </w:r>
      <w:r w:rsidRPr="00DE4685">
        <w:rPr>
          <w:rFonts w:asciiTheme="minorHAnsi" w:hAnsiTheme="minorHAnsi"/>
          <w:lang w:val="en-US"/>
        </w:rPr>
        <w:tab/>
        <w:t>Iwashyna TJ, Liu V (2014) What’s so different about big data</w:t>
      </w:r>
      <w:proofErr w:type="gramStart"/>
      <w:r w:rsidRPr="00DE4685">
        <w:rPr>
          <w:rFonts w:asciiTheme="minorHAnsi" w:hAnsiTheme="minorHAnsi"/>
          <w:lang w:val="en-US"/>
        </w:rPr>
        <w:t>?.</w:t>
      </w:r>
      <w:proofErr w:type="gramEnd"/>
      <w:r w:rsidRPr="00DE4685">
        <w:rPr>
          <w:rFonts w:asciiTheme="minorHAnsi" w:hAnsiTheme="minorHAnsi"/>
          <w:lang w:val="en-US"/>
        </w:rPr>
        <w:t xml:space="preserve"> A primer for clinicians trained to think epidemiologically. Ann Am </w:t>
      </w:r>
      <w:proofErr w:type="spellStart"/>
      <w:r w:rsidRPr="00DE4685">
        <w:rPr>
          <w:rFonts w:asciiTheme="minorHAnsi" w:hAnsiTheme="minorHAnsi"/>
          <w:lang w:val="en-US"/>
        </w:rPr>
        <w:t>Thorac</w:t>
      </w:r>
      <w:proofErr w:type="spellEnd"/>
      <w:r w:rsidRPr="00DE4685">
        <w:rPr>
          <w:rFonts w:asciiTheme="minorHAnsi" w:hAnsiTheme="minorHAnsi"/>
          <w:lang w:val="en-US"/>
        </w:rPr>
        <w:t xml:space="preserve"> </w:t>
      </w:r>
      <w:proofErr w:type="spellStart"/>
      <w:r w:rsidRPr="00DE4685">
        <w:rPr>
          <w:rFonts w:asciiTheme="minorHAnsi" w:hAnsiTheme="minorHAnsi"/>
          <w:lang w:val="en-US"/>
        </w:rPr>
        <w:t>Soc</w:t>
      </w:r>
      <w:proofErr w:type="spellEnd"/>
      <w:r w:rsidRPr="00DE4685">
        <w:rPr>
          <w:rFonts w:asciiTheme="minorHAnsi" w:hAnsiTheme="minorHAnsi"/>
          <w:lang w:val="en-US"/>
        </w:rPr>
        <w:t xml:space="preserve"> 11:1130–1135.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10.1513/AnnalsATS.201405-185AS</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74. </w:t>
      </w:r>
      <w:r w:rsidRPr="00DE4685">
        <w:rPr>
          <w:rFonts w:asciiTheme="minorHAnsi" w:hAnsiTheme="minorHAnsi"/>
          <w:lang w:val="en-US"/>
        </w:rPr>
        <w:tab/>
      </w:r>
      <w:proofErr w:type="spellStart"/>
      <w:r w:rsidRPr="00DE4685">
        <w:rPr>
          <w:rFonts w:asciiTheme="minorHAnsi" w:hAnsiTheme="minorHAnsi"/>
          <w:lang w:val="en-US"/>
        </w:rPr>
        <w:t>Heyland</w:t>
      </w:r>
      <w:proofErr w:type="spellEnd"/>
      <w:r w:rsidRPr="00DE4685">
        <w:rPr>
          <w:rFonts w:asciiTheme="minorHAnsi" w:hAnsiTheme="minorHAnsi"/>
          <w:lang w:val="en-US"/>
        </w:rPr>
        <w:t xml:space="preserve"> DK, </w:t>
      </w:r>
      <w:proofErr w:type="spellStart"/>
      <w:r w:rsidRPr="00DE4685">
        <w:rPr>
          <w:rFonts w:asciiTheme="minorHAnsi" w:hAnsiTheme="minorHAnsi"/>
          <w:lang w:val="en-US"/>
        </w:rPr>
        <w:t>Muscedere</w:t>
      </w:r>
      <w:proofErr w:type="spellEnd"/>
      <w:r w:rsidRPr="00DE4685">
        <w:rPr>
          <w:rFonts w:asciiTheme="minorHAnsi" w:hAnsiTheme="minorHAnsi"/>
          <w:lang w:val="en-US"/>
        </w:rPr>
        <w:t xml:space="preserve"> J, Drover J, et al (2011) Persistent organ dysfunction plus death: a novel, composite outcome measure for critical care trials.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w:t>
      </w:r>
      <w:proofErr w:type="spellStart"/>
      <w:r w:rsidRPr="00DE4685">
        <w:rPr>
          <w:rFonts w:asciiTheme="minorHAnsi" w:hAnsiTheme="minorHAnsi"/>
          <w:lang w:val="en-US"/>
        </w:rPr>
        <w:t>Lond</w:t>
      </w:r>
      <w:proofErr w:type="spellEnd"/>
      <w:r w:rsidRPr="00DE4685">
        <w:rPr>
          <w:rFonts w:asciiTheme="minorHAnsi" w:hAnsiTheme="minorHAnsi"/>
          <w:lang w:val="en-US"/>
        </w:rPr>
        <w:t xml:space="preserve">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15:R98.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10.1186/cc10110</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75. </w:t>
      </w:r>
      <w:r w:rsidRPr="00DE4685">
        <w:rPr>
          <w:rFonts w:asciiTheme="minorHAnsi" w:hAnsiTheme="minorHAnsi"/>
          <w:lang w:val="en-US"/>
        </w:rPr>
        <w:tab/>
      </w:r>
      <w:proofErr w:type="spellStart"/>
      <w:r w:rsidRPr="00DE4685">
        <w:rPr>
          <w:rFonts w:asciiTheme="minorHAnsi" w:hAnsiTheme="minorHAnsi"/>
          <w:lang w:val="en-US"/>
        </w:rPr>
        <w:t>Montori</w:t>
      </w:r>
      <w:proofErr w:type="spellEnd"/>
      <w:r w:rsidRPr="00DE4685">
        <w:rPr>
          <w:rFonts w:asciiTheme="minorHAnsi" w:hAnsiTheme="minorHAnsi"/>
          <w:lang w:val="en-US"/>
        </w:rPr>
        <w:t xml:space="preserve"> VM, </w:t>
      </w:r>
      <w:proofErr w:type="spellStart"/>
      <w:r w:rsidRPr="00DE4685">
        <w:rPr>
          <w:rFonts w:asciiTheme="minorHAnsi" w:hAnsiTheme="minorHAnsi"/>
          <w:lang w:val="en-US"/>
        </w:rPr>
        <w:t>Permanyer</w:t>
      </w:r>
      <w:proofErr w:type="spellEnd"/>
      <w:r w:rsidRPr="00DE4685">
        <w:rPr>
          <w:rFonts w:asciiTheme="minorHAnsi" w:hAnsiTheme="minorHAnsi"/>
          <w:lang w:val="en-US"/>
        </w:rPr>
        <w:t xml:space="preserve">-Miralda G, Ferreira-González I, et al (2005) Validity of composite end points in clinical trials. BMJ 330:594–596.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10.1136/bmj.330.7491.594</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lastRenderedPageBreak/>
        <w:t xml:space="preserve">76. </w:t>
      </w:r>
      <w:r w:rsidRPr="00DE4685">
        <w:rPr>
          <w:rFonts w:asciiTheme="minorHAnsi" w:hAnsiTheme="minorHAnsi"/>
          <w:lang w:val="en-US"/>
        </w:rPr>
        <w:tab/>
        <w:t xml:space="preserve">Boyd JH, Forbes J, </w:t>
      </w:r>
      <w:proofErr w:type="spellStart"/>
      <w:r w:rsidRPr="00DE4685">
        <w:rPr>
          <w:rFonts w:asciiTheme="minorHAnsi" w:hAnsiTheme="minorHAnsi"/>
          <w:lang w:val="en-US"/>
        </w:rPr>
        <w:t>Nakada</w:t>
      </w:r>
      <w:proofErr w:type="spellEnd"/>
      <w:r w:rsidRPr="00DE4685">
        <w:rPr>
          <w:rFonts w:asciiTheme="minorHAnsi" w:hAnsiTheme="minorHAnsi"/>
          <w:lang w:val="en-US"/>
        </w:rPr>
        <w:t xml:space="preserve"> T, et al (2011) Fluid resuscitation in septic shock: a positive fluid balance and elevated central venous pressure are associated with increased mortality.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Med 39:259–265.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10.1097/CCM.0b013e3181feeb15</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77. </w:t>
      </w:r>
      <w:r w:rsidRPr="00DE4685">
        <w:rPr>
          <w:rFonts w:asciiTheme="minorHAnsi" w:hAnsiTheme="minorHAnsi"/>
          <w:lang w:val="en-US"/>
        </w:rPr>
        <w:tab/>
        <w:t xml:space="preserve">National Heart, Lung, and Blood Institute Acute Respiratory Distress Syndrome (ARDS) Clinical Trials Network, </w:t>
      </w:r>
      <w:proofErr w:type="spellStart"/>
      <w:r w:rsidRPr="00DE4685">
        <w:rPr>
          <w:rFonts w:asciiTheme="minorHAnsi" w:hAnsiTheme="minorHAnsi"/>
          <w:lang w:val="en-US"/>
        </w:rPr>
        <w:t>Wiedemann</w:t>
      </w:r>
      <w:proofErr w:type="spellEnd"/>
      <w:r w:rsidRPr="00DE4685">
        <w:rPr>
          <w:rFonts w:asciiTheme="minorHAnsi" w:hAnsiTheme="minorHAnsi"/>
          <w:lang w:val="en-US"/>
        </w:rPr>
        <w:t xml:space="preserve"> HP, Wheeler AP, et al (2006) Comparison of two fluid-management strategies in acute lung injury. N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J Med 354:2564–2575.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10.1056/NEJMoa062200</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78. </w:t>
      </w:r>
      <w:r w:rsidRPr="00DE4685">
        <w:rPr>
          <w:rFonts w:asciiTheme="minorHAnsi" w:hAnsiTheme="minorHAnsi"/>
          <w:lang w:val="en-US"/>
        </w:rPr>
        <w:tab/>
      </w:r>
      <w:proofErr w:type="spellStart"/>
      <w:r w:rsidRPr="00DE4685">
        <w:rPr>
          <w:rFonts w:asciiTheme="minorHAnsi" w:hAnsiTheme="minorHAnsi"/>
          <w:lang w:val="en-US"/>
        </w:rPr>
        <w:t>Hranjec</w:t>
      </w:r>
      <w:proofErr w:type="spellEnd"/>
      <w:r w:rsidRPr="00DE4685">
        <w:rPr>
          <w:rFonts w:asciiTheme="minorHAnsi" w:hAnsiTheme="minorHAnsi"/>
          <w:lang w:val="en-US"/>
        </w:rPr>
        <w:t xml:space="preserve"> T, Rosenberger LH, Swenson B, et al (2012) Aggressive versus conservative initiation of antimicrobial treatment in critically ill surgical patients with suspected intensive-care-unit-acquired infection: a quasi-experimental, before and after observational cohort study. Lancet Infect Dis 12:774–780.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10.1016/S1473-3099(12)70151-2</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79. </w:t>
      </w:r>
      <w:r w:rsidRPr="00DE4685">
        <w:rPr>
          <w:rFonts w:asciiTheme="minorHAnsi" w:hAnsiTheme="minorHAnsi"/>
          <w:lang w:val="en-US"/>
        </w:rPr>
        <w:tab/>
      </w:r>
      <w:proofErr w:type="spellStart"/>
      <w:r w:rsidRPr="00DE4685">
        <w:rPr>
          <w:rFonts w:asciiTheme="minorHAnsi" w:hAnsiTheme="minorHAnsi"/>
          <w:lang w:val="en-US"/>
        </w:rPr>
        <w:t>Lamontagne</w:t>
      </w:r>
      <w:proofErr w:type="spellEnd"/>
      <w:r w:rsidRPr="00DE4685">
        <w:rPr>
          <w:rFonts w:asciiTheme="minorHAnsi" w:hAnsiTheme="minorHAnsi"/>
          <w:lang w:val="en-US"/>
        </w:rPr>
        <w:t xml:space="preserve"> F, Meade MO, Hébert PC, et al (2016) Higher versus lower blood pressure targets for vasopressor therapy in shock: a </w:t>
      </w:r>
      <w:proofErr w:type="spellStart"/>
      <w:r w:rsidRPr="00DE4685">
        <w:rPr>
          <w:rFonts w:asciiTheme="minorHAnsi" w:hAnsiTheme="minorHAnsi"/>
          <w:lang w:val="en-US"/>
        </w:rPr>
        <w:t>multicentre</w:t>
      </w:r>
      <w:proofErr w:type="spellEnd"/>
      <w:r w:rsidRPr="00DE4685">
        <w:rPr>
          <w:rFonts w:asciiTheme="minorHAnsi" w:hAnsiTheme="minorHAnsi"/>
          <w:lang w:val="en-US"/>
        </w:rPr>
        <w:t xml:space="preserve"> pilot randomized controlled trial. Intensive Care Med 42:542–550.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10.1007/s00134-016-4237-3</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80. </w:t>
      </w:r>
      <w:r w:rsidRPr="00DE4685">
        <w:rPr>
          <w:rFonts w:asciiTheme="minorHAnsi" w:hAnsiTheme="minorHAnsi"/>
          <w:lang w:val="en-US"/>
        </w:rPr>
        <w:tab/>
        <w:t xml:space="preserve">Russell JA, </w:t>
      </w:r>
      <w:proofErr w:type="spellStart"/>
      <w:r w:rsidRPr="00DE4685">
        <w:rPr>
          <w:rFonts w:asciiTheme="minorHAnsi" w:hAnsiTheme="minorHAnsi"/>
          <w:lang w:val="en-US"/>
        </w:rPr>
        <w:t>Walley</w:t>
      </w:r>
      <w:proofErr w:type="spellEnd"/>
      <w:r w:rsidRPr="00DE4685">
        <w:rPr>
          <w:rFonts w:asciiTheme="minorHAnsi" w:hAnsiTheme="minorHAnsi"/>
          <w:lang w:val="en-US"/>
        </w:rPr>
        <w:t xml:space="preserve"> KR, Singer J, et al (2008) Vasopressin versus norepinephrine infusion in patients with septic shock. N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J Med 358:877–887.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10.1056/NEJMoa067373</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81. </w:t>
      </w:r>
      <w:r w:rsidRPr="00DE4685">
        <w:rPr>
          <w:rFonts w:asciiTheme="minorHAnsi" w:hAnsiTheme="minorHAnsi"/>
          <w:lang w:val="en-US"/>
        </w:rPr>
        <w:tab/>
        <w:t xml:space="preserve">Gordon AC, Mason AJ, </w:t>
      </w:r>
      <w:proofErr w:type="spellStart"/>
      <w:r w:rsidRPr="00DE4685">
        <w:rPr>
          <w:rFonts w:asciiTheme="minorHAnsi" w:hAnsiTheme="minorHAnsi"/>
          <w:lang w:val="en-US"/>
        </w:rPr>
        <w:t>Thirunavukkarasu</w:t>
      </w:r>
      <w:proofErr w:type="spellEnd"/>
      <w:r w:rsidRPr="00DE4685">
        <w:rPr>
          <w:rFonts w:asciiTheme="minorHAnsi" w:hAnsiTheme="minorHAnsi"/>
          <w:lang w:val="en-US"/>
        </w:rPr>
        <w:t xml:space="preserve"> N, et al (2016) Effect of Early Vasopressin vs Norepinephrine on Kidney Failure in Patients With Septic Shock: The VANISH Randomized Clinical Trial. JAMA 316:509–518.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10.1001/jama.2016.10485</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82. </w:t>
      </w:r>
      <w:r w:rsidRPr="00DE4685">
        <w:rPr>
          <w:rFonts w:asciiTheme="minorHAnsi" w:hAnsiTheme="minorHAnsi"/>
          <w:lang w:val="en-US"/>
        </w:rPr>
        <w:tab/>
        <w:t xml:space="preserve">Chawla LS, </w:t>
      </w:r>
      <w:proofErr w:type="spellStart"/>
      <w:r w:rsidRPr="00DE4685">
        <w:rPr>
          <w:rFonts w:asciiTheme="minorHAnsi" w:hAnsiTheme="minorHAnsi"/>
          <w:lang w:val="en-US"/>
        </w:rPr>
        <w:t>Busse</w:t>
      </w:r>
      <w:proofErr w:type="spellEnd"/>
      <w:r w:rsidRPr="00DE4685">
        <w:rPr>
          <w:rFonts w:asciiTheme="minorHAnsi" w:hAnsiTheme="minorHAnsi"/>
          <w:lang w:val="en-US"/>
        </w:rPr>
        <w:t xml:space="preserve"> L, </w:t>
      </w:r>
      <w:proofErr w:type="spellStart"/>
      <w:r w:rsidRPr="00DE4685">
        <w:rPr>
          <w:rFonts w:asciiTheme="minorHAnsi" w:hAnsiTheme="minorHAnsi"/>
          <w:lang w:val="en-US"/>
        </w:rPr>
        <w:t>Brasha</w:t>
      </w:r>
      <w:proofErr w:type="spellEnd"/>
      <w:r w:rsidRPr="00DE4685">
        <w:rPr>
          <w:rFonts w:asciiTheme="minorHAnsi" w:hAnsiTheme="minorHAnsi"/>
          <w:lang w:val="en-US"/>
        </w:rPr>
        <w:t xml:space="preserve">-Mitchell E, et al (2014) Intravenous angiotensin II for the treatment of high-output shock (ATHOS trial): a pilot study.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w:t>
      </w:r>
      <w:proofErr w:type="spellStart"/>
      <w:r w:rsidRPr="00DE4685">
        <w:rPr>
          <w:rFonts w:asciiTheme="minorHAnsi" w:hAnsiTheme="minorHAnsi"/>
          <w:lang w:val="en-US"/>
        </w:rPr>
        <w:t>Lond</w:t>
      </w:r>
      <w:proofErr w:type="spellEnd"/>
      <w:r w:rsidRPr="00DE4685">
        <w:rPr>
          <w:rFonts w:asciiTheme="minorHAnsi" w:hAnsiTheme="minorHAnsi"/>
          <w:lang w:val="en-US"/>
        </w:rPr>
        <w:t xml:space="preserve">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18:534.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10.1186/s13054-014-0534-9</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83. </w:t>
      </w:r>
      <w:r w:rsidRPr="00DE4685">
        <w:rPr>
          <w:rFonts w:asciiTheme="minorHAnsi" w:hAnsiTheme="minorHAnsi"/>
          <w:lang w:val="en-US"/>
        </w:rPr>
        <w:tab/>
        <w:t xml:space="preserve">Morelli A, </w:t>
      </w:r>
      <w:proofErr w:type="spellStart"/>
      <w:r w:rsidRPr="00DE4685">
        <w:rPr>
          <w:rFonts w:asciiTheme="minorHAnsi" w:hAnsiTheme="minorHAnsi"/>
          <w:lang w:val="en-US"/>
        </w:rPr>
        <w:t>Ertmer</w:t>
      </w:r>
      <w:proofErr w:type="spellEnd"/>
      <w:r w:rsidRPr="00DE4685">
        <w:rPr>
          <w:rFonts w:asciiTheme="minorHAnsi" w:hAnsiTheme="minorHAnsi"/>
          <w:lang w:val="en-US"/>
        </w:rPr>
        <w:t xml:space="preserve"> C, </w:t>
      </w:r>
      <w:proofErr w:type="spellStart"/>
      <w:r w:rsidRPr="00DE4685">
        <w:rPr>
          <w:rFonts w:asciiTheme="minorHAnsi" w:hAnsiTheme="minorHAnsi"/>
          <w:lang w:val="en-US"/>
        </w:rPr>
        <w:t>Westphal</w:t>
      </w:r>
      <w:proofErr w:type="spellEnd"/>
      <w:r w:rsidRPr="00DE4685">
        <w:rPr>
          <w:rFonts w:asciiTheme="minorHAnsi" w:hAnsiTheme="minorHAnsi"/>
          <w:lang w:val="en-US"/>
        </w:rPr>
        <w:t xml:space="preserve"> M, et al (2013) Effect of heart rate control with </w:t>
      </w:r>
      <w:proofErr w:type="spellStart"/>
      <w:r w:rsidRPr="00DE4685">
        <w:rPr>
          <w:rFonts w:asciiTheme="minorHAnsi" w:hAnsiTheme="minorHAnsi"/>
          <w:lang w:val="en-US"/>
        </w:rPr>
        <w:t>esmolol</w:t>
      </w:r>
      <w:proofErr w:type="spellEnd"/>
      <w:r w:rsidRPr="00DE4685">
        <w:rPr>
          <w:rFonts w:asciiTheme="minorHAnsi" w:hAnsiTheme="minorHAnsi"/>
          <w:lang w:val="en-US"/>
        </w:rPr>
        <w:t xml:space="preserve"> on hemodynamic and clinical outcomes in patients with septic shock: a randomized clinical trial. JAMA 310:1683–1691.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10.1001/jama.2013.278477</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84. </w:t>
      </w:r>
      <w:r w:rsidRPr="00DE4685">
        <w:rPr>
          <w:rFonts w:asciiTheme="minorHAnsi" w:hAnsiTheme="minorHAnsi"/>
          <w:lang w:val="en-US"/>
        </w:rPr>
        <w:tab/>
      </w:r>
      <w:proofErr w:type="spellStart"/>
      <w:r w:rsidRPr="00DE4685">
        <w:rPr>
          <w:rFonts w:asciiTheme="minorHAnsi" w:hAnsiTheme="minorHAnsi"/>
          <w:lang w:val="en-US"/>
        </w:rPr>
        <w:t>Dishy</w:t>
      </w:r>
      <w:proofErr w:type="spellEnd"/>
      <w:r w:rsidRPr="00DE4685">
        <w:rPr>
          <w:rFonts w:asciiTheme="minorHAnsi" w:hAnsiTheme="minorHAnsi"/>
          <w:lang w:val="en-US"/>
        </w:rPr>
        <w:t xml:space="preserve"> V, </w:t>
      </w:r>
      <w:proofErr w:type="spellStart"/>
      <w:r w:rsidRPr="00DE4685">
        <w:rPr>
          <w:rFonts w:asciiTheme="minorHAnsi" w:hAnsiTheme="minorHAnsi"/>
          <w:lang w:val="en-US"/>
        </w:rPr>
        <w:t>Sofowora</w:t>
      </w:r>
      <w:proofErr w:type="spellEnd"/>
      <w:r w:rsidRPr="00DE4685">
        <w:rPr>
          <w:rFonts w:asciiTheme="minorHAnsi" w:hAnsiTheme="minorHAnsi"/>
          <w:lang w:val="en-US"/>
        </w:rPr>
        <w:t xml:space="preserve"> GG, </w:t>
      </w:r>
      <w:proofErr w:type="spellStart"/>
      <w:r w:rsidRPr="00DE4685">
        <w:rPr>
          <w:rFonts w:asciiTheme="minorHAnsi" w:hAnsiTheme="minorHAnsi"/>
          <w:lang w:val="en-US"/>
        </w:rPr>
        <w:t>Xie</w:t>
      </w:r>
      <w:proofErr w:type="spellEnd"/>
      <w:r w:rsidRPr="00DE4685">
        <w:rPr>
          <w:rFonts w:asciiTheme="minorHAnsi" w:hAnsiTheme="minorHAnsi"/>
          <w:lang w:val="en-US"/>
        </w:rPr>
        <w:t xml:space="preserve"> HG, et al (2001) </w:t>
      </w:r>
      <w:proofErr w:type="gramStart"/>
      <w:r w:rsidRPr="00DE4685">
        <w:rPr>
          <w:rFonts w:asciiTheme="minorHAnsi" w:hAnsiTheme="minorHAnsi"/>
          <w:lang w:val="en-US"/>
        </w:rPr>
        <w:t>The</w:t>
      </w:r>
      <w:proofErr w:type="gramEnd"/>
      <w:r w:rsidRPr="00DE4685">
        <w:rPr>
          <w:rFonts w:asciiTheme="minorHAnsi" w:hAnsiTheme="minorHAnsi"/>
          <w:lang w:val="en-US"/>
        </w:rPr>
        <w:t xml:space="preserve"> effect of common polymorphisms of the beta2-adrenergic receptor on agonist-mediated vascular desensitization. N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J Med 345:1030–1035.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10.1056/NEJMoa010819</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85. </w:t>
      </w:r>
      <w:r w:rsidRPr="00DE4685">
        <w:rPr>
          <w:rFonts w:asciiTheme="minorHAnsi" w:hAnsiTheme="minorHAnsi"/>
          <w:lang w:val="en-US"/>
        </w:rPr>
        <w:tab/>
      </w:r>
      <w:proofErr w:type="spellStart"/>
      <w:r w:rsidRPr="00DE4685">
        <w:rPr>
          <w:rFonts w:asciiTheme="minorHAnsi" w:hAnsiTheme="minorHAnsi"/>
          <w:lang w:val="en-US"/>
        </w:rPr>
        <w:t>Laukkanen</w:t>
      </w:r>
      <w:proofErr w:type="spellEnd"/>
      <w:r w:rsidRPr="00DE4685">
        <w:rPr>
          <w:rFonts w:asciiTheme="minorHAnsi" w:hAnsiTheme="minorHAnsi"/>
          <w:lang w:val="en-US"/>
        </w:rPr>
        <w:t xml:space="preserve"> JA, </w:t>
      </w:r>
      <w:proofErr w:type="spellStart"/>
      <w:r w:rsidRPr="00DE4685">
        <w:rPr>
          <w:rFonts w:asciiTheme="minorHAnsi" w:hAnsiTheme="minorHAnsi"/>
          <w:lang w:val="en-US"/>
        </w:rPr>
        <w:t>Mäkikallio</w:t>
      </w:r>
      <w:proofErr w:type="spellEnd"/>
      <w:r w:rsidRPr="00DE4685">
        <w:rPr>
          <w:rFonts w:asciiTheme="minorHAnsi" w:hAnsiTheme="minorHAnsi"/>
          <w:lang w:val="en-US"/>
        </w:rPr>
        <w:t xml:space="preserve"> TH, </w:t>
      </w:r>
      <w:proofErr w:type="spellStart"/>
      <w:r w:rsidRPr="00DE4685">
        <w:rPr>
          <w:rFonts w:asciiTheme="minorHAnsi" w:hAnsiTheme="minorHAnsi"/>
          <w:lang w:val="en-US"/>
        </w:rPr>
        <w:t>Kauhanen</w:t>
      </w:r>
      <w:proofErr w:type="spellEnd"/>
      <w:r w:rsidRPr="00DE4685">
        <w:rPr>
          <w:rFonts w:asciiTheme="minorHAnsi" w:hAnsiTheme="minorHAnsi"/>
          <w:lang w:val="en-US"/>
        </w:rPr>
        <w:t xml:space="preserve"> J, </w:t>
      </w:r>
      <w:proofErr w:type="spellStart"/>
      <w:r w:rsidRPr="00DE4685">
        <w:rPr>
          <w:rFonts w:asciiTheme="minorHAnsi" w:hAnsiTheme="minorHAnsi"/>
          <w:lang w:val="en-US"/>
        </w:rPr>
        <w:t>Kurl</w:t>
      </w:r>
      <w:proofErr w:type="spellEnd"/>
      <w:r w:rsidRPr="00DE4685">
        <w:rPr>
          <w:rFonts w:asciiTheme="minorHAnsi" w:hAnsiTheme="minorHAnsi"/>
          <w:lang w:val="en-US"/>
        </w:rPr>
        <w:t xml:space="preserve"> S (2009) Insertion/deletion polymorphism in alpha2-adrenergic receptor gene is a genetic risk factor for sudden cardiac death. </w:t>
      </w:r>
      <w:proofErr w:type="gramStart"/>
      <w:r w:rsidRPr="00DE4685">
        <w:rPr>
          <w:rFonts w:asciiTheme="minorHAnsi" w:hAnsiTheme="minorHAnsi"/>
          <w:lang w:val="en-US"/>
        </w:rPr>
        <w:t>Am</w:t>
      </w:r>
      <w:proofErr w:type="gramEnd"/>
      <w:r w:rsidRPr="00DE4685">
        <w:rPr>
          <w:rFonts w:asciiTheme="minorHAnsi" w:hAnsiTheme="minorHAnsi"/>
          <w:lang w:val="en-US"/>
        </w:rPr>
        <w:t xml:space="preserve"> Heart J 158:615–621.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10.1016/j.ahj.2009.07.023</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86. </w:t>
      </w:r>
      <w:r w:rsidRPr="00DE4685">
        <w:rPr>
          <w:rFonts w:asciiTheme="minorHAnsi" w:hAnsiTheme="minorHAnsi"/>
          <w:lang w:val="en-US"/>
        </w:rPr>
        <w:tab/>
      </w:r>
      <w:proofErr w:type="spellStart"/>
      <w:r w:rsidRPr="00DE4685">
        <w:rPr>
          <w:rFonts w:asciiTheme="minorHAnsi" w:hAnsiTheme="minorHAnsi"/>
          <w:lang w:val="en-US"/>
        </w:rPr>
        <w:t>Nakada</w:t>
      </w:r>
      <w:proofErr w:type="spellEnd"/>
      <w:r w:rsidRPr="00DE4685">
        <w:rPr>
          <w:rFonts w:asciiTheme="minorHAnsi" w:hAnsiTheme="minorHAnsi"/>
          <w:lang w:val="en-US"/>
        </w:rPr>
        <w:t xml:space="preserve"> T-A, Russell JA, Boyd JH, </w:t>
      </w:r>
      <w:proofErr w:type="gramStart"/>
      <w:r w:rsidRPr="00DE4685">
        <w:rPr>
          <w:rFonts w:asciiTheme="minorHAnsi" w:hAnsiTheme="minorHAnsi"/>
          <w:lang w:val="en-US"/>
        </w:rPr>
        <w:t>et</w:t>
      </w:r>
      <w:proofErr w:type="gramEnd"/>
      <w:r w:rsidRPr="00DE4685">
        <w:rPr>
          <w:rFonts w:asciiTheme="minorHAnsi" w:hAnsiTheme="minorHAnsi"/>
          <w:lang w:val="en-US"/>
        </w:rPr>
        <w:t xml:space="preserve"> al (2010) beta2-Adrenergic receptor gene polymorphism is associated with mortality in septic shock. </w:t>
      </w:r>
      <w:proofErr w:type="gramStart"/>
      <w:r w:rsidRPr="00DE4685">
        <w:rPr>
          <w:rFonts w:asciiTheme="minorHAnsi" w:hAnsiTheme="minorHAnsi"/>
          <w:lang w:val="en-US"/>
        </w:rPr>
        <w:t>Am</w:t>
      </w:r>
      <w:proofErr w:type="gramEnd"/>
      <w:r w:rsidRPr="00DE4685">
        <w:rPr>
          <w:rFonts w:asciiTheme="minorHAnsi" w:hAnsiTheme="minorHAnsi"/>
          <w:lang w:val="en-US"/>
        </w:rPr>
        <w:t xml:space="preserve"> J </w:t>
      </w:r>
      <w:proofErr w:type="spellStart"/>
      <w:r w:rsidRPr="00DE4685">
        <w:rPr>
          <w:rFonts w:asciiTheme="minorHAnsi" w:hAnsiTheme="minorHAnsi"/>
          <w:lang w:val="en-US"/>
        </w:rPr>
        <w:t>Respir</w:t>
      </w:r>
      <w:proofErr w:type="spellEnd"/>
      <w:r w:rsidRPr="00DE4685">
        <w:rPr>
          <w:rFonts w:asciiTheme="minorHAnsi" w:hAnsiTheme="minorHAnsi"/>
          <w:lang w:val="en-US"/>
        </w:rPr>
        <w:t xml:space="preserve">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Med 181:143–149.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10.1164/rccm.200903-0332OC</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lastRenderedPageBreak/>
        <w:t xml:space="preserve">87. </w:t>
      </w:r>
      <w:r w:rsidRPr="00DE4685">
        <w:rPr>
          <w:rFonts w:asciiTheme="minorHAnsi" w:hAnsiTheme="minorHAnsi"/>
          <w:lang w:val="en-US"/>
        </w:rPr>
        <w:tab/>
        <w:t xml:space="preserve">Venkatesh B, Myburgh J, Finfer S, et al (2013) The ADRENAL study protocol: adjunctive corticosteroid treatment in critically ill patients with septic shock.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w:t>
      </w:r>
      <w:proofErr w:type="spellStart"/>
      <w:r w:rsidRPr="00DE4685">
        <w:rPr>
          <w:rFonts w:asciiTheme="minorHAnsi" w:hAnsiTheme="minorHAnsi"/>
          <w:lang w:val="en-US"/>
        </w:rPr>
        <w:t>Resusc</w:t>
      </w:r>
      <w:proofErr w:type="spellEnd"/>
      <w:r w:rsidRPr="00DE4685">
        <w:rPr>
          <w:rFonts w:asciiTheme="minorHAnsi" w:hAnsiTheme="minorHAnsi"/>
          <w:lang w:val="en-US"/>
        </w:rPr>
        <w:t xml:space="preserve"> J </w:t>
      </w:r>
      <w:proofErr w:type="spellStart"/>
      <w:r w:rsidRPr="00DE4685">
        <w:rPr>
          <w:rFonts w:asciiTheme="minorHAnsi" w:hAnsiTheme="minorHAnsi"/>
          <w:lang w:val="en-US"/>
        </w:rPr>
        <w:t>Australas</w:t>
      </w:r>
      <w:proofErr w:type="spellEnd"/>
      <w:r w:rsidRPr="00DE4685">
        <w:rPr>
          <w:rFonts w:asciiTheme="minorHAnsi" w:hAnsiTheme="minorHAnsi"/>
          <w:lang w:val="en-US"/>
        </w:rPr>
        <w:t xml:space="preserve"> </w:t>
      </w:r>
      <w:proofErr w:type="spellStart"/>
      <w:r w:rsidRPr="00DE4685">
        <w:rPr>
          <w:rFonts w:asciiTheme="minorHAnsi" w:hAnsiTheme="minorHAnsi"/>
          <w:lang w:val="en-US"/>
        </w:rPr>
        <w:t>Acad</w:t>
      </w:r>
      <w:proofErr w:type="spellEnd"/>
      <w:r w:rsidRPr="00DE4685">
        <w:rPr>
          <w:rFonts w:asciiTheme="minorHAnsi" w:hAnsiTheme="minorHAnsi"/>
          <w:lang w:val="en-US"/>
        </w:rPr>
        <w:t xml:space="preserve">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Med 15:83–88.</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88. </w:t>
      </w:r>
      <w:r w:rsidRPr="00DE4685">
        <w:rPr>
          <w:rFonts w:asciiTheme="minorHAnsi" w:hAnsiTheme="minorHAnsi"/>
          <w:lang w:val="en-US"/>
        </w:rPr>
        <w:tab/>
      </w:r>
      <w:proofErr w:type="spellStart"/>
      <w:r w:rsidRPr="00DE4685">
        <w:rPr>
          <w:rFonts w:asciiTheme="minorHAnsi" w:hAnsiTheme="minorHAnsi"/>
          <w:lang w:val="en-US"/>
        </w:rPr>
        <w:t>Bentzer</w:t>
      </w:r>
      <w:proofErr w:type="spellEnd"/>
      <w:r w:rsidRPr="00DE4685">
        <w:rPr>
          <w:rFonts w:asciiTheme="minorHAnsi" w:hAnsiTheme="minorHAnsi"/>
          <w:lang w:val="en-US"/>
        </w:rPr>
        <w:t xml:space="preserve"> P, </w:t>
      </w:r>
      <w:proofErr w:type="spellStart"/>
      <w:r w:rsidRPr="00DE4685">
        <w:rPr>
          <w:rFonts w:asciiTheme="minorHAnsi" w:hAnsiTheme="minorHAnsi"/>
          <w:lang w:val="en-US"/>
        </w:rPr>
        <w:t>Fjell</w:t>
      </w:r>
      <w:proofErr w:type="spellEnd"/>
      <w:r w:rsidRPr="00DE4685">
        <w:rPr>
          <w:rFonts w:asciiTheme="minorHAnsi" w:hAnsiTheme="minorHAnsi"/>
          <w:lang w:val="en-US"/>
        </w:rPr>
        <w:t xml:space="preserve"> C, </w:t>
      </w:r>
      <w:proofErr w:type="spellStart"/>
      <w:r w:rsidRPr="00DE4685">
        <w:rPr>
          <w:rFonts w:asciiTheme="minorHAnsi" w:hAnsiTheme="minorHAnsi"/>
          <w:lang w:val="en-US"/>
        </w:rPr>
        <w:t>Walley</w:t>
      </w:r>
      <w:proofErr w:type="spellEnd"/>
      <w:r w:rsidRPr="00DE4685">
        <w:rPr>
          <w:rFonts w:asciiTheme="minorHAnsi" w:hAnsiTheme="minorHAnsi"/>
          <w:lang w:val="en-US"/>
        </w:rPr>
        <w:t xml:space="preserve"> KR, et al (2016) Plasma cytokine levels predict response to corticosteroids in septic shock. Intensive Care Med 42:1970–1979.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10.1007/s00134-016-4338-z</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89. </w:t>
      </w:r>
      <w:r w:rsidRPr="00DE4685">
        <w:rPr>
          <w:rFonts w:asciiTheme="minorHAnsi" w:hAnsiTheme="minorHAnsi"/>
          <w:lang w:val="en-US"/>
        </w:rPr>
        <w:tab/>
      </w:r>
      <w:proofErr w:type="spellStart"/>
      <w:r w:rsidRPr="00DE4685">
        <w:rPr>
          <w:rFonts w:asciiTheme="minorHAnsi" w:hAnsiTheme="minorHAnsi"/>
          <w:lang w:val="en-US"/>
        </w:rPr>
        <w:t>Marik</w:t>
      </w:r>
      <w:proofErr w:type="spellEnd"/>
      <w:r w:rsidRPr="00DE4685">
        <w:rPr>
          <w:rFonts w:asciiTheme="minorHAnsi" w:hAnsiTheme="minorHAnsi"/>
          <w:lang w:val="en-US"/>
        </w:rPr>
        <w:t xml:space="preserve"> PE, </w:t>
      </w:r>
      <w:proofErr w:type="spellStart"/>
      <w:r w:rsidRPr="00DE4685">
        <w:rPr>
          <w:rFonts w:asciiTheme="minorHAnsi" w:hAnsiTheme="minorHAnsi"/>
          <w:lang w:val="en-US"/>
        </w:rPr>
        <w:t>Khangoora</w:t>
      </w:r>
      <w:proofErr w:type="spellEnd"/>
      <w:r w:rsidRPr="00DE4685">
        <w:rPr>
          <w:rFonts w:asciiTheme="minorHAnsi" w:hAnsiTheme="minorHAnsi"/>
          <w:lang w:val="en-US"/>
        </w:rPr>
        <w:t xml:space="preserve"> V, Rivera R, et al (2016) Hydrocortisone, Vitamin C and Thiamine for the Treatment of Severe Sepsis and Septic Shock: A Retrospective Before-After Study. </w:t>
      </w:r>
      <w:proofErr w:type="gramStart"/>
      <w:r w:rsidRPr="00DE4685">
        <w:rPr>
          <w:rFonts w:asciiTheme="minorHAnsi" w:hAnsiTheme="minorHAnsi"/>
          <w:lang w:val="en-US"/>
        </w:rPr>
        <w:t>Chest.</w:t>
      </w:r>
      <w:proofErr w:type="gramEnd"/>
      <w:r w:rsidRPr="00DE4685">
        <w:rPr>
          <w:rFonts w:asciiTheme="minorHAnsi" w:hAnsiTheme="minorHAnsi"/>
          <w:lang w:val="en-US"/>
        </w:rPr>
        <w:t xml:space="preserve">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10.1016/j.chest.2016.11.036</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90. </w:t>
      </w:r>
      <w:r w:rsidRPr="00DE4685">
        <w:rPr>
          <w:rFonts w:asciiTheme="minorHAnsi" w:hAnsiTheme="minorHAnsi"/>
          <w:lang w:val="en-US"/>
        </w:rPr>
        <w:tab/>
      </w:r>
      <w:proofErr w:type="spellStart"/>
      <w:r w:rsidRPr="00DE4685">
        <w:rPr>
          <w:rFonts w:asciiTheme="minorHAnsi" w:hAnsiTheme="minorHAnsi"/>
          <w:lang w:val="en-US"/>
        </w:rPr>
        <w:t>Brealey</w:t>
      </w:r>
      <w:proofErr w:type="spellEnd"/>
      <w:r w:rsidRPr="00DE4685">
        <w:rPr>
          <w:rFonts w:asciiTheme="minorHAnsi" w:hAnsiTheme="minorHAnsi"/>
          <w:lang w:val="en-US"/>
        </w:rPr>
        <w:t xml:space="preserve"> D, Brand M, Hargreaves I, et al (2002) Association between mitochondrial dysfunction and severity and outcome of septic shock. Lancet </w:t>
      </w:r>
      <w:proofErr w:type="spellStart"/>
      <w:r w:rsidRPr="00DE4685">
        <w:rPr>
          <w:rFonts w:asciiTheme="minorHAnsi" w:hAnsiTheme="minorHAnsi"/>
          <w:lang w:val="en-US"/>
        </w:rPr>
        <w:t>Lond</w:t>
      </w:r>
      <w:proofErr w:type="spellEnd"/>
      <w:r w:rsidRPr="00DE4685">
        <w:rPr>
          <w:rFonts w:asciiTheme="minorHAnsi" w:hAnsiTheme="minorHAnsi"/>
          <w:lang w:val="en-US"/>
        </w:rPr>
        <w:t xml:space="preserve">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360:219–223.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10.1016/S0140-6736(02)09459-X</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91. </w:t>
      </w:r>
      <w:r w:rsidRPr="00DE4685">
        <w:rPr>
          <w:rFonts w:asciiTheme="minorHAnsi" w:hAnsiTheme="minorHAnsi"/>
          <w:lang w:val="en-US"/>
        </w:rPr>
        <w:tab/>
        <w:t xml:space="preserve">Lowes DA, Webster NR, Murphy MP, Galley HF (2013) Antioxidants that protect mitochondria </w:t>
      </w:r>
      <w:proofErr w:type="gramStart"/>
      <w:r w:rsidRPr="00DE4685">
        <w:rPr>
          <w:rFonts w:asciiTheme="minorHAnsi" w:hAnsiTheme="minorHAnsi"/>
          <w:lang w:val="en-US"/>
        </w:rPr>
        <w:t>reduce</w:t>
      </w:r>
      <w:proofErr w:type="gramEnd"/>
      <w:r w:rsidRPr="00DE4685">
        <w:rPr>
          <w:rFonts w:asciiTheme="minorHAnsi" w:hAnsiTheme="minorHAnsi"/>
          <w:lang w:val="en-US"/>
        </w:rPr>
        <w:t xml:space="preserve"> interleukin-6 and oxidative stress, improve mitochondrial function, and reduce biochemical markers of organ dysfunction in a rat model of acute sepsis. Br J </w:t>
      </w:r>
      <w:proofErr w:type="spellStart"/>
      <w:r w:rsidRPr="00DE4685">
        <w:rPr>
          <w:rFonts w:asciiTheme="minorHAnsi" w:hAnsiTheme="minorHAnsi"/>
          <w:lang w:val="en-US"/>
        </w:rPr>
        <w:t>Anaesth</w:t>
      </w:r>
      <w:proofErr w:type="spellEnd"/>
      <w:r w:rsidRPr="00DE4685">
        <w:rPr>
          <w:rFonts w:asciiTheme="minorHAnsi" w:hAnsiTheme="minorHAnsi"/>
          <w:lang w:val="en-US"/>
        </w:rPr>
        <w:t xml:space="preserve"> 110:472–480.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10.1093/</w:t>
      </w:r>
      <w:proofErr w:type="spellStart"/>
      <w:r w:rsidRPr="00DE4685">
        <w:rPr>
          <w:rFonts w:asciiTheme="minorHAnsi" w:hAnsiTheme="minorHAnsi"/>
          <w:lang w:val="en-US"/>
        </w:rPr>
        <w:t>bja</w:t>
      </w:r>
      <w:proofErr w:type="spellEnd"/>
      <w:r w:rsidRPr="00DE4685">
        <w:rPr>
          <w:rFonts w:asciiTheme="minorHAnsi" w:hAnsiTheme="minorHAnsi"/>
          <w:lang w:val="en-US"/>
        </w:rPr>
        <w:t>/aes577</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92. </w:t>
      </w:r>
      <w:r w:rsidRPr="00DE4685">
        <w:rPr>
          <w:rFonts w:asciiTheme="minorHAnsi" w:hAnsiTheme="minorHAnsi"/>
          <w:lang w:val="en-US"/>
        </w:rPr>
        <w:tab/>
      </w:r>
      <w:proofErr w:type="spellStart"/>
      <w:r w:rsidRPr="00DE4685">
        <w:rPr>
          <w:rFonts w:asciiTheme="minorHAnsi" w:hAnsiTheme="minorHAnsi"/>
          <w:lang w:val="en-US"/>
        </w:rPr>
        <w:t>Lancel</w:t>
      </w:r>
      <w:proofErr w:type="spellEnd"/>
      <w:r w:rsidRPr="00DE4685">
        <w:rPr>
          <w:rFonts w:asciiTheme="minorHAnsi" w:hAnsiTheme="minorHAnsi"/>
          <w:lang w:val="en-US"/>
        </w:rPr>
        <w:t xml:space="preserve"> S, Hassoun SM, </w:t>
      </w:r>
      <w:proofErr w:type="spellStart"/>
      <w:r w:rsidRPr="00DE4685">
        <w:rPr>
          <w:rFonts w:asciiTheme="minorHAnsi" w:hAnsiTheme="minorHAnsi"/>
          <w:lang w:val="en-US"/>
        </w:rPr>
        <w:t>Favory</w:t>
      </w:r>
      <w:proofErr w:type="spellEnd"/>
      <w:r w:rsidRPr="00DE4685">
        <w:rPr>
          <w:rFonts w:asciiTheme="minorHAnsi" w:hAnsiTheme="minorHAnsi"/>
          <w:lang w:val="en-US"/>
        </w:rPr>
        <w:t xml:space="preserve"> R, et al (2009) Carbon monoxide rescues mice from lethal sepsis by supporting mitochondrial energetic metabolism and activating mitochondrial biogenesis. J </w:t>
      </w:r>
      <w:proofErr w:type="spellStart"/>
      <w:r w:rsidRPr="00DE4685">
        <w:rPr>
          <w:rFonts w:asciiTheme="minorHAnsi" w:hAnsiTheme="minorHAnsi"/>
          <w:lang w:val="en-US"/>
        </w:rPr>
        <w:t>Pharmacol</w:t>
      </w:r>
      <w:proofErr w:type="spellEnd"/>
      <w:r w:rsidRPr="00DE4685">
        <w:rPr>
          <w:rFonts w:asciiTheme="minorHAnsi" w:hAnsiTheme="minorHAnsi"/>
          <w:lang w:val="en-US"/>
        </w:rPr>
        <w:t xml:space="preserve"> </w:t>
      </w:r>
      <w:proofErr w:type="spellStart"/>
      <w:r w:rsidRPr="00DE4685">
        <w:rPr>
          <w:rFonts w:asciiTheme="minorHAnsi" w:hAnsiTheme="minorHAnsi"/>
          <w:lang w:val="en-US"/>
        </w:rPr>
        <w:t>Exp</w:t>
      </w:r>
      <w:proofErr w:type="spellEnd"/>
      <w:r w:rsidRPr="00DE4685">
        <w:rPr>
          <w:rFonts w:asciiTheme="minorHAnsi" w:hAnsiTheme="minorHAnsi"/>
          <w:lang w:val="en-US"/>
        </w:rPr>
        <w:t xml:space="preserve"> </w:t>
      </w:r>
      <w:proofErr w:type="spellStart"/>
      <w:r w:rsidRPr="00DE4685">
        <w:rPr>
          <w:rFonts w:asciiTheme="minorHAnsi" w:hAnsiTheme="minorHAnsi"/>
          <w:lang w:val="en-US"/>
        </w:rPr>
        <w:t>Ther</w:t>
      </w:r>
      <w:proofErr w:type="spellEnd"/>
      <w:r w:rsidRPr="00DE4685">
        <w:rPr>
          <w:rFonts w:asciiTheme="minorHAnsi" w:hAnsiTheme="minorHAnsi"/>
          <w:lang w:val="en-US"/>
        </w:rPr>
        <w:t xml:space="preserve"> 329:641–648.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10.1124/jpet.108.148049</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93. </w:t>
      </w:r>
      <w:r w:rsidRPr="00DE4685">
        <w:rPr>
          <w:rFonts w:asciiTheme="minorHAnsi" w:hAnsiTheme="minorHAnsi"/>
          <w:lang w:val="en-US"/>
        </w:rPr>
        <w:tab/>
        <w:t xml:space="preserve">Walter J, Ware LB, </w:t>
      </w:r>
      <w:proofErr w:type="spellStart"/>
      <w:r w:rsidRPr="00DE4685">
        <w:rPr>
          <w:rFonts w:asciiTheme="minorHAnsi" w:hAnsiTheme="minorHAnsi"/>
          <w:lang w:val="en-US"/>
        </w:rPr>
        <w:t>Matthay</w:t>
      </w:r>
      <w:proofErr w:type="spellEnd"/>
      <w:r w:rsidRPr="00DE4685">
        <w:rPr>
          <w:rFonts w:asciiTheme="minorHAnsi" w:hAnsiTheme="minorHAnsi"/>
          <w:lang w:val="en-US"/>
        </w:rPr>
        <w:t xml:space="preserve"> MA (2014) Mesenchymal stem cells: mechanisms of potential therapeutic benefit in ARDS and sepsis. Lancet </w:t>
      </w:r>
      <w:proofErr w:type="spellStart"/>
      <w:r w:rsidRPr="00DE4685">
        <w:rPr>
          <w:rFonts w:asciiTheme="minorHAnsi" w:hAnsiTheme="minorHAnsi"/>
          <w:lang w:val="en-US"/>
        </w:rPr>
        <w:t>Respir</w:t>
      </w:r>
      <w:proofErr w:type="spellEnd"/>
      <w:r w:rsidRPr="00DE4685">
        <w:rPr>
          <w:rFonts w:asciiTheme="minorHAnsi" w:hAnsiTheme="minorHAnsi"/>
          <w:lang w:val="en-US"/>
        </w:rPr>
        <w:t xml:space="preserve"> Med 2:1016–1026.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10.1016/S2213-2600(14)70217-6</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94. </w:t>
      </w:r>
      <w:r w:rsidRPr="00DE4685">
        <w:rPr>
          <w:rFonts w:asciiTheme="minorHAnsi" w:hAnsiTheme="minorHAnsi"/>
          <w:lang w:val="en-US"/>
        </w:rPr>
        <w:tab/>
        <w:t xml:space="preserve">Fisher CJ, </w:t>
      </w:r>
      <w:proofErr w:type="spellStart"/>
      <w:r w:rsidRPr="00DE4685">
        <w:rPr>
          <w:rFonts w:asciiTheme="minorHAnsi" w:hAnsiTheme="minorHAnsi"/>
          <w:lang w:val="en-US"/>
        </w:rPr>
        <w:t>Agosti</w:t>
      </w:r>
      <w:proofErr w:type="spellEnd"/>
      <w:r w:rsidRPr="00DE4685">
        <w:rPr>
          <w:rFonts w:asciiTheme="minorHAnsi" w:hAnsiTheme="minorHAnsi"/>
          <w:lang w:val="en-US"/>
        </w:rPr>
        <w:t xml:space="preserve"> JM, Opal SM, et al (1996) Treatment of septic shock with the tumor necrosis factor </w:t>
      </w:r>
      <w:proofErr w:type="spellStart"/>
      <w:r w:rsidRPr="00DE4685">
        <w:rPr>
          <w:rFonts w:asciiTheme="minorHAnsi" w:hAnsiTheme="minorHAnsi"/>
          <w:lang w:val="en-US"/>
        </w:rPr>
        <w:t>receptor:Fc</w:t>
      </w:r>
      <w:proofErr w:type="spellEnd"/>
      <w:r w:rsidRPr="00DE4685">
        <w:rPr>
          <w:rFonts w:asciiTheme="minorHAnsi" w:hAnsiTheme="minorHAnsi"/>
          <w:lang w:val="en-US"/>
        </w:rPr>
        <w:t xml:space="preserve"> fusion protein. </w:t>
      </w:r>
      <w:proofErr w:type="gramStart"/>
      <w:r w:rsidRPr="00DE4685">
        <w:rPr>
          <w:rFonts w:asciiTheme="minorHAnsi" w:hAnsiTheme="minorHAnsi"/>
          <w:lang w:val="en-US"/>
        </w:rPr>
        <w:t>The Soluble TNF Receptor Sepsis Study Group.</w:t>
      </w:r>
      <w:proofErr w:type="gramEnd"/>
      <w:r w:rsidRPr="00DE4685">
        <w:rPr>
          <w:rFonts w:asciiTheme="minorHAnsi" w:hAnsiTheme="minorHAnsi"/>
          <w:lang w:val="en-US"/>
        </w:rPr>
        <w:t xml:space="preserve"> N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J Med 334:1697–1702.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10.1056/NEJM199606273342603</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95. </w:t>
      </w:r>
      <w:r w:rsidRPr="00DE4685">
        <w:rPr>
          <w:rFonts w:asciiTheme="minorHAnsi" w:hAnsiTheme="minorHAnsi"/>
          <w:lang w:val="en-US"/>
        </w:rPr>
        <w:tab/>
        <w:t xml:space="preserve">Reinhart K, </w:t>
      </w:r>
      <w:proofErr w:type="spellStart"/>
      <w:r w:rsidRPr="00DE4685">
        <w:rPr>
          <w:rFonts w:asciiTheme="minorHAnsi" w:hAnsiTheme="minorHAnsi"/>
          <w:lang w:val="en-US"/>
        </w:rPr>
        <w:t>Menges</w:t>
      </w:r>
      <w:proofErr w:type="spellEnd"/>
      <w:r w:rsidRPr="00DE4685">
        <w:rPr>
          <w:rFonts w:asciiTheme="minorHAnsi" w:hAnsiTheme="minorHAnsi"/>
          <w:lang w:val="en-US"/>
        </w:rPr>
        <w:t xml:space="preserve"> T, </w:t>
      </w:r>
      <w:proofErr w:type="spellStart"/>
      <w:r w:rsidRPr="00DE4685">
        <w:rPr>
          <w:rFonts w:asciiTheme="minorHAnsi" w:hAnsiTheme="minorHAnsi"/>
          <w:lang w:val="en-US"/>
        </w:rPr>
        <w:t>Gardlund</w:t>
      </w:r>
      <w:proofErr w:type="spellEnd"/>
      <w:r w:rsidRPr="00DE4685">
        <w:rPr>
          <w:rFonts w:asciiTheme="minorHAnsi" w:hAnsiTheme="minorHAnsi"/>
          <w:lang w:val="en-US"/>
        </w:rPr>
        <w:t xml:space="preserve"> B, et al (2001) Randomized, placebo-controlled trial of the anti-tumor necrosis factor antibody fragment </w:t>
      </w:r>
      <w:proofErr w:type="spellStart"/>
      <w:r w:rsidRPr="00DE4685">
        <w:rPr>
          <w:rFonts w:asciiTheme="minorHAnsi" w:hAnsiTheme="minorHAnsi"/>
          <w:lang w:val="en-US"/>
        </w:rPr>
        <w:t>afelimomab</w:t>
      </w:r>
      <w:proofErr w:type="spellEnd"/>
      <w:r w:rsidRPr="00DE4685">
        <w:rPr>
          <w:rFonts w:asciiTheme="minorHAnsi" w:hAnsiTheme="minorHAnsi"/>
          <w:lang w:val="en-US"/>
        </w:rPr>
        <w:t xml:space="preserve"> in </w:t>
      </w:r>
      <w:proofErr w:type="spellStart"/>
      <w:r w:rsidRPr="00DE4685">
        <w:rPr>
          <w:rFonts w:asciiTheme="minorHAnsi" w:hAnsiTheme="minorHAnsi"/>
          <w:lang w:val="en-US"/>
        </w:rPr>
        <w:t>hyperinflammatory</w:t>
      </w:r>
      <w:proofErr w:type="spellEnd"/>
      <w:r w:rsidRPr="00DE4685">
        <w:rPr>
          <w:rFonts w:asciiTheme="minorHAnsi" w:hAnsiTheme="minorHAnsi"/>
          <w:lang w:val="en-US"/>
        </w:rPr>
        <w:t xml:space="preserve"> response during severe sepsis: The RAMSES Study. </w:t>
      </w:r>
      <w:proofErr w:type="spellStart"/>
      <w:r w:rsidRPr="00DE4685">
        <w:rPr>
          <w:rFonts w:asciiTheme="minorHAnsi" w:hAnsiTheme="minorHAnsi"/>
          <w:lang w:val="en-US"/>
        </w:rPr>
        <w:t>Crit</w:t>
      </w:r>
      <w:proofErr w:type="spellEnd"/>
      <w:r w:rsidRPr="00DE4685">
        <w:rPr>
          <w:rFonts w:asciiTheme="minorHAnsi" w:hAnsiTheme="minorHAnsi"/>
          <w:lang w:val="en-US"/>
        </w:rPr>
        <w:t xml:space="preserve"> Care Med 29:765–769.</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96. </w:t>
      </w:r>
      <w:r w:rsidRPr="00DE4685">
        <w:rPr>
          <w:rFonts w:asciiTheme="minorHAnsi" w:hAnsiTheme="minorHAnsi"/>
          <w:lang w:val="en-US"/>
        </w:rPr>
        <w:tab/>
      </w:r>
      <w:proofErr w:type="spellStart"/>
      <w:r w:rsidRPr="00DE4685">
        <w:rPr>
          <w:rFonts w:asciiTheme="minorHAnsi" w:hAnsiTheme="minorHAnsi"/>
          <w:lang w:val="en-US"/>
        </w:rPr>
        <w:t>Walley</w:t>
      </w:r>
      <w:proofErr w:type="spellEnd"/>
      <w:r w:rsidRPr="00DE4685">
        <w:rPr>
          <w:rFonts w:asciiTheme="minorHAnsi" w:hAnsiTheme="minorHAnsi"/>
          <w:lang w:val="en-US"/>
        </w:rPr>
        <w:t xml:space="preserve"> KR, </w:t>
      </w:r>
      <w:proofErr w:type="spellStart"/>
      <w:r w:rsidRPr="00DE4685">
        <w:rPr>
          <w:rFonts w:asciiTheme="minorHAnsi" w:hAnsiTheme="minorHAnsi"/>
          <w:lang w:val="en-US"/>
        </w:rPr>
        <w:t>Thain</w:t>
      </w:r>
      <w:proofErr w:type="spellEnd"/>
      <w:r w:rsidRPr="00DE4685">
        <w:rPr>
          <w:rFonts w:asciiTheme="minorHAnsi" w:hAnsiTheme="minorHAnsi"/>
          <w:lang w:val="en-US"/>
        </w:rPr>
        <w:t xml:space="preserve"> KR, Russell JA, et al (2014) PCSK9 is a critical regulator of the innate immune response and septic shock outcome. </w:t>
      </w:r>
      <w:proofErr w:type="spellStart"/>
      <w:r w:rsidRPr="00DE4685">
        <w:rPr>
          <w:rFonts w:asciiTheme="minorHAnsi" w:hAnsiTheme="minorHAnsi"/>
          <w:lang w:val="en-US"/>
        </w:rPr>
        <w:t>Sci</w:t>
      </w:r>
      <w:proofErr w:type="spellEnd"/>
      <w:r w:rsidRPr="00DE4685">
        <w:rPr>
          <w:rFonts w:asciiTheme="minorHAnsi" w:hAnsiTheme="minorHAnsi"/>
          <w:lang w:val="en-US"/>
        </w:rPr>
        <w:t xml:space="preserve"> </w:t>
      </w:r>
      <w:proofErr w:type="spellStart"/>
      <w:r w:rsidRPr="00DE4685">
        <w:rPr>
          <w:rFonts w:asciiTheme="minorHAnsi" w:hAnsiTheme="minorHAnsi"/>
          <w:lang w:val="en-US"/>
        </w:rPr>
        <w:t>Transl</w:t>
      </w:r>
      <w:proofErr w:type="spellEnd"/>
      <w:r w:rsidRPr="00DE4685">
        <w:rPr>
          <w:rFonts w:asciiTheme="minorHAnsi" w:hAnsiTheme="minorHAnsi"/>
          <w:lang w:val="en-US"/>
        </w:rPr>
        <w:t xml:space="preserve"> Med 6:258ra143.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10.1126/scitranslmed.3008782</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97. </w:t>
      </w:r>
      <w:r w:rsidRPr="00DE4685">
        <w:rPr>
          <w:rFonts w:asciiTheme="minorHAnsi" w:hAnsiTheme="minorHAnsi"/>
          <w:lang w:val="en-US"/>
        </w:rPr>
        <w:tab/>
        <w:t xml:space="preserve">Davenport EE, Burnham KL, </w:t>
      </w:r>
      <w:proofErr w:type="spellStart"/>
      <w:r w:rsidRPr="00DE4685">
        <w:rPr>
          <w:rFonts w:asciiTheme="minorHAnsi" w:hAnsiTheme="minorHAnsi"/>
          <w:lang w:val="en-US"/>
        </w:rPr>
        <w:t>Radhakrishnan</w:t>
      </w:r>
      <w:proofErr w:type="spellEnd"/>
      <w:r w:rsidRPr="00DE4685">
        <w:rPr>
          <w:rFonts w:asciiTheme="minorHAnsi" w:hAnsiTheme="minorHAnsi"/>
          <w:lang w:val="en-US"/>
        </w:rPr>
        <w:t xml:space="preserve"> J, et al (2016) Genomic landscape of the individual host response and outcomes in sepsis: a prospective cohort study. Lancet </w:t>
      </w:r>
      <w:proofErr w:type="spellStart"/>
      <w:r w:rsidRPr="00DE4685">
        <w:rPr>
          <w:rFonts w:asciiTheme="minorHAnsi" w:hAnsiTheme="minorHAnsi"/>
          <w:lang w:val="en-US"/>
        </w:rPr>
        <w:t>Respir</w:t>
      </w:r>
      <w:proofErr w:type="spellEnd"/>
      <w:r w:rsidRPr="00DE4685">
        <w:rPr>
          <w:rFonts w:asciiTheme="minorHAnsi" w:hAnsiTheme="minorHAnsi"/>
          <w:lang w:val="en-US"/>
        </w:rPr>
        <w:t xml:space="preserve"> Med 4:259–271.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10.1016/S2213-2600(16)00046-1</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lastRenderedPageBreak/>
        <w:t xml:space="preserve">98. </w:t>
      </w:r>
      <w:r w:rsidRPr="00DE4685">
        <w:rPr>
          <w:rFonts w:asciiTheme="minorHAnsi" w:hAnsiTheme="minorHAnsi"/>
          <w:lang w:val="en-US"/>
        </w:rPr>
        <w:tab/>
        <w:t xml:space="preserve">Hotchkiss RS, </w:t>
      </w:r>
      <w:proofErr w:type="spellStart"/>
      <w:r w:rsidRPr="00DE4685">
        <w:rPr>
          <w:rFonts w:asciiTheme="minorHAnsi" w:hAnsiTheme="minorHAnsi"/>
          <w:lang w:val="en-US"/>
        </w:rPr>
        <w:t>Monneret</w:t>
      </w:r>
      <w:proofErr w:type="spellEnd"/>
      <w:r w:rsidRPr="00DE4685">
        <w:rPr>
          <w:rFonts w:asciiTheme="minorHAnsi" w:hAnsiTheme="minorHAnsi"/>
          <w:lang w:val="en-US"/>
        </w:rPr>
        <w:t xml:space="preserve"> G, Payen D (2013) Immunosuppression in sepsis: a novel understanding of the disorder and a new therapeutic approach. Lancet Infect Dis 13:260–268.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10.1016/S1473-3099(13)70001-X</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99. </w:t>
      </w:r>
      <w:r w:rsidRPr="00DE4685">
        <w:rPr>
          <w:rFonts w:asciiTheme="minorHAnsi" w:hAnsiTheme="minorHAnsi"/>
          <w:lang w:val="en-US"/>
        </w:rPr>
        <w:tab/>
      </w:r>
      <w:proofErr w:type="spellStart"/>
      <w:r w:rsidRPr="00DE4685">
        <w:rPr>
          <w:rFonts w:asciiTheme="minorHAnsi" w:hAnsiTheme="minorHAnsi"/>
          <w:lang w:val="en-US"/>
        </w:rPr>
        <w:t>Tsoukalas</w:t>
      </w:r>
      <w:proofErr w:type="spellEnd"/>
      <w:r w:rsidRPr="00DE4685">
        <w:rPr>
          <w:rFonts w:asciiTheme="minorHAnsi" w:hAnsiTheme="minorHAnsi"/>
          <w:lang w:val="en-US"/>
        </w:rPr>
        <w:t xml:space="preserve"> A, Albertson T, </w:t>
      </w:r>
      <w:proofErr w:type="spellStart"/>
      <w:r w:rsidRPr="00DE4685">
        <w:rPr>
          <w:rFonts w:asciiTheme="minorHAnsi" w:hAnsiTheme="minorHAnsi"/>
          <w:lang w:val="en-US"/>
        </w:rPr>
        <w:t>Tagkopoulos</w:t>
      </w:r>
      <w:proofErr w:type="spellEnd"/>
      <w:r w:rsidRPr="00DE4685">
        <w:rPr>
          <w:rFonts w:asciiTheme="minorHAnsi" w:hAnsiTheme="minorHAnsi"/>
          <w:lang w:val="en-US"/>
        </w:rPr>
        <w:t xml:space="preserve"> I (2015) </w:t>
      </w:r>
      <w:proofErr w:type="gramStart"/>
      <w:r w:rsidRPr="00DE4685">
        <w:rPr>
          <w:rFonts w:asciiTheme="minorHAnsi" w:hAnsiTheme="minorHAnsi"/>
          <w:lang w:val="en-US"/>
        </w:rPr>
        <w:t>From</w:t>
      </w:r>
      <w:proofErr w:type="gramEnd"/>
      <w:r w:rsidRPr="00DE4685">
        <w:rPr>
          <w:rFonts w:asciiTheme="minorHAnsi" w:hAnsiTheme="minorHAnsi"/>
          <w:lang w:val="en-US"/>
        </w:rPr>
        <w:t xml:space="preserve"> data to optimal decision making: a data-driven, probabilistic machine learning approach to decision support for patients with sepsis. JMIR Med Inform 3:e11.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10.2196/medinform.3445</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100. </w:t>
      </w:r>
      <w:r w:rsidRPr="00DE4685">
        <w:rPr>
          <w:rFonts w:asciiTheme="minorHAnsi" w:hAnsiTheme="minorHAnsi"/>
          <w:lang w:val="en-US"/>
        </w:rPr>
        <w:tab/>
        <w:t xml:space="preserve">James ND, </w:t>
      </w:r>
      <w:proofErr w:type="spellStart"/>
      <w:r w:rsidRPr="00DE4685">
        <w:rPr>
          <w:rFonts w:asciiTheme="minorHAnsi" w:hAnsiTheme="minorHAnsi"/>
          <w:lang w:val="en-US"/>
        </w:rPr>
        <w:t>Sydes</w:t>
      </w:r>
      <w:proofErr w:type="spellEnd"/>
      <w:r w:rsidRPr="00DE4685">
        <w:rPr>
          <w:rFonts w:asciiTheme="minorHAnsi" w:hAnsiTheme="minorHAnsi"/>
          <w:lang w:val="en-US"/>
        </w:rPr>
        <w:t xml:space="preserve"> MR, Clarke NW, et al (2016) Addition of docetaxel, </w:t>
      </w:r>
      <w:proofErr w:type="spellStart"/>
      <w:r w:rsidRPr="00DE4685">
        <w:rPr>
          <w:rFonts w:asciiTheme="minorHAnsi" w:hAnsiTheme="minorHAnsi"/>
          <w:lang w:val="en-US"/>
        </w:rPr>
        <w:t>zoledronic</w:t>
      </w:r>
      <w:proofErr w:type="spellEnd"/>
      <w:r w:rsidRPr="00DE4685">
        <w:rPr>
          <w:rFonts w:asciiTheme="minorHAnsi" w:hAnsiTheme="minorHAnsi"/>
          <w:lang w:val="en-US"/>
        </w:rPr>
        <w:t xml:space="preserve"> acid, or both to first-line long-term hormone therapy in prostate cancer (STAMPEDE): survival results from an adaptive, </w:t>
      </w:r>
      <w:proofErr w:type="spellStart"/>
      <w:r w:rsidRPr="00DE4685">
        <w:rPr>
          <w:rFonts w:asciiTheme="minorHAnsi" w:hAnsiTheme="minorHAnsi"/>
          <w:lang w:val="en-US"/>
        </w:rPr>
        <w:t>multiarm</w:t>
      </w:r>
      <w:proofErr w:type="spellEnd"/>
      <w:r w:rsidRPr="00DE4685">
        <w:rPr>
          <w:rFonts w:asciiTheme="minorHAnsi" w:hAnsiTheme="minorHAnsi"/>
          <w:lang w:val="en-US"/>
        </w:rPr>
        <w:t xml:space="preserve">, multistage, platform </w:t>
      </w:r>
      <w:proofErr w:type="spellStart"/>
      <w:r w:rsidRPr="00DE4685">
        <w:rPr>
          <w:rFonts w:asciiTheme="minorHAnsi" w:hAnsiTheme="minorHAnsi"/>
          <w:lang w:val="en-US"/>
        </w:rPr>
        <w:t>randomised</w:t>
      </w:r>
      <w:proofErr w:type="spellEnd"/>
      <w:r w:rsidRPr="00DE4685">
        <w:rPr>
          <w:rFonts w:asciiTheme="minorHAnsi" w:hAnsiTheme="minorHAnsi"/>
          <w:lang w:val="en-US"/>
        </w:rPr>
        <w:t xml:space="preserve"> controlled trial. Lancet </w:t>
      </w:r>
      <w:proofErr w:type="spellStart"/>
      <w:r w:rsidRPr="00DE4685">
        <w:rPr>
          <w:rFonts w:asciiTheme="minorHAnsi" w:hAnsiTheme="minorHAnsi"/>
          <w:lang w:val="en-US"/>
        </w:rPr>
        <w:t>Lond</w:t>
      </w:r>
      <w:proofErr w:type="spellEnd"/>
      <w:r w:rsidRPr="00DE4685">
        <w:rPr>
          <w:rFonts w:asciiTheme="minorHAnsi" w:hAnsiTheme="minorHAnsi"/>
          <w:lang w:val="en-US"/>
        </w:rPr>
        <w:t xml:space="preserve"> </w:t>
      </w:r>
      <w:proofErr w:type="spellStart"/>
      <w:r w:rsidRPr="00DE4685">
        <w:rPr>
          <w:rFonts w:asciiTheme="minorHAnsi" w:hAnsiTheme="minorHAnsi"/>
          <w:lang w:val="en-US"/>
        </w:rPr>
        <w:t>Engl</w:t>
      </w:r>
      <w:proofErr w:type="spellEnd"/>
      <w:r w:rsidRPr="00DE4685">
        <w:rPr>
          <w:rFonts w:asciiTheme="minorHAnsi" w:hAnsiTheme="minorHAnsi"/>
          <w:lang w:val="en-US"/>
        </w:rPr>
        <w:t xml:space="preserve"> 387:1163–1177.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10.1016/S0140-6736(15)01037-5</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101. </w:t>
      </w:r>
      <w:r w:rsidRPr="00DE4685">
        <w:rPr>
          <w:rFonts w:asciiTheme="minorHAnsi" w:hAnsiTheme="minorHAnsi"/>
          <w:lang w:val="en-US"/>
        </w:rPr>
        <w:tab/>
        <w:t xml:space="preserve">Angus DC (2015) Fusing Randomized Trials </w:t>
      </w:r>
      <w:proofErr w:type="gramStart"/>
      <w:r w:rsidRPr="00DE4685">
        <w:rPr>
          <w:rFonts w:asciiTheme="minorHAnsi" w:hAnsiTheme="minorHAnsi"/>
          <w:lang w:val="en-US"/>
        </w:rPr>
        <w:t>With</w:t>
      </w:r>
      <w:proofErr w:type="gramEnd"/>
      <w:r w:rsidRPr="00DE4685">
        <w:rPr>
          <w:rFonts w:asciiTheme="minorHAnsi" w:hAnsiTheme="minorHAnsi"/>
          <w:lang w:val="en-US"/>
        </w:rPr>
        <w:t xml:space="preserve"> Big Data: The Key to Self-learning Health Care Systems? JAMA 314:767–768.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10.1001/jama.2015.7762</w:t>
      </w:r>
    </w:p>
    <w:p w:rsidR="007E7E7B" w:rsidRPr="00DE4685" w:rsidRDefault="007E7E7B" w:rsidP="007E7E7B">
      <w:pPr>
        <w:pStyle w:val="Bibliografi"/>
        <w:rPr>
          <w:rFonts w:asciiTheme="minorHAnsi" w:hAnsiTheme="minorHAnsi"/>
          <w:lang w:val="en-US"/>
        </w:rPr>
      </w:pPr>
      <w:r w:rsidRPr="00DE4685">
        <w:rPr>
          <w:rFonts w:asciiTheme="minorHAnsi" w:hAnsiTheme="minorHAnsi"/>
          <w:lang w:val="en-US"/>
        </w:rPr>
        <w:t xml:space="preserve">102. </w:t>
      </w:r>
      <w:r w:rsidRPr="00DE4685">
        <w:rPr>
          <w:rFonts w:asciiTheme="minorHAnsi" w:hAnsiTheme="minorHAnsi"/>
          <w:lang w:val="en-US"/>
        </w:rPr>
        <w:tab/>
        <w:t xml:space="preserve">Shankar-Hari M, Rubenfeld GD (2017) </w:t>
      </w:r>
      <w:proofErr w:type="gramStart"/>
      <w:r w:rsidRPr="00DE4685">
        <w:rPr>
          <w:rFonts w:asciiTheme="minorHAnsi" w:hAnsiTheme="minorHAnsi"/>
          <w:lang w:val="en-US"/>
        </w:rPr>
        <w:t>The</w:t>
      </w:r>
      <w:proofErr w:type="gramEnd"/>
      <w:r w:rsidRPr="00DE4685">
        <w:rPr>
          <w:rFonts w:asciiTheme="minorHAnsi" w:hAnsiTheme="minorHAnsi"/>
          <w:lang w:val="en-US"/>
        </w:rPr>
        <w:t xml:space="preserve"> use of enrichment to reduce statistically indeterminate or negative trials in critical care. </w:t>
      </w:r>
      <w:proofErr w:type="spellStart"/>
      <w:r w:rsidRPr="00DE4685">
        <w:rPr>
          <w:rFonts w:asciiTheme="minorHAnsi" w:hAnsiTheme="minorHAnsi"/>
          <w:lang w:val="en-US"/>
        </w:rPr>
        <w:t>Anaesthesia</w:t>
      </w:r>
      <w:proofErr w:type="spellEnd"/>
      <w:r w:rsidRPr="00DE4685">
        <w:rPr>
          <w:rFonts w:asciiTheme="minorHAnsi" w:hAnsiTheme="minorHAnsi"/>
          <w:lang w:val="en-US"/>
        </w:rPr>
        <w:t xml:space="preserve"> 72:560–565. </w:t>
      </w:r>
      <w:proofErr w:type="spellStart"/>
      <w:proofErr w:type="gramStart"/>
      <w:r w:rsidRPr="00DE4685">
        <w:rPr>
          <w:rFonts w:asciiTheme="minorHAnsi" w:hAnsiTheme="minorHAnsi"/>
          <w:lang w:val="en-US"/>
        </w:rPr>
        <w:t>doi</w:t>
      </w:r>
      <w:proofErr w:type="spellEnd"/>
      <w:proofErr w:type="gramEnd"/>
      <w:r w:rsidRPr="00DE4685">
        <w:rPr>
          <w:rFonts w:asciiTheme="minorHAnsi" w:hAnsiTheme="minorHAnsi"/>
          <w:lang w:val="en-US"/>
        </w:rPr>
        <w:t>: 10.1111/anae.13870</w:t>
      </w:r>
    </w:p>
    <w:p w:rsidR="00310854" w:rsidRDefault="002B0CDC" w:rsidP="00851E20">
      <w:pPr>
        <w:tabs>
          <w:tab w:val="right" w:pos="360"/>
          <w:tab w:val="left" w:pos="540"/>
        </w:tabs>
        <w:spacing w:line="360" w:lineRule="auto"/>
        <w:rPr>
          <w:rFonts w:asciiTheme="minorHAnsi" w:hAnsiTheme="minorHAnsi" w:cs="Arial"/>
          <w:b/>
          <w:lang w:val="en-GB"/>
        </w:rPr>
      </w:pPr>
      <w:r w:rsidRPr="00DE4685">
        <w:rPr>
          <w:rFonts w:asciiTheme="minorHAnsi" w:hAnsiTheme="minorHAnsi" w:cs="Arial"/>
          <w:b/>
          <w:lang w:val="en-GB"/>
        </w:rPr>
        <w:fldChar w:fldCharType="end"/>
      </w:r>
    </w:p>
    <w:p w:rsidR="00310854" w:rsidRDefault="00310854">
      <w:pPr>
        <w:spacing w:after="200" w:line="276" w:lineRule="auto"/>
        <w:rPr>
          <w:rFonts w:asciiTheme="minorHAnsi" w:hAnsiTheme="minorHAnsi" w:cs="Arial"/>
          <w:b/>
          <w:lang w:val="en-GB"/>
        </w:rPr>
      </w:pPr>
      <w:r>
        <w:rPr>
          <w:rFonts w:asciiTheme="minorHAnsi" w:hAnsiTheme="minorHAnsi" w:cs="Arial"/>
          <w:b/>
          <w:lang w:val="en-GB"/>
        </w:rPr>
        <w:br w:type="page"/>
      </w:r>
    </w:p>
    <w:p w:rsidR="00310854" w:rsidRPr="000E467F" w:rsidRDefault="00310854" w:rsidP="00310854">
      <w:pPr>
        <w:rPr>
          <w:rFonts w:asciiTheme="minorHAnsi" w:hAnsiTheme="minorHAnsi" w:cstheme="minorHAnsi"/>
          <w:b/>
          <w:bCs/>
          <w:color w:val="000000"/>
          <w:sz w:val="32"/>
          <w:lang w:val="en-GB"/>
        </w:rPr>
      </w:pPr>
      <w:r w:rsidRPr="000E467F">
        <w:rPr>
          <w:rFonts w:asciiTheme="minorHAnsi" w:hAnsiTheme="minorHAnsi" w:cstheme="minorHAnsi"/>
          <w:b/>
          <w:bCs/>
          <w:color w:val="000000"/>
          <w:sz w:val="32"/>
          <w:lang w:val="en-GB"/>
        </w:rPr>
        <w:lastRenderedPageBreak/>
        <w:t>Figure legend</w:t>
      </w:r>
    </w:p>
    <w:p w:rsidR="0072566A" w:rsidRDefault="0072566A" w:rsidP="00310854">
      <w:pPr>
        <w:rPr>
          <w:rFonts w:asciiTheme="minorHAnsi" w:hAnsiTheme="minorHAnsi" w:cstheme="minorHAnsi"/>
          <w:b/>
          <w:bCs/>
          <w:color w:val="000000"/>
          <w:lang w:val="en-GB"/>
        </w:rPr>
      </w:pPr>
    </w:p>
    <w:p w:rsidR="00D06366" w:rsidRPr="00D06366" w:rsidRDefault="00310854" w:rsidP="00310854">
      <w:pPr>
        <w:rPr>
          <w:rFonts w:asciiTheme="minorHAnsi" w:hAnsiTheme="minorHAnsi" w:cstheme="minorHAnsi"/>
          <w:bCs/>
          <w:color w:val="000000"/>
          <w:lang w:val="en-GB"/>
        </w:rPr>
      </w:pPr>
      <w:proofErr w:type="gramStart"/>
      <w:r w:rsidRPr="000E467F">
        <w:rPr>
          <w:rFonts w:asciiTheme="minorHAnsi" w:hAnsiTheme="minorHAnsi" w:cstheme="minorHAnsi"/>
          <w:b/>
          <w:bCs/>
          <w:color w:val="000000"/>
          <w:lang w:val="en-GB"/>
        </w:rPr>
        <w:t>Fig. 1.</w:t>
      </w:r>
      <w:proofErr w:type="gramEnd"/>
      <w:r w:rsidR="00D06366">
        <w:rPr>
          <w:rFonts w:asciiTheme="minorHAnsi" w:hAnsiTheme="minorHAnsi" w:cstheme="minorHAnsi"/>
          <w:b/>
          <w:bCs/>
          <w:color w:val="000000"/>
          <w:lang w:val="en-GB"/>
        </w:rPr>
        <w:t xml:space="preserve"> </w:t>
      </w:r>
      <w:r w:rsidR="00D06366">
        <w:rPr>
          <w:rFonts w:asciiTheme="minorHAnsi" w:hAnsiTheme="minorHAnsi" w:cstheme="minorHAnsi"/>
          <w:bCs/>
          <w:color w:val="000000"/>
          <w:lang w:val="en-GB"/>
        </w:rPr>
        <w:t>Sources of heterogeneity among patients with sepsis</w:t>
      </w:r>
    </w:p>
    <w:p w:rsidR="00D06366" w:rsidRDefault="00D06366" w:rsidP="00310854">
      <w:pPr>
        <w:rPr>
          <w:rFonts w:asciiTheme="minorHAnsi" w:hAnsiTheme="minorHAnsi" w:cstheme="minorHAnsi"/>
          <w:b/>
          <w:bCs/>
          <w:color w:val="000000"/>
          <w:lang w:val="en-GB"/>
        </w:rPr>
      </w:pPr>
    </w:p>
    <w:p w:rsidR="00310854" w:rsidRDefault="00D06366" w:rsidP="00310854">
      <w:pPr>
        <w:rPr>
          <w:rFonts w:asciiTheme="minorHAnsi" w:hAnsiTheme="minorHAnsi" w:cstheme="minorHAnsi"/>
          <w:bCs/>
          <w:color w:val="000000"/>
          <w:lang w:val="en-US"/>
        </w:rPr>
      </w:pPr>
      <w:proofErr w:type="gramStart"/>
      <w:r>
        <w:rPr>
          <w:rFonts w:asciiTheme="minorHAnsi" w:hAnsiTheme="minorHAnsi" w:cstheme="minorHAnsi"/>
          <w:b/>
          <w:bCs/>
          <w:color w:val="000000"/>
          <w:lang w:val="en-GB"/>
        </w:rPr>
        <w:t>Fig. 2.</w:t>
      </w:r>
      <w:proofErr w:type="gramEnd"/>
      <w:r w:rsidR="00310854" w:rsidRPr="000E467F">
        <w:rPr>
          <w:rFonts w:asciiTheme="minorHAnsi" w:hAnsiTheme="minorHAnsi" w:cstheme="minorHAnsi"/>
          <w:b/>
          <w:bCs/>
          <w:color w:val="000000"/>
          <w:lang w:val="en-GB"/>
        </w:rPr>
        <w:t xml:space="preserve"> </w:t>
      </w:r>
      <w:r w:rsidR="00310854">
        <w:rPr>
          <w:rFonts w:asciiTheme="minorHAnsi" w:hAnsiTheme="minorHAnsi" w:cstheme="minorHAnsi"/>
          <w:bCs/>
          <w:color w:val="000000"/>
          <w:lang w:val="en-GB"/>
        </w:rPr>
        <w:t>The contribution of trial results (positive, negative or neutral) to the continued evolvement of clinical practice and new research questions to be tested in new trials</w:t>
      </w:r>
      <w:r w:rsidR="00310854" w:rsidRPr="000E467F">
        <w:rPr>
          <w:rFonts w:asciiTheme="minorHAnsi" w:hAnsiTheme="minorHAnsi" w:cstheme="minorHAnsi"/>
          <w:bCs/>
          <w:color w:val="000000"/>
          <w:lang w:val="en-GB"/>
        </w:rPr>
        <w:t xml:space="preserve"> (darker blue</w:t>
      </w:r>
      <w:r w:rsidR="00310854">
        <w:rPr>
          <w:rFonts w:asciiTheme="minorHAnsi" w:hAnsiTheme="minorHAnsi" w:cstheme="minorHAnsi"/>
          <w:bCs/>
          <w:color w:val="000000"/>
          <w:lang w:val="en-GB"/>
        </w:rPr>
        <w:t xml:space="preserve"> circles</w:t>
      </w:r>
      <w:r w:rsidR="00310854" w:rsidRPr="000E467F">
        <w:rPr>
          <w:rFonts w:asciiTheme="minorHAnsi" w:hAnsiTheme="minorHAnsi" w:cstheme="minorHAnsi"/>
          <w:bCs/>
          <w:color w:val="000000"/>
          <w:lang w:val="en-GB"/>
        </w:rPr>
        <w:t>)</w:t>
      </w:r>
      <w:r w:rsidR="00310854">
        <w:rPr>
          <w:rFonts w:asciiTheme="minorHAnsi" w:hAnsiTheme="minorHAnsi" w:cstheme="minorHAnsi"/>
          <w:bCs/>
          <w:color w:val="000000"/>
          <w:lang w:val="en-GB"/>
        </w:rPr>
        <w:t xml:space="preserve">. In this process, explorative analyses of trial results, the harmonization of care and increased utilisation of enrichment through improved </w:t>
      </w:r>
      <w:proofErr w:type="spellStart"/>
      <w:r w:rsidR="00310854">
        <w:rPr>
          <w:rFonts w:asciiTheme="minorHAnsi" w:hAnsiTheme="minorHAnsi" w:cstheme="minorHAnsi"/>
          <w:bCs/>
          <w:color w:val="000000"/>
          <w:lang w:val="en-GB"/>
        </w:rPr>
        <w:t>geno</w:t>
      </w:r>
      <w:proofErr w:type="spellEnd"/>
      <w:r w:rsidR="00310854">
        <w:rPr>
          <w:rFonts w:asciiTheme="minorHAnsi" w:hAnsiTheme="minorHAnsi" w:cstheme="minorHAnsi"/>
          <w:bCs/>
          <w:color w:val="000000"/>
          <w:lang w:val="en-GB"/>
        </w:rPr>
        <w:t xml:space="preserve">- and phenotyping and novel trial designs </w:t>
      </w:r>
      <w:r w:rsidR="00310854" w:rsidRPr="000E467F">
        <w:rPr>
          <w:rFonts w:asciiTheme="minorHAnsi" w:hAnsiTheme="minorHAnsi" w:cstheme="minorHAnsi"/>
          <w:bCs/>
          <w:color w:val="000000"/>
          <w:lang w:val="en-GB"/>
        </w:rPr>
        <w:t xml:space="preserve">(lighter blue) </w:t>
      </w:r>
      <w:r w:rsidR="00310854">
        <w:rPr>
          <w:rFonts w:asciiTheme="minorHAnsi" w:hAnsiTheme="minorHAnsi" w:cstheme="minorHAnsi"/>
          <w:bCs/>
          <w:color w:val="000000"/>
          <w:lang w:val="en-GB"/>
        </w:rPr>
        <w:t>will all contribute to the conduct of better, more effective and</w:t>
      </w:r>
      <w:r w:rsidR="00310854" w:rsidRPr="002A5112">
        <w:rPr>
          <w:rFonts w:asciiTheme="minorHAnsi" w:hAnsiTheme="minorHAnsi" w:cstheme="minorHAnsi"/>
          <w:bCs/>
          <w:color w:val="000000"/>
          <w:lang w:val="en-GB"/>
        </w:rPr>
        <w:t xml:space="preserve"> </w:t>
      </w:r>
      <w:r w:rsidR="00310854">
        <w:rPr>
          <w:rFonts w:asciiTheme="minorHAnsi" w:hAnsiTheme="minorHAnsi" w:cstheme="minorHAnsi"/>
          <w:bCs/>
          <w:color w:val="000000"/>
          <w:lang w:val="en-GB"/>
        </w:rPr>
        <w:t>more efficient trials</w:t>
      </w:r>
      <w:r w:rsidR="00310854" w:rsidRPr="00531DD6">
        <w:rPr>
          <w:rFonts w:asciiTheme="minorHAnsi" w:hAnsiTheme="minorHAnsi" w:cstheme="minorHAnsi"/>
          <w:bCs/>
          <w:color w:val="000000"/>
          <w:lang w:val="en-US"/>
        </w:rPr>
        <w:t>.</w:t>
      </w:r>
    </w:p>
    <w:p w:rsidR="00D06366" w:rsidRDefault="00D06366" w:rsidP="00310854">
      <w:pPr>
        <w:rPr>
          <w:rFonts w:asciiTheme="minorHAnsi" w:hAnsiTheme="minorHAnsi" w:cstheme="minorHAnsi"/>
          <w:bCs/>
          <w:color w:val="000000"/>
          <w:lang w:val="en-US"/>
        </w:rPr>
      </w:pPr>
    </w:p>
    <w:p w:rsidR="00D06366" w:rsidRPr="00D06366" w:rsidRDefault="00D06366" w:rsidP="00D06366">
      <w:pPr>
        <w:spacing w:line="276" w:lineRule="auto"/>
        <w:rPr>
          <w:rFonts w:asciiTheme="minorHAnsi" w:hAnsiTheme="minorHAnsi"/>
          <w:szCs w:val="22"/>
          <w:lang w:val="en-US"/>
        </w:rPr>
      </w:pPr>
      <w:proofErr w:type="gramStart"/>
      <w:r w:rsidRPr="00D06366">
        <w:rPr>
          <w:rFonts w:asciiTheme="minorHAnsi" w:hAnsiTheme="minorHAnsi"/>
          <w:b/>
          <w:szCs w:val="22"/>
          <w:lang w:val="en-US"/>
        </w:rPr>
        <w:t>Fig. 3.</w:t>
      </w:r>
      <w:proofErr w:type="gramEnd"/>
      <w:r w:rsidRPr="00D06366">
        <w:rPr>
          <w:rFonts w:asciiTheme="minorHAnsi" w:hAnsiTheme="minorHAnsi"/>
          <w:szCs w:val="22"/>
          <w:lang w:val="en-US"/>
        </w:rPr>
        <w:t xml:space="preserve"> </w:t>
      </w:r>
      <w:proofErr w:type="gramStart"/>
      <w:r w:rsidRPr="00D06366">
        <w:rPr>
          <w:rFonts w:asciiTheme="minorHAnsi" w:hAnsiTheme="minorHAnsi"/>
          <w:szCs w:val="22"/>
          <w:lang w:val="en-US"/>
        </w:rPr>
        <w:t>Enrichment and Biomarker Stratified designs</w:t>
      </w:r>
      <w:r w:rsidR="00F22D07">
        <w:rPr>
          <w:rFonts w:asciiTheme="minorHAnsi" w:hAnsiTheme="minorHAnsi"/>
          <w:szCs w:val="22"/>
          <w:lang w:val="en-US"/>
        </w:rPr>
        <w:t>.</w:t>
      </w:r>
      <w:proofErr w:type="gramEnd"/>
      <w:r w:rsidR="00F22D07">
        <w:rPr>
          <w:rFonts w:asciiTheme="minorHAnsi" w:hAnsiTheme="minorHAnsi"/>
          <w:szCs w:val="22"/>
          <w:lang w:val="en-US"/>
        </w:rPr>
        <w:t xml:space="preserve"> </w:t>
      </w:r>
      <w:r w:rsidRPr="00D06366">
        <w:rPr>
          <w:rFonts w:asciiTheme="minorHAnsi" w:hAnsiTheme="minorHAnsi"/>
          <w:szCs w:val="22"/>
          <w:lang w:val="en-US"/>
        </w:rPr>
        <w:t>Enrichment designs could be either predictive enrichment or prognostic enrichment or combination of both</w:t>
      </w:r>
      <w:r w:rsidR="00D93B3B">
        <w:rPr>
          <w:rFonts w:asciiTheme="minorHAnsi" w:hAnsiTheme="minorHAnsi"/>
          <w:szCs w:val="22"/>
          <w:lang w:val="en-US"/>
        </w:rPr>
        <w:t xml:space="preserve"> </w:t>
      </w:r>
      <w:r w:rsidR="00D93B3B">
        <w:rPr>
          <w:rFonts w:asciiTheme="minorHAnsi" w:hAnsiTheme="minorHAnsi"/>
          <w:szCs w:val="22"/>
          <w:lang w:val="en-US"/>
        </w:rPr>
        <w:fldChar w:fldCharType="begin"/>
      </w:r>
      <w:r w:rsidR="007E7E7B">
        <w:rPr>
          <w:rFonts w:asciiTheme="minorHAnsi" w:hAnsiTheme="minorHAnsi"/>
          <w:szCs w:val="22"/>
          <w:lang w:val="en-US"/>
        </w:rPr>
        <w:instrText xml:space="preserve"> ADDIN ZOTERO_ITEM CSL_CITATION {"citationID":"1d0jrc6j3j","properties":{"formattedCitation":"[102]","plainCitation":"[102]"},"citationItems":[{"id":193,"uris":["http://zotero.org/users/local/ZaW79YVG/items/M972IZTS"],"uri":["http://zotero.org/users/local/ZaW79YVG/items/M972IZTS"],"itemData":{"id":193,"type":"article-journal","title":"The use of enrichment to reduce statistically indeterminate or negative trials in critical care","container-title":"Anaesthesia","page":"560-565","volume":"72","issue":"5","source":"PubMed","DOI":"10.1111/anae.13870","ISSN":"1365-2044","note":"PMID: 28317096","journalAbbreviation":"Anaesthesia","language":"eng","author":[{"family":"Shankar-Hari","given":"M."},{"family":"Rubenfeld","given":"G. D."}],"issued":{"date-parts":[["2017",5]]},"PMID":"28317096"}}],"schema":"https://github.com/citation-style-language/schema/raw/master/csl-citation.json"} </w:instrText>
      </w:r>
      <w:r w:rsidR="00D93B3B">
        <w:rPr>
          <w:rFonts w:asciiTheme="minorHAnsi" w:hAnsiTheme="minorHAnsi"/>
          <w:szCs w:val="22"/>
          <w:lang w:val="en-US"/>
        </w:rPr>
        <w:fldChar w:fldCharType="separate"/>
      </w:r>
      <w:r w:rsidR="007E7E7B" w:rsidRPr="00DE4685">
        <w:rPr>
          <w:rFonts w:ascii="Calibri" w:hAnsi="Calibri" w:cs="Calibri"/>
          <w:lang w:val="en-US"/>
        </w:rPr>
        <w:t>[102]</w:t>
      </w:r>
      <w:r w:rsidR="00D93B3B">
        <w:rPr>
          <w:rFonts w:asciiTheme="minorHAnsi" w:hAnsiTheme="minorHAnsi"/>
          <w:szCs w:val="22"/>
          <w:lang w:val="en-US"/>
        </w:rPr>
        <w:fldChar w:fldCharType="end"/>
      </w:r>
      <w:r w:rsidRPr="00D06366">
        <w:rPr>
          <w:rFonts w:asciiTheme="minorHAnsi" w:hAnsiTheme="minorHAnsi"/>
          <w:szCs w:val="22"/>
          <w:lang w:val="en-US"/>
        </w:rPr>
        <w:t xml:space="preserve">. Predictive enrichment refers to enriching patients based on greater likelihood of treatment response irrespective of illness severity </w:t>
      </w:r>
      <w:r>
        <w:rPr>
          <w:rFonts w:asciiTheme="minorHAnsi" w:hAnsiTheme="minorHAnsi"/>
          <w:b/>
          <w:szCs w:val="22"/>
          <w:lang w:val="en-US"/>
        </w:rPr>
        <w:t>(Fig 3</w:t>
      </w:r>
      <w:r w:rsidRPr="00D06366">
        <w:rPr>
          <w:rFonts w:asciiTheme="minorHAnsi" w:hAnsiTheme="minorHAnsi"/>
          <w:b/>
          <w:szCs w:val="22"/>
          <w:lang w:val="en-US"/>
        </w:rPr>
        <w:t>a).</w:t>
      </w:r>
      <w:r w:rsidRPr="00D06366">
        <w:rPr>
          <w:rFonts w:asciiTheme="minorHAnsi" w:hAnsiTheme="minorHAnsi"/>
          <w:szCs w:val="22"/>
          <w:lang w:val="en-US"/>
        </w:rPr>
        <w:t xml:space="preserve"> Prognostic enrichment identifies a patient population at high risk of outcome event and </w:t>
      </w:r>
      <w:proofErr w:type="spellStart"/>
      <w:proofErr w:type="gramStart"/>
      <w:r w:rsidRPr="00D06366">
        <w:rPr>
          <w:rFonts w:asciiTheme="minorHAnsi" w:hAnsiTheme="minorHAnsi"/>
          <w:szCs w:val="22"/>
          <w:lang w:val="en-US"/>
        </w:rPr>
        <w:t>randomise</w:t>
      </w:r>
      <w:proofErr w:type="spellEnd"/>
      <w:proofErr w:type="gramEnd"/>
      <w:r w:rsidRPr="00D06366">
        <w:rPr>
          <w:rFonts w:asciiTheme="minorHAnsi" w:hAnsiTheme="minorHAnsi"/>
          <w:szCs w:val="22"/>
          <w:lang w:val="en-US"/>
        </w:rPr>
        <w:t xml:space="preserve"> them for interventions </w:t>
      </w:r>
      <w:r w:rsidRPr="00D06366">
        <w:rPr>
          <w:rFonts w:asciiTheme="minorHAnsi" w:hAnsiTheme="minorHAnsi"/>
          <w:b/>
          <w:szCs w:val="22"/>
          <w:lang w:val="en-US"/>
        </w:rPr>
        <w:t>(Fig</w:t>
      </w:r>
      <w:r>
        <w:rPr>
          <w:rFonts w:asciiTheme="minorHAnsi" w:hAnsiTheme="minorHAnsi"/>
          <w:b/>
          <w:szCs w:val="22"/>
          <w:lang w:val="en-US"/>
        </w:rPr>
        <w:t>. 3</w:t>
      </w:r>
      <w:r w:rsidRPr="00D06366">
        <w:rPr>
          <w:rFonts w:asciiTheme="minorHAnsi" w:hAnsiTheme="minorHAnsi"/>
          <w:b/>
          <w:szCs w:val="22"/>
          <w:lang w:val="en-US"/>
        </w:rPr>
        <w:t>b)</w:t>
      </w:r>
      <w:r w:rsidRPr="00D06366">
        <w:rPr>
          <w:rFonts w:asciiTheme="minorHAnsi" w:hAnsiTheme="minorHAnsi"/>
          <w:szCs w:val="22"/>
          <w:lang w:val="en-US"/>
        </w:rPr>
        <w:t xml:space="preserve">. Treatment response </w:t>
      </w:r>
      <w:proofErr w:type="gramStart"/>
      <w:r w:rsidRPr="00D06366">
        <w:rPr>
          <w:rFonts w:asciiTheme="minorHAnsi" w:hAnsiTheme="minorHAnsi"/>
          <w:szCs w:val="22"/>
          <w:lang w:val="en-US"/>
        </w:rPr>
        <w:t>marker(s) negative population in predictive enrichment design, and the low risk of outcome population in prognostic enrichment design, are</w:t>
      </w:r>
      <w:proofErr w:type="gramEnd"/>
      <w:r w:rsidRPr="00D06366">
        <w:rPr>
          <w:rFonts w:asciiTheme="minorHAnsi" w:hAnsiTheme="minorHAnsi"/>
          <w:szCs w:val="22"/>
          <w:lang w:val="en-US"/>
        </w:rPr>
        <w:t xml:space="preserve"> excluded from the trial. If a significant average treatment effect is observed, it recommended only for the tested population. Treatment response marker(s) stratified design </w:t>
      </w:r>
      <w:proofErr w:type="spellStart"/>
      <w:r w:rsidRPr="00D06366">
        <w:rPr>
          <w:rFonts w:asciiTheme="minorHAnsi" w:hAnsiTheme="minorHAnsi"/>
          <w:szCs w:val="22"/>
          <w:lang w:val="en-US"/>
        </w:rPr>
        <w:t>randomises</w:t>
      </w:r>
      <w:proofErr w:type="spellEnd"/>
      <w:r w:rsidRPr="00D06366">
        <w:rPr>
          <w:rFonts w:asciiTheme="minorHAnsi" w:hAnsiTheme="minorHAnsi"/>
          <w:szCs w:val="22"/>
          <w:lang w:val="en-US"/>
        </w:rPr>
        <w:t xml:space="preserve"> both positive and negative population </w:t>
      </w:r>
      <w:r w:rsidRPr="00D06366">
        <w:rPr>
          <w:rFonts w:asciiTheme="minorHAnsi" w:hAnsiTheme="minorHAnsi"/>
          <w:b/>
          <w:szCs w:val="22"/>
          <w:lang w:val="en-US"/>
        </w:rPr>
        <w:t>(Fig</w:t>
      </w:r>
      <w:r>
        <w:rPr>
          <w:rFonts w:asciiTheme="minorHAnsi" w:hAnsiTheme="minorHAnsi"/>
          <w:b/>
          <w:szCs w:val="22"/>
          <w:lang w:val="en-US"/>
        </w:rPr>
        <w:t xml:space="preserve"> 3</w:t>
      </w:r>
      <w:r w:rsidRPr="00D06366">
        <w:rPr>
          <w:rFonts w:asciiTheme="minorHAnsi" w:hAnsiTheme="minorHAnsi"/>
          <w:b/>
          <w:szCs w:val="22"/>
          <w:lang w:val="en-US"/>
        </w:rPr>
        <w:t>c)</w:t>
      </w:r>
      <w:r w:rsidRPr="00D06366">
        <w:rPr>
          <w:rFonts w:asciiTheme="minorHAnsi" w:hAnsiTheme="minorHAnsi"/>
          <w:szCs w:val="22"/>
          <w:lang w:val="en-US"/>
        </w:rPr>
        <w:t>. Analyses are conducted in two stages. First, the treatment response marker(s) positive population is tested for difference in outcomes. If there is a difference in average treatment effect in the treatment response marker(s) positive population, then a second set of analyses are conducted. This could be done either in the treatment response marker(s) negative population or to the whole population to generate treatment recommendations.</w:t>
      </w:r>
    </w:p>
    <w:p w:rsidR="00D06366" w:rsidRPr="00531DD6" w:rsidRDefault="00D06366" w:rsidP="00310854">
      <w:pPr>
        <w:rPr>
          <w:rFonts w:asciiTheme="minorHAnsi" w:hAnsiTheme="minorHAnsi" w:cstheme="minorHAnsi"/>
          <w:bCs/>
          <w:color w:val="000000"/>
          <w:lang w:val="en-US"/>
        </w:rPr>
      </w:pPr>
    </w:p>
    <w:p w:rsidR="002B0CDC" w:rsidRPr="00310854" w:rsidRDefault="002B0CDC" w:rsidP="00851E20">
      <w:pPr>
        <w:tabs>
          <w:tab w:val="right" w:pos="360"/>
          <w:tab w:val="left" w:pos="540"/>
        </w:tabs>
        <w:spacing w:line="360" w:lineRule="auto"/>
        <w:rPr>
          <w:rFonts w:asciiTheme="minorHAnsi" w:hAnsiTheme="minorHAnsi" w:cs="Arial"/>
          <w:b/>
          <w:lang w:val="en-US"/>
        </w:rPr>
      </w:pPr>
    </w:p>
    <w:sectPr w:rsidR="002B0CDC" w:rsidRPr="00310854">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uardianSansGR-Regular">
    <w:altName w:val="MS Mincho"/>
    <w:panose1 w:val="00000000000000000000"/>
    <w:charset w:val="80"/>
    <w:family w:val="auto"/>
    <w:notTrueType/>
    <w:pitch w:val="default"/>
    <w:sig w:usb0="00000000" w:usb1="08070000" w:usb2="00000010" w:usb3="00000000" w:csb0="00020000"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500402"/>
    <w:multiLevelType w:val="hybridMultilevel"/>
    <w:tmpl w:val="039CC1E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691"/>
    <w:rsid w:val="0000519D"/>
    <w:rsid w:val="00011609"/>
    <w:rsid w:val="00022D66"/>
    <w:rsid w:val="000A2F5D"/>
    <w:rsid w:val="000C437D"/>
    <w:rsid w:val="000C4992"/>
    <w:rsid w:val="000C74D8"/>
    <w:rsid w:val="000E37EF"/>
    <w:rsid w:val="000E467F"/>
    <w:rsid w:val="000F19FE"/>
    <w:rsid w:val="000F2553"/>
    <w:rsid w:val="000F5B05"/>
    <w:rsid w:val="00101E64"/>
    <w:rsid w:val="0010383B"/>
    <w:rsid w:val="001344F0"/>
    <w:rsid w:val="00134A43"/>
    <w:rsid w:val="00140691"/>
    <w:rsid w:val="001474F0"/>
    <w:rsid w:val="00165E6D"/>
    <w:rsid w:val="00172ABB"/>
    <w:rsid w:val="001B601F"/>
    <w:rsid w:val="001B6254"/>
    <w:rsid w:val="001C27F7"/>
    <w:rsid w:val="001C75DA"/>
    <w:rsid w:val="001D5A53"/>
    <w:rsid w:val="001E244A"/>
    <w:rsid w:val="001F34A7"/>
    <w:rsid w:val="00200147"/>
    <w:rsid w:val="00236B01"/>
    <w:rsid w:val="00254D65"/>
    <w:rsid w:val="00270C0B"/>
    <w:rsid w:val="00273152"/>
    <w:rsid w:val="00275009"/>
    <w:rsid w:val="00280C01"/>
    <w:rsid w:val="002A0C61"/>
    <w:rsid w:val="002A5112"/>
    <w:rsid w:val="002B0CDC"/>
    <w:rsid w:val="002C284B"/>
    <w:rsid w:val="002C4077"/>
    <w:rsid w:val="002E6D08"/>
    <w:rsid w:val="00310854"/>
    <w:rsid w:val="00314E7A"/>
    <w:rsid w:val="00315894"/>
    <w:rsid w:val="003307A5"/>
    <w:rsid w:val="003331FC"/>
    <w:rsid w:val="00336DB6"/>
    <w:rsid w:val="003415A0"/>
    <w:rsid w:val="00347D81"/>
    <w:rsid w:val="0037160E"/>
    <w:rsid w:val="00371B80"/>
    <w:rsid w:val="0037580D"/>
    <w:rsid w:val="00383B15"/>
    <w:rsid w:val="00387D9E"/>
    <w:rsid w:val="003E2AF7"/>
    <w:rsid w:val="003E52AE"/>
    <w:rsid w:val="003E7C1D"/>
    <w:rsid w:val="00412BFA"/>
    <w:rsid w:val="00422C35"/>
    <w:rsid w:val="0044450B"/>
    <w:rsid w:val="004526CC"/>
    <w:rsid w:val="00453389"/>
    <w:rsid w:val="004554A5"/>
    <w:rsid w:val="004660CE"/>
    <w:rsid w:val="00473BB6"/>
    <w:rsid w:val="00482D71"/>
    <w:rsid w:val="00485CE7"/>
    <w:rsid w:val="004A2F3C"/>
    <w:rsid w:val="004B184E"/>
    <w:rsid w:val="004B5525"/>
    <w:rsid w:val="004C68D2"/>
    <w:rsid w:val="004D3F9A"/>
    <w:rsid w:val="004D5B52"/>
    <w:rsid w:val="004E0DEB"/>
    <w:rsid w:val="004F59BB"/>
    <w:rsid w:val="00521D2D"/>
    <w:rsid w:val="00531DD6"/>
    <w:rsid w:val="00567E81"/>
    <w:rsid w:val="005761A4"/>
    <w:rsid w:val="005812A4"/>
    <w:rsid w:val="005964AA"/>
    <w:rsid w:val="005A0254"/>
    <w:rsid w:val="005B156D"/>
    <w:rsid w:val="005B5282"/>
    <w:rsid w:val="005B5377"/>
    <w:rsid w:val="005D2A3A"/>
    <w:rsid w:val="005E005F"/>
    <w:rsid w:val="00654437"/>
    <w:rsid w:val="00675F6E"/>
    <w:rsid w:val="006817F5"/>
    <w:rsid w:val="006903BC"/>
    <w:rsid w:val="00693E8C"/>
    <w:rsid w:val="006A123E"/>
    <w:rsid w:val="006A7B23"/>
    <w:rsid w:val="006B160C"/>
    <w:rsid w:val="006B62E1"/>
    <w:rsid w:val="006D01E3"/>
    <w:rsid w:val="006E066F"/>
    <w:rsid w:val="006E59A1"/>
    <w:rsid w:val="006F5C6C"/>
    <w:rsid w:val="006F7F14"/>
    <w:rsid w:val="007141B1"/>
    <w:rsid w:val="00716554"/>
    <w:rsid w:val="00716F98"/>
    <w:rsid w:val="00720121"/>
    <w:rsid w:val="007235D4"/>
    <w:rsid w:val="00724253"/>
    <w:rsid w:val="0072566A"/>
    <w:rsid w:val="00725D67"/>
    <w:rsid w:val="00735BC7"/>
    <w:rsid w:val="00750403"/>
    <w:rsid w:val="00753ED1"/>
    <w:rsid w:val="00767515"/>
    <w:rsid w:val="00780907"/>
    <w:rsid w:val="00782DEC"/>
    <w:rsid w:val="0079367A"/>
    <w:rsid w:val="007C70AC"/>
    <w:rsid w:val="007D7541"/>
    <w:rsid w:val="007E7E7B"/>
    <w:rsid w:val="007F1C25"/>
    <w:rsid w:val="007F2B0D"/>
    <w:rsid w:val="007F707F"/>
    <w:rsid w:val="00807B82"/>
    <w:rsid w:val="00815272"/>
    <w:rsid w:val="0084423D"/>
    <w:rsid w:val="00850C5A"/>
    <w:rsid w:val="00851E20"/>
    <w:rsid w:val="00851E3D"/>
    <w:rsid w:val="00855ABF"/>
    <w:rsid w:val="00877B94"/>
    <w:rsid w:val="008956E1"/>
    <w:rsid w:val="008A1510"/>
    <w:rsid w:val="008A2E55"/>
    <w:rsid w:val="008A6817"/>
    <w:rsid w:val="008B3B97"/>
    <w:rsid w:val="008C0B96"/>
    <w:rsid w:val="008E5214"/>
    <w:rsid w:val="00904DDA"/>
    <w:rsid w:val="00905590"/>
    <w:rsid w:val="00911CFB"/>
    <w:rsid w:val="009426F4"/>
    <w:rsid w:val="00970D58"/>
    <w:rsid w:val="00977389"/>
    <w:rsid w:val="00996599"/>
    <w:rsid w:val="009B13DB"/>
    <w:rsid w:val="009B1B05"/>
    <w:rsid w:val="009B47CD"/>
    <w:rsid w:val="009B51A1"/>
    <w:rsid w:val="009D5B86"/>
    <w:rsid w:val="009D7F95"/>
    <w:rsid w:val="009F7B4A"/>
    <w:rsid w:val="00A07303"/>
    <w:rsid w:val="00A1126C"/>
    <w:rsid w:val="00A22A06"/>
    <w:rsid w:val="00A338B4"/>
    <w:rsid w:val="00A35BC1"/>
    <w:rsid w:val="00A73BD7"/>
    <w:rsid w:val="00A804A1"/>
    <w:rsid w:val="00AA7142"/>
    <w:rsid w:val="00AA7DD5"/>
    <w:rsid w:val="00AB6031"/>
    <w:rsid w:val="00AB7C6A"/>
    <w:rsid w:val="00AD2E67"/>
    <w:rsid w:val="00AF134A"/>
    <w:rsid w:val="00AF73B8"/>
    <w:rsid w:val="00B0471A"/>
    <w:rsid w:val="00B21314"/>
    <w:rsid w:val="00B362D3"/>
    <w:rsid w:val="00B4258F"/>
    <w:rsid w:val="00B52FCB"/>
    <w:rsid w:val="00B77735"/>
    <w:rsid w:val="00B81F68"/>
    <w:rsid w:val="00BB6440"/>
    <w:rsid w:val="00BC102D"/>
    <w:rsid w:val="00BF2A74"/>
    <w:rsid w:val="00BF5F73"/>
    <w:rsid w:val="00BF79D4"/>
    <w:rsid w:val="00C056E0"/>
    <w:rsid w:val="00C0593A"/>
    <w:rsid w:val="00C225D2"/>
    <w:rsid w:val="00C2575C"/>
    <w:rsid w:val="00C47AD7"/>
    <w:rsid w:val="00C52A84"/>
    <w:rsid w:val="00C75480"/>
    <w:rsid w:val="00C800EE"/>
    <w:rsid w:val="00CA7719"/>
    <w:rsid w:val="00CC1AB2"/>
    <w:rsid w:val="00CC1F3C"/>
    <w:rsid w:val="00CC53CB"/>
    <w:rsid w:val="00CD4170"/>
    <w:rsid w:val="00CF6CEC"/>
    <w:rsid w:val="00D02B6A"/>
    <w:rsid w:val="00D06366"/>
    <w:rsid w:val="00D26174"/>
    <w:rsid w:val="00D37B15"/>
    <w:rsid w:val="00D70121"/>
    <w:rsid w:val="00D74E25"/>
    <w:rsid w:val="00D81B75"/>
    <w:rsid w:val="00D822D6"/>
    <w:rsid w:val="00D93B3B"/>
    <w:rsid w:val="00DB3618"/>
    <w:rsid w:val="00DB561A"/>
    <w:rsid w:val="00DB5E43"/>
    <w:rsid w:val="00DC09D5"/>
    <w:rsid w:val="00DC4C33"/>
    <w:rsid w:val="00DC61A9"/>
    <w:rsid w:val="00DD1B18"/>
    <w:rsid w:val="00DE4685"/>
    <w:rsid w:val="00E20693"/>
    <w:rsid w:val="00E26721"/>
    <w:rsid w:val="00E30963"/>
    <w:rsid w:val="00E30AE4"/>
    <w:rsid w:val="00E32EE0"/>
    <w:rsid w:val="00E421C3"/>
    <w:rsid w:val="00E63308"/>
    <w:rsid w:val="00E65013"/>
    <w:rsid w:val="00E72BD7"/>
    <w:rsid w:val="00E96E7A"/>
    <w:rsid w:val="00EA429B"/>
    <w:rsid w:val="00EB03C3"/>
    <w:rsid w:val="00EC018D"/>
    <w:rsid w:val="00EC239F"/>
    <w:rsid w:val="00EF25BC"/>
    <w:rsid w:val="00EF2D1F"/>
    <w:rsid w:val="00EF76EF"/>
    <w:rsid w:val="00F00D49"/>
    <w:rsid w:val="00F163A6"/>
    <w:rsid w:val="00F22D07"/>
    <w:rsid w:val="00F24100"/>
    <w:rsid w:val="00F36D75"/>
    <w:rsid w:val="00F44043"/>
    <w:rsid w:val="00F50E48"/>
    <w:rsid w:val="00F5750F"/>
    <w:rsid w:val="00F91D2A"/>
    <w:rsid w:val="00F96F62"/>
    <w:rsid w:val="00FD6718"/>
    <w:rsid w:val="00FE0188"/>
    <w:rsid w:val="00FE212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691"/>
    <w:pPr>
      <w:spacing w:after="0" w:line="240" w:lineRule="auto"/>
    </w:pPr>
    <w:rPr>
      <w:rFonts w:ascii="Times New Roman" w:hAnsi="Times New Roman" w:cs="Times New Roman"/>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BF2A74"/>
    <w:pPr>
      <w:ind w:left="720"/>
      <w:contextualSpacing/>
    </w:pPr>
    <w:rPr>
      <w:rFonts w:eastAsia="Times New Roman"/>
    </w:rPr>
  </w:style>
  <w:style w:type="character" w:customStyle="1" w:styleId="apple-converted-space">
    <w:name w:val="apple-converted-space"/>
    <w:basedOn w:val="Standardskrifttypeiafsnit"/>
    <w:rsid w:val="00D70121"/>
  </w:style>
  <w:style w:type="table" w:styleId="Tabel-Gitter">
    <w:name w:val="Table Grid"/>
    <w:basedOn w:val="Tabel-Normal"/>
    <w:rsid w:val="005E005F"/>
    <w:pPr>
      <w:spacing w:after="0" w:line="240" w:lineRule="auto"/>
    </w:pPr>
    <w:rPr>
      <w:rFonts w:ascii="Times New Roman" w:eastAsia="Times New Roman" w:hAnsi="Times New Roman" w:cs="Times New Roman"/>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fi">
    <w:name w:val="Bibliography"/>
    <w:basedOn w:val="Normal"/>
    <w:next w:val="Normal"/>
    <w:uiPriority w:val="37"/>
    <w:unhideWhenUsed/>
    <w:rsid w:val="00780907"/>
    <w:pPr>
      <w:tabs>
        <w:tab w:val="left" w:pos="504"/>
      </w:tabs>
      <w:spacing w:after="240"/>
      <w:ind w:left="504" w:hanging="504"/>
    </w:pPr>
  </w:style>
  <w:style w:type="character" w:styleId="Kommentarhenvisning">
    <w:name w:val="annotation reference"/>
    <w:basedOn w:val="Standardskrifttypeiafsnit"/>
    <w:uiPriority w:val="99"/>
    <w:semiHidden/>
    <w:unhideWhenUsed/>
    <w:rsid w:val="007141B1"/>
    <w:rPr>
      <w:sz w:val="18"/>
      <w:szCs w:val="18"/>
    </w:rPr>
  </w:style>
  <w:style w:type="paragraph" w:styleId="Kommentartekst">
    <w:name w:val="annotation text"/>
    <w:basedOn w:val="Normal"/>
    <w:link w:val="KommentartekstTegn"/>
    <w:uiPriority w:val="99"/>
    <w:unhideWhenUsed/>
    <w:rsid w:val="007141B1"/>
  </w:style>
  <w:style w:type="character" w:customStyle="1" w:styleId="KommentartekstTegn">
    <w:name w:val="Kommentartekst Tegn"/>
    <w:basedOn w:val="Standardskrifttypeiafsnit"/>
    <w:link w:val="Kommentartekst"/>
    <w:uiPriority w:val="99"/>
    <w:rsid w:val="007141B1"/>
    <w:rPr>
      <w:rFonts w:ascii="Times New Roman" w:hAnsi="Times New Roman" w:cs="Times New Roman"/>
      <w:sz w:val="24"/>
      <w:szCs w:val="24"/>
      <w:lang w:eastAsia="da-DK"/>
    </w:rPr>
  </w:style>
  <w:style w:type="character" w:customStyle="1" w:styleId="highlight">
    <w:name w:val="highlight"/>
    <w:basedOn w:val="Standardskrifttypeiafsnit"/>
    <w:rsid w:val="007141B1"/>
  </w:style>
  <w:style w:type="character" w:styleId="Hyperlink">
    <w:name w:val="Hyperlink"/>
    <w:basedOn w:val="Standardskrifttypeiafsnit"/>
    <w:uiPriority w:val="99"/>
    <w:semiHidden/>
    <w:unhideWhenUsed/>
    <w:rsid w:val="007141B1"/>
    <w:rPr>
      <w:color w:val="0000FF"/>
      <w:u w:val="single"/>
    </w:rPr>
  </w:style>
  <w:style w:type="paragraph" w:styleId="Markeringsbobletekst">
    <w:name w:val="Balloon Text"/>
    <w:basedOn w:val="Normal"/>
    <w:link w:val="MarkeringsbobletekstTegn"/>
    <w:uiPriority w:val="99"/>
    <w:semiHidden/>
    <w:unhideWhenUsed/>
    <w:rsid w:val="007141B1"/>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7141B1"/>
    <w:rPr>
      <w:rFonts w:ascii="Tahoma" w:hAnsi="Tahoma" w:cs="Tahoma"/>
      <w:sz w:val="16"/>
      <w:szCs w:val="16"/>
      <w:lang w:eastAsia="da-DK"/>
    </w:rPr>
  </w:style>
  <w:style w:type="paragraph" w:styleId="Kommentaremne">
    <w:name w:val="annotation subject"/>
    <w:basedOn w:val="Kommentartekst"/>
    <w:next w:val="Kommentartekst"/>
    <w:link w:val="KommentaremneTegn"/>
    <w:uiPriority w:val="99"/>
    <w:semiHidden/>
    <w:unhideWhenUsed/>
    <w:rsid w:val="003307A5"/>
    <w:rPr>
      <w:b/>
      <w:bCs/>
      <w:sz w:val="20"/>
      <w:szCs w:val="20"/>
    </w:rPr>
  </w:style>
  <w:style w:type="character" w:customStyle="1" w:styleId="KommentaremneTegn">
    <w:name w:val="Kommentaremne Tegn"/>
    <w:basedOn w:val="KommentartekstTegn"/>
    <w:link w:val="Kommentaremne"/>
    <w:uiPriority w:val="99"/>
    <w:semiHidden/>
    <w:rsid w:val="003307A5"/>
    <w:rPr>
      <w:rFonts w:ascii="Times New Roman" w:hAnsi="Times New Roman" w:cs="Times New Roman"/>
      <w:b/>
      <w:bCs/>
      <w:sz w:val="20"/>
      <w:szCs w:val="20"/>
      <w:lang w:eastAsia="da-D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691"/>
    <w:pPr>
      <w:spacing w:after="0" w:line="240" w:lineRule="auto"/>
    </w:pPr>
    <w:rPr>
      <w:rFonts w:ascii="Times New Roman" w:hAnsi="Times New Roman" w:cs="Times New Roman"/>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BF2A74"/>
    <w:pPr>
      <w:ind w:left="720"/>
      <w:contextualSpacing/>
    </w:pPr>
    <w:rPr>
      <w:rFonts w:eastAsia="Times New Roman"/>
    </w:rPr>
  </w:style>
  <w:style w:type="character" w:customStyle="1" w:styleId="apple-converted-space">
    <w:name w:val="apple-converted-space"/>
    <w:basedOn w:val="Standardskrifttypeiafsnit"/>
    <w:rsid w:val="00D70121"/>
  </w:style>
  <w:style w:type="table" w:styleId="Tabel-Gitter">
    <w:name w:val="Table Grid"/>
    <w:basedOn w:val="Tabel-Normal"/>
    <w:rsid w:val="005E005F"/>
    <w:pPr>
      <w:spacing w:after="0" w:line="240" w:lineRule="auto"/>
    </w:pPr>
    <w:rPr>
      <w:rFonts w:ascii="Times New Roman" w:eastAsia="Times New Roman" w:hAnsi="Times New Roman" w:cs="Times New Roman"/>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fi">
    <w:name w:val="Bibliography"/>
    <w:basedOn w:val="Normal"/>
    <w:next w:val="Normal"/>
    <w:uiPriority w:val="37"/>
    <w:unhideWhenUsed/>
    <w:rsid w:val="00780907"/>
    <w:pPr>
      <w:tabs>
        <w:tab w:val="left" w:pos="504"/>
      </w:tabs>
      <w:spacing w:after="240"/>
      <w:ind w:left="504" w:hanging="504"/>
    </w:pPr>
  </w:style>
  <w:style w:type="character" w:styleId="Kommentarhenvisning">
    <w:name w:val="annotation reference"/>
    <w:basedOn w:val="Standardskrifttypeiafsnit"/>
    <w:uiPriority w:val="99"/>
    <w:semiHidden/>
    <w:unhideWhenUsed/>
    <w:rsid w:val="007141B1"/>
    <w:rPr>
      <w:sz w:val="18"/>
      <w:szCs w:val="18"/>
    </w:rPr>
  </w:style>
  <w:style w:type="paragraph" w:styleId="Kommentartekst">
    <w:name w:val="annotation text"/>
    <w:basedOn w:val="Normal"/>
    <w:link w:val="KommentartekstTegn"/>
    <w:uiPriority w:val="99"/>
    <w:unhideWhenUsed/>
    <w:rsid w:val="007141B1"/>
  </w:style>
  <w:style w:type="character" w:customStyle="1" w:styleId="KommentartekstTegn">
    <w:name w:val="Kommentartekst Tegn"/>
    <w:basedOn w:val="Standardskrifttypeiafsnit"/>
    <w:link w:val="Kommentartekst"/>
    <w:uiPriority w:val="99"/>
    <w:rsid w:val="007141B1"/>
    <w:rPr>
      <w:rFonts w:ascii="Times New Roman" w:hAnsi="Times New Roman" w:cs="Times New Roman"/>
      <w:sz w:val="24"/>
      <w:szCs w:val="24"/>
      <w:lang w:eastAsia="da-DK"/>
    </w:rPr>
  </w:style>
  <w:style w:type="character" w:customStyle="1" w:styleId="highlight">
    <w:name w:val="highlight"/>
    <w:basedOn w:val="Standardskrifttypeiafsnit"/>
    <w:rsid w:val="007141B1"/>
  </w:style>
  <w:style w:type="character" w:styleId="Hyperlink">
    <w:name w:val="Hyperlink"/>
    <w:basedOn w:val="Standardskrifttypeiafsnit"/>
    <w:uiPriority w:val="99"/>
    <w:semiHidden/>
    <w:unhideWhenUsed/>
    <w:rsid w:val="007141B1"/>
    <w:rPr>
      <w:color w:val="0000FF"/>
      <w:u w:val="single"/>
    </w:rPr>
  </w:style>
  <w:style w:type="paragraph" w:styleId="Markeringsbobletekst">
    <w:name w:val="Balloon Text"/>
    <w:basedOn w:val="Normal"/>
    <w:link w:val="MarkeringsbobletekstTegn"/>
    <w:uiPriority w:val="99"/>
    <w:semiHidden/>
    <w:unhideWhenUsed/>
    <w:rsid w:val="007141B1"/>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7141B1"/>
    <w:rPr>
      <w:rFonts w:ascii="Tahoma" w:hAnsi="Tahoma" w:cs="Tahoma"/>
      <w:sz w:val="16"/>
      <w:szCs w:val="16"/>
      <w:lang w:eastAsia="da-DK"/>
    </w:rPr>
  </w:style>
  <w:style w:type="paragraph" w:styleId="Kommentaremne">
    <w:name w:val="annotation subject"/>
    <w:basedOn w:val="Kommentartekst"/>
    <w:next w:val="Kommentartekst"/>
    <w:link w:val="KommentaremneTegn"/>
    <w:uiPriority w:val="99"/>
    <w:semiHidden/>
    <w:unhideWhenUsed/>
    <w:rsid w:val="003307A5"/>
    <w:rPr>
      <w:b/>
      <w:bCs/>
      <w:sz w:val="20"/>
      <w:szCs w:val="20"/>
    </w:rPr>
  </w:style>
  <w:style w:type="character" w:customStyle="1" w:styleId="KommentaremneTegn">
    <w:name w:val="Kommentaremne Tegn"/>
    <w:basedOn w:val="KommentartekstTegn"/>
    <w:link w:val="Kommentaremne"/>
    <w:uiPriority w:val="99"/>
    <w:semiHidden/>
    <w:rsid w:val="003307A5"/>
    <w:rPr>
      <w:rFonts w:ascii="Times New Roman" w:hAnsi="Times New Roman" w:cs="Times New Roman"/>
      <w:b/>
      <w:bCs/>
      <w:sz w:val="20"/>
      <w:szCs w:val="20"/>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75676">
      <w:bodyDiv w:val="1"/>
      <w:marLeft w:val="0"/>
      <w:marRight w:val="0"/>
      <w:marTop w:val="0"/>
      <w:marBottom w:val="0"/>
      <w:divBdr>
        <w:top w:val="none" w:sz="0" w:space="0" w:color="auto"/>
        <w:left w:val="none" w:sz="0" w:space="0" w:color="auto"/>
        <w:bottom w:val="none" w:sz="0" w:space="0" w:color="auto"/>
        <w:right w:val="none" w:sz="0" w:space="0" w:color="auto"/>
      </w:divBdr>
    </w:div>
    <w:div w:id="22445129">
      <w:bodyDiv w:val="1"/>
      <w:marLeft w:val="0"/>
      <w:marRight w:val="0"/>
      <w:marTop w:val="0"/>
      <w:marBottom w:val="0"/>
      <w:divBdr>
        <w:top w:val="none" w:sz="0" w:space="0" w:color="auto"/>
        <w:left w:val="none" w:sz="0" w:space="0" w:color="auto"/>
        <w:bottom w:val="none" w:sz="0" w:space="0" w:color="auto"/>
        <w:right w:val="none" w:sz="0" w:space="0" w:color="auto"/>
      </w:divBdr>
    </w:div>
    <w:div w:id="426005672">
      <w:bodyDiv w:val="1"/>
      <w:marLeft w:val="0"/>
      <w:marRight w:val="0"/>
      <w:marTop w:val="0"/>
      <w:marBottom w:val="0"/>
      <w:divBdr>
        <w:top w:val="none" w:sz="0" w:space="0" w:color="auto"/>
        <w:left w:val="none" w:sz="0" w:space="0" w:color="auto"/>
        <w:bottom w:val="none" w:sz="0" w:space="0" w:color="auto"/>
        <w:right w:val="none" w:sz="0" w:space="0" w:color="auto"/>
      </w:divBdr>
    </w:div>
    <w:div w:id="708803553">
      <w:bodyDiv w:val="1"/>
      <w:marLeft w:val="0"/>
      <w:marRight w:val="0"/>
      <w:marTop w:val="0"/>
      <w:marBottom w:val="0"/>
      <w:divBdr>
        <w:top w:val="none" w:sz="0" w:space="0" w:color="auto"/>
        <w:left w:val="none" w:sz="0" w:space="0" w:color="auto"/>
        <w:bottom w:val="none" w:sz="0" w:space="0" w:color="auto"/>
        <w:right w:val="none" w:sz="0" w:space="0" w:color="auto"/>
      </w:divBdr>
    </w:div>
    <w:div w:id="1147552288">
      <w:bodyDiv w:val="1"/>
      <w:marLeft w:val="0"/>
      <w:marRight w:val="0"/>
      <w:marTop w:val="0"/>
      <w:marBottom w:val="0"/>
      <w:divBdr>
        <w:top w:val="none" w:sz="0" w:space="0" w:color="auto"/>
        <w:left w:val="none" w:sz="0" w:space="0" w:color="auto"/>
        <w:bottom w:val="none" w:sz="0" w:space="0" w:color="auto"/>
        <w:right w:val="none" w:sz="0" w:space="0" w:color="auto"/>
      </w:divBdr>
    </w:div>
    <w:div w:id="1167818486">
      <w:bodyDiv w:val="1"/>
      <w:marLeft w:val="0"/>
      <w:marRight w:val="0"/>
      <w:marTop w:val="0"/>
      <w:marBottom w:val="0"/>
      <w:divBdr>
        <w:top w:val="none" w:sz="0" w:space="0" w:color="auto"/>
        <w:left w:val="none" w:sz="0" w:space="0" w:color="auto"/>
        <w:bottom w:val="none" w:sz="0" w:space="0" w:color="auto"/>
        <w:right w:val="none" w:sz="0" w:space="0" w:color="auto"/>
      </w:divBdr>
    </w:div>
    <w:div w:id="1236014602">
      <w:bodyDiv w:val="1"/>
      <w:marLeft w:val="0"/>
      <w:marRight w:val="0"/>
      <w:marTop w:val="0"/>
      <w:marBottom w:val="0"/>
      <w:divBdr>
        <w:top w:val="none" w:sz="0" w:space="0" w:color="auto"/>
        <w:left w:val="none" w:sz="0" w:space="0" w:color="auto"/>
        <w:bottom w:val="none" w:sz="0" w:space="0" w:color="auto"/>
        <w:right w:val="none" w:sz="0" w:space="0" w:color="auto"/>
      </w:divBdr>
    </w:div>
    <w:div w:id="1437139696">
      <w:bodyDiv w:val="1"/>
      <w:marLeft w:val="0"/>
      <w:marRight w:val="0"/>
      <w:marTop w:val="0"/>
      <w:marBottom w:val="0"/>
      <w:divBdr>
        <w:top w:val="none" w:sz="0" w:space="0" w:color="auto"/>
        <w:left w:val="none" w:sz="0" w:space="0" w:color="auto"/>
        <w:bottom w:val="none" w:sz="0" w:space="0" w:color="auto"/>
        <w:right w:val="none" w:sz="0" w:space="0" w:color="auto"/>
      </w:divBdr>
    </w:div>
    <w:div w:id="207114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29</Pages>
  <Words>65884</Words>
  <Characters>401898</Characters>
  <Application>Microsoft Office Word</Application>
  <DocSecurity>0</DocSecurity>
  <Lines>3349</Lines>
  <Paragraphs>933</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Company>Region Hovedstaden</Company>
  <LinksUpToDate>false</LinksUpToDate>
  <CharactersWithSpaces>466849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Perner</dc:creator>
  <cp:lastModifiedBy>Anders Perner</cp:lastModifiedBy>
  <cp:revision>1</cp:revision>
  <dcterms:created xsi:type="dcterms:W3CDTF">2017-04-19T13:22:00Z</dcterms:created>
  <dcterms:modified xsi:type="dcterms:W3CDTF">2017-04-19T18:41:00Z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zotero-version="4.0.29.10"&gt;&lt;session id="mO5Z5Kcx"/&gt;&lt;style id="http://www.zotero.org/styles/intensive-care-medicine" hasBibliography="1" bibliographyStyleHasBeenSet="1"/&gt;&lt;prefs&gt;&lt;pref name="fieldType" value="Field"/&gt;&lt;pref name="storeR</vt:lpwstr>
  </property>
  <property fmtid="{D5CDD505-2E9C-101B-9397-08002B2CF9AE}" pid="3" name="ZOTERO_PREF_2">
    <vt:lpwstr>eferences" value="true"/&gt;&lt;pref name="automaticJournalAbbreviations" value="true"/&gt;&lt;pref name="noteType" value=""/&gt;&lt;/prefs&gt;&lt;/data&gt;</vt:lpwstr>
  </property>
</Properties>
</file>